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F79BD9" w14:textId="77777777" w:rsidR="00FC36DC" w:rsidRPr="00A30D95" w:rsidRDefault="00FC36DC" w:rsidP="00DD0FDE">
      <w:pPr>
        <w:pStyle w:val="Ttulo"/>
        <w:ind w:left="-142" w:right="-6"/>
        <w:rPr>
          <w:rFonts w:eastAsia="MS Mincho"/>
          <w:b w:val="0"/>
          <w:noProof w:val="0"/>
          <w:lang w:val="en-US"/>
        </w:rPr>
      </w:pPr>
    </w:p>
    <w:p w14:paraId="1940286B" w14:textId="1DAD735B" w:rsidR="000B64A1" w:rsidRPr="00A30D95" w:rsidRDefault="000B64A1" w:rsidP="00DD0FDE">
      <w:pPr>
        <w:pStyle w:val="Ttulo"/>
        <w:ind w:left="-142" w:right="-6"/>
        <w:rPr>
          <w:rFonts w:eastAsia="MS Mincho"/>
          <w:b w:val="0"/>
          <w:noProof w:val="0"/>
          <w:lang w:val="en-US"/>
        </w:rPr>
      </w:pPr>
    </w:p>
    <w:p w14:paraId="222F2CD2" w14:textId="77777777" w:rsidR="0019044D" w:rsidRPr="00A30D95" w:rsidRDefault="0019044D" w:rsidP="00DD0FDE">
      <w:pPr>
        <w:pStyle w:val="Ttulo"/>
        <w:ind w:left="-142" w:right="-6"/>
        <w:rPr>
          <w:rFonts w:eastAsia="MS Mincho"/>
          <w:b w:val="0"/>
          <w:noProof w:val="0"/>
          <w:lang w:val="en-US"/>
        </w:rPr>
      </w:pPr>
    </w:p>
    <w:p w14:paraId="18A51EC4" w14:textId="119A07E4" w:rsidR="00AE5F9E" w:rsidRPr="00A30D95" w:rsidRDefault="00AE5F9E" w:rsidP="00DD0FDE">
      <w:pPr>
        <w:pStyle w:val="Ttulo"/>
        <w:ind w:left="-142" w:right="-6"/>
        <w:rPr>
          <w:rFonts w:eastAsia="MS Mincho"/>
          <w:b w:val="0"/>
          <w:noProof w:val="0"/>
          <w:lang w:val="en-US"/>
        </w:rPr>
      </w:pPr>
    </w:p>
    <w:p w14:paraId="5D2D82A1" w14:textId="35F93B4C" w:rsidR="00AE5F9E" w:rsidRPr="00A30D95" w:rsidRDefault="00AE5F9E" w:rsidP="00DD0FDE">
      <w:pPr>
        <w:pStyle w:val="Ttulo"/>
        <w:ind w:left="-142" w:right="-6"/>
        <w:rPr>
          <w:rFonts w:eastAsia="MS Mincho"/>
          <w:b w:val="0"/>
          <w:noProof w:val="0"/>
          <w:lang w:val="en-US"/>
        </w:rPr>
      </w:pPr>
    </w:p>
    <w:p w14:paraId="3564A029" w14:textId="1EF8C13A" w:rsidR="00AE5F9E" w:rsidRPr="00A30D95" w:rsidRDefault="00AE5F9E" w:rsidP="00DD0FDE">
      <w:pPr>
        <w:pStyle w:val="Ttulo"/>
        <w:ind w:left="-142" w:right="-6"/>
        <w:rPr>
          <w:rFonts w:eastAsia="MS Mincho"/>
          <w:b w:val="0"/>
          <w:noProof w:val="0"/>
          <w:lang w:val="en-US"/>
        </w:rPr>
      </w:pPr>
    </w:p>
    <w:p w14:paraId="481989CA" w14:textId="77777777" w:rsidR="008E3036" w:rsidRPr="00A30D95" w:rsidRDefault="008E3036" w:rsidP="00DD0FDE">
      <w:pPr>
        <w:pStyle w:val="Ttulo"/>
        <w:ind w:left="-142" w:right="-6"/>
        <w:rPr>
          <w:rFonts w:eastAsia="MS Mincho"/>
          <w:b w:val="0"/>
          <w:noProof w:val="0"/>
          <w:lang w:val="en-US"/>
        </w:rPr>
      </w:pPr>
    </w:p>
    <w:p w14:paraId="58E20419" w14:textId="77777777" w:rsidR="00AE5F9E" w:rsidRPr="00A30D95" w:rsidRDefault="00AE5F9E" w:rsidP="00DD0FDE">
      <w:pPr>
        <w:pStyle w:val="Ttulo"/>
        <w:ind w:left="-142" w:right="-6"/>
        <w:rPr>
          <w:rFonts w:eastAsia="MS Mincho"/>
          <w:b w:val="0"/>
          <w:noProof w:val="0"/>
          <w:lang w:val="en-US"/>
        </w:rPr>
      </w:pPr>
    </w:p>
    <w:p w14:paraId="48A74A03" w14:textId="446E26F1" w:rsidR="00DC44DA" w:rsidRPr="009F337B" w:rsidRDefault="00AE5F9E" w:rsidP="00DD0FDE">
      <w:pPr>
        <w:pStyle w:val="Ttulo"/>
        <w:ind w:left="-142" w:right="-6"/>
        <w:rPr>
          <w:rFonts w:eastAsia="MS Mincho"/>
          <w:noProof w:val="0"/>
          <w:lang w:val="en-US"/>
        </w:rPr>
      </w:pPr>
      <w:r w:rsidRPr="009F337B">
        <w:rPr>
          <w:rFonts w:eastAsia="MS Mincho"/>
          <w:noProof w:val="0"/>
          <w:lang w:val="en-US"/>
        </w:rPr>
        <w:t>INTER-AMERICAN COURT OF HUMAN RIGHTS</w:t>
      </w:r>
    </w:p>
    <w:p w14:paraId="54CF2D5B" w14:textId="77777777" w:rsidR="00DC44DA" w:rsidRPr="009F337B" w:rsidRDefault="00DC44DA" w:rsidP="00DD0FDE">
      <w:pPr>
        <w:pStyle w:val="Ttulo"/>
        <w:ind w:left="-142" w:right="-6"/>
        <w:rPr>
          <w:rFonts w:eastAsia="MS Mincho"/>
          <w:b w:val="0"/>
          <w:noProof w:val="0"/>
          <w:lang w:val="en-US"/>
        </w:rPr>
      </w:pPr>
    </w:p>
    <w:p w14:paraId="2B0BD4DA" w14:textId="1A09B05A" w:rsidR="00DC44DA" w:rsidRPr="009F337B" w:rsidRDefault="00DC44DA" w:rsidP="00DD0FDE">
      <w:pPr>
        <w:ind w:right="-6"/>
        <w:jc w:val="center"/>
        <w:rPr>
          <w:rFonts w:cs="Verdana Bold"/>
          <w:b/>
          <w:bCs/>
          <w:i/>
          <w:caps/>
          <w:szCs w:val="20"/>
          <w:lang w:val="en-US"/>
        </w:rPr>
      </w:pPr>
      <w:r w:rsidRPr="009F337B">
        <w:rPr>
          <w:rFonts w:cs="Verdana Bold"/>
          <w:b/>
          <w:bCs/>
          <w:i/>
          <w:caps/>
          <w:szCs w:val="20"/>
          <w:lang w:val="en-US"/>
        </w:rPr>
        <w:t>Cas</w:t>
      </w:r>
      <w:r w:rsidR="00AE5F9E" w:rsidRPr="009F337B">
        <w:rPr>
          <w:rFonts w:cs="Verdana Bold"/>
          <w:b/>
          <w:bCs/>
          <w:i/>
          <w:caps/>
          <w:szCs w:val="20"/>
          <w:lang w:val="en-US"/>
        </w:rPr>
        <w:t>E OF</w:t>
      </w:r>
      <w:r w:rsidRPr="009F337B">
        <w:rPr>
          <w:rFonts w:cs="Verdana Bold"/>
          <w:b/>
          <w:bCs/>
          <w:i/>
          <w:caps/>
          <w:szCs w:val="20"/>
          <w:lang w:val="en-US"/>
        </w:rPr>
        <w:t xml:space="preserve"> CUSCUL PIVARAL </w:t>
      </w:r>
      <w:r w:rsidR="00AE5F9E" w:rsidRPr="009F337B">
        <w:rPr>
          <w:rFonts w:cs="Verdana Bold"/>
          <w:b/>
          <w:bCs/>
          <w:i/>
          <w:caps/>
          <w:szCs w:val="20"/>
          <w:lang w:val="en-US"/>
        </w:rPr>
        <w:t>ET AL.</w:t>
      </w:r>
      <w:r w:rsidRPr="009F337B">
        <w:rPr>
          <w:rFonts w:cs="Verdana Bold"/>
          <w:b/>
          <w:bCs/>
          <w:i/>
          <w:caps/>
          <w:szCs w:val="20"/>
          <w:lang w:val="en-US"/>
        </w:rPr>
        <w:t xml:space="preserve"> V. GUATEMALA</w:t>
      </w:r>
    </w:p>
    <w:p w14:paraId="6CD34BEC" w14:textId="77777777" w:rsidR="00DD0FDE" w:rsidRPr="009F337B" w:rsidRDefault="00DD0FDE" w:rsidP="00DD0FDE">
      <w:pPr>
        <w:ind w:right="-6"/>
        <w:jc w:val="center"/>
        <w:rPr>
          <w:rFonts w:cs="Verdana Bold"/>
          <w:bCs/>
          <w:caps/>
          <w:szCs w:val="20"/>
          <w:lang w:val="en-US"/>
        </w:rPr>
      </w:pPr>
    </w:p>
    <w:p w14:paraId="6BCA81FD" w14:textId="62886652" w:rsidR="00DC44DA" w:rsidRPr="009F337B" w:rsidRDefault="00AE5F9E" w:rsidP="00DD0FDE">
      <w:pPr>
        <w:pStyle w:val="Ttulo"/>
        <w:ind w:left="-142" w:right="-6"/>
        <w:rPr>
          <w:rFonts w:eastAsia="MS Mincho"/>
          <w:noProof w:val="0"/>
          <w:lang w:val="en-US"/>
        </w:rPr>
      </w:pPr>
      <w:r w:rsidRPr="009F337B">
        <w:rPr>
          <w:rFonts w:eastAsia="MS Mincho"/>
          <w:noProof w:val="0"/>
          <w:lang w:val="en-US"/>
        </w:rPr>
        <w:t>JUDGMENT OF AUGUST</w:t>
      </w:r>
      <w:r w:rsidR="00DC44DA" w:rsidRPr="009F337B">
        <w:rPr>
          <w:rFonts w:eastAsia="MS Mincho"/>
          <w:noProof w:val="0"/>
          <w:lang w:val="en-US"/>
        </w:rPr>
        <w:t xml:space="preserve"> </w:t>
      </w:r>
      <w:r w:rsidR="00E50366" w:rsidRPr="009F337B">
        <w:rPr>
          <w:rFonts w:eastAsia="MS Mincho"/>
          <w:noProof w:val="0"/>
          <w:lang w:val="en-US"/>
        </w:rPr>
        <w:t>23</w:t>
      </w:r>
      <w:r w:rsidRPr="009F337B">
        <w:rPr>
          <w:rFonts w:eastAsia="MS Mincho"/>
          <w:noProof w:val="0"/>
          <w:lang w:val="en-US"/>
        </w:rPr>
        <w:t xml:space="preserve">, </w:t>
      </w:r>
      <w:r w:rsidR="00DC44DA" w:rsidRPr="009F337B">
        <w:rPr>
          <w:rFonts w:eastAsia="MS Mincho"/>
          <w:noProof w:val="0"/>
          <w:lang w:val="en-US"/>
        </w:rPr>
        <w:t>2018</w:t>
      </w:r>
    </w:p>
    <w:p w14:paraId="25CA4D0E" w14:textId="5CFACFD3" w:rsidR="00AE5F9E" w:rsidRPr="009F337B" w:rsidRDefault="00AE5F9E" w:rsidP="00DD0FDE">
      <w:pPr>
        <w:pStyle w:val="Ttulo"/>
        <w:ind w:left="-142" w:right="-6"/>
        <w:rPr>
          <w:rFonts w:eastAsia="MS Mincho"/>
          <w:noProof w:val="0"/>
          <w:lang w:val="en-US"/>
        </w:rPr>
      </w:pPr>
    </w:p>
    <w:p w14:paraId="1D03C545" w14:textId="4A3BC888" w:rsidR="00AE5F9E" w:rsidRPr="009F337B" w:rsidRDefault="00AE5F9E" w:rsidP="00DD0FDE">
      <w:pPr>
        <w:pStyle w:val="Ttulo"/>
        <w:ind w:left="-142" w:right="-6"/>
        <w:rPr>
          <w:rFonts w:eastAsia="MS Mincho"/>
          <w:noProof w:val="0"/>
          <w:lang w:val="en-US"/>
        </w:rPr>
      </w:pPr>
      <w:r w:rsidRPr="009F337B">
        <w:rPr>
          <w:rFonts w:eastAsia="MS Mincho"/>
          <w:noProof w:val="0"/>
          <w:lang w:val="en-US"/>
        </w:rPr>
        <w:t>(</w:t>
      </w:r>
      <w:r w:rsidRPr="009F337B">
        <w:rPr>
          <w:rFonts w:eastAsia="MS Mincho"/>
          <w:i/>
          <w:noProof w:val="0"/>
          <w:lang w:val="en-US"/>
        </w:rPr>
        <w:t>Preliminary objection, merits, reparations and costs</w:t>
      </w:r>
      <w:r w:rsidRPr="009F337B">
        <w:rPr>
          <w:rFonts w:eastAsia="MS Mincho"/>
          <w:noProof w:val="0"/>
          <w:lang w:val="en-US"/>
        </w:rPr>
        <w:t>)</w:t>
      </w:r>
    </w:p>
    <w:p w14:paraId="6B049240" w14:textId="77777777" w:rsidR="00DC44DA" w:rsidRPr="009F337B" w:rsidRDefault="00DC44DA" w:rsidP="00AE5F9E">
      <w:pPr>
        <w:ind w:right="-6"/>
        <w:rPr>
          <w:noProof w:val="0"/>
          <w:szCs w:val="20"/>
          <w:lang w:val="en-US"/>
        </w:rPr>
      </w:pPr>
    </w:p>
    <w:p w14:paraId="5665022C" w14:textId="77777777" w:rsidR="00DD0FDE" w:rsidRPr="009F337B" w:rsidRDefault="00DD0FDE" w:rsidP="00DD0FDE">
      <w:pPr>
        <w:ind w:left="-142" w:right="-6"/>
        <w:rPr>
          <w:noProof w:val="0"/>
          <w:szCs w:val="20"/>
          <w:lang w:val="en-US"/>
        </w:rPr>
      </w:pPr>
    </w:p>
    <w:p w14:paraId="43AC70D7" w14:textId="16C7DB4F" w:rsidR="00DD0FDE" w:rsidRPr="009F337B" w:rsidRDefault="00DD0FDE" w:rsidP="00DD0FDE">
      <w:pPr>
        <w:ind w:left="-142" w:right="-6"/>
        <w:rPr>
          <w:noProof w:val="0"/>
          <w:szCs w:val="20"/>
          <w:lang w:val="en-US"/>
        </w:rPr>
      </w:pPr>
    </w:p>
    <w:p w14:paraId="0C351FC6" w14:textId="77777777" w:rsidR="008E3036" w:rsidRPr="009F337B" w:rsidRDefault="008E3036" w:rsidP="00DD0FDE">
      <w:pPr>
        <w:ind w:left="-142" w:right="-6"/>
        <w:rPr>
          <w:noProof w:val="0"/>
          <w:szCs w:val="20"/>
          <w:lang w:val="en-US"/>
        </w:rPr>
      </w:pPr>
    </w:p>
    <w:p w14:paraId="51C2CBD8" w14:textId="06D74810" w:rsidR="00DD0FDE" w:rsidRPr="009F337B" w:rsidRDefault="00DD0FDE" w:rsidP="00DD0FDE">
      <w:pPr>
        <w:ind w:left="-142" w:right="-6"/>
        <w:rPr>
          <w:noProof w:val="0"/>
          <w:szCs w:val="20"/>
          <w:lang w:val="en-US"/>
        </w:rPr>
      </w:pPr>
    </w:p>
    <w:p w14:paraId="0BF44424" w14:textId="77777777" w:rsidR="0019044D" w:rsidRPr="009F337B" w:rsidRDefault="0019044D" w:rsidP="00DD0FDE">
      <w:pPr>
        <w:ind w:left="-142" w:right="-6"/>
        <w:rPr>
          <w:noProof w:val="0"/>
          <w:szCs w:val="20"/>
          <w:lang w:val="en-US"/>
        </w:rPr>
      </w:pPr>
    </w:p>
    <w:p w14:paraId="09C044F2" w14:textId="77777777" w:rsidR="00AE5F9E" w:rsidRPr="009F337B" w:rsidRDefault="00AE5F9E" w:rsidP="00DD0FDE">
      <w:pPr>
        <w:ind w:left="-142" w:right="-6"/>
        <w:rPr>
          <w:noProof w:val="0"/>
          <w:szCs w:val="20"/>
          <w:lang w:val="en-US"/>
        </w:rPr>
      </w:pPr>
    </w:p>
    <w:p w14:paraId="1CB403CA" w14:textId="10B8C8F1" w:rsidR="00DC44DA" w:rsidRPr="009F337B" w:rsidRDefault="00AE5F9E" w:rsidP="002E6F4A">
      <w:pPr>
        <w:tabs>
          <w:tab w:val="left" w:pos="5384"/>
        </w:tabs>
        <w:ind w:right="-6"/>
        <w:rPr>
          <w:i/>
          <w:noProof w:val="0"/>
          <w:szCs w:val="20"/>
          <w:lang w:val="en-US"/>
        </w:rPr>
      </w:pPr>
      <w:r w:rsidRPr="009F337B">
        <w:rPr>
          <w:noProof w:val="0"/>
          <w:szCs w:val="20"/>
          <w:lang w:val="en-US"/>
        </w:rPr>
        <w:t>In the</w:t>
      </w:r>
      <w:r w:rsidR="00DC44DA" w:rsidRPr="009F337B">
        <w:rPr>
          <w:noProof w:val="0"/>
          <w:szCs w:val="20"/>
          <w:lang w:val="en-US"/>
        </w:rPr>
        <w:t xml:space="preserve"> </w:t>
      </w:r>
      <w:r w:rsidR="00DD0FDE" w:rsidRPr="009F337B">
        <w:rPr>
          <w:i/>
          <w:noProof w:val="0"/>
          <w:szCs w:val="20"/>
          <w:lang w:val="en-US"/>
        </w:rPr>
        <w:t>Cas</w:t>
      </w:r>
      <w:r w:rsidRPr="009F337B">
        <w:rPr>
          <w:i/>
          <w:noProof w:val="0"/>
          <w:szCs w:val="20"/>
          <w:lang w:val="en-US"/>
        </w:rPr>
        <w:t>e of</w:t>
      </w:r>
      <w:r w:rsidR="00DD0FDE" w:rsidRPr="009F337B">
        <w:rPr>
          <w:i/>
          <w:noProof w:val="0"/>
          <w:szCs w:val="20"/>
          <w:lang w:val="en-US"/>
        </w:rPr>
        <w:t xml:space="preserve"> </w:t>
      </w:r>
      <w:proofErr w:type="spellStart"/>
      <w:r w:rsidR="00DD0FDE" w:rsidRPr="009F337B">
        <w:rPr>
          <w:i/>
          <w:noProof w:val="0"/>
          <w:szCs w:val="20"/>
          <w:lang w:val="en-US"/>
        </w:rPr>
        <w:t>Cuscul</w:t>
      </w:r>
      <w:proofErr w:type="spellEnd"/>
      <w:r w:rsidR="00DD0FDE" w:rsidRPr="009F337B">
        <w:rPr>
          <w:i/>
          <w:noProof w:val="0"/>
          <w:szCs w:val="20"/>
          <w:lang w:val="en-US"/>
        </w:rPr>
        <w:t xml:space="preserve"> </w:t>
      </w:r>
      <w:proofErr w:type="spellStart"/>
      <w:r w:rsidRPr="009F337B">
        <w:rPr>
          <w:i/>
          <w:noProof w:val="0"/>
          <w:szCs w:val="20"/>
          <w:lang w:val="en-US"/>
        </w:rPr>
        <w:t>Pivaral</w:t>
      </w:r>
      <w:proofErr w:type="spellEnd"/>
      <w:r w:rsidRPr="009F337B">
        <w:rPr>
          <w:i/>
          <w:noProof w:val="0"/>
          <w:szCs w:val="20"/>
          <w:lang w:val="en-US"/>
        </w:rPr>
        <w:t xml:space="preserve"> et al. v.</w:t>
      </w:r>
      <w:r w:rsidR="00DC44DA" w:rsidRPr="009F337B">
        <w:rPr>
          <w:i/>
          <w:noProof w:val="0"/>
          <w:szCs w:val="20"/>
          <w:lang w:val="en-US"/>
        </w:rPr>
        <w:t xml:space="preserve"> Guatemala</w:t>
      </w:r>
      <w:r w:rsidR="00DD0FDE" w:rsidRPr="009F337B">
        <w:rPr>
          <w:i/>
          <w:noProof w:val="0"/>
          <w:szCs w:val="20"/>
          <w:lang w:val="en-US"/>
        </w:rPr>
        <w:t>,</w:t>
      </w:r>
      <w:r w:rsidR="002E6F4A" w:rsidRPr="009F337B">
        <w:rPr>
          <w:i/>
          <w:noProof w:val="0"/>
          <w:szCs w:val="20"/>
          <w:lang w:val="en-US"/>
        </w:rPr>
        <w:tab/>
      </w:r>
    </w:p>
    <w:p w14:paraId="31352E49" w14:textId="77777777" w:rsidR="00DD0FDE" w:rsidRPr="009F337B" w:rsidRDefault="00DD0FDE" w:rsidP="00DD0FDE">
      <w:pPr>
        <w:ind w:right="-6"/>
        <w:rPr>
          <w:noProof w:val="0"/>
          <w:szCs w:val="20"/>
          <w:lang w:val="en-US"/>
        </w:rPr>
      </w:pPr>
    </w:p>
    <w:p w14:paraId="410225AA" w14:textId="0448EECD" w:rsidR="00DC44DA" w:rsidRPr="009F337B" w:rsidRDefault="00AE5F9E" w:rsidP="00DD0FDE">
      <w:pPr>
        <w:ind w:right="-6"/>
        <w:rPr>
          <w:noProof w:val="0"/>
          <w:lang w:val="en-US"/>
        </w:rPr>
      </w:pPr>
      <w:r w:rsidRPr="009F337B">
        <w:rPr>
          <w:noProof w:val="0"/>
          <w:lang w:val="en-US"/>
        </w:rPr>
        <w:t>the Inter-American Court of Human Rights</w:t>
      </w:r>
      <w:r w:rsidR="00DC44DA" w:rsidRPr="009F337B">
        <w:rPr>
          <w:noProof w:val="0"/>
          <w:lang w:val="en-US"/>
        </w:rPr>
        <w:t xml:space="preserve"> (</w:t>
      </w:r>
      <w:r w:rsidRPr="009F337B">
        <w:rPr>
          <w:noProof w:val="0"/>
          <w:lang w:val="en-US"/>
        </w:rPr>
        <w:t>hereinafter</w:t>
      </w:r>
      <w:r w:rsidR="00DC44DA" w:rsidRPr="009F337B">
        <w:rPr>
          <w:noProof w:val="0"/>
          <w:lang w:val="en-US"/>
        </w:rPr>
        <w:t xml:space="preserve"> “</w:t>
      </w:r>
      <w:r w:rsidRPr="009F337B">
        <w:rPr>
          <w:noProof w:val="0"/>
          <w:lang w:val="en-US"/>
        </w:rPr>
        <w:t>the Inter-American Court</w:t>
      </w:r>
      <w:r w:rsidR="00DD0FDE" w:rsidRPr="009F337B">
        <w:rPr>
          <w:noProof w:val="0"/>
          <w:lang w:val="en-US"/>
        </w:rPr>
        <w:t>”</w:t>
      </w:r>
      <w:r w:rsidRPr="009F337B">
        <w:rPr>
          <w:noProof w:val="0"/>
          <w:lang w:val="en-US"/>
        </w:rPr>
        <w:t xml:space="preserve"> or</w:t>
      </w:r>
      <w:r w:rsidR="00DD0FDE" w:rsidRPr="009F337B">
        <w:rPr>
          <w:noProof w:val="0"/>
          <w:lang w:val="en-US"/>
        </w:rPr>
        <w:t xml:space="preserve"> “</w:t>
      </w:r>
      <w:r w:rsidRPr="009F337B">
        <w:rPr>
          <w:noProof w:val="0"/>
          <w:lang w:val="en-US"/>
        </w:rPr>
        <w:t>the Court</w:t>
      </w:r>
      <w:r w:rsidR="00DD0FDE" w:rsidRPr="009F337B">
        <w:rPr>
          <w:noProof w:val="0"/>
          <w:lang w:val="en-US"/>
        </w:rPr>
        <w:t>”</w:t>
      </w:r>
      <w:r w:rsidRPr="009F337B">
        <w:rPr>
          <w:noProof w:val="0"/>
          <w:lang w:val="en-US"/>
        </w:rPr>
        <w:t>), composed of the following judges:</w:t>
      </w:r>
      <w:r w:rsidR="00A54DA3" w:rsidRPr="009F337B">
        <w:rPr>
          <w:rStyle w:val="Refdenotaalpie"/>
          <w:noProof w:val="0"/>
          <w:lang w:val="en-US"/>
        </w:rPr>
        <w:footnoteReference w:id="1"/>
      </w:r>
    </w:p>
    <w:p w14:paraId="5A3D2810" w14:textId="77777777" w:rsidR="00DD0FDE" w:rsidRPr="009F337B" w:rsidRDefault="00DD0FDE" w:rsidP="00DD0FDE">
      <w:pPr>
        <w:ind w:right="-6"/>
        <w:rPr>
          <w:noProof w:val="0"/>
          <w:lang w:val="en-US"/>
        </w:rPr>
      </w:pPr>
    </w:p>
    <w:p w14:paraId="0A6BB6F7" w14:textId="601FC30D" w:rsidR="00DC44DA" w:rsidRPr="00542AB5" w:rsidRDefault="00DC44DA" w:rsidP="00DD0FDE">
      <w:pPr>
        <w:pStyle w:val="citaindirecta"/>
        <w:ind w:right="-6"/>
        <w:rPr>
          <w:noProof w:val="0"/>
          <w:lang w:val="es-CR"/>
        </w:rPr>
      </w:pPr>
      <w:r w:rsidRPr="00542AB5">
        <w:rPr>
          <w:noProof w:val="0"/>
          <w:lang w:val="es-CR"/>
        </w:rPr>
        <w:t>Eduardo Ferrer Mac-</w:t>
      </w:r>
      <w:proofErr w:type="spellStart"/>
      <w:r w:rsidRPr="00542AB5">
        <w:rPr>
          <w:noProof w:val="0"/>
          <w:lang w:val="es-CR"/>
        </w:rPr>
        <w:t>Gregor</w:t>
      </w:r>
      <w:proofErr w:type="spellEnd"/>
      <w:r w:rsidRPr="00542AB5">
        <w:rPr>
          <w:noProof w:val="0"/>
          <w:lang w:val="es-CR"/>
        </w:rPr>
        <w:t xml:space="preserve"> </w:t>
      </w:r>
      <w:proofErr w:type="spellStart"/>
      <w:r w:rsidRPr="00542AB5">
        <w:rPr>
          <w:noProof w:val="0"/>
          <w:lang w:val="es-CR"/>
        </w:rPr>
        <w:t>Poisot</w:t>
      </w:r>
      <w:proofErr w:type="spellEnd"/>
      <w:r w:rsidRPr="00542AB5">
        <w:rPr>
          <w:noProof w:val="0"/>
          <w:lang w:val="es-CR"/>
        </w:rPr>
        <w:t xml:space="preserve">, </w:t>
      </w:r>
      <w:proofErr w:type="spellStart"/>
      <w:r w:rsidR="00AE5F9E" w:rsidRPr="00542AB5">
        <w:rPr>
          <w:noProof w:val="0"/>
          <w:lang w:val="es-CR"/>
        </w:rPr>
        <w:t>President</w:t>
      </w:r>
      <w:proofErr w:type="spellEnd"/>
    </w:p>
    <w:p w14:paraId="59AE95E7" w14:textId="3D8ABB64" w:rsidR="00846209" w:rsidRPr="00542AB5" w:rsidRDefault="00846209" w:rsidP="00DD0FDE">
      <w:pPr>
        <w:pStyle w:val="citaindirecta"/>
        <w:ind w:right="-6"/>
        <w:rPr>
          <w:noProof w:val="0"/>
          <w:lang w:val="es-CR"/>
        </w:rPr>
      </w:pPr>
      <w:r w:rsidRPr="00542AB5">
        <w:rPr>
          <w:noProof w:val="0"/>
          <w:lang w:val="es-CR"/>
        </w:rPr>
        <w:t xml:space="preserve">Humberto Antonio Sierra Porto, </w:t>
      </w:r>
      <w:proofErr w:type="spellStart"/>
      <w:r w:rsidR="00AE5F9E" w:rsidRPr="00542AB5">
        <w:rPr>
          <w:noProof w:val="0"/>
          <w:lang w:val="es-CR"/>
        </w:rPr>
        <w:t>Judge</w:t>
      </w:r>
      <w:proofErr w:type="spellEnd"/>
    </w:p>
    <w:p w14:paraId="19B995B0" w14:textId="59E316DC" w:rsidR="00DC44DA" w:rsidRPr="00542AB5" w:rsidRDefault="00DC44DA" w:rsidP="00DD0FDE">
      <w:pPr>
        <w:pStyle w:val="citaindirecta"/>
        <w:ind w:right="-6"/>
        <w:rPr>
          <w:noProof w:val="0"/>
          <w:lang w:val="es-CR"/>
        </w:rPr>
      </w:pPr>
      <w:r w:rsidRPr="00542AB5">
        <w:rPr>
          <w:noProof w:val="0"/>
          <w:lang w:val="es-CR"/>
        </w:rPr>
        <w:t xml:space="preserve">Elizabeth Odio Benito, </w:t>
      </w:r>
      <w:proofErr w:type="spellStart"/>
      <w:r w:rsidR="00AE5F9E" w:rsidRPr="00542AB5">
        <w:rPr>
          <w:noProof w:val="0"/>
          <w:lang w:val="es-CR"/>
        </w:rPr>
        <w:t>Judge</w:t>
      </w:r>
      <w:proofErr w:type="spellEnd"/>
    </w:p>
    <w:p w14:paraId="7FB04172" w14:textId="269CE945" w:rsidR="00DC44DA" w:rsidRPr="00542AB5" w:rsidRDefault="00DC44DA" w:rsidP="00DD0FDE">
      <w:pPr>
        <w:pStyle w:val="citaindirecta"/>
        <w:ind w:right="-6"/>
        <w:rPr>
          <w:noProof w:val="0"/>
          <w:lang w:val="es-CR"/>
        </w:rPr>
      </w:pPr>
      <w:r w:rsidRPr="00542AB5">
        <w:rPr>
          <w:noProof w:val="0"/>
          <w:lang w:val="es-CR"/>
        </w:rPr>
        <w:t>Eugenio Raúl Zaffaroni,</w:t>
      </w:r>
      <w:r w:rsidR="00846209" w:rsidRPr="00542AB5">
        <w:rPr>
          <w:noProof w:val="0"/>
          <w:lang w:val="es-CR"/>
        </w:rPr>
        <w:t xml:space="preserve"> </w:t>
      </w:r>
      <w:proofErr w:type="spellStart"/>
      <w:r w:rsidR="00AE5F9E" w:rsidRPr="00542AB5">
        <w:rPr>
          <w:noProof w:val="0"/>
          <w:lang w:val="es-CR"/>
        </w:rPr>
        <w:t>Judge</w:t>
      </w:r>
      <w:proofErr w:type="spellEnd"/>
      <w:r w:rsidR="00846209" w:rsidRPr="00542AB5">
        <w:rPr>
          <w:noProof w:val="0"/>
          <w:lang w:val="es-CR"/>
        </w:rPr>
        <w:t xml:space="preserve">, </w:t>
      </w:r>
      <w:r w:rsidR="00AE5F9E" w:rsidRPr="00542AB5">
        <w:rPr>
          <w:noProof w:val="0"/>
          <w:lang w:val="es-CR"/>
        </w:rPr>
        <w:t>and</w:t>
      </w:r>
    </w:p>
    <w:p w14:paraId="27CBC1AE" w14:textId="49FB1456" w:rsidR="00DC44DA" w:rsidRPr="00542AB5" w:rsidRDefault="00DC44DA" w:rsidP="00DD0FDE">
      <w:pPr>
        <w:pStyle w:val="citaindirecta"/>
        <w:ind w:right="-6"/>
        <w:rPr>
          <w:noProof w:val="0"/>
          <w:lang w:val="es-CR"/>
        </w:rPr>
      </w:pPr>
      <w:r w:rsidRPr="00542AB5">
        <w:rPr>
          <w:noProof w:val="0"/>
          <w:lang w:val="es-CR"/>
        </w:rPr>
        <w:t xml:space="preserve">Patricio Pazmiño Freire, </w:t>
      </w:r>
      <w:proofErr w:type="spellStart"/>
      <w:r w:rsidR="00AE5F9E" w:rsidRPr="00542AB5">
        <w:rPr>
          <w:noProof w:val="0"/>
          <w:lang w:val="es-CR"/>
        </w:rPr>
        <w:t>Judge</w:t>
      </w:r>
      <w:proofErr w:type="spellEnd"/>
    </w:p>
    <w:p w14:paraId="1D7FC764" w14:textId="77777777" w:rsidR="00DD0FDE" w:rsidRPr="00542AB5" w:rsidRDefault="00DD0FDE" w:rsidP="00DD0FDE">
      <w:pPr>
        <w:pStyle w:val="citaindirecta"/>
        <w:ind w:right="-6"/>
        <w:rPr>
          <w:noProof w:val="0"/>
          <w:lang w:val="es-CR"/>
        </w:rPr>
      </w:pPr>
    </w:p>
    <w:p w14:paraId="4ED1EF13" w14:textId="6A6FCEA4" w:rsidR="00DC44DA" w:rsidRPr="00542AB5" w:rsidRDefault="00AE5F9E" w:rsidP="00DD0FDE">
      <w:pPr>
        <w:ind w:right="-6"/>
        <w:rPr>
          <w:noProof w:val="0"/>
          <w:lang w:val="es-CR"/>
        </w:rPr>
      </w:pPr>
      <w:proofErr w:type="spellStart"/>
      <w:r w:rsidRPr="00542AB5">
        <w:rPr>
          <w:noProof w:val="0"/>
          <w:lang w:val="es-CR"/>
        </w:rPr>
        <w:t>also</w:t>
      </w:r>
      <w:proofErr w:type="spellEnd"/>
      <w:r w:rsidRPr="00542AB5">
        <w:rPr>
          <w:noProof w:val="0"/>
          <w:lang w:val="es-CR"/>
        </w:rPr>
        <w:t xml:space="preserve"> </w:t>
      </w:r>
      <w:proofErr w:type="spellStart"/>
      <w:r w:rsidRPr="00542AB5">
        <w:rPr>
          <w:noProof w:val="0"/>
          <w:lang w:val="es-CR"/>
        </w:rPr>
        <w:t>present</w:t>
      </w:r>
      <w:proofErr w:type="spellEnd"/>
      <w:r w:rsidR="00DC44DA" w:rsidRPr="00542AB5">
        <w:rPr>
          <w:noProof w:val="0"/>
          <w:lang w:val="es-CR"/>
        </w:rPr>
        <w:t>,</w:t>
      </w:r>
    </w:p>
    <w:p w14:paraId="27EA6D43" w14:textId="77777777" w:rsidR="00DD0FDE" w:rsidRPr="00542AB5" w:rsidRDefault="00DD0FDE" w:rsidP="00DD0FDE">
      <w:pPr>
        <w:ind w:right="-6"/>
        <w:rPr>
          <w:noProof w:val="0"/>
          <w:lang w:val="es-CR"/>
        </w:rPr>
      </w:pPr>
    </w:p>
    <w:p w14:paraId="66CD94F3" w14:textId="5861BD4B" w:rsidR="00DC44DA" w:rsidRPr="00542AB5" w:rsidRDefault="00DC44DA" w:rsidP="00DD0FDE">
      <w:pPr>
        <w:ind w:right="-6" w:firstLine="708"/>
        <w:rPr>
          <w:noProof w:val="0"/>
          <w:lang w:val="es-CR"/>
        </w:rPr>
      </w:pPr>
      <w:r w:rsidRPr="00542AB5">
        <w:rPr>
          <w:noProof w:val="0"/>
          <w:lang w:val="es-CR"/>
        </w:rPr>
        <w:t xml:space="preserve">Pablo Saavedra Alessandri, </w:t>
      </w:r>
      <w:proofErr w:type="spellStart"/>
      <w:r w:rsidR="00AE5F9E" w:rsidRPr="00542AB5">
        <w:rPr>
          <w:noProof w:val="0"/>
          <w:lang w:val="es-CR"/>
        </w:rPr>
        <w:t>Secretary</w:t>
      </w:r>
      <w:proofErr w:type="spellEnd"/>
      <w:r w:rsidRPr="00542AB5">
        <w:rPr>
          <w:noProof w:val="0"/>
          <w:lang w:val="es-CR"/>
        </w:rPr>
        <w:t xml:space="preserve">, </w:t>
      </w:r>
      <w:r w:rsidR="00AE5F9E" w:rsidRPr="00542AB5">
        <w:rPr>
          <w:noProof w:val="0"/>
          <w:lang w:val="es-CR"/>
        </w:rPr>
        <w:t>and</w:t>
      </w:r>
    </w:p>
    <w:p w14:paraId="77D82170" w14:textId="19DC5874" w:rsidR="00DC44DA" w:rsidRPr="00542AB5" w:rsidRDefault="00DC44DA" w:rsidP="00DD0FDE">
      <w:pPr>
        <w:ind w:left="708" w:right="-6"/>
        <w:rPr>
          <w:noProof w:val="0"/>
          <w:lang w:val="es-CR"/>
        </w:rPr>
      </w:pPr>
      <w:r w:rsidRPr="00542AB5">
        <w:rPr>
          <w:noProof w:val="0"/>
          <w:lang w:val="es-CR"/>
        </w:rPr>
        <w:t xml:space="preserve">Emilia Segares Rodríguez, </w:t>
      </w:r>
      <w:proofErr w:type="spellStart"/>
      <w:r w:rsidR="00AE5F9E" w:rsidRPr="00542AB5">
        <w:rPr>
          <w:noProof w:val="0"/>
          <w:lang w:val="es-CR"/>
        </w:rPr>
        <w:t>Deputy</w:t>
      </w:r>
      <w:proofErr w:type="spellEnd"/>
      <w:r w:rsidR="00AE5F9E" w:rsidRPr="00542AB5">
        <w:rPr>
          <w:noProof w:val="0"/>
          <w:lang w:val="es-CR"/>
        </w:rPr>
        <w:t xml:space="preserve"> </w:t>
      </w:r>
      <w:proofErr w:type="spellStart"/>
      <w:r w:rsidR="00AE5F9E" w:rsidRPr="00542AB5">
        <w:rPr>
          <w:noProof w:val="0"/>
          <w:lang w:val="es-CR"/>
        </w:rPr>
        <w:t>Secretary</w:t>
      </w:r>
      <w:proofErr w:type="spellEnd"/>
      <w:r w:rsidR="00AE5F9E" w:rsidRPr="00542AB5">
        <w:rPr>
          <w:noProof w:val="0"/>
          <w:lang w:val="es-CR"/>
        </w:rPr>
        <w:t xml:space="preserve">, </w:t>
      </w:r>
    </w:p>
    <w:p w14:paraId="4C59C8BA" w14:textId="77777777" w:rsidR="00DD0FDE" w:rsidRPr="00542AB5" w:rsidRDefault="00DD0FDE" w:rsidP="00DD0FDE">
      <w:pPr>
        <w:ind w:left="708" w:right="-6"/>
        <w:rPr>
          <w:noProof w:val="0"/>
          <w:lang w:val="es-CR"/>
        </w:rPr>
      </w:pPr>
    </w:p>
    <w:p w14:paraId="3987CCDC" w14:textId="7C5D364A" w:rsidR="00DC44DA" w:rsidRPr="009F337B" w:rsidRDefault="00AE5F9E" w:rsidP="00DD0FDE">
      <w:pPr>
        <w:ind w:right="-6"/>
        <w:rPr>
          <w:noProof w:val="0"/>
          <w:lang w:val="en-US"/>
        </w:rPr>
      </w:pPr>
      <w:r w:rsidRPr="009F337B">
        <w:rPr>
          <w:noProof w:val="0"/>
          <w:lang w:val="en-US"/>
        </w:rPr>
        <w:t>pursuant to</w:t>
      </w:r>
      <w:r w:rsidR="00DC44DA" w:rsidRPr="009F337B">
        <w:rPr>
          <w:noProof w:val="0"/>
          <w:lang w:val="en-US"/>
        </w:rPr>
        <w:t xml:space="preserve"> </w:t>
      </w:r>
      <w:r w:rsidRPr="009F337B">
        <w:rPr>
          <w:noProof w:val="0"/>
          <w:lang w:val="en-US"/>
        </w:rPr>
        <w:t>Articles</w:t>
      </w:r>
      <w:r w:rsidR="00DC44DA" w:rsidRPr="009F337B">
        <w:rPr>
          <w:noProof w:val="0"/>
          <w:lang w:val="en-US"/>
        </w:rPr>
        <w:t xml:space="preserve"> </w:t>
      </w:r>
      <w:r w:rsidRPr="009F337B">
        <w:rPr>
          <w:noProof w:val="0"/>
          <w:lang w:val="en-US"/>
        </w:rPr>
        <w:t>62(3)</w:t>
      </w:r>
      <w:r w:rsidR="00DC44DA" w:rsidRPr="009F337B">
        <w:rPr>
          <w:noProof w:val="0"/>
          <w:lang w:val="en-US"/>
        </w:rPr>
        <w:t xml:space="preserve"> </w:t>
      </w:r>
      <w:r w:rsidRPr="009F337B">
        <w:rPr>
          <w:noProof w:val="0"/>
          <w:lang w:val="en-US"/>
        </w:rPr>
        <w:t>and</w:t>
      </w:r>
      <w:r w:rsidR="00DC44DA" w:rsidRPr="009F337B">
        <w:rPr>
          <w:noProof w:val="0"/>
          <w:lang w:val="en-US"/>
        </w:rPr>
        <w:t xml:space="preserve"> </w:t>
      </w:r>
      <w:r w:rsidRPr="009F337B">
        <w:rPr>
          <w:noProof w:val="0"/>
          <w:lang w:val="en-US"/>
        </w:rPr>
        <w:t>63(1) of the American Convention on Human Rights</w:t>
      </w:r>
      <w:r w:rsidR="00DC44DA" w:rsidRPr="009F337B">
        <w:rPr>
          <w:noProof w:val="0"/>
          <w:lang w:val="en-US"/>
        </w:rPr>
        <w:t xml:space="preserve"> (</w:t>
      </w:r>
      <w:r w:rsidRPr="009F337B">
        <w:rPr>
          <w:noProof w:val="0"/>
          <w:lang w:val="en-US"/>
        </w:rPr>
        <w:t>hereinafter</w:t>
      </w:r>
      <w:r w:rsidR="00DC44DA" w:rsidRPr="009F337B">
        <w:rPr>
          <w:noProof w:val="0"/>
          <w:lang w:val="en-US"/>
        </w:rPr>
        <w:t>, “</w:t>
      </w:r>
      <w:r w:rsidRPr="009F337B">
        <w:rPr>
          <w:noProof w:val="0"/>
          <w:lang w:val="en-US"/>
        </w:rPr>
        <w:t>the American Convention</w:t>
      </w:r>
      <w:r w:rsidR="00DC44DA" w:rsidRPr="009F337B">
        <w:rPr>
          <w:noProof w:val="0"/>
          <w:lang w:val="en-US"/>
        </w:rPr>
        <w:t>” o</w:t>
      </w:r>
      <w:r w:rsidRPr="009F337B">
        <w:rPr>
          <w:noProof w:val="0"/>
          <w:lang w:val="en-US"/>
        </w:rPr>
        <w:t>r</w:t>
      </w:r>
      <w:r w:rsidR="00DC44DA" w:rsidRPr="009F337B">
        <w:rPr>
          <w:noProof w:val="0"/>
          <w:lang w:val="en-US"/>
        </w:rPr>
        <w:t xml:space="preserve"> “</w:t>
      </w:r>
      <w:r w:rsidRPr="009F337B">
        <w:rPr>
          <w:noProof w:val="0"/>
          <w:lang w:val="en-US"/>
        </w:rPr>
        <w:t>the Convention</w:t>
      </w:r>
      <w:r w:rsidR="00DC44DA" w:rsidRPr="009F337B">
        <w:rPr>
          <w:noProof w:val="0"/>
          <w:lang w:val="en-US"/>
        </w:rPr>
        <w:t xml:space="preserve">”) </w:t>
      </w:r>
      <w:r w:rsidRPr="009F337B">
        <w:rPr>
          <w:noProof w:val="0"/>
          <w:lang w:val="en-US"/>
        </w:rPr>
        <w:t>and</w:t>
      </w:r>
      <w:r w:rsidR="00DC44DA" w:rsidRPr="009F337B">
        <w:rPr>
          <w:noProof w:val="0"/>
          <w:lang w:val="en-US"/>
        </w:rPr>
        <w:t xml:space="preserve"> </w:t>
      </w:r>
      <w:r w:rsidRPr="009F337B">
        <w:rPr>
          <w:noProof w:val="0"/>
          <w:lang w:val="en-US"/>
        </w:rPr>
        <w:t>Articles</w:t>
      </w:r>
      <w:r w:rsidR="00DC44DA" w:rsidRPr="009F337B">
        <w:rPr>
          <w:noProof w:val="0"/>
          <w:lang w:val="en-US"/>
        </w:rPr>
        <w:t xml:space="preserve"> 31, 32, 65 </w:t>
      </w:r>
      <w:r w:rsidRPr="009F337B">
        <w:rPr>
          <w:noProof w:val="0"/>
          <w:lang w:val="en-US"/>
        </w:rPr>
        <w:t>and</w:t>
      </w:r>
      <w:r w:rsidR="00DC44DA" w:rsidRPr="009F337B">
        <w:rPr>
          <w:noProof w:val="0"/>
          <w:lang w:val="en-US"/>
        </w:rPr>
        <w:t xml:space="preserve"> 67 </w:t>
      </w:r>
      <w:r w:rsidRPr="009F337B">
        <w:rPr>
          <w:noProof w:val="0"/>
          <w:lang w:val="en-US"/>
        </w:rPr>
        <w:t>of the Rules of Procedure of the Court</w:t>
      </w:r>
      <w:r w:rsidR="00DC44DA" w:rsidRPr="009F337B">
        <w:rPr>
          <w:noProof w:val="0"/>
          <w:lang w:val="en-US"/>
        </w:rPr>
        <w:t xml:space="preserve"> (</w:t>
      </w:r>
      <w:r w:rsidRPr="009F337B">
        <w:rPr>
          <w:noProof w:val="0"/>
          <w:lang w:val="en-US"/>
        </w:rPr>
        <w:t>hereinafter</w:t>
      </w:r>
      <w:r w:rsidR="00DC44DA" w:rsidRPr="009F337B">
        <w:rPr>
          <w:noProof w:val="0"/>
          <w:lang w:val="en-US"/>
        </w:rPr>
        <w:t xml:space="preserve"> </w:t>
      </w:r>
      <w:r w:rsidRPr="009F337B">
        <w:rPr>
          <w:noProof w:val="0"/>
          <w:lang w:val="en-US"/>
        </w:rPr>
        <w:t>also</w:t>
      </w:r>
      <w:r w:rsidR="00DC44DA" w:rsidRPr="009F337B">
        <w:rPr>
          <w:noProof w:val="0"/>
          <w:lang w:val="en-US"/>
        </w:rPr>
        <w:t xml:space="preserve"> “</w:t>
      </w:r>
      <w:r w:rsidRPr="009F337B">
        <w:rPr>
          <w:noProof w:val="0"/>
          <w:lang w:val="en-US"/>
        </w:rPr>
        <w:t>the Rules of Procedure</w:t>
      </w:r>
      <w:r w:rsidR="00DC44DA" w:rsidRPr="009F337B">
        <w:rPr>
          <w:noProof w:val="0"/>
          <w:lang w:val="en-US"/>
        </w:rPr>
        <w:t>”</w:t>
      </w:r>
      <w:r w:rsidR="002A2832" w:rsidRPr="009F337B">
        <w:rPr>
          <w:noProof w:val="0"/>
          <w:lang w:val="en-US"/>
        </w:rPr>
        <w:t xml:space="preserve"> o</w:t>
      </w:r>
      <w:r w:rsidRPr="009F337B">
        <w:rPr>
          <w:noProof w:val="0"/>
          <w:lang w:val="en-US"/>
        </w:rPr>
        <w:t>r</w:t>
      </w:r>
      <w:r w:rsidR="002A2832" w:rsidRPr="009F337B">
        <w:rPr>
          <w:noProof w:val="0"/>
          <w:lang w:val="en-US"/>
        </w:rPr>
        <w:t xml:space="preserve"> “</w:t>
      </w:r>
      <w:r w:rsidRPr="009F337B">
        <w:rPr>
          <w:noProof w:val="0"/>
          <w:lang w:val="en-US"/>
        </w:rPr>
        <w:t>the Court’s Rules of Procedure</w:t>
      </w:r>
      <w:r w:rsidR="002A2832" w:rsidRPr="009F337B">
        <w:rPr>
          <w:noProof w:val="0"/>
          <w:lang w:val="en-US"/>
        </w:rPr>
        <w:t>”</w:t>
      </w:r>
      <w:r w:rsidR="00DC44DA" w:rsidRPr="009F337B">
        <w:rPr>
          <w:noProof w:val="0"/>
          <w:lang w:val="en-US"/>
        </w:rPr>
        <w:t>), d</w:t>
      </w:r>
      <w:r w:rsidRPr="009F337B">
        <w:rPr>
          <w:noProof w:val="0"/>
          <w:lang w:val="en-US"/>
        </w:rPr>
        <w:t>elivers this judgment, structured as follow</w:t>
      </w:r>
      <w:r w:rsidR="008E3036" w:rsidRPr="009F337B">
        <w:rPr>
          <w:noProof w:val="0"/>
          <w:lang w:val="en-US"/>
        </w:rPr>
        <w:t>s:</w:t>
      </w:r>
    </w:p>
    <w:p w14:paraId="29CAE179" w14:textId="77777777" w:rsidR="00DC44DA" w:rsidRPr="009F337B" w:rsidRDefault="00DC44DA" w:rsidP="00684CB3">
      <w:pPr>
        <w:spacing w:before="240"/>
        <w:ind w:right="-4"/>
        <w:rPr>
          <w:noProof w:val="0"/>
          <w:lang w:val="en-US"/>
        </w:rPr>
      </w:pPr>
      <w:r w:rsidRPr="009F337B">
        <w:rPr>
          <w:noProof w:val="0"/>
          <w:lang w:val="en-US"/>
        </w:rPr>
        <w:br w:type="page"/>
      </w:r>
    </w:p>
    <w:sdt>
      <w:sdtPr>
        <w:rPr>
          <w:rFonts w:ascii="Verdana" w:eastAsiaTheme="majorEastAsia" w:hAnsi="Verdana" w:cs="Times New Roman"/>
          <w:b w:val="0"/>
          <w:bCs/>
          <w:caps w:val="0"/>
          <w:noProof w:val="0"/>
          <w:color w:val="365F91" w:themeColor="accent1" w:themeShade="BF"/>
          <w:sz w:val="20"/>
          <w:szCs w:val="20"/>
          <w:lang w:val="en-US" w:eastAsia="ja-JP"/>
        </w:rPr>
        <w:id w:val="1448508299"/>
        <w:docPartObj>
          <w:docPartGallery w:val="Table of Contents"/>
          <w:docPartUnique/>
        </w:docPartObj>
      </w:sdtPr>
      <w:sdtEndPr>
        <w:rPr>
          <w:rFonts w:cstheme="majorBidi"/>
          <w:b/>
        </w:rPr>
      </w:sdtEndPr>
      <w:sdtContent>
        <w:p w14:paraId="304371AE" w14:textId="59480A4D" w:rsidR="00B4689D" w:rsidRPr="009F337B" w:rsidRDefault="006F26F0" w:rsidP="00B4689D">
          <w:pPr>
            <w:pStyle w:val="TDC1"/>
            <w:rPr>
              <w:rFonts w:ascii="Verdana" w:eastAsiaTheme="minorEastAsia" w:hAnsi="Verdana" w:cstheme="minorBidi"/>
              <w:b w:val="0"/>
              <w:caps w:val="0"/>
              <w:szCs w:val="18"/>
              <w:lang w:val="en-US" w:eastAsia="es-CR"/>
            </w:rPr>
          </w:pPr>
          <w:r w:rsidRPr="009F337B">
            <w:rPr>
              <w:rFonts w:ascii="Verdana" w:hAnsi="Verdana" w:cs="Times New Roman"/>
              <w:sz w:val="20"/>
              <w:szCs w:val="20"/>
              <w:lang w:val="en-US"/>
            </w:rPr>
            <w:fldChar w:fldCharType="begin"/>
          </w:r>
          <w:r w:rsidRPr="009F337B">
            <w:rPr>
              <w:rFonts w:ascii="Verdana" w:hAnsi="Verdana" w:cs="Times New Roman"/>
              <w:sz w:val="20"/>
              <w:szCs w:val="20"/>
              <w:lang w:val="en-US"/>
            </w:rPr>
            <w:instrText xml:space="preserve"> TOC \o "1-3" \h \z \u </w:instrText>
          </w:r>
          <w:r w:rsidRPr="009F337B">
            <w:rPr>
              <w:rFonts w:ascii="Verdana" w:hAnsi="Verdana" w:cs="Times New Roman"/>
              <w:sz w:val="20"/>
              <w:szCs w:val="20"/>
              <w:lang w:val="en-US"/>
            </w:rPr>
            <w:fldChar w:fldCharType="separate"/>
          </w:r>
          <w:hyperlink w:anchor="_Toc527466462" w:history="1">
            <w:r w:rsidR="00CB701D" w:rsidRPr="009F337B">
              <w:rPr>
                <w:rStyle w:val="Hipervnculo"/>
                <w:rFonts w:ascii="Verdana" w:hAnsi="Verdana"/>
                <w:szCs w:val="18"/>
                <w:lang w:val="en-US"/>
              </w:rPr>
              <w:t>I.</w:t>
            </w:r>
            <w:r w:rsidR="00B4689D" w:rsidRPr="009F337B">
              <w:rPr>
                <w:rStyle w:val="Hipervnculo"/>
                <w:rFonts w:ascii="Verdana" w:hAnsi="Verdana"/>
                <w:szCs w:val="18"/>
                <w:lang w:val="en-US"/>
              </w:rPr>
              <w:t xml:space="preserve"> </w:t>
            </w:r>
            <w:r w:rsidR="008E3036" w:rsidRPr="009F337B">
              <w:rPr>
                <w:rStyle w:val="Hipervnculo"/>
                <w:rFonts w:ascii="Verdana" w:hAnsi="Verdana"/>
                <w:szCs w:val="18"/>
                <w:lang w:val="en-US"/>
              </w:rPr>
              <w:t>INTRODUCTION OF THE CASE AND PURPOSE OF THE DISPUTE</w:t>
            </w:r>
            <w:r w:rsidR="00B4689D" w:rsidRPr="009F337B">
              <w:rPr>
                <w:rFonts w:ascii="Verdana" w:hAnsi="Verdana"/>
                <w:webHidden/>
                <w:szCs w:val="18"/>
                <w:lang w:val="en-US"/>
              </w:rPr>
              <w:tab/>
            </w:r>
            <w:r w:rsidR="00B4689D" w:rsidRPr="009F337B">
              <w:rPr>
                <w:rFonts w:ascii="Verdana" w:hAnsi="Verdana"/>
                <w:webHidden/>
                <w:szCs w:val="18"/>
                <w:lang w:val="en-US"/>
              </w:rPr>
              <w:fldChar w:fldCharType="begin"/>
            </w:r>
            <w:r w:rsidR="00B4689D" w:rsidRPr="009F337B">
              <w:rPr>
                <w:rFonts w:ascii="Verdana" w:hAnsi="Verdana"/>
                <w:webHidden/>
                <w:szCs w:val="18"/>
                <w:lang w:val="en-US"/>
              </w:rPr>
              <w:instrText xml:space="preserve"> PAGEREF _Toc527466462 \h </w:instrText>
            </w:r>
            <w:r w:rsidR="00B4689D" w:rsidRPr="009F337B">
              <w:rPr>
                <w:rFonts w:ascii="Verdana" w:hAnsi="Verdana"/>
                <w:webHidden/>
                <w:szCs w:val="18"/>
                <w:lang w:val="en-US"/>
              </w:rPr>
            </w:r>
            <w:r w:rsidR="00B4689D" w:rsidRPr="009F337B">
              <w:rPr>
                <w:rFonts w:ascii="Verdana" w:hAnsi="Verdana"/>
                <w:webHidden/>
                <w:szCs w:val="18"/>
                <w:lang w:val="en-US"/>
              </w:rPr>
              <w:fldChar w:fldCharType="separate"/>
            </w:r>
            <w:r w:rsidR="0072758B">
              <w:rPr>
                <w:rFonts w:ascii="Verdana" w:hAnsi="Verdana"/>
                <w:webHidden/>
                <w:szCs w:val="18"/>
                <w:lang w:val="en-US"/>
              </w:rPr>
              <w:t>3</w:t>
            </w:r>
            <w:r w:rsidR="00B4689D" w:rsidRPr="009F337B">
              <w:rPr>
                <w:rFonts w:ascii="Verdana" w:hAnsi="Verdana"/>
                <w:webHidden/>
                <w:szCs w:val="18"/>
                <w:lang w:val="en-US"/>
              </w:rPr>
              <w:fldChar w:fldCharType="end"/>
            </w:r>
          </w:hyperlink>
        </w:p>
        <w:p w14:paraId="266CF87A" w14:textId="7A38A158" w:rsidR="00B4689D" w:rsidRPr="009F337B" w:rsidRDefault="0072758B" w:rsidP="00B4689D">
          <w:pPr>
            <w:pStyle w:val="TDC1"/>
            <w:rPr>
              <w:rFonts w:ascii="Verdana" w:eastAsiaTheme="minorEastAsia" w:hAnsi="Verdana" w:cstheme="minorBidi"/>
              <w:b w:val="0"/>
              <w:caps w:val="0"/>
              <w:szCs w:val="18"/>
              <w:lang w:val="en-US" w:eastAsia="es-CR"/>
            </w:rPr>
          </w:pPr>
          <w:hyperlink w:anchor="_Toc527466463" w:history="1">
            <w:r w:rsidR="00CB701D" w:rsidRPr="009F337B">
              <w:rPr>
                <w:rStyle w:val="Hipervnculo"/>
                <w:rFonts w:ascii="Verdana" w:hAnsi="Verdana"/>
                <w:szCs w:val="18"/>
                <w:lang w:val="en-US"/>
              </w:rPr>
              <w:t>II.</w:t>
            </w:r>
            <w:r w:rsidR="00B4689D" w:rsidRPr="009F337B">
              <w:rPr>
                <w:rStyle w:val="Hipervnculo"/>
                <w:rFonts w:ascii="Verdana" w:hAnsi="Verdana"/>
                <w:szCs w:val="18"/>
                <w:lang w:val="en-US"/>
              </w:rPr>
              <w:t xml:space="preserve"> </w:t>
            </w:r>
            <w:r w:rsidR="000656ED" w:rsidRPr="009F337B">
              <w:rPr>
                <w:rStyle w:val="Hipervnculo"/>
                <w:rFonts w:ascii="Verdana" w:hAnsi="Verdana"/>
                <w:szCs w:val="18"/>
                <w:lang w:val="en-US"/>
              </w:rPr>
              <w:t>PROCEEDINGS BEFORE THE COURT</w:t>
            </w:r>
            <w:r w:rsidR="00B4689D" w:rsidRPr="009F337B">
              <w:rPr>
                <w:rFonts w:ascii="Verdana" w:hAnsi="Verdana"/>
                <w:webHidden/>
                <w:szCs w:val="18"/>
                <w:lang w:val="en-US"/>
              </w:rPr>
              <w:tab/>
            </w:r>
            <w:r w:rsidR="001363A3">
              <w:rPr>
                <w:rFonts w:ascii="Verdana" w:hAnsi="Verdana"/>
                <w:webHidden/>
                <w:szCs w:val="18"/>
                <w:lang w:val="en-US"/>
              </w:rPr>
              <w:t>4</w:t>
            </w:r>
          </w:hyperlink>
        </w:p>
        <w:p w14:paraId="3D85391C" w14:textId="3AE7C449" w:rsidR="00B4689D" w:rsidRPr="009F337B" w:rsidRDefault="0072758B" w:rsidP="00B4689D">
          <w:pPr>
            <w:pStyle w:val="TDC1"/>
            <w:rPr>
              <w:rFonts w:ascii="Verdana" w:eastAsiaTheme="minorEastAsia" w:hAnsi="Verdana" w:cstheme="minorBidi"/>
              <w:b w:val="0"/>
              <w:caps w:val="0"/>
              <w:szCs w:val="18"/>
              <w:lang w:val="en-US" w:eastAsia="es-CR"/>
            </w:rPr>
          </w:pPr>
          <w:hyperlink w:anchor="_Toc527466464" w:history="1">
            <w:r w:rsidR="00CB701D" w:rsidRPr="009F337B">
              <w:rPr>
                <w:rStyle w:val="Hipervnculo"/>
                <w:rFonts w:ascii="Verdana" w:hAnsi="Verdana"/>
                <w:szCs w:val="18"/>
                <w:lang w:val="en-US"/>
              </w:rPr>
              <w:t>III.</w:t>
            </w:r>
            <w:r w:rsidR="00B4689D" w:rsidRPr="009F337B">
              <w:rPr>
                <w:rStyle w:val="Hipervnculo"/>
                <w:rFonts w:ascii="Verdana" w:hAnsi="Verdana"/>
                <w:szCs w:val="18"/>
                <w:lang w:val="en-US"/>
              </w:rPr>
              <w:t xml:space="preserve"> </w:t>
            </w:r>
            <w:r w:rsidR="00A00EE5" w:rsidRPr="009F337B">
              <w:rPr>
                <w:rStyle w:val="Hipervnculo"/>
                <w:rFonts w:ascii="Verdana" w:hAnsi="Verdana"/>
                <w:szCs w:val="18"/>
                <w:lang w:val="en-US"/>
              </w:rPr>
              <w:t>JURISDICTION</w:t>
            </w:r>
            <w:r w:rsidR="00B4689D" w:rsidRPr="009F337B">
              <w:rPr>
                <w:rFonts w:ascii="Verdana" w:hAnsi="Verdana"/>
                <w:webHidden/>
                <w:szCs w:val="18"/>
                <w:lang w:val="en-US"/>
              </w:rPr>
              <w:tab/>
            </w:r>
            <w:r w:rsidR="001363A3">
              <w:rPr>
                <w:rFonts w:ascii="Verdana" w:hAnsi="Verdana"/>
                <w:webHidden/>
                <w:szCs w:val="18"/>
                <w:lang w:val="en-US"/>
              </w:rPr>
              <w:t>6</w:t>
            </w:r>
          </w:hyperlink>
        </w:p>
        <w:p w14:paraId="3AECCA61" w14:textId="37540AB6" w:rsidR="00B4689D" w:rsidRPr="009F337B" w:rsidRDefault="0072758B" w:rsidP="00B4689D">
          <w:pPr>
            <w:pStyle w:val="TDC1"/>
            <w:rPr>
              <w:rFonts w:ascii="Verdana" w:eastAsiaTheme="minorEastAsia" w:hAnsi="Verdana" w:cstheme="minorBidi"/>
              <w:b w:val="0"/>
              <w:caps w:val="0"/>
              <w:szCs w:val="18"/>
              <w:lang w:val="en-US" w:eastAsia="es-CR"/>
            </w:rPr>
          </w:pPr>
          <w:hyperlink w:anchor="_Toc527466465" w:history="1">
            <w:r w:rsidR="00B4689D" w:rsidRPr="009F337B">
              <w:rPr>
                <w:rStyle w:val="Hipervnculo"/>
                <w:rFonts w:ascii="Verdana" w:hAnsi="Verdana"/>
                <w:szCs w:val="18"/>
                <w:lang w:val="en-US"/>
              </w:rPr>
              <w:t xml:space="preserve">IV. </w:t>
            </w:r>
            <w:r w:rsidR="007A7F3A" w:rsidRPr="009F337B">
              <w:rPr>
                <w:rStyle w:val="Hipervnculo"/>
                <w:rFonts w:ascii="Verdana" w:hAnsi="Verdana"/>
                <w:szCs w:val="18"/>
                <w:lang w:val="en-US"/>
              </w:rPr>
              <w:t>PRELIMINARY OBJECTION</w:t>
            </w:r>
            <w:r w:rsidR="00B4689D" w:rsidRPr="009F337B">
              <w:rPr>
                <w:rFonts w:ascii="Verdana" w:hAnsi="Verdana"/>
                <w:webHidden/>
                <w:szCs w:val="18"/>
                <w:lang w:val="en-US"/>
              </w:rPr>
              <w:tab/>
            </w:r>
            <w:r w:rsidR="00B4689D" w:rsidRPr="009F337B">
              <w:rPr>
                <w:rFonts w:ascii="Verdana" w:hAnsi="Verdana"/>
                <w:webHidden/>
                <w:szCs w:val="18"/>
                <w:lang w:val="en-US"/>
              </w:rPr>
              <w:fldChar w:fldCharType="begin"/>
            </w:r>
            <w:r w:rsidR="00B4689D" w:rsidRPr="009F337B">
              <w:rPr>
                <w:rFonts w:ascii="Verdana" w:hAnsi="Verdana"/>
                <w:webHidden/>
                <w:szCs w:val="18"/>
                <w:lang w:val="en-US"/>
              </w:rPr>
              <w:instrText xml:space="preserve"> PAGEREF _Toc527466465 \h </w:instrText>
            </w:r>
            <w:r w:rsidR="00B4689D" w:rsidRPr="009F337B">
              <w:rPr>
                <w:rFonts w:ascii="Verdana" w:hAnsi="Verdana"/>
                <w:webHidden/>
                <w:szCs w:val="18"/>
                <w:lang w:val="en-US"/>
              </w:rPr>
            </w:r>
            <w:r w:rsidR="00B4689D" w:rsidRPr="009F337B">
              <w:rPr>
                <w:rFonts w:ascii="Verdana" w:hAnsi="Verdana"/>
                <w:webHidden/>
                <w:szCs w:val="18"/>
                <w:lang w:val="en-US"/>
              </w:rPr>
              <w:fldChar w:fldCharType="separate"/>
            </w:r>
            <w:r>
              <w:rPr>
                <w:rFonts w:ascii="Verdana" w:hAnsi="Verdana"/>
                <w:webHidden/>
                <w:szCs w:val="18"/>
                <w:lang w:val="en-US"/>
              </w:rPr>
              <w:t>7</w:t>
            </w:r>
            <w:r w:rsidR="00B4689D" w:rsidRPr="009F337B">
              <w:rPr>
                <w:rFonts w:ascii="Verdana" w:hAnsi="Verdana"/>
                <w:webHidden/>
                <w:szCs w:val="18"/>
                <w:lang w:val="en-US"/>
              </w:rPr>
              <w:fldChar w:fldCharType="end"/>
            </w:r>
          </w:hyperlink>
        </w:p>
        <w:p w14:paraId="291CB199" w14:textId="0C66CB24" w:rsidR="00B4689D" w:rsidRPr="009F337B" w:rsidRDefault="0072758B" w:rsidP="00B4689D">
          <w:pPr>
            <w:pStyle w:val="TDC2"/>
            <w:tabs>
              <w:tab w:val="left" w:pos="660"/>
              <w:tab w:val="right" w:leader="dot" w:pos="9350"/>
            </w:tabs>
            <w:spacing w:after="0" w:line="240" w:lineRule="auto"/>
            <w:rPr>
              <w:rFonts w:ascii="Verdana" w:hAnsi="Verdana"/>
              <w:noProof/>
              <w:sz w:val="18"/>
              <w:szCs w:val="18"/>
              <w:lang w:eastAsia="es-CR"/>
            </w:rPr>
          </w:pPr>
          <w:hyperlink w:anchor="_Toc527466466" w:history="1">
            <w:r w:rsidR="00B4689D" w:rsidRPr="009F337B">
              <w:rPr>
                <w:rStyle w:val="Hipervnculo"/>
                <w:rFonts w:ascii="Verdana" w:hAnsi="Verdana"/>
                <w:noProof/>
                <w:sz w:val="18"/>
                <w:szCs w:val="18"/>
              </w:rPr>
              <w:t>A.</w:t>
            </w:r>
            <w:r w:rsidR="00B4689D" w:rsidRPr="009F337B">
              <w:rPr>
                <w:rFonts w:ascii="Verdana" w:hAnsi="Verdana"/>
                <w:noProof/>
                <w:sz w:val="18"/>
                <w:szCs w:val="18"/>
                <w:lang w:eastAsia="es-CR"/>
              </w:rPr>
              <w:tab/>
            </w:r>
            <w:r w:rsidR="00A00EE5" w:rsidRPr="009F337B">
              <w:rPr>
                <w:rStyle w:val="Hipervnculo"/>
                <w:rFonts w:ascii="Verdana" w:hAnsi="Verdana"/>
                <w:noProof/>
                <w:sz w:val="18"/>
                <w:szCs w:val="18"/>
              </w:rPr>
              <w:t>Objection based on failure to exhaust domestic remedies</w:t>
            </w:r>
            <w:r w:rsidR="00B4689D" w:rsidRPr="009F337B">
              <w:rPr>
                <w:rFonts w:ascii="Verdana" w:hAnsi="Verdana"/>
                <w:noProof/>
                <w:webHidden/>
                <w:sz w:val="18"/>
                <w:szCs w:val="18"/>
              </w:rPr>
              <w:tab/>
            </w:r>
            <w:r w:rsidR="00903904">
              <w:rPr>
                <w:rFonts w:ascii="Verdana" w:hAnsi="Verdana"/>
                <w:noProof/>
                <w:webHidden/>
                <w:sz w:val="18"/>
                <w:szCs w:val="18"/>
              </w:rPr>
              <w:t>7</w:t>
            </w:r>
          </w:hyperlink>
          <w:r w:rsidR="00903904" w:rsidRPr="009F337B">
            <w:rPr>
              <w:rFonts w:ascii="Verdana" w:hAnsi="Verdana"/>
              <w:noProof/>
              <w:sz w:val="18"/>
              <w:szCs w:val="18"/>
              <w:lang w:eastAsia="es-CR"/>
            </w:rPr>
            <w:t xml:space="preserve"> </w:t>
          </w:r>
        </w:p>
        <w:p w14:paraId="4CD60390" w14:textId="5BA654C0" w:rsidR="00B4689D" w:rsidRPr="009F337B" w:rsidRDefault="0072758B" w:rsidP="00B4689D">
          <w:pPr>
            <w:pStyle w:val="TDC3"/>
            <w:tabs>
              <w:tab w:val="left" w:pos="1100"/>
              <w:tab w:val="right" w:leader="dot" w:pos="9350"/>
            </w:tabs>
            <w:spacing w:after="0" w:line="240" w:lineRule="auto"/>
            <w:rPr>
              <w:rFonts w:ascii="Verdana" w:eastAsiaTheme="minorEastAsia" w:hAnsi="Verdana"/>
              <w:noProof/>
              <w:sz w:val="18"/>
              <w:szCs w:val="18"/>
              <w:lang w:val="en-US" w:eastAsia="es-CR"/>
            </w:rPr>
          </w:pPr>
          <w:hyperlink w:anchor="_Toc527466467" w:history="1">
            <w:r w:rsidR="00B4689D" w:rsidRPr="009F337B">
              <w:rPr>
                <w:rStyle w:val="Hipervnculo"/>
                <w:rFonts w:ascii="Verdana" w:hAnsi="Verdana"/>
                <w:noProof/>
                <w:sz w:val="18"/>
                <w:szCs w:val="18"/>
                <w:lang w:val="en-US"/>
              </w:rPr>
              <w:t xml:space="preserve">A.1. </w:t>
            </w:r>
            <w:r w:rsidR="00B4689D" w:rsidRPr="009F337B">
              <w:rPr>
                <w:rFonts w:ascii="Verdana" w:eastAsiaTheme="minorEastAsia" w:hAnsi="Verdana"/>
                <w:noProof/>
                <w:sz w:val="18"/>
                <w:szCs w:val="18"/>
                <w:lang w:val="en-US" w:eastAsia="es-CR"/>
              </w:rPr>
              <w:tab/>
            </w:r>
            <w:r w:rsidR="00A00EE5" w:rsidRPr="009F337B">
              <w:rPr>
                <w:rStyle w:val="Hipervnculo"/>
                <w:rFonts w:ascii="Verdana" w:hAnsi="Verdana"/>
                <w:noProof/>
                <w:sz w:val="18"/>
                <w:szCs w:val="18"/>
                <w:lang w:val="en-US"/>
              </w:rPr>
              <w:t>Arguments of the parties and observations</w:t>
            </w:r>
            <w:r w:rsidR="00AE5F9E" w:rsidRPr="009F337B">
              <w:rPr>
                <w:rStyle w:val="Hipervnculo"/>
                <w:rFonts w:ascii="Verdana" w:hAnsi="Verdana"/>
                <w:noProof/>
                <w:sz w:val="18"/>
                <w:szCs w:val="18"/>
                <w:lang w:val="en-US"/>
              </w:rPr>
              <w:t xml:space="preserve"> of the Commission</w:t>
            </w:r>
            <w:r w:rsidR="00B4689D" w:rsidRPr="009F337B">
              <w:rPr>
                <w:rFonts w:ascii="Verdana" w:hAnsi="Verdana"/>
                <w:noProof/>
                <w:webHidden/>
                <w:sz w:val="18"/>
                <w:szCs w:val="18"/>
                <w:lang w:val="en-US"/>
              </w:rPr>
              <w:tab/>
            </w:r>
            <w:r w:rsidR="00B4689D" w:rsidRPr="009F337B">
              <w:rPr>
                <w:rFonts w:ascii="Verdana" w:hAnsi="Verdana"/>
                <w:noProof/>
                <w:webHidden/>
                <w:sz w:val="18"/>
                <w:szCs w:val="18"/>
                <w:lang w:val="en-US"/>
              </w:rPr>
              <w:fldChar w:fldCharType="begin"/>
            </w:r>
            <w:r w:rsidR="00B4689D" w:rsidRPr="009F337B">
              <w:rPr>
                <w:rFonts w:ascii="Verdana" w:hAnsi="Verdana"/>
                <w:noProof/>
                <w:webHidden/>
                <w:sz w:val="18"/>
                <w:szCs w:val="18"/>
                <w:lang w:val="en-US"/>
              </w:rPr>
              <w:instrText xml:space="preserve"> PAGEREF _Toc527466467 \h </w:instrText>
            </w:r>
            <w:r w:rsidR="00B4689D" w:rsidRPr="009F337B">
              <w:rPr>
                <w:rFonts w:ascii="Verdana" w:hAnsi="Verdana"/>
                <w:noProof/>
                <w:webHidden/>
                <w:sz w:val="18"/>
                <w:szCs w:val="18"/>
                <w:lang w:val="en-US"/>
              </w:rPr>
            </w:r>
            <w:r w:rsidR="00B4689D" w:rsidRPr="009F337B">
              <w:rPr>
                <w:rFonts w:ascii="Verdana" w:hAnsi="Verdana"/>
                <w:noProof/>
                <w:webHidden/>
                <w:sz w:val="18"/>
                <w:szCs w:val="18"/>
                <w:lang w:val="en-US"/>
              </w:rPr>
              <w:fldChar w:fldCharType="separate"/>
            </w:r>
            <w:r>
              <w:rPr>
                <w:rFonts w:ascii="Verdana" w:hAnsi="Verdana"/>
                <w:noProof/>
                <w:webHidden/>
                <w:sz w:val="18"/>
                <w:szCs w:val="18"/>
                <w:lang w:val="en-US"/>
              </w:rPr>
              <w:t>7</w:t>
            </w:r>
            <w:r w:rsidR="00B4689D" w:rsidRPr="009F337B">
              <w:rPr>
                <w:rFonts w:ascii="Verdana" w:hAnsi="Verdana"/>
                <w:noProof/>
                <w:webHidden/>
                <w:sz w:val="18"/>
                <w:szCs w:val="18"/>
                <w:lang w:val="en-US"/>
              </w:rPr>
              <w:fldChar w:fldCharType="end"/>
            </w:r>
          </w:hyperlink>
        </w:p>
        <w:p w14:paraId="49538201" w14:textId="0F4BA4EC" w:rsidR="00B4689D" w:rsidRPr="009F337B" w:rsidRDefault="0072758B" w:rsidP="00B4689D">
          <w:pPr>
            <w:pStyle w:val="TDC3"/>
            <w:tabs>
              <w:tab w:val="left" w:pos="1100"/>
              <w:tab w:val="right" w:leader="dot" w:pos="9350"/>
            </w:tabs>
            <w:spacing w:after="0" w:line="240" w:lineRule="auto"/>
            <w:rPr>
              <w:rFonts w:ascii="Verdana" w:eastAsiaTheme="minorEastAsia" w:hAnsi="Verdana"/>
              <w:noProof/>
              <w:sz w:val="18"/>
              <w:szCs w:val="18"/>
              <w:lang w:val="en-US" w:eastAsia="es-CR"/>
            </w:rPr>
          </w:pPr>
          <w:hyperlink w:anchor="_Toc527466468" w:history="1">
            <w:r w:rsidR="00B4689D" w:rsidRPr="009F337B">
              <w:rPr>
                <w:rStyle w:val="Hipervnculo"/>
                <w:rFonts w:ascii="Verdana" w:hAnsi="Verdana"/>
                <w:noProof/>
                <w:sz w:val="18"/>
                <w:szCs w:val="18"/>
                <w:lang w:val="en-US"/>
              </w:rPr>
              <w:t xml:space="preserve">A.2. </w:t>
            </w:r>
            <w:r w:rsidR="00B4689D" w:rsidRPr="009F337B">
              <w:rPr>
                <w:rFonts w:ascii="Verdana" w:eastAsiaTheme="minorEastAsia" w:hAnsi="Verdana"/>
                <w:noProof/>
                <w:sz w:val="18"/>
                <w:szCs w:val="18"/>
                <w:lang w:val="en-US" w:eastAsia="es-CR"/>
              </w:rPr>
              <w:tab/>
            </w:r>
            <w:r w:rsidR="00473F70" w:rsidRPr="009F337B">
              <w:rPr>
                <w:rStyle w:val="Hipervnculo"/>
                <w:rFonts w:ascii="Verdana" w:hAnsi="Verdana"/>
                <w:noProof/>
                <w:sz w:val="18"/>
                <w:szCs w:val="18"/>
                <w:lang w:val="en-US"/>
              </w:rPr>
              <w:t>Considerations</w:t>
            </w:r>
            <w:r w:rsidR="00AE5F9E" w:rsidRPr="009F337B">
              <w:rPr>
                <w:rStyle w:val="Hipervnculo"/>
                <w:rFonts w:ascii="Verdana" w:hAnsi="Verdana"/>
                <w:noProof/>
                <w:sz w:val="18"/>
                <w:szCs w:val="18"/>
                <w:lang w:val="en-US"/>
              </w:rPr>
              <w:t xml:space="preserve"> of the Court</w:t>
            </w:r>
            <w:r w:rsidR="00B4689D" w:rsidRPr="009F337B">
              <w:rPr>
                <w:rFonts w:ascii="Verdana" w:hAnsi="Verdana"/>
                <w:noProof/>
                <w:webHidden/>
                <w:sz w:val="18"/>
                <w:szCs w:val="18"/>
                <w:lang w:val="en-US"/>
              </w:rPr>
              <w:tab/>
            </w:r>
            <w:r w:rsidR="001363A3">
              <w:rPr>
                <w:rFonts w:ascii="Verdana" w:hAnsi="Verdana"/>
                <w:noProof/>
                <w:webHidden/>
                <w:sz w:val="18"/>
                <w:szCs w:val="18"/>
                <w:lang w:val="en-US"/>
              </w:rPr>
              <w:t>7</w:t>
            </w:r>
          </w:hyperlink>
        </w:p>
        <w:p w14:paraId="23AF4046" w14:textId="53104B3B" w:rsidR="00B4689D" w:rsidRPr="009F337B" w:rsidRDefault="0072758B" w:rsidP="00B4689D">
          <w:pPr>
            <w:pStyle w:val="TDC1"/>
            <w:rPr>
              <w:rFonts w:ascii="Verdana" w:eastAsiaTheme="minorEastAsia" w:hAnsi="Verdana" w:cstheme="minorBidi"/>
              <w:b w:val="0"/>
              <w:caps w:val="0"/>
              <w:szCs w:val="18"/>
              <w:lang w:val="en-US" w:eastAsia="es-CR"/>
            </w:rPr>
          </w:pPr>
          <w:hyperlink w:anchor="_Toc527466469" w:history="1">
            <w:r w:rsidR="00B4689D" w:rsidRPr="009F337B">
              <w:rPr>
                <w:rStyle w:val="Hipervnculo"/>
                <w:rFonts w:ascii="Verdana" w:hAnsi="Verdana"/>
                <w:szCs w:val="18"/>
                <w:lang w:val="en-US"/>
              </w:rPr>
              <w:t xml:space="preserve">V. </w:t>
            </w:r>
            <w:r w:rsidR="00F86990" w:rsidRPr="009F337B">
              <w:rPr>
                <w:rStyle w:val="Hipervnculo"/>
                <w:rFonts w:ascii="Verdana" w:hAnsi="Verdana"/>
                <w:szCs w:val="18"/>
                <w:lang w:val="en-US"/>
              </w:rPr>
              <w:t>PRIOR CONSIDERATION</w:t>
            </w:r>
            <w:r w:rsidR="00B4689D" w:rsidRPr="009F337B">
              <w:rPr>
                <w:rFonts w:ascii="Verdana" w:hAnsi="Verdana"/>
                <w:webHidden/>
                <w:szCs w:val="18"/>
                <w:lang w:val="en-US"/>
              </w:rPr>
              <w:tab/>
            </w:r>
            <w:r w:rsidR="001363A3">
              <w:rPr>
                <w:rFonts w:ascii="Verdana" w:hAnsi="Verdana"/>
                <w:webHidden/>
                <w:szCs w:val="18"/>
                <w:lang w:val="en-US"/>
              </w:rPr>
              <w:t>8</w:t>
            </w:r>
          </w:hyperlink>
        </w:p>
        <w:p w14:paraId="15418417" w14:textId="5EC19B17" w:rsidR="00B4689D" w:rsidRPr="009F337B" w:rsidRDefault="0072758B" w:rsidP="00B4689D">
          <w:pPr>
            <w:pStyle w:val="TDC2"/>
            <w:tabs>
              <w:tab w:val="left" w:pos="660"/>
              <w:tab w:val="right" w:leader="dot" w:pos="9350"/>
            </w:tabs>
            <w:spacing w:after="0" w:line="240" w:lineRule="auto"/>
            <w:rPr>
              <w:rFonts w:ascii="Verdana" w:hAnsi="Verdana"/>
              <w:noProof/>
              <w:sz w:val="18"/>
              <w:szCs w:val="18"/>
              <w:lang w:eastAsia="es-CR"/>
            </w:rPr>
          </w:pPr>
          <w:hyperlink w:anchor="_Toc527466470" w:history="1">
            <w:r w:rsidR="00B4689D" w:rsidRPr="009F337B">
              <w:rPr>
                <w:rStyle w:val="Hipervnculo"/>
                <w:rFonts w:ascii="Verdana" w:hAnsi="Verdana"/>
                <w:noProof/>
                <w:sz w:val="18"/>
                <w:szCs w:val="18"/>
              </w:rPr>
              <w:t>A.</w:t>
            </w:r>
            <w:r w:rsidR="00B4689D" w:rsidRPr="009F337B">
              <w:rPr>
                <w:rFonts w:ascii="Verdana" w:hAnsi="Verdana"/>
                <w:noProof/>
                <w:sz w:val="18"/>
                <w:szCs w:val="18"/>
                <w:lang w:eastAsia="es-CR"/>
              </w:rPr>
              <w:tab/>
            </w:r>
            <w:r w:rsidR="00F86990" w:rsidRPr="009F337B">
              <w:rPr>
                <w:rStyle w:val="Hipervnculo"/>
                <w:rFonts w:ascii="Verdana" w:hAnsi="Verdana"/>
                <w:noProof/>
                <w:sz w:val="18"/>
                <w:szCs w:val="18"/>
              </w:rPr>
              <w:t>Determination of the presumed victims in this case</w:t>
            </w:r>
            <w:r w:rsidR="00B4689D" w:rsidRPr="009F337B">
              <w:rPr>
                <w:rFonts w:ascii="Verdana" w:hAnsi="Verdana"/>
                <w:noProof/>
                <w:webHidden/>
                <w:sz w:val="18"/>
                <w:szCs w:val="18"/>
              </w:rPr>
              <w:tab/>
            </w:r>
            <w:r w:rsidR="001363A3">
              <w:rPr>
                <w:rFonts w:ascii="Verdana" w:hAnsi="Verdana"/>
                <w:noProof/>
                <w:webHidden/>
                <w:sz w:val="18"/>
                <w:szCs w:val="18"/>
              </w:rPr>
              <w:t>8</w:t>
            </w:r>
          </w:hyperlink>
        </w:p>
        <w:p w14:paraId="0D7524D9" w14:textId="59825340" w:rsidR="00B4689D" w:rsidRPr="009F337B" w:rsidRDefault="0072758B" w:rsidP="00B4689D">
          <w:pPr>
            <w:pStyle w:val="TDC3"/>
            <w:tabs>
              <w:tab w:val="left" w:pos="1100"/>
              <w:tab w:val="right" w:leader="dot" w:pos="9350"/>
            </w:tabs>
            <w:spacing w:after="0" w:line="240" w:lineRule="auto"/>
            <w:rPr>
              <w:rFonts w:ascii="Verdana" w:eastAsiaTheme="minorEastAsia" w:hAnsi="Verdana"/>
              <w:noProof/>
              <w:sz w:val="18"/>
              <w:szCs w:val="18"/>
              <w:lang w:val="en-US" w:eastAsia="es-CR"/>
            </w:rPr>
          </w:pPr>
          <w:hyperlink w:anchor="_Toc527466471" w:history="1">
            <w:r w:rsidR="00B4689D" w:rsidRPr="009F337B">
              <w:rPr>
                <w:rStyle w:val="Hipervnculo"/>
                <w:rFonts w:ascii="Verdana" w:hAnsi="Verdana"/>
                <w:noProof/>
                <w:sz w:val="18"/>
                <w:szCs w:val="18"/>
                <w:lang w:val="en-US"/>
              </w:rPr>
              <w:t xml:space="preserve">A.1. </w:t>
            </w:r>
            <w:r w:rsidR="00B4689D" w:rsidRPr="009F337B">
              <w:rPr>
                <w:rFonts w:ascii="Verdana" w:eastAsiaTheme="minorEastAsia" w:hAnsi="Verdana"/>
                <w:noProof/>
                <w:sz w:val="18"/>
                <w:szCs w:val="18"/>
                <w:lang w:val="en-US" w:eastAsia="es-CR"/>
              </w:rPr>
              <w:tab/>
            </w:r>
            <w:r w:rsidR="00A00EE5" w:rsidRPr="009F337B">
              <w:rPr>
                <w:rStyle w:val="Hipervnculo"/>
                <w:rFonts w:ascii="Verdana" w:hAnsi="Verdana"/>
                <w:noProof/>
                <w:sz w:val="18"/>
                <w:szCs w:val="18"/>
                <w:lang w:val="en-US"/>
              </w:rPr>
              <w:t>Arguments of the parties and observations</w:t>
            </w:r>
            <w:r w:rsidR="00AE5F9E" w:rsidRPr="009F337B">
              <w:rPr>
                <w:rStyle w:val="Hipervnculo"/>
                <w:rFonts w:ascii="Verdana" w:hAnsi="Verdana"/>
                <w:noProof/>
                <w:sz w:val="18"/>
                <w:szCs w:val="18"/>
                <w:lang w:val="en-US"/>
              </w:rPr>
              <w:t xml:space="preserve"> of the Commission</w:t>
            </w:r>
            <w:r w:rsidR="00B4689D" w:rsidRPr="009F337B">
              <w:rPr>
                <w:rFonts w:ascii="Verdana" w:hAnsi="Verdana"/>
                <w:noProof/>
                <w:webHidden/>
                <w:sz w:val="18"/>
                <w:szCs w:val="18"/>
                <w:lang w:val="en-US"/>
              </w:rPr>
              <w:tab/>
            </w:r>
            <w:r w:rsidR="001363A3">
              <w:rPr>
                <w:rFonts w:ascii="Verdana" w:hAnsi="Verdana"/>
                <w:noProof/>
                <w:webHidden/>
                <w:sz w:val="18"/>
                <w:szCs w:val="18"/>
                <w:lang w:val="en-US"/>
              </w:rPr>
              <w:t>8</w:t>
            </w:r>
          </w:hyperlink>
        </w:p>
        <w:p w14:paraId="62135F0A" w14:textId="14FC6395" w:rsidR="00B4689D" w:rsidRPr="009F337B" w:rsidRDefault="0072758B" w:rsidP="00B4689D">
          <w:pPr>
            <w:pStyle w:val="TDC3"/>
            <w:tabs>
              <w:tab w:val="left" w:pos="1100"/>
              <w:tab w:val="right" w:leader="dot" w:pos="9350"/>
            </w:tabs>
            <w:spacing w:after="0" w:line="240" w:lineRule="auto"/>
            <w:rPr>
              <w:rFonts w:ascii="Verdana" w:eastAsiaTheme="minorEastAsia" w:hAnsi="Verdana"/>
              <w:noProof/>
              <w:sz w:val="18"/>
              <w:szCs w:val="18"/>
              <w:lang w:val="en-US" w:eastAsia="es-CR"/>
            </w:rPr>
          </w:pPr>
          <w:hyperlink w:anchor="_Toc527466472" w:history="1">
            <w:r w:rsidR="00B4689D" w:rsidRPr="009F337B">
              <w:rPr>
                <w:rStyle w:val="Hipervnculo"/>
                <w:rFonts w:ascii="Verdana" w:hAnsi="Verdana"/>
                <w:noProof/>
                <w:sz w:val="18"/>
                <w:szCs w:val="18"/>
                <w:lang w:val="en-US"/>
              </w:rPr>
              <w:t xml:space="preserve">A.2. </w:t>
            </w:r>
            <w:r w:rsidR="00B4689D" w:rsidRPr="009F337B">
              <w:rPr>
                <w:rFonts w:ascii="Verdana" w:eastAsiaTheme="minorEastAsia" w:hAnsi="Verdana"/>
                <w:noProof/>
                <w:sz w:val="18"/>
                <w:szCs w:val="18"/>
                <w:lang w:val="en-US" w:eastAsia="es-CR"/>
              </w:rPr>
              <w:tab/>
            </w:r>
            <w:r w:rsidR="00473F70" w:rsidRPr="009F337B">
              <w:rPr>
                <w:rStyle w:val="Hipervnculo"/>
                <w:rFonts w:ascii="Verdana" w:hAnsi="Verdana"/>
                <w:noProof/>
                <w:sz w:val="18"/>
                <w:szCs w:val="18"/>
                <w:lang w:val="en-US"/>
              </w:rPr>
              <w:t>Considerations</w:t>
            </w:r>
            <w:r w:rsidR="00AE5F9E" w:rsidRPr="009F337B">
              <w:rPr>
                <w:rStyle w:val="Hipervnculo"/>
                <w:rFonts w:ascii="Verdana" w:hAnsi="Verdana"/>
                <w:noProof/>
                <w:sz w:val="18"/>
                <w:szCs w:val="18"/>
                <w:lang w:val="en-US"/>
              </w:rPr>
              <w:t xml:space="preserve"> of the Court</w:t>
            </w:r>
            <w:r w:rsidR="00B4689D" w:rsidRPr="009F337B">
              <w:rPr>
                <w:rFonts w:ascii="Verdana" w:hAnsi="Verdana"/>
                <w:noProof/>
                <w:webHidden/>
                <w:sz w:val="18"/>
                <w:szCs w:val="18"/>
                <w:lang w:val="en-US"/>
              </w:rPr>
              <w:tab/>
            </w:r>
            <w:r w:rsidR="00B4689D" w:rsidRPr="009F337B">
              <w:rPr>
                <w:rFonts w:ascii="Verdana" w:hAnsi="Verdana"/>
                <w:noProof/>
                <w:webHidden/>
                <w:sz w:val="18"/>
                <w:szCs w:val="18"/>
                <w:lang w:val="en-US"/>
              </w:rPr>
              <w:fldChar w:fldCharType="begin"/>
            </w:r>
            <w:r w:rsidR="00B4689D" w:rsidRPr="009F337B">
              <w:rPr>
                <w:rFonts w:ascii="Verdana" w:hAnsi="Verdana"/>
                <w:noProof/>
                <w:webHidden/>
                <w:sz w:val="18"/>
                <w:szCs w:val="18"/>
                <w:lang w:val="en-US"/>
              </w:rPr>
              <w:instrText xml:space="preserve"> PAGEREF _Toc527466472 \h </w:instrText>
            </w:r>
            <w:r w:rsidR="00B4689D" w:rsidRPr="009F337B">
              <w:rPr>
                <w:rFonts w:ascii="Verdana" w:hAnsi="Verdana"/>
                <w:noProof/>
                <w:webHidden/>
                <w:sz w:val="18"/>
                <w:szCs w:val="18"/>
                <w:lang w:val="en-US"/>
              </w:rPr>
            </w:r>
            <w:r w:rsidR="00B4689D" w:rsidRPr="009F337B">
              <w:rPr>
                <w:rFonts w:ascii="Verdana" w:hAnsi="Verdana"/>
                <w:noProof/>
                <w:webHidden/>
                <w:sz w:val="18"/>
                <w:szCs w:val="18"/>
                <w:lang w:val="en-US"/>
              </w:rPr>
              <w:fldChar w:fldCharType="separate"/>
            </w:r>
            <w:r>
              <w:rPr>
                <w:rFonts w:ascii="Verdana" w:hAnsi="Verdana"/>
                <w:noProof/>
                <w:webHidden/>
                <w:sz w:val="18"/>
                <w:szCs w:val="18"/>
                <w:lang w:val="en-US"/>
              </w:rPr>
              <w:t>9</w:t>
            </w:r>
            <w:r w:rsidR="00B4689D" w:rsidRPr="009F337B">
              <w:rPr>
                <w:rFonts w:ascii="Verdana" w:hAnsi="Verdana"/>
                <w:noProof/>
                <w:webHidden/>
                <w:sz w:val="18"/>
                <w:szCs w:val="18"/>
                <w:lang w:val="en-US"/>
              </w:rPr>
              <w:fldChar w:fldCharType="end"/>
            </w:r>
          </w:hyperlink>
        </w:p>
        <w:p w14:paraId="1C31E40B" w14:textId="566D4EE0" w:rsidR="00B4689D" w:rsidRPr="009F337B" w:rsidRDefault="0072758B" w:rsidP="00B4689D">
          <w:pPr>
            <w:pStyle w:val="TDC1"/>
            <w:rPr>
              <w:rFonts w:ascii="Verdana" w:eastAsiaTheme="minorEastAsia" w:hAnsi="Verdana" w:cstheme="minorBidi"/>
              <w:b w:val="0"/>
              <w:caps w:val="0"/>
              <w:szCs w:val="18"/>
              <w:lang w:val="en-US" w:eastAsia="es-CR"/>
            </w:rPr>
          </w:pPr>
          <w:hyperlink w:anchor="_Toc527466473" w:history="1">
            <w:r w:rsidR="005E3BE4" w:rsidRPr="009F337B">
              <w:rPr>
                <w:rStyle w:val="Hipervnculo"/>
                <w:rFonts w:ascii="Verdana" w:hAnsi="Verdana"/>
                <w:szCs w:val="18"/>
                <w:lang w:val="en-US"/>
              </w:rPr>
              <w:t>VI.</w:t>
            </w:r>
            <w:r w:rsidR="00B4689D" w:rsidRPr="009F337B">
              <w:rPr>
                <w:rStyle w:val="Hipervnculo"/>
                <w:rFonts w:ascii="Verdana" w:hAnsi="Verdana"/>
                <w:szCs w:val="18"/>
                <w:lang w:val="en-US"/>
              </w:rPr>
              <w:t xml:space="preserve"> </w:t>
            </w:r>
            <w:r w:rsidR="00292057" w:rsidRPr="009F337B">
              <w:rPr>
                <w:rStyle w:val="Hipervnculo"/>
                <w:rFonts w:ascii="Verdana" w:hAnsi="Verdana"/>
                <w:szCs w:val="18"/>
                <w:lang w:val="en-US"/>
              </w:rPr>
              <w:t>EVIDENCE</w:t>
            </w:r>
            <w:r w:rsidR="00B4689D" w:rsidRPr="009F337B">
              <w:rPr>
                <w:rFonts w:ascii="Verdana" w:hAnsi="Verdana"/>
                <w:webHidden/>
                <w:szCs w:val="18"/>
                <w:lang w:val="en-US"/>
              </w:rPr>
              <w:tab/>
            </w:r>
            <w:r w:rsidR="00B4689D" w:rsidRPr="009F337B">
              <w:rPr>
                <w:rFonts w:ascii="Verdana" w:hAnsi="Verdana"/>
                <w:webHidden/>
                <w:szCs w:val="18"/>
                <w:lang w:val="en-US"/>
              </w:rPr>
              <w:fldChar w:fldCharType="begin"/>
            </w:r>
            <w:r w:rsidR="00B4689D" w:rsidRPr="009F337B">
              <w:rPr>
                <w:rFonts w:ascii="Verdana" w:hAnsi="Verdana"/>
                <w:webHidden/>
                <w:szCs w:val="18"/>
                <w:lang w:val="en-US"/>
              </w:rPr>
              <w:instrText xml:space="preserve"> PAGEREF _Toc527466473 \h </w:instrText>
            </w:r>
            <w:r w:rsidR="00B4689D" w:rsidRPr="009F337B">
              <w:rPr>
                <w:rFonts w:ascii="Verdana" w:hAnsi="Verdana"/>
                <w:webHidden/>
                <w:szCs w:val="18"/>
                <w:lang w:val="en-US"/>
              </w:rPr>
            </w:r>
            <w:r w:rsidR="00B4689D" w:rsidRPr="009F337B">
              <w:rPr>
                <w:rFonts w:ascii="Verdana" w:hAnsi="Verdana"/>
                <w:webHidden/>
                <w:szCs w:val="18"/>
                <w:lang w:val="en-US"/>
              </w:rPr>
              <w:fldChar w:fldCharType="separate"/>
            </w:r>
            <w:r>
              <w:rPr>
                <w:rFonts w:ascii="Verdana" w:hAnsi="Verdana"/>
                <w:webHidden/>
                <w:szCs w:val="18"/>
                <w:lang w:val="en-US"/>
              </w:rPr>
              <w:t>10</w:t>
            </w:r>
            <w:r w:rsidR="00B4689D" w:rsidRPr="009F337B">
              <w:rPr>
                <w:rFonts w:ascii="Verdana" w:hAnsi="Verdana"/>
                <w:webHidden/>
                <w:szCs w:val="18"/>
                <w:lang w:val="en-US"/>
              </w:rPr>
              <w:fldChar w:fldCharType="end"/>
            </w:r>
          </w:hyperlink>
        </w:p>
        <w:p w14:paraId="41063291" w14:textId="62474688" w:rsidR="00B4689D" w:rsidRPr="009F337B" w:rsidRDefault="0072758B" w:rsidP="00B4689D">
          <w:pPr>
            <w:pStyle w:val="TDC2"/>
            <w:tabs>
              <w:tab w:val="left" w:pos="660"/>
              <w:tab w:val="right" w:leader="dot" w:pos="9350"/>
            </w:tabs>
            <w:spacing w:after="0" w:line="240" w:lineRule="auto"/>
            <w:rPr>
              <w:rFonts w:ascii="Verdana" w:hAnsi="Verdana"/>
              <w:noProof/>
              <w:sz w:val="18"/>
              <w:szCs w:val="18"/>
              <w:lang w:eastAsia="es-CR"/>
            </w:rPr>
          </w:pPr>
          <w:hyperlink w:anchor="_Toc527466474" w:history="1">
            <w:r w:rsidR="00B4689D" w:rsidRPr="009F337B">
              <w:rPr>
                <w:rStyle w:val="Hipervnculo"/>
                <w:rFonts w:ascii="Verdana" w:hAnsi="Verdana"/>
                <w:noProof/>
                <w:sz w:val="18"/>
                <w:szCs w:val="18"/>
              </w:rPr>
              <w:t>A.</w:t>
            </w:r>
            <w:r w:rsidR="00B4689D" w:rsidRPr="009F337B">
              <w:rPr>
                <w:rFonts w:ascii="Verdana" w:hAnsi="Verdana"/>
                <w:noProof/>
                <w:sz w:val="18"/>
                <w:szCs w:val="18"/>
                <w:lang w:eastAsia="es-CR"/>
              </w:rPr>
              <w:tab/>
            </w:r>
            <w:r w:rsidR="00292057" w:rsidRPr="009F337B">
              <w:rPr>
                <w:rStyle w:val="Hipervnculo"/>
                <w:rFonts w:ascii="Verdana" w:hAnsi="Verdana"/>
                <w:noProof/>
                <w:sz w:val="18"/>
                <w:szCs w:val="18"/>
              </w:rPr>
              <w:t>Admissibility of the documentary evidence</w:t>
            </w:r>
            <w:r w:rsidR="00B4689D" w:rsidRPr="009F337B">
              <w:rPr>
                <w:rFonts w:ascii="Verdana" w:hAnsi="Verdana"/>
                <w:noProof/>
                <w:webHidden/>
                <w:sz w:val="18"/>
                <w:szCs w:val="18"/>
              </w:rPr>
              <w:tab/>
            </w:r>
          </w:hyperlink>
          <w:r w:rsidR="00903904">
            <w:rPr>
              <w:rFonts w:ascii="Verdana" w:hAnsi="Verdana"/>
              <w:noProof/>
              <w:sz w:val="18"/>
              <w:szCs w:val="18"/>
            </w:rPr>
            <w:t>10</w:t>
          </w:r>
        </w:p>
        <w:p w14:paraId="25CEC3D6" w14:textId="68487F14" w:rsidR="00B4689D" w:rsidRPr="009F337B" w:rsidRDefault="0072758B" w:rsidP="00B4689D">
          <w:pPr>
            <w:pStyle w:val="TDC2"/>
            <w:tabs>
              <w:tab w:val="left" w:pos="660"/>
              <w:tab w:val="right" w:leader="dot" w:pos="9350"/>
            </w:tabs>
            <w:spacing w:after="0" w:line="240" w:lineRule="auto"/>
            <w:rPr>
              <w:rFonts w:ascii="Verdana" w:hAnsi="Verdana"/>
              <w:noProof/>
              <w:sz w:val="18"/>
              <w:szCs w:val="18"/>
              <w:lang w:eastAsia="es-CR"/>
            </w:rPr>
          </w:pPr>
          <w:hyperlink w:anchor="_Toc527466475" w:history="1">
            <w:r w:rsidR="00B4689D" w:rsidRPr="009F337B">
              <w:rPr>
                <w:rStyle w:val="Hipervnculo"/>
                <w:rFonts w:ascii="Verdana" w:hAnsi="Verdana"/>
                <w:noProof/>
                <w:sz w:val="18"/>
                <w:szCs w:val="18"/>
              </w:rPr>
              <w:t>B.</w:t>
            </w:r>
            <w:r w:rsidR="00B4689D" w:rsidRPr="009F337B">
              <w:rPr>
                <w:rFonts w:ascii="Verdana" w:hAnsi="Verdana"/>
                <w:noProof/>
                <w:sz w:val="18"/>
                <w:szCs w:val="18"/>
                <w:lang w:eastAsia="es-CR"/>
              </w:rPr>
              <w:tab/>
            </w:r>
            <w:r w:rsidR="00CC6A68" w:rsidRPr="009F337B">
              <w:rPr>
                <w:rStyle w:val="Hipervnculo"/>
                <w:rFonts w:ascii="Verdana" w:hAnsi="Verdana"/>
                <w:noProof/>
                <w:sz w:val="18"/>
                <w:szCs w:val="18"/>
              </w:rPr>
              <w:t>Admissibility of the testimonial and expert evidence</w:t>
            </w:r>
            <w:r w:rsidR="00B4689D" w:rsidRPr="009F337B">
              <w:rPr>
                <w:rFonts w:ascii="Verdana" w:hAnsi="Verdana"/>
                <w:noProof/>
                <w:webHidden/>
                <w:sz w:val="18"/>
                <w:szCs w:val="18"/>
              </w:rPr>
              <w:tab/>
            </w:r>
          </w:hyperlink>
          <w:r w:rsidR="00903904">
            <w:rPr>
              <w:rFonts w:ascii="Verdana" w:hAnsi="Verdana"/>
              <w:noProof/>
              <w:sz w:val="18"/>
              <w:szCs w:val="18"/>
            </w:rPr>
            <w:t>11</w:t>
          </w:r>
        </w:p>
        <w:p w14:paraId="083BB672" w14:textId="2197D17F" w:rsidR="00B4689D" w:rsidRPr="009F337B" w:rsidRDefault="0072758B" w:rsidP="00B4689D">
          <w:pPr>
            <w:pStyle w:val="TDC1"/>
            <w:rPr>
              <w:rFonts w:ascii="Verdana" w:eastAsiaTheme="minorEastAsia" w:hAnsi="Verdana" w:cstheme="minorBidi"/>
              <w:b w:val="0"/>
              <w:caps w:val="0"/>
              <w:szCs w:val="18"/>
              <w:lang w:val="en-US" w:eastAsia="es-CR"/>
            </w:rPr>
          </w:pPr>
          <w:hyperlink w:anchor="_Toc527466476" w:history="1">
            <w:r w:rsidR="00B4689D" w:rsidRPr="009F337B">
              <w:rPr>
                <w:rStyle w:val="Hipervnculo"/>
                <w:rFonts w:ascii="Verdana" w:hAnsi="Verdana"/>
                <w:szCs w:val="18"/>
                <w:lang w:val="en-US"/>
              </w:rPr>
              <w:t xml:space="preserve">VII. </w:t>
            </w:r>
            <w:r w:rsidR="00CC6A68" w:rsidRPr="009F337B">
              <w:rPr>
                <w:rStyle w:val="Hipervnculo"/>
                <w:rFonts w:ascii="Verdana" w:hAnsi="Verdana"/>
                <w:szCs w:val="18"/>
                <w:lang w:val="en-US"/>
              </w:rPr>
              <w:t>FACTS</w:t>
            </w:r>
            <w:r w:rsidR="00B4689D" w:rsidRPr="009F337B">
              <w:rPr>
                <w:rFonts w:ascii="Verdana" w:hAnsi="Verdana"/>
                <w:webHidden/>
                <w:szCs w:val="18"/>
                <w:lang w:val="en-US"/>
              </w:rPr>
              <w:tab/>
            </w:r>
            <w:r w:rsidR="00B4689D" w:rsidRPr="009F337B">
              <w:rPr>
                <w:rFonts w:ascii="Verdana" w:hAnsi="Verdana"/>
                <w:webHidden/>
                <w:szCs w:val="18"/>
                <w:lang w:val="en-US"/>
              </w:rPr>
              <w:fldChar w:fldCharType="begin"/>
            </w:r>
            <w:r w:rsidR="00B4689D" w:rsidRPr="009F337B">
              <w:rPr>
                <w:rFonts w:ascii="Verdana" w:hAnsi="Verdana"/>
                <w:webHidden/>
                <w:szCs w:val="18"/>
                <w:lang w:val="en-US"/>
              </w:rPr>
              <w:instrText xml:space="preserve"> PAGEREF _Toc527466476 \h </w:instrText>
            </w:r>
            <w:r w:rsidR="00B4689D" w:rsidRPr="009F337B">
              <w:rPr>
                <w:rFonts w:ascii="Verdana" w:hAnsi="Verdana"/>
                <w:webHidden/>
                <w:szCs w:val="18"/>
                <w:lang w:val="en-US"/>
              </w:rPr>
            </w:r>
            <w:r w:rsidR="00B4689D" w:rsidRPr="009F337B">
              <w:rPr>
                <w:rFonts w:ascii="Verdana" w:hAnsi="Verdana"/>
                <w:webHidden/>
                <w:szCs w:val="18"/>
                <w:lang w:val="en-US"/>
              </w:rPr>
              <w:fldChar w:fldCharType="separate"/>
            </w:r>
            <w:r>
              <w:rPr>
                <w:rFonts w:ascii="Verdana" w:hAnsi="Verdana"/>
                <w:webHidden/>
                <w:szCs w:val="18"/>
                <w:lang w:val="en-US"/>
              </w:rPr>
              <w:t>11</w:t>
            </w:r>
            <w:r w:rsidR="00B4689D" w:rsidRPr="009F337B">
              <w:rPr>
                <w:rFonts w:ascii="Verdana" w:hAnsi="Verdana"/>
                <w:webHidden/>
                <w:szCs w:val="18"/>
                <w:lang w:val="en-US"/>
              </w:rPr>
              <w:fldChar w:fldCharType="end"/>
            </w:r>
          </w:hyperlink>
        </w:p>
        <w:p w14:paraId="75D2F4C0" w14:textId="195C2781" w:rsidR="00B4689D" w:rsidRPr="009F337B" w:rsidRDefault="0072758B" w:rsidP="00B4689D">
          <w:pPr>
            <w:pStyle w:val="TDC2"/>
            <w:tabs>
              <w:tab w:val="left" w:pos="660"/>
              <w:tab w:val="right" w:leader="dot" w:pos="9350"/>
            </w:tabs>
            <w:spacing w:after="0" w:line="240" w:lineRule="auto"/>
            <w:rPr>
              <w:rFonts w:ascii="Verdana" w:hAnsi="Verdana"/>
              <w:noProof/>
              <w:sz w:val="18"/>
              <w:szCs w:val="18"/>
              <w:lang w:eastAsia="es-CR"/>
            </w:rPr>
          </w:pPr>
          <w:hyperlink w:anchor="_Toc527466477" w:history="1">
            <w:r w:rsidR="00B4689D" w:rsidRPr="009F337B">
              <w:rPr>
                <w:rStyle w:val="Hipervnculo"/>
                <w:rFonts w:ascii="Verdana" w:hAnsi="Verdana"/>
                <w:noProof/>
                <w:sz w:val="18"/>
                <w:szCs w:val="18"/>
              </w:rPr>
              <w:t>A.</w:t>
            </w:r>
            <w:r w:rsidR="00B4689D" w:rsidRPr="009F337B">
              <w:rPr>
                <w:rFonts w:ascii="Verdana" w:hAnsi="Verdana"/>
                <w:noProof/>
                <w:sz w:val="18"/>
                <w:szCs w:val="18"/>
                <w:lang w:eastAsia="es-CR"/>
              </w:rPr>
              <w:tab/>
            </w:r>
            <w:r w:rsidR="00CA11F6" w:rsidRPr="009F337B">
              <w:rPr>
                <w:rStyle w:val="Hipervnculo"/>
                <w:rFonts w:ascii="Verdana" w:hAnsi="Verdana"/>
                <w:noProof/>
                <w:sz w:val="18"/>
                <w:szCs w:val="18"/>
              </w:rPr>
              <w:t>The HIV/AIDS situation in</w:t>
            </w:r>
            <w:r w:rsidR="00B4689D" w:rsidRPr="009F337B">
              <w:rPr>
                <w:rStyle w:val="Hipervnculo"/>
                <w:rFonts w:ascii="Verdana" w:hAnsi="Verdana"/>
                <w:noProof/>
                <w:sz w:val="18"/>
                <w:szCs w:val="18"/>
              </w:rPr>
              <w:t xml:space="preserve"> Guatemala</w:t>
            </w:r>
            <w:r w:rsidR="00B4689D" w:rsidRPr="009F337B">
              <w:rPr>
                <w:rFonts w:ascii="Verdana" w:hAnsi="Verdana"/>
                <w:noProof/>
                <w:webHidden/>
                <w:sz w:val="18"/>
                <w:szCs w:val="18"/>
              </w:rPr>
              <w:tab/>
            </w:r>
            <w:r w:rsidR="001363A3">
              <w:rPr>
                <w:rFonts w:ascii="Verdana" w:hAnsi="Verdana"/>
                <w:noProof/>
                <w:webHidden/>
                <w:sz w:val="18"/>
                <w:szCs w:val="18"/>
              </w:rPr>
              <w:t>11</w:t>
            </w:r>
          </w:hyperlink>
        </w:p>
        <w:p w14:paraId="39045293" w14:textId="1265C442" w:rsidR="00B4689D" w:rsidRPr="009F337B" w:rsidRDefault="0072758B" w:rsidP="00B4689D">
          <w:pPr>
            <w:pStyle w:val="TDC3"/>
            <w:tabs>
              <w:tab w:val="right" w:leader="dot" w:pos="9350"/>
            </w:tabs>
            <w:spacing w:after="0" w:line="240" w:lineRule="auto"/>
            <w:rPr>
              <w:rFonts w:ascii="Verdana" w:eastAsiaTheme="minorEastAsia" w:hAnsi="Verdana"/>
              <w:noProof/>
              <w:sz w:val="18"/>
              <w:szCs w:val="18"/>
              <w:lang w:val="en-US" w:eastAsia="es-CR"/>
            </w:rPr>
          </w:pPr>
          <w:hyperlink w:anchor="_Toc527466478" w:history="1">
            <w:r w:rsidR="00B4689D" w:rsidRPr="009F337B">
              <w:rPr>
                <w:rStyle w:val="Hipervnculo"/>
                <w:rFonts w:ascii="Verdana" w:hAnsi="Verdana"/>
                <w:noProof/>
                <w:sz w:val="18"/>
                <w:szCs w:val="18"/>
                <w:lang w:val="en-US"/>
              </w:rPr>
              <w:t xml:space="preserve">A.1. </w:t>
            </w:r>
            <w:r w:rsidR="00CA11F6" w:rsidRPr="009F337B">
              <w:rPr>
                <w:rStyle w:val="Hipervnculo"/>
                <w:rFonts w:ascii="Verdana" w:hAnsi="Verdana"/>
                <w:noProof/>
                <w:sz w:val="18"/>
                <w:szCs w:val="18"/>
                <w:lang w:val="en-US"/>
              </w:rPr>
              <w:t>General information on</w:t>
            </w:r>
            <w:r w:rsidR="00B4689D" w:rsidRPr="009F337B">
              <w:rPr>
                <w:rStyle w:val="Hipervnculo"/>
                <w:rFonts w:ascii="Verdana" w:hAnsi="Verdana"/>
                <w:noProof/>
                <w:sz w:val="18"/>
                <w:szCs w:val="18"/>
                <w:lang w:val="en-US"/>
              </w:rPr>
              <w:t xml:space="preserve"> </w:t>
            </w:r>
            <w:r w:rsidR="00CA11F6" w:rsidRPr="009F337B">
              <w:rPr>
                <w:rStyle w:val="Hipervnculo"/>
                <w:rFonts w:ascii="Verdana" w:hAnsi="Verdana"/>
                <w:noProof/>
                <w:sz w:val="18"/>
                <w:szCs w:val="18"/>
                <w:lang w:val="en-US"/>
              </w:rPr>
              <w:t>HIV/AIDS</w:t>
            </w:r>
            <w:r w:rsidR="00B4689D" w:rsidRPr="009F337B">
              <w:rPr>
                <w:rFonts w:ascii="Verdana" w:hAnsi="Verdana"/>
                <w:noProof/>
                <w:webHidden/>
                <w:sz w:val="18"/>
                <w:szCs w:val="18"/>
                <w:lang w:val="en-US"/>
              </w:rPr>
              <w:tab/>
            </w:r>
            <w:r w:rsidR="00B4689D" w:rsidRPr="009F337B">
              <w:rPr>
                <w:rFonts w:ascii="Verdana" w:hAnsi="Verdana"/>
                <w:noProof/>
                <w:webHidden/>
                <w:sz w:val="18"/>
                <w:szCs w:val="18"/>
                <w:lang w:val="en-US"/>
              </w:rPr>
              <w:fldChar w:fldCharType="begin"/>
            </w:r>
            <w:r w:rsidR="00B4689D" w:rsidRPr="009F337B">
              <w:rPr>
                <w:rFonts w:ascii="Verdana" w:hAnsi="Verdana"/>
                <w:noProof/>
                <w:webHidden/>
                <w:sz w:val="18"/>
                <w:szCs w:val="18"/>
                <w:lang w:val="en-US"/>
              </w:rPr>
              <w:instrText xml:space="preserve"> PAGEREF _Toc527466478 \h </w:instrText>
            </w:r>
            <w:r w:rsidR="00B4689D" w:rsidRPr="009F337B">
              <w:rPr>
                <w:rFonts w:ascii="Verdana" w:hAnsi="Verdana"/>
                <w:noProof/>
                <w:webHidden/>
                <w:sz w:val="18"/>
                <w:szCs w:val="18"/>
                <w:lang w:val="en-US"/>
              </w:rPr>
            </w:r>
            <w:r w:rsidR="00B4689D" w:rsidRPr="009F337B">
              <w:rPr>
                <w:rFonts w:ascii="Verdana" w:hAnsi="Verdana"/>
                <w:noProof/>
                <w:webHidden/>
                <w:sz w:val="18"/>
                <w:szCs w:val="18"/>
                <w:lang w:val="en-US"/>
              </w:rPr>
              <w:fldChar w:fldCharType="separate"/>
            </w:r>
            <w:r>
              <w:rPr>
                <w:rFonts w:ascii="Verdana" w:hAnsi="Verdana"/>
                <w:noProof/>
                <w:webHidden/>
                <w:sz w:val="18"/>
                <w:szCs w:val="18"/>
                <w:lang w:val="en-US"/>
              </w:rPr>
              <w:t>11</w:t>
            </w:r>
            <w:r w:rsidR="00B4689D" w:rsidRPr="009F337B">
              <w:rPr>
                <w:rFonts w:ascii="Verdana" w:hAnsi="Verdana"/>
                <w:noProof/>
                <w:webHidden/>
                <w:sz w:val="18"/>
                <w:szCs w:val="18"/>
                <w:lang w:val="en-US"/>
              </w:rPr>
              <w:fldChar w:fldCharType="end"/>
            </w:r>
          </w:hyperlink>
        </w:p>
        <w:p w14:paraId="75E0AFBC" w14:textId="1E631B47" w:rsidR="00B4689D" w:rsidRPr="009F337B" w:rsidRDefault="0072758B" w:rsidP="00B4689D">
          <w:pPr>
            <w:pStyle w:val="TDC3"/>
            <w:tabs>
              <w:tab w:val="right" w:leader="dot" w:pos="9350"/>
            </w:tabs>
            <w:spacing w:after="0" w:line="240" w:lineRule="auto"/>
            <w:rPr>
              <w:rFonts w:ascii="Verdana" w:eastAsiaTheme="minorEastAsia" w:hAnsi="Verdana"/>
              <w:noProof/>
              <w:sz w:val="18"/>
              <w:szCs w:val="18"/>
              <w:lang w:val="en-US" w:eastAsia="es-CR"/>
            </w:rPr>
          </w:pPr>
          <w:hyperlink w:anchor="_Toc527466479" w:history="1">
            <w:r w:rsidR="00B4689D" w:rsidRPr="009F337B">
              <w:rPr>
                <w:rStyle w:val="Hipervnculo"/>
                <w:rFonts w:ascii="Verdana" w:hAnsi="Verdana"/>
                <w:noProof/>
                <w:sz w:val="18"/>
                <w:szCs w:val="18"/>
                <w:lang w:val="en-US"/>
              </w:rPr>
              <w:t xml:space="preserve">A.2. </w:t>
            </w:r>
            <w:r w:rsidR="0009208D" w:rsidRPr="009F337B">
              <w:rPr>
                <w:rStyle w:val="Hipervnculo"/>
                <w:rFonts w:ascii="Verdana" w:hAnsi="Verdana"/>
                <w:noProof/>
                <w:sz w:val="18"/>
                <w:szCs w:val="18"/>
                <w:lang w:val="en-US"/>
              </w:rPr>
              <w:t>Laws enacted to treat</w:t>
            </w:r>
            <w:r w:rsidR="009E46AF" w:rsidRPr="009F337B">
              <w:rPr>
                <w:rStyle w:val="Hipervnculo"/>
                <w:rFonts w:ascii="Verdana" w:hAnsi="Verdana"/>
                <w:noProof/>
                <w:sz w:val="18"/>
                <w:szCs w:val="18"/>
                <w:lang w:val="en-US"/>
              </w:rPr>
              <w:t xml:space="preserve"> HIV/AIDS in</w:t>
            </w:r>
            <w:r w:rsidR="00B4689D" w:rsidRPr="009F337B">
              <w:rPr>
                <w:rStyle w:val="Hipervnculo"/>
                <w:rFonts w:ascii="Verdana" w:hAnsi="Verdana"/>
                <w:noProof/>
                <w:sz w:val="18"/>
                <w:szCs w:val="18"/>
                <w:lang w:val="en-US"/>
              </w:rPr>
              <w:t xml:space="preserve"> Guatemala</w:t>
            </w:r>
            <w:r w:rsidR="00B4689D" w:rsidRPr="009F337B">
              <w:rPr>
                <w:rFonts w:ascii="Verdana" w:hAnsi="Verdana"/>
                <w:noProof/>
                <w:webHidden/>
                <w:sz w:val="18"/>
                <w:szCs w:val="18"/>
                <w:lang w:val="en-US"/>
              </w:rPr>
              <w:tab/>
            </w:r>
            <w:r w:rsidR="00B4689D" w:rsidRPr="009F337B">
              <w:rPr>
                <w:rFonts w:ascii="Verdana" w:hAnsi="Verdana"/>
                <w:noProof/>
                <w:webHidden/>
                <w:sz w:val="18"/>
                <w:szCs w:val="18"/>
                <w:lang w:val="en-US"/>
              </w:rPr>
              <w:fldChar w:fldCharType="begin"/>
            </w:r>
            <w:r w:rsidR="00B4689D" w:rsidRPr="009F337B">
              <w:rPr>
                <w:rFonts w:ascii="Verdana" w:hAnsi="Verdana"/>
                <w:noProof/>
                <w:webHidden/>
                <w:sz w:val="18"/>
                <w:szCs w:val="18"/>
                <w:lang w:val="en-US"/>
              </w:rPr>
              <w:instrText xml:space="preserve"> PAGEREF _Toc527466479 \h </w:instrText>
            </w:r>
            <w:r w:rsidR="00B4689D" w:rsidRPr="009F337B">
              <w:rPr>
                <w:rFonts w:ascii="Verdana" w:hAnsi="Verdana"/>
                <w:noProof/>
                <w:webHidden/>
                <w:sz w:val="18"/>
                <w:szCs w:val="18"/>
                <w:lang w:val="en-US"/>
              </w:rPr>
            </w:r>
            <w:r w:rsidR="00B4689D" w:rsidRPr="009F337B">
              <w:rPr>
                <w:rFonts w:ascii="Verdana" w:hAnsi="Verdana"/>
                <w:noProof/>
                <w:webHidden/>
                <w:sz w:val="18"/>
                <w:szCs w:val="18"/>
                <w:lang w:val="en-US"/>
              </w:rPr>
              <w:fldChar w:fldCharType="separate"/>
            </w:r>
            <w:r>
              <w:rPr>
                <w:rFonts w:ascii="Verdana" w:hAnsi="Verdana"/>
                <w:noProof/>
                <w:webHidden/>
                <w:sz w:val="18"/>
                <w:szCs w:val="18"/>
                <w:lang w:val="en-US"/>
              </w:rPr>
              <w:t>13</w:t>
            </w:r>
            <w:r w:rsidR="00B4689D" w:rsidRPr="009F337B">
              <w:rPr>
                <w:rFonts w:ascii="Verdana" w:hAnsi="Verdana"/>
                <w:noProof/>
                <w:webHidden/>
                <w:sz w:val="18"/>
                <w:szCs w:val="18"/>
                <w:lang w:val="en-US"/>
              </w:rPr>
              <w:fldChar w:fldCharType="end"/>
            </w:r>
          </w:hyperlink>
        </w:p>
        <w:p w14:paraId="47C2B370" w14:textId="17BED9C6" w:rsidR="00B4689D" w:rsidRPr="009F337B" w:rsidRDefault="0072758B" w:rsidP="00B4689D">
          <w:pPr>
            <w:pStyle w:val="TDC3"/>
            <w:tabs>
              <w:tab w:val="right" w:leader="dot" w:pos="9350"/>
            </w:tabs>
            <w:spacing w:after="0" w:line="240" w:lineRule="auto"/>
            <w:rPr>
              <w:rFonts w:ascii="Verdana" w:eastAsiaTheme="minorEastAsia" w:hAnsi="Verdana"/>
              <w:noProof/>
              <w:sz w:val="18"/>
              <w:szCs w:val="18"/>
              <w:lang w:val="en-US" w:eastAsia="es-CR"/>
            </w:rPr>
          </w:pPr>
          <w:hyperlink w:anchor="_Toc527466480" w:history="1">
            <w:r w:rsidR="00B4689D" w:rsidRPr="009F337B">
              <w:rPr>
                <w:rStyle w:val="Hipervnculo"/>
                <w:rFonts w:ascii="Verdana" w:hAnsi="Verdana"/>
                <w:noProof/>
                <w:sz w:val="18"/>
                <w:szCs w:val="18"/>
                <w:lang w:val="en-US"/>
              </w:rPr>
              <w:t xml:space="preserve">A.3. </w:t>
            </w:r>
            <w:r w:rsidR="008E2262" w:rsidRPr="009F337B">
              <w:rPr>
                <w:rStyle w:val="Hipervnculo"/>
                <w:rFonts w:ascii="Verdana" w:hAnsi="Verdana"/>
                <w:noProof/>
                <w:sz w:val="18"/>
                <w:szCs w:val="18"/>
                <w:lang w:val="en-US"/>
              </w:rPr>
              <w:t>Other measures adopted to treat</w:t>
            </w:r>
            <w:r w:rsidR="00B4689D" w:rsidRPr="009F337B">
              <w:rPr>
                <w:rStyle w:val="Hipervnculo"/>
                <w:rFonts w:ascii="Verdana" w:hAnsi="Verdana"/>
                <w:noProof/>
                <w:sz w:val="18"/>
                <w:szCs w:val="18"/>
                <w:lang w:val="en-US"/>
              </w:rPr>
              <w:t xml:space="preserve"> </w:t>
            </w:r>
            <w:r w:rsidR="00CA11F6" w:rsidRPr="009F337B">
              <w:rPr>
                <w:rStyle w:val="Hipervnculo"/>
                <w:rFonts w:ascii="Verdana" w:hAnsi="Verdana"/>
                <w:noProof/>
                <w:sz w:val="18"/>
                <w:szCs w:val="18"/>
                <w:lang w:val="en-US"/>
              </w:rPr>
              <w:t>HIV/AIDS</w:t>
            </w:r>
            <w:r w:rsidR="008E2262" w:rsidRPr="009F337B">
              <w:rPr>
                <w:rStyle w:val="Hipervnculo"/>
                <w:rFonts w:ascii="Verdana" w:hAnsi="Verdana"/>
                <w:noProof/>
                <w:sz w:val="18"/>
                <w:szCs w:val="18"/>
                <w:lang w:val="en-US"/>
              </w:rPr>
              <w:t xml:space="preserve"> in Guatemala</w:t>
            </w:r>
            <w:r w:rsidR="00B4689D" w:rsidRPr="009F337B">
              <w:rPr>
                <w:rFonts w:ascii="Verdana" w:hAnsi="Verdana"/>
                <w:noProof/>
                <w:webHidden/>
                <w:sz w:val="18"/>
                <w:szCs w:val="18"/>
                <w:lang w:val="en-US"/>
              </w:rPr>
              <w:tab/>
            </w:r>
            <w:r w:rsidR="00B4689D" w:rsidRPr="009F337B">
              <w:rPr>
                <w:rFonts w:ascii="Verdana" w:hAnsi="Verdana"/>
                <w:noProof/>
                <w:webHidden/>
                <w:sz w:val="18"/>
                <w:szCs w:val="18"/>
                <w:lang w:val="en-US"/>
              </w:rPr>
              <w:fldChar w:fldCharType="begin"/>
            </w:r>
            <w:r w:rsidR="00B4689D" w:rsidRPr="009F337B">
              <w:rPr>
                <w:rFonts w:ascii="Verdana" w:hAnsi="Verdana"/>
                <w:noProof/>
                <w:webHidden/>
                <w:sz w:val="18"/>
                <w:szCs w:val="18"/>
                <w:lang w:val="en-US"/>
              </w:rPr>
              <w:instrText xml:space="preserve"> PAGEREF _Toc527466480 \h </w:instrText>
            </w:r>
            <w:r w:rsidR="00B4689D" w:rsidRPr="009F337B">
              <w:rPr>
                <w:rFonts w:ascii="Verdana" w:hAnsi="Verdana"/>
                <w:noProof/>
                <w:webHidden/>
                <w:sz w:val="18"/>
                <w:szCs w:val="18"/>
                <w:lang w:val="en-US"/>
              </w:rPr>
            </w:r>
            <w:r w:rsidR="00B4689D" w:rsidRPr="009F337B">
              <w:rPr>
                <w:rFonts w:ascii="Verdana" w:hAnsi="Verdana"/>
                <w:noProof/>
                <w:webHidden/>
                <w:sz w:val="18"/>
                <w:szCs w:val="18"/>
                <w:lang w:val="en-US"/>
              </w:rPr>
              <w:fldChar w:fldCharType="separate"/>
            </w:r>
            <w:r>
              <w:rPr>
                <w:rFonts w:ascii="Verdana" w:hAnsi="Verdana"/>
                <w:noProof/>
                <w:webHidden/>
                <w:sz w:val="18"/>
                <w:szCs w:val="18"/>
                <w:lang w:val="en-US"/>
              </w:rPr>
              <w:t>16</w:t>
            </w:r>
            <w:r w:rsidR="00B4689D" w:rsidRPr="009F337B">
              <w:rPr>
                <w:rFonts w:ascii="Verdana" w:hAnsi="Verdana"/>
                <w:noProof/>
                <w:webHidden/>
                <w:sz w:val="18"/>
                <w:szCs w:val="18"/>
                <w:lang w:val="en-US"/>
              </w:rPr>
              <w:fldChar w:fldCharType="end"/>
            </w:r>
          </w:hyperlink>
        </w:p>
        <w:p w14:paraId="136A97FF" w14:textId="353B105E" w:rsidR="00B4689D" w:rsidRPr="009F337B" w:rsidRDefault="0072758B" w:rsidP="00B4689D">
          <w:pPr>
            <w:pStyle w:val="TDC2"/>
            <w:tabs>
              <w:tab w:val="left" w:pos="660"/>
              <w:tab w:val="right" w:leader="dot" w:pos="9350"/>
            </w:tabs>
            <w:spacing w:after="0" w:line="240" w:lineRule="auto"/>
            <w:rPr>
              <w:rFonts w:ascii="Verdana" w:hAnsi="Verdana"/>
              <w:noProof/>
              <w:sz w:val="18"/>
              <w:szCs w:val="18"/>
              <w:lang w:eastAsia="es-CR"/>
            </w:rPr>
          </w:pPr>
          <w:hyperlink w:anchor="_Toc527466481" w:history="1">
            <w:r w:rsidR="00B4689D" w:rsidRPr="009F337B">
              <w:rPr>
                <w:rStyle w:val="Hipervnculo"/>
                <w:rFonts w:ascii="Verdana" w:hAnsi="Verdana"/>
                <w:noProof/>
                <w:sz w:val="18"/>
                <w:szCs w:val="18"/>
              </w:rPr>
              <w:t>B.</w:t>
            </w:r>
            <w:r w:rsidR="00B4689D" w:rsidRPr="009F337B">
              <w:rPr>
                <w:rFonts w:ascii="Verdana" w:hAnsi="Verdana"/>
                <w:noProof/>
                <w:sz w:val="18"/>
                <w:szCs w:val="18"/>
                <w:lang w:eastAsia="es-CR"/>
              </w:rPr>
              <w:tab/>
            </w:r>
            <w:r w:rsidR="00A00EE5" w:rsidRPr="009F337B">
              <w:rPr>
                <w:rStyle w:val="Hipervnculo"/>
                <w:rFonts w:ascii="Verdana" w:hAnsi="Verdana"/>
                <w:noProof/>
                <w:sz w:val="18"/>
                <w:szCs w:val="18"/>
              </w:rPr>
              <w:t>The presumed</w:t>
            </w:r>
            <w:r w:rsidR="003C46A3" w:rsidRPr="009F337B">
              <w:rPr>
                <w:rStyle w:val="Hipervnculo"/>
                <w:rFonts w:ascii="Verdana" w:hAnsi="Verdana"/>
                <w:noProof/>
                <w:sz w:val="18"/>
                <w:szCs w:val="18"/>
              </w:rPr>
              <w:t xml:space="preserve"> victims and </w:t>
            </w:r>
            <w:r w:rsidR="00BB0DF2" w:rsidRPr="009F337B">
              <w:rPr>
                <w:rStyle w:val="Hipervnculo"/>
                <w:rFonts w:ascii="Verdana" w:hAnsi="Verdana"/>
                <w:noProof/>
                <w:sz w:val="18"/>
                <w:szCs w:val="18"/>
              </w:rPr>
              <w:t>their next of kin</w:t>
            </w:r>
            <w:r w:rsidR="00B4689D" w:rsidRPr="009F337B">
              <w:rPr>
                <w:rFonts w:ascii="Verdana" w:hAnsi="Verdana"/>
                <w:noProof/>
                <w:webHidden/>
                <w:sz w:val="18"/>
                <w:szCs w:val="18"/>
              </w:rPr>
              <w:tab/>
            </w:r>
            <w:r w:rsidR="00B4689D" w:rsidRPr="009F337B">
              <w:rPr>
                <w:rFonts w:ascii="Verdana" w:hAnsi="Verdana"/>
                <w:noProof/>
                <w:webHidden/>
                <w:sz w:val="18"/>
                <w:szCs w:val="18"/>
              </w:rPr>
              <w:fldChar w:fldCharType="begin"/>
            </w:r>
            <w:r w:rsidR="00B4689D" w:rsidRPr="009F337B">
              <w:rPr>
                <w:rFonts w:ascii="Verdana" w:hAnsi="Verdana"/>
                <w:noProof/>
                <w:webHidden/>
                <w:sz w:val="18"/>
                <w:szCs w:val="18"/>
              </w:rPr>
              <w:instrText xml:space="preserve"> PAGEREF _Toc527466481 \h </w:instrText>
            </w:r>
            <w:r w:rsidR="00B4689D" w:rsidRPr="009F337B">
              <w:rPr>
                <w:rFonts w:ascii="Verdana" w:hAnsi="Verdana"/>
                <w:noProof/>
                <w:webHidden/>
                <w:sz w:val="18"/>
                <w:szCs w:val="18"/>
              </w:rPr>
            </w:r>
            <w:r w:rsidR="00B4689D" w:rsidRPr="009F337B">
              <w:rPr>
                <w:rFonts w:ascii="Verdana" w:hAnsi="Verdana"/>
                <w:noProof/>
                <w:webHidden/>
                <w:sz w:val="18"/>
                <w:szCs w:val="18"/>
              </w:rPr>
              <w:fldChar w:fldCharType="separate"/>
            </w:r>
            <w:r>
              <w:rPr>
                <w:rFonts w:ascii="Verdana" w:hAnsi="Verdana"/>
                <w:noProof/>
                <w:webHidden/>
                <w:sz w:val="18"/>
                <w:szCs w:val="18"/>
              </w:rPr>
              <w:t>18</w:t>
            </w:r>
            <w:r w:rsidR="00B4689D" w:rsidRPr="009F337B">
              <w:rPr>
                <w:rFonts w:ascii="Verdana" w:hAnsi="Verdana"/>
                <w:noProof/>
                <w:webHidden/>
                <w:sz w:val="18"/>
                <w:szCs w:val="18"/>
              </w:rPr>
              <w:fldChar w:fldCharType="end"/>
            </w:r>
          </w:hyperlink>
        </w:p>
        <w:p w14:paraId="7B55CFF9" w14:textId="4A0C99ED" w:rsidR="00B4689D" w:rsidRPr="009F337B" w:rsidRDefault="0072758B" w:rsidP="00B4689D">
          <w:pPr>
            <w:pStyle w:val="TDC2"/>
            <w:tabs>
              <w:tab w:val="left" w:pos="660"/>
              <w:tab w:val="right" w:leader="dot" w:pos="9350"/>
            </w:tabs>
            <w:spacing w:after="0" w:line="240" w:lineRule="auto"/>
            <w:rPr>
              <w:rFonts w:ascii="Verdana" w:hAnsi="Verdana"/>
              <w:noProof/>
              <w:sz w:val="18"/>
              <w:szCs w:val="18"/>
              <w:lang w:eastAsia="es-CR"/>
            </w:rPr>
          </w:pPr>
          <w:hyperlink w:anchor="_Toc527466482" w:history="1">
            <w:r w:rsidR="00B4689D" w:rsidRPr="009F337B">
              <w:rPr>
                <w:rStyle w:val="Hipervnculo"/>
                <w:rFonts w:ascii="Verdana" w:hAnsi="Verdana"/>
                <w:noProof/>
                <w:sz w:val="18"/>
                <w:szCs w:val="18"/>
              </w:rPr>
              <w:t>C.</w:t>
            </w:r>
            <w:r w:rsidR="00B4689D" w:rsidRPr="009F337B">
              <w:rPr>
                <w:rFonts w:ascii="Verdana" w:hAnsi="Verdana"/>
                <w:noProof/>
                <w:sz w:val="18"/>
                <w:szCs w:val="18"/>
                <w:lang w:eastAsia="es-CR"/>
              </w:rPr>
              <w:tab/>
            </w:r>
            <w:r w:rsidR="00FE1EFF" w:rsidRPr="009F337B">
              <w:rPr>
                <w:rStyle w:val="Hipervnculo"/>
                <w:rFonts w:ascii="Verdana" w:hAnsi="Verdana"/>
                <w:noProof/>
                <w:sz w:val="18"/>
                <w:szCs w:val="18"/>
              </w:rPr>
              <w:t>Actions and appeals filed by</w:t>
            </w:r>
            <w:r w:rsidR="00B4689D" w:rsidRPr="009F337B">
              <w:rPr>
                <w:rStyle w:val="Hipervnculo"/>
                <w:rFonts w:ascii="Verdana" w:hAnsi="Verdana"/>
                <w:noProof/>
                <w:sz w:val="18"/>
                <w:szCs w:val="18"/>
              </w:rPr>
              <w:t xml:space="preserve"> </w:t>
            </w:r>
            <w:r w:rsidR="00A00EE5" w:rsidRPr="009F337B">
              <w:rPr>
                <w:rStyle w:val="Hipervnculo"/>
                <w:rFonts w:ascii="Verdana" w:hAnsi="Verdana"/>
                <w:noProof/>
                <w:sz w:val="18"/>
                <w:szCs w:val="18"/>
              </w:rPr>
              <w:t>the presumed</w:t>
            </w:r>
            <w:r w:rsidR="003C46A3" w:rsidRPr="009F337B">
              <w:rPr>
                <w:rStyle w:val="Hipervnculo"/>
                <w:rFonts w:ascii="Verdana" w:hAnsi="Verdana"/>
                <w:noProof/>
                <w:sz w:val="18"/>
                <w:szCs w:val="18"/>
              </w:rPr>
              <w:t xml:space="preserve"> victims</w:t>
            </w:r>
            <w:r w:rsidR="00B4689D" w:rsidRPr="009F337B">
              <w:rPr>
                <w:rFonts w:ascii="Verdana" w:hAnsi="Verdana"/>
                <w:noProof/>
                <w:webHidden/>
                <w:sz w:val="18"/>
                <w:szCs w:val="18"/>
              </w:rPr>
              <w:tab/>
            </w:r>
            <w:r w:rsidR="00B4689D" w:rsidRPr="009F337B">
              <w:rPr>
                <w:rFonts w:ascii="Verdana" w:hAnsi="Verdana"/>
                <w:noProof/>
                <w:webHidden/>
                <w:sz w:val="18"/>
                <w:szCs w:val="18"/>
              </w:rPr>
              <w:fldChar w:fldCharType="begin"/>
            </w:r>
            <w:r w:rsidR="00B4689D" w:rsidRPr="009F337B">
              <w:rPr>
                <w:rFonts w:ascii="Verdana" w:hAnsi="Verdana"/>
                <w:noProof/>
                <w:webHidden/>
                <w:sz w:val="18"/>
                <w:szCs w:val="18"/>
              </w:rPr>
              <w:instrText xml:space="preserve"> PAGEREF _Toc527466482 \h </w:instrText>
            </w:r>
            <w:r w:rsidR="00B4689D" w:rsidRPr="009F337B">
              <w:rPr>
                <w:rFonts w:ascii="Verdana" w:hAnsi="Verdana"/>
                <w:noProof/>
                <w:webHidden/>
                <w:sz w:val="18"/>
                <w:szCs w:val="18"/>
              </w:rPr>
            </w:r>
            <w:r w:rsidR="00B4689D" w:rsidRPr="009F337B">
              <w:rPr>
                <w:rFonts w:ascii="Verdana" w:hAnsi="Verdana"/>
                <w:noProof/>
                <w:webHidden/>
                <w:sz w:val="18"/>
                <w:szCs w:val="18"/>
              </w:rPr>
              <w:fldChar w:fldCharType="separate"/>
            </w:r>
            <w:r>
              <w:rPr>
                <w:rFonts w:ascii="Verdana" w:hAnsi="Verdana"/>
                <w:noProof/>
                <w:webHidden/>
                <w:sz w:val="18"/>
                <w:szCs w:val="18"/>
              </w:rPr>
              <w:t>18</w:t>
            </w:r>
            <w:r w:rsidR="00B4689D" w:rsidRPr="009F337B">
              <w:rPr>
                <w:rFonts w:ascii="Verdana" w:hAnsi="Verdana"/>
                <w:noProof/>
                <w:webHidden/>
                <w:sz w:val="18"/>
                <w:szCs w:val="18"/>
              </w:rPr>
              <w:fldChar w:fldCharType="end"/>
            </w:r>
          </w:hyperlink>
        </w:p>
        <w:p w14:paraId="26188875" w14:textId="421BEAD7" w:rsidR="00B4689D" w:rsidRPr="009F337B" w:rsidRDefault="0072758B" w:rsidP="00B4689D">
          <w:pPr>
            <w:pStyle w:val="TDC3"/>
            <w:tabs>
              <w:tab w:val="right" w:leader="dot" w:pos="9350"/>
            </w:tabs>
            <w:spacing w:after="0" w:line="240" w:lineRule="auto"/>
            <w:rPr>
              <w:rFonts w:ascii="Verdana" w:eastAsiaTheme="minorEastAsia" w:hAnsi="Verdana"/>
              <w:noProof/>
              <w:sz w:val="18"/>
              <w:szCs w:val="18"/>
              <w:lang w:val="en-US" w:eastAsia="es-CR"/>
            </w:rPr>
          </w:pPr>
          <w:hyperlink w:anchor="_Toc527466483" w:history="1">
            <w:r w:rsidR="00B4689D" w:rsidRPr="009F337B">
              <w:rPr>
                <w:rStyle w:val="Hipervnculo"/>
                <w:rFonts w:ascii="Verdana" w:hAnsi="Verdana"/>
                <w:noProof/>
                <w:sz w:val="18"/>
                <w:szCs w:val="18"/>
                <w:lang w:val="en-US"/>
              </w:rPr>
              <w:t xml:space="preserve">C.1. </w:t>
            </w:r>
            <w:r w:rsidR="00FE1EFF" w:rsidRPr="009F337B">
              <w:rPr>
                <w:rStyle w:val="Hipervnculo"/>
                <w:rFonts w:ascii="Verdana" w:hAnsi="Verdana"/>
                <w:noProof/>
                <w:sz w:val="18"/>
                <w:szCs w:val="18"/>
                <w:lang w:val="en-US"/>
              </w:rPr>
              <w:t>Letters addressed to the President and other authorities</w:t>
            </w:r>
            <w:r w:rsidR="00B4689D" w:rsidRPr="009F337B">
              <w:rPr>
                <w:rFonts w:ascii="Verdana" w:hAnsi="Verdana"/>
                <w:noProof/>
                <w:webHidden/>
                <w:sz w:val="18"/>
                <w:szCs w:val="18"/>
                <w:lang w:val="en-US"/>
              </w:rPr>
              <w:tab/>
            </w:r>
            <w:r w:rsidR="00B4689D" w:rsidRPr="009F337B">
              <w:rPr>
                <w:rFonts w:ascii="Verdana" w:hAnsi="Verdana"/>
                <w:noProof/>
                <w:webHidden/>
                <w:sz w:val="18"/>
                <w:szCs w:val="18"/>
                <w:lang w:val="en-US"/>
              </w:rPr>
              <w:fldChar w:fldCharType="begin"/>
            </w:r>
            <w:r w:rsidR="00B4689D" w:rsidRPr="009F337B">
              <w:rPr>
                <w:rFonts w:ascii="Verdana" w:hAnsi="Verdana"/>
                <w:noProof/>
                <w:webHidden/>
                <w:sz w:val="18"/>
                <w:szCs w:val="18"/>
                <w:lang w:val="en-US"/>
              </w:rPr>
              <w:instrText xml:space="preserve"> PAGEREF _Toc527466483 \h </w:instrText>
            </w:r>
            <w:r w:rsidR="00B4689D" w:rsidRPr="009F337B">
              <w:rPr>
                <w:rFonts w:ascii="Verdana" w:hAnsi="Verdana"/>
                <w:noProof/>
                <w:webHidden/>
                <w:sz w:val="18"/>
                <w:szCs w:val="18"/>
                <w:lang w:val="en-US"/>
              </w:rPr>
            </w:r>
            <w:r w:rsidR="00B4689D" w:rsidRPr="009F337B">
              <w:rPr>
                <w:rFonts w:ascii="Verdana" w:hAnsi="Verdana"/>
                <w:noProof/>
                <w:webHidden/>
                <w:sz w:val="18"/>
                <w:szCs w:val="18"/>
                <w:lang w:val="en-US"/>
              </w:rPr>
              <w:fldChar w:fldCharType="separate"/>
            </w:r>
            <w:r>
              <w:rPr>
                <w:rFonts w:ascii="Verdana" w:hAnsi="Verdana"/>
                <w:noProof/>
                <w:webHidden/>
                <w:sz w:val="18"/>
                <w:szCs w:val="18"/>
                <w:lang w:val="en-US"/>
              </w:rPr>
              <w:t>18</w:t>
            </w:r>
            <w:r w:rsidR="00B4689D" w:rsidRPr="009F337B">
              <w:rPr>
                <w:rFonts w:ascii="Verdana" w:hAnsi="Verdana"/>
                <w:noProof/>
                <w:webHidden/>
                <w:sz w:val="18"/>
                <w:szCs w:val="18"/>
                <w:lang w:val="en-US"/>
              </w:rPr>
              <w:fldChar w:fldCharType="end"/>
            </w:r>
          </w:hyperlink>
        </w:p>
        <w:p w14:paraId="1637B3DE" w14:textId="3FE5A2E2" w:rsidR="00B4689D" w:rsidRPr="009F337B" w:rsidRDefault="0072758B" w:rsidP="00B4689D">
          <w:pPr>
            <w:pStyle w:val="TDC3"/>
            <w:tabs>
              <w:tab w:val="right" w:leader="dot" w:pos="9350"/>
            </w:tabs>
            <w:spacing w:after="0" w:line="240" w:lineRule="auto"/>
            <w:rPr>
              <w:rFonts w:ascii="Verdana" w:eastAsiaTheme="minorEastAsia" w:hAnsi="Verdana"/>
              <w:noProof/>
              <w:sz w:val="18"/>
              <w:szCs w:val="18"/>
              <w:lang w:val="en-US" w:eastAsia="es-CR"/>
            </w:rPr>
          </w:pPr>
          <w:hyperlink w:anchor="_Toc527466484" w:history="1">
            <w:r w:rsidR="00B4689D" w:rsidRPr="009F337B">
              <w:rPr>
                <w:rStyle w:val="Hipervnculo"/>
                <w:rFonts w:ascii="Verdana" w:hAnsi="Verdana"/>
                <w:noProof/>
                <w:sz w:val="18"/>
                <w:szCs w:val="18"/>
                <w:lang w:val="en-US"/>
              </w:rPr>
              <w:t xml:space="preserve">C.2. </w:t>
            </w:r>
            <w:r w:rsidR="0016125F" w:rsidRPr="009F337B">
              <w:rPr>
                <w:rStyle w:val="Hipervnculo"/>
                <w:rFonts w:ascii="Verdana" w:hAnsi="Verdana"/>
                <w:noProof/>
                <w:sz w:val="18"/>
                <w:szCs w:val="18"/>
                <w:lang w:val="en-US"/>
              </w:rPr>
              <w:t>Application for amparo before the Constitutional Court</w:t>
            </w:r>
            <w:r w:rsidR="00B4689D" w:rsidRPr="009F337B">
              <w:rPr>
                <w:rFonts w:ascii="Verdana" w:hAnsi="Verdana"/>
                <w:noProof/>
                <w:webHidden/>
                <w:sz w:val="18"/>
                <w:szCs w:val="18"/>
                <w:lang w:val="en-US"/>
              </w:rPr>
              <w:tab/>
            </w:r>
            <w:r w:rsidR="001363A3">
              <w:rPr>
                <w:rFonts w:ascii="Verdana" w:hAnsi="Verdana"/>
                <w:noProof/>
                <w:webHidden/>
                <w:sz w:val="18"/>
                <w:szCs w:val="18"/>
                <w:lang w:val="en-US"/>
              </w:rPr>
              <w:t>19</w:t>
            </w:r>
          </w:hyperlink>
        </w:p>
        <w:p w14:paraId="71FC0A70" w14:textId="46A5E6DC" w:rsidR="00B4689D" w:rsidRPr="009F337B" w:rsidRDefault="0072758B" w:rsidP="00B4689D">
          <w:pPr>
            <w:pStyle w:val="TDC1"/>
            <w:rPr>
              <w:rFonts w:ascii="Verdana" w:eastAsiaTheme="minorEastAsia" w:hAnsi="Verdana" w:cstheme="minorBidi"/>
              <w:b w:val="0"/>
              <w:caps w:val="0"/>
              <w:szCs w:val="18"/>
              <w:lang w:val="en-US" w:eastAsia="es-CR"/>
            </w:rPr>
          </w:pPr>
          <w:hyperlink w:anchor="_Toc527466485" w:history="1">
            <w:r w:rsidR="00B4689D" w:rsidRPr="009F337B">
              <w:rPr>
                <w:rStyle w:val="Hipervnculo"/>
                <w:rFonts w:ascii="Verdana" w:hAnsi="Verdana"/>
                <w:szCs w:val="18"/>
                <w:lang w:val="en-US"/>
              </w:rPr>
              <w:t xml:space="preserve">VIIi. </w:t>
            </w:r>
            <w:r w:rsidR="00AC197D" w:rsidRPr="009F337B">
              <w:rPr>
                <w:rStyle w:val="Hipervnculo"/>
                <w:rFonts w:ascii="Verdana" w:hAnsi="Verdana"/>
                <w:szCs w:val="18"/>
                <w:lang w:val="en-US"/>
              </w:rPr>
              <w:t>MERITS</w:t>
            </w:r>
            <w:r w:rsidR="00B4689D" w:rsidRPr="009F337B">
              <w:rPr>
                <w:rFonts w:ascii="Verdana" w:hAnsi="Verdana"/>
                <w:webHidden/>
                <w:szCs w:val="18"/>
                <w:lang w:val="en-US"/>
              </w:rPr>
              <w:tab/>
            </w:r>
            <w:r w:rsidR="00B4689D" w:rsidRPr="009F337B">
              <w:rPr>
                <w:rFonts w:ascii="Verdana" w:hAnsi="Verdana"/>
                <w:webHidden/>
                <w:szCs w:val="18"/>
                <w:lang w:val="en-US"/>
              </w:rPr>
              <w:fldChar w:fldCharType="begin"/>
            </w:r>
            <w:r w:rsidR="00B4689D" w:rsidRPr="009F337B">
              <w:rPr>
                <w:rFonts w:ascii="Verdana" w:hAnsi="Verdana"/>
                <w:webHidden/>
                <w:szCs w:val="18"/>
                <w:lang w:val="en-US"/>
              </w:rPr>
              <w:instrText xml:space="preserve"> PAGEREF _Toc527466485 \h </w:instrText>
            </w:r>
            <w:r w:rsidR="00B4689D" w:rsidRPr="009F337B">
              <w:rPr>
                <w:rFonts w:ascii="Verdana" w:hAnsi="Verdana"/>
                <w:webHidden/>
                <w:szCs w:val="18"/>
                <w:lang w:val="en-US"/>
              </w:rPr>
            </w:r>
            <w:r w:rsidR="00B4689D" w:rsidRPr="009F337B">
              <w:rPr>
                <w:rFonts w:ascii="Verdana" w:hAnsi="Verdana"/>
                <w:webHidden/>
                <w:szCs w:val="18"/>
                <w:lang w:val="en-US"/>
              </w:rPr>
              <w:fldChar w:fldCharType="separate"/>
            </w:r>
            <w:r>
              <w:rPr>
                <w:rFonts w:ascii="Verdana" w:hAnsi="Verdana"/>
                <w:webHidden/>
                <w:szCs w:val="18"/>
                <w:lang w:val="en-US"/>
              </w:rPr>
              <w:t>21</w:t>
            </w:r>
            <w:r w:rsidR="00B4689D" w:rsidRPr="009F337B">
              <w:rPr>
                <w:rFonts w:ascii="Verdana" w:hAnsi="Verdana"/>
                <w:webHidden/>
                <w:szCs w:val="18"/>
                <w:lang w:val="en-US"/>
              </w:rPr>
              <w:fldChar w:fldCharType="end"/>
            </w:r>
          </w:hyperlink>
        </w:p>
        <w:p w14:paraId="6D294CC4" w14:textId="5A9047B7" w:rsidR="00B4689D" w:rsidRPr="009F337B" w:rsidRDefault="0072758B" w:rsidP="00B4689D">
          <w:pPr>
            <w:pStyle w:val="TDC1"/>
            <w:rPr>
              <w:rFonts w:ascii="Verdana" w:eastAsiaTheme="minorEastAsia" w:hAnsi="Verdana" w:cstheme="minorBidi"/>
              <w:b w:val="0"/>
              <w:caps w:val="0"/>
              <w:szCs w:val="18"/>
              <w:lang w:val="en-US" w:eastAsia="es-CR"/>
            </w:rPr>
          </w:pPr>
          <w:hyperlink w:anchor="_Toc527466486" w:history="1">
            <w:r w:rsidR="00B4689D" w:rsidRPr="009F337B">
              <w:rPr>
                <w:rStyle w:val="Hipervnculo"/>
                <w:rFonts w:ascii="Verdana" w:hAnsi="Verdana"/>
                <w:szCs w:val="18"/>
                <w:lang w:val="en-US"/>
              </w:rPr>
              <w:t xml:space="preserve">VIIi-1 </w:t>
            </w:r>
            <w:r w:rsidR="00AC197D" w:rsidRPr="009F337B">
              <w:rPr>
                <w:rStyle w:val="Hipervnculo"/>
                <w:rFonts w:ascii="Verdana" w:hAnsi="Verdana"/>
                <w:szCs w:val="18"/>
                <w:lang w:val="en-US"/>
              </w:rPr>
              <w:t>RIGHT TO HEALTH, TO PERSONAL INTEGRITY AND TO LIFE IN RELATION TO THE OBLIGATIONS TO RESPECT AND ENSURE RIGHTS</w:t>
            </w:r>
            <w:r w:rsidR="00B4689D" w:rsidRPr="009F337B">
              <w:rPr>
                <w:rStyle w:val="Hipervnculo"/>
                <w:rFonts w:ascii="Verdana" w:hAnsi="Verdana"/>
                <w:szCs w:val="18"/>
                <w:lang w:val="en-US"/>
              </w:rPr>
              <w:t xml:space="preserve"> (</w:t>
            </w:r>
            <w:r w:rsidR="00AE5F9E" w:rsidRPr="009F337B">
              <w:rPr>
                <w:rStyle w:val="Hipervnculo"/>
                <w:rFonts w:ascii="Verdana" w:hAnsi="Verdana"/>
                <w:szCs w:val="18"/>
                <w:lang w:val="en-US"/>
              </w:rPr>
              <w:t>ARTICLES</w:t>
            </w:r>
            <w:r w:rsidR="00B4689D" w:rsidRPr="009F337B">
              <w:rPr>
                <w:rStyle w:val="Hipervnculo"/>
                <w:rFonts w:ascii="Verdana" w:hAnsi="Verdana"/>
                <w:szCs w:val="18"/>
                <w:lang w:val="en-US"/>
              </w:rPr>
              <w:t xml:space="preserve"> 26, 4, 5</w:t>
            </w:r>
            <w:r w:rsidR="003C46A3" w:rsidRPr="009F337B">
              <w:rPr>
                <w:rStyle w:val="Hipervnculo"/>
                <w:rFonts w:ascii="Verdana" w:hAnsi="Verdana"/>
                <w:szCs w:val="18"/>
                <w:lang w:val="en-US"/>
              </w:rPr>
              <w:t xml:space="preserve"> and 1(1)</w:t>
            </w:r>
            <w:r w:rsidR="00AE5F9E" w:rsidRPr="009F337B">
              <w:rPr>
                <w:rStyle w:val="Hipervnculo"/>
                <w:rFonts w:ascii="Verdana" w:hAnsi="Verdana"/>
                <w:szCs w:val="18"/>
                <w:lang w:val="en-US"/>
              </w:rPr>
              <w:t xml:space="preserve"> of the AMERICAN CONVENTION</w:t>
            </w:r>
            <w:r w:rsidR="00B4689D" w:rsidRPr="009F337B">
              <w:rPr>
                <w:rStyle w:val="Hipervnculo"/>
                <w:rFonts w:ascii="Verdana" w:hAnsi="Verdana"/>
                <w:szCs w:val="18"/>
                <w:lang w:val="en-US"/>
              </w:rPr>
              <w:t>)</w:t>
            </w:r>
            <w:r w:rsidR="00B4689D" w:rsidRPr="009F337B">
              <w:rPr>
                <w:rFonts w:ascii="Verdana" w:hAnsi="Verdana"/>
                <w:webHidden/>
                <w:szCs w:val="18"/>
                <w:lang w:val="en-US"/>
              </w:rPr>
              <w:tab/>
            </w:r>
          </w:hyperlink>
          <w:r w:rsidR="00903904">
            <w:rPr>
              <w:rFonts w:ascii="Verdana" w:hAnsi="Verdana"/>
              <w:szCs w:val="18"/>
              <w:lang w:val="en-US"/>
            </w:rPr>
            <w:t>22</w:t>
          </w:r>
        </w:p>
        <w:p w14:paraId="6472F290" w14:textId="7C4C223B" w:rsidR="00B4689D" w:rsidRPr="009F337B" w:rsidRDefault="0072758B" w:rsidP="00B4689D">
          <w:pPr>
            <w:pStyle w:val="TDC2"/>
            <w:tabs>
              <w:tab w:val="left" w:pos="660"/>
              <w:tab w:val="right" w:leader="dot" w:pos="9350"/>
            </w:tabs>
            <w:spacing w:after="0" w:line="240" w:lineRule="auto"/>
            <w:rPr>
              <w:rFonts w:ascii="Verdana" w:hAnsi="Verdana"/>
              <w:noProof/>
              <w:sz w:val="18"/>
              <w:szCs w:val="18"/>
              <w:lang w:eastAsia="es-CR"/>
            </w:rPr>
          </w:pPr>
          <w:hyperlink w:anchor="_Toc527466487" w:history="1">
            <w:r w:rsidR="00B4689D" w:rsidRPr="009F337B">
              <w:rPr>
                <w:rStyle w:val="Hipervnculo"/>
                <w:rFonts w:ascii="Verdana" w:hAnsi="Verdana"/>
                <w:noProof/>
                <w:sz w:val="18"/>
                <w:szCs w:val="18"/>
              </w:rPr>
              <w:t>A.</w:t>
            </w:r>
            <w:r w:rsidR="00B4689D" w:rsidRPr="009F337B">
              <w:rPr>
                <w:rFonts w:ascii="Verdana" w:hAnsi="Verdana"/>
                <w:noProof/>
                <w:sz w:val="18"/>
                <w:szCs w:val="18"/>
                <w:lang w:eastAsia="es-CR"/>
              </w:rPr>
              <w:tab/>
            </w:r>
            <w:r w:rsidR="0027465E" w:rsidRPr="009F337B">
              <w:rPr>
                <w:rStyle w:val="Hipervnculo"/>
                <w:rFonts w:ascii="Verdana" w:hAnsi="Verdana"/>
                <w:noProof/>
                <w:sz w:val="18"/>
                <w:szCs w:val="18"/>
              </w:rPr>
              <w:t>Arguments of the Commission and the parties</w:t>
            </w:r>
            <w:r w:rsidR="00B4689D" w:rsidRPr="009F337B">
              <w:rPr>
                <w:rFonts w:ascii="Verdana" w:hAnsi="Verdana"/>
                <w:noProof/>
                <w:webHidden/>
                <w:sz w:val="18"/>
                <w:szCs w:val="18"/>
              </w:rPr>
              <w:tab/>
            </w:r>
          </w:hyperlink>
          <w:r w:rsidR="00903904">
            <w:rPr>
              <w:rFonts w:ascii="Verdana" w:hAnsi="Verdana"/>
              <w:noProof/>
              <w:sz w:val="18"/>
              <w:szCs w:val="18"/>
            </w:rPr>
            <w:t>22</w:t>
          </w:r>
        </w:p>
        <w:p w14:paraId="28D065CA" w14:textId="548E5164" w:rsidR="00B4689D" w:rsidRPr="009F337B" w:rsidRDefault="0072758B" w:rsidP="00B4689D">
          <w:pPr>
            <w:pStyle w:val="TDC2"/>
            <w:tabs>
              <w:tab w:val="left" w:pos="660"/>
              <w:tab w:val="right" w:leader="dot" w:pos="9350"/>
            </w:tabs>
            <w:spacing w:after="0" w:line="240" w:lineRule="auto"/>
            <w:rPr>
              <w:rFonts w:ascii="Verdana" w:hAnsi="Verdana"/>
              <w:noProof/>
              <w:sz w:val="18"/>
              <w:szCs w:val="18"/>
              <w:lang w:eastAsia="es-CR"/>
            </w:rPr>
          </w:pPr>
          <w:hyperlink w:anchor="_Toc527466488" w:history="1">
            <w:r w:rsidR="00B4689D" w:rsidRPr="009F337B">
              <w:rPr>
                <w:rStyle w:val="Hipervnculo"/>
                <w:rFonts w:ascii="Verdana" w:hAnsi="Verdana"/>
                <w:noProof/>
                <w:sz w:val="18"/>
                <w:szCs w:val="18"/>
              </w:rPr>
              <w:t>B.</w:t>
            </w:r>
            <w:r w:rsidR="00B4689D" w:rsidRPr="009F337B">
              <w:rPr>
                <w:rFonts w:ascii="Verdana" w:hAnsi="Verdana"/>
                <w:noProof/>
                <w:sz w:val="18"/>
                <w:szCs w:val="18"/>
                <w:lang w:eastAsia="es-CR"/>
              </w:rPr>
              <w:tab/>
            </w:r>
            <w:r w:rsidR="00473F70" w:rsidRPr="009F337B">
              <w:rPr>
                <w:rStyle w:val="Hipervnculo"/>
                <w:rFonts w:ascii="Verdana" w:hAnsi="Verdana"/>
                <w:noProof/>
                <w:sz w:val="18"/>
                <w:szCs w:val="18"/>
              </w:rPr>
              <w:t>Considerations</w:t>
            </w:r>
            <w:r w:rsidR="00AE5F9E" w:rsidRPr="009F337B">
              <w:rPr>
                <w:rStyle w:val="Hipervnculo"/>
                <w:rFonts w:ascii="Verdana" w:hAnsi="Verdana"/>
                <w:noProof/>
                <w:sz w:val="18"/>
                <w:szCs w:val="18"/>
              </w:rPr>
              <w:t xml:space="preserve"> of the Court</w:t>
            </w:r>
            <w:r w:rsidR="00B4689D" w:rsidRPr="009F337B">
              <w:rPr>
                <w:rFonts w:ascii="Verdana" w:hAnsi="Verdana"/>
                <w:noProof/>
                <w:webHidden/>
                <w:sz w:val="18"/>
                <w:szCs w:val="18"/>
              </w:rPr>
              <w:tab/>
            </w:r>
            <w:r w:rsidR="00B4689D" w:rsidRPr="009F337B">
              <w:rPr>
                <w:rFonts w:ascii="Verdana" w:hAnsi="Verdana"/>
                <w:noProof/>
                <w:webHidden/>
                <w:sz w:val="18"/>
                <w:szCs w:val="18"/>
              </w:rPr>
              <w:fldChar w:fldCharType="begin"/>
            </w:r>
            <w:r w:rsidR="00B4689D" w:rsidRPr="009F337B">
              <w:rPr>
                <w:rFonts w:ascii="Verdana" w:hAnsi="Verdana"/>
                <w:noProof/>
                <w:webHidden/>
                <w:sz w:val="18"/>
                <w:szCs w:val="18"/>
              </w:rPr>
              <w:instrText xml:space="preserve"> PAGEREF _Toc527466488 \h </w:instrText>
            </w:r>
            <w:r w:rsidR="00B4689D" w:rsidRPr="009F337B">
              <w:rPr>
                <w:rFonts w:ascii="Verdana" w:hAnsi="Verdana"/>
                <w:noProof/>
                <w:webHidden/>
                <w:sz w:val="18"/>
                <w:szCs w:val="18"/>
              </w:rPr>
            </w:r>
            <w:r w:rsidR="00B4689D" w:rsidRPr="009F337B">
              <w:rPr>
                <w:rFonts w:ascii="Verdana" w:hAnsi="Verdana"/>
                <w:noProof/>
                <w:webHidden/>
                <w:sz w:val="18"/>
                <w:szCs w:val="18"/>
              </w:rPr>
              <w:fldChar w:fldCharType="separate"/>
            </w:r>
            <w:r>
              <w:rPr>
                <w:rFonts w:ascii="Verdana" w:hAnsi="Verdana"/>
                <w:noProof/>
                <w:webHidden/>
                <w:sz w:val="18"/>
                <w:szCs w:val="18"/>
              </w:rPr>
              <w:t>24</w:t>
            </w:r>
            <w:r w:rsidR="00B4689D" w:rsidRPr="009F337B">
              <w:rPr>
                <w:rFonts w:ascii="Verdana" w:hAnsi="Verdana"/>
                <w:noProof/>
                <w:webHidden/>
                <w:sz w:val="18"/>
                <w:szCs w:val="18"/>
              </w:rPr>
              <w:fldChar w:fldCharType="end"/>
            </w:r>
          </w:hyperlink>
        </w:p>
        <w:p w14:paraId="5DDDCA4D" w14:textId="7BB50C53" w:rsidR="00B4689D" w:rsidRPr="009F337B" w:rsidRDefault="0072758B" w:rsidP="00B4689D">
          <w:pPr>
            <w:pStyle w:val="TDC3"/>
            <w:tabs>
              <w:tab w:val="right" w:leader="dot" w:pos="9350"/>
            </w:tabs>
            <w:spacing w:after="0" w:line="240" w:lineRule="auto"/>
            <w:rPr>
              <w:rFonts w:ascii="Verdana" w:eastAsiaTheme="minorEastAsia" w:hAnsi="Verdana"/>
              <w:noProof/>
              <w:sz w:val="18"/>
              <w:szCs w:val="18"/>
              <w:lang w:val="en-US" w:eastAsia="es-CR"/>
            </w:rPr>
          </w:pPr>
          <w:hyperlink w:anchor="_Toc527466489" w:history="1">
            <w:r w:rsidR="00B4689D" w:rsidRPr="009F337B">
              <w:rPr>
                <w:rStyle w:val="Hipervnculo"/>
                <w:rFonts w:ascii="Verdana" w:hAnsi="Verdana"/>
                <w:noProof/>
                <w:sz w:val="18"/>
                <w:szCs w:val="18"/>
                <w:lang w:val="en-US"/>
              </w:rPr>
              <w:t xml:space="preserve">B.1. </w:t>
            </w:r>
            <w:r w:rsidR="00BD4205" w:rsidRPr="009F337B">
              <w:rPr>
                <w:rStyle w:val="Hipervnculo"/>
                <w:rFonts w:ascii="Verdana" w:hAnsi="Verdana"/>
                <w:noProof/>
                <w:sz w:val="18"/>
                <w:szCs w:val="18"/>
                <w:lang w:val="en-US"/>
              </w:rPr>
              <w:t>The justiciability of economic, social, cultural and environmental rights</w:t>
            </w:r>
            <w:r w:rsidR="00B4689D" w:rsidRPr="009F337B">
              <w:rPr>
                <w:rFonts w:ascii="Verdana" w:hAnsi="Verdana"/>
                <w:noProof/>
                <w:webHidden/>
                <w:sz w:val="18"/>
                <w:szCs w:val="18"/>
                <w:lang w:val="en-US"/>
              </w:rPr>
              <w:tab/>
            </w:r>
            <w:r w:rsidR="00B4689D" w:rsidRPr="009F337B">
              <w:rPr>
                <w:rFonts w:ascii="Verdana" w:hAnsi="Verdana"/>
                <w:noProof/>
                <w:webHidden/>
                <w:sz w:val="18"/>
                <w:szCs w:val="18"/>
                <w:lang w:val="en-US"/>
              </w:rPr>
              <w:fldChar w:fldCharType="begin"/>
            </w:r>
            <w:r w:rsidR="00B4689D" w:rsidRPr="009F337B">
              <w:rPr>
                <w:rFonts w:ascii="Verdana" w:hAnsi="Verdana"/>
                <w:noProof/>
                <w:webHidden/>
                <w:sz w:val="18"/>
                <w:szCs w:val="18"/>
                <w:lang w:val="en-US"/>
              </w:rPr>
              <w:instrText xml:space="preserve"> PAGEREF _Toc527466489 \h </w:instrText>
            </w:r>
            <w:r w:rsidR="00B4689D" w:rsidRPr="009F337B">
              <w:rPr>
                <w:rFonts w:ascii="Verdana" w:hAnsi="Verdana"/>
                <w:noProof/>
                <w:webHidden/>
                <w:sz w:val="18"/>
                <w:szCs w:val="18"/>
                <w:lang w:val="en-US"/>
              </w:rPr>
            </w:r>
            <w:r w:rsidR="00B4689D" w:rsidRPr="009F337B">
              <w:rPr>
                <w:rFonts w:ascii="Verdana" w:hAnsi="Verdana"/>
                <w:noProof/>
                <w:webHidden/>
                <w:sz w:val="18"/>
                <w:szCs w:val="18"/>
                <w:lang w:val="en-US"/>
              </w:rPr>
              <w:fldChar w:fldCharType="separate"/>
            </w:r>
            <w:r>
              <w:rPr>
                <w:rFonts w:ascii="Verdana" w:hAnsi="Verdana"/>
                <w:noProof/>
                <w:webHidden/>
                <w:sz w:val="18"/>
                <w:szCs w:val="18"/>
                <w:lang w:val="en-US"/>
              </w:rPr>
              <w:t>26</w:t>
            </w:r>
            <w:r w:rsidR="00B4689D" w:rsidRPr="009F337B">
              <w:rPr>
                <w:rFonts w:ascii="Verdana" w:hAnsi="Verdana"/>
                <w:noProof/>
                <w:webHidden/>
                <w:sz w:val="18"/>
                <w:szCs w:val="18"/>
                <w:lang w:val="en-US"/>
              </w:rPr>
              <w:fldChar w:fldCharType="end"/>
            </w:r>
          </w:hyperlink>
        </w:p>
        <w:p w14:paraId="20A6D699" w14:textId="7579B927" w:rsidR="00B4689D" w:rsidRPr="009F337B" w:rsidRDefault="0072758B" w:rsidP="00B4689D">
          <w:pPr>
            <w:pStyle w:val="TDC3"/>
            <w:tabs>
              <w:tab w:val="right" w:leader="dot" w:pos="9350"/>
            </w:tabs>
            <w:spacing w:after="0" w:line="240" w:lineRule="auto"/>
            <w:rPr>
              <w:rFonts w:ascii="Verdana" w:eastAsiaTheme="minorEastAsia" w:hAnsi="Verdana"/>
              <w:noProof/>
              <w:sz w:val="18"/>
              <w:szCs w:val="18"/>
              <w:lang w:val="en-US" w:eastAsia="es-CR"/>
            </w:rPr>
          </w:pPr>
          <w:hyperlink w:anchor="_Toc527466490" w:history="1">
            <w:r w:rsidR="00B4689D" w:rsidRPr="009F337B">
              <w:rPr>
                <w:rStyle w:val="Hipervnculo"/>
                <w:rFonts w:ascii="Verdana" w:hAnsi="Verdana"/>
                <w:noProof/>
                <w:sz w:val="18"/>
                <w:szCs w:val="18"/>
                <w:lang w:val="en-US"/>
              </w:rPr>
              <w:t xml:space="preserve">B.2. </w:t>
            </w:r>
            <w:r w:rsidR="00A51F3B" w:rsidRPr="009F337B">
              <w:rPr>
                <w:rStyle w:val="Hipervnculo"/>
                <w:rFonts w:ascii="Verdana" w:hAnsi="Verdana"/>
                <w:noProof/>
                <w:sz w:val="18"/>
                <w:szCs w:val="18"/>
                <w:lang w:val="en-US"/>
              </w:rPr>
              <w:t>The right to health as an autonomous and justiciable right</w:t>
            </w:r>
            <w:r w:rsidR="00B4689D" w:rsidRPr="009F337B">
              <w:rPr>
                <w:rFonts w:ascii="Verdana" w:hAnsi="Verdana"/>
                <w:noProof/>
                <w:webHidden/>
                <w:sz w:val="18"/>
                <w:szCs w:val="18"/>
                <w:lang w:val="en-US"/>
              </w:rPr>
              <w:tab/>
            </w:r>
            <w:r w:rsidR="00B4689D" w:rsidRPr="009F337B">
              <w:rPr>
                <w:rFonts w:ascii="Verdana" w:hAnsi="Verdana"/>
                <w:noProof/>
                <w:webHidden/>
                <w:sz w:val="18"/>
                <w:szCs w:val="18"/>
                <w:lang w:val="en-US"/>
              </w:rPr>
              <w:fldChar w:fldCharType="begin"/>
            </w:r>
            <w:r w:rsidR="00B4689D" w:rsidRPr="009F337B">
              <w:rPr>
                <w:rFonts w:ascii="Verdana" w:hAnsi="Verdana"/>
                <w:noProof/>
                <w:webHidden/>
                <w:sz w:val="18"/>
                <w:szCs w:val="18"/>
                <w:lang w:val="en-US"/>
              </w:rPr>
              <w:instrText xml:space="preserve"> PAGEREF _Toc527466490 \h </w:instrText>
            </w:r>
            <w:r w:rsidR="00B4689D" w:rsidRPr="009F337B">
              <w:rPr>
                <w:rFonts w:ascii="Verdana" w:hAnsi="Verdana"/>
                <w:noProof/>
                <w:webHidden/>
                <w:sz w:val="18"/>
                <w:szCs w:val="18"/>
                <w:lang w:val="en-US"/>
              </w:rPr>
            </w:r>
            <w:r w:rsidR="00B4689D" w:rsidRPr="009F337B">
              <w:rPr>
                <w:rFonts w:ascii="Verdana" w:hAnsi="Verdana"/>
                <w:noProof/>
                <w:webHidden/>
                <w:sz w:val="18"/>
                <w:szCs w:val="18"/>
                <w:lang w:val="en-US"/>
              </w:rPr>
              <w:fldChar w:fldCharType="separate"/>
            </w:r>
            <w:r>
              <w:rPr>
                <w:rFonts w:ascii="Verdana" w:hAnsi="Verdana"/>
                <w:noProof/>
                <w:webHidden/>
                <w:sz w:val="18"/>
                <w:szCs w:val="18"/>
                <w:lang w:val="en-US"/>
              </w:rPr>
              <w:t>34</w:t>
            </w:r>
            <w:r w:rsidR="00B4689D" w:rsidRPr="009F337B">
              <w:rPr>
                <w:rFonts w:ascii="Verdana" w:hAnsi="Verdana"/>
                <w:noProof/>
                <w:webHidden/>
                <w:sz w:val="18"/>
                <w:szCs w:val="18"/>
                <w:lang w:val="en-US"/>
              </w:rPr>
              <w:fldChar w:fldCharType="end"/>
            </w:r>
          </w:hyperlink>
        </w:p>
        <w:p w14:paraId="3B837144" w14:textId="5C5EDBF3" w:rsidR="00B4689D" w:rsidRPr="009F337B" w:rsidRDefault="0072758B" w:rsidP="00B4689D">
          <w:pPr>
            <w:pStyle w:val="TDC3"/>
            <w:tabs>
              <w:tab w:val="right" w:leader="dot" w:pos="9350"/>
            </w:tabs>
            <w:spacing w:after="0" w:line="240" w:lineRule="auto"/>
            <w:rPr>
              <w:rFonts w:ascii="Verdana" w:eastAsiaTheme="minorEastAsia" w:hAnsi="Verdana"/>
              <w:noProof/>
              <w:sz w:val="18"/>
              <w:szCs w:val="18"/>
              <w:lang w:val="en-US" w:eastAsia="es-CR"/>
            </w:rPr>
          </w:pPr>
          <w:hyperlink w:anchor="_Toc527466491" w:history="1">
            <w:r w:rsidR="00B4689D" w:rsidRPr="009F337B">
              <w:rPr>
                <w:rStyle w:val="Hipervnculo"/>
                <w:rFonts w:ascii="Verdana" w:eastAsia="Verdana" w:hAnsi="Verdana"/>
                <w:bCs/>
                <w:noProof/>
                <w:sz w:val="18"/>
                <w:szCs w:val="18"/>
                <w:lang w:val="en-US" w:eastAsia="x-none"/>
              </w:rPr>
              <w:t xml:space="preserve">B.3. </w:t>
            </w:r>
            <w:r w:rsidR="00233F74" w:rsidRPr="009F337B">
              <w:rPr>
                <w:rStyle w:val="Hipervnculo"/>
                <w:rFonts w:ascii="Verdana" w:hAnsi="Verdana"/>
                <w:noProof/>
                <w:sz w:val="18"/>
                <w:szCs w:val="18"/>
                <w:lang w:val="en-US"/>
              </w:rPr>
              <w:t xml:space="preserve">The content </w:t>
            </w:r>
            <w:r w:rsidR="00371ADF" w:rsidRPr="009F337B">
              <w:rPr>
                <w:rStyle w:val="Hipervnculo"/>
                <w:rFonts w:ascii="Verdana" w:hAnsi="Verdana"/>
                <w:noProof/>
                <w:sz w:val="18"/>
                <w:szCs w:val="18"/>
                <w:lang w:val="en-US"/>
              </w:rPr>
              <w:t xml:space="preserve">of the </w:t>
            </w:r>
            <w:r w:rsidR="00A51F3B" w:rsidRPr="009F337B">
              <w:rPr>
                <w:rStyle w:val="Hipervnculo"/>
                <w:rFonts w:ascii="Verdana" w:hAnsi="Verdana"/>
                <w:noProof/>
                <w:sz w:val="18"/>
                <w:szCs w:val="18"/>
                <w:lang w:val="en-US"/>
              </w:rPr>
              <w:t>right to health</w:t>
            </w:r>
            <w:r w:rsidR="00B4689D" w:rsidRPr="009F337B">
              <w:rPr>
                <w:rFonts w:ascii="Verdana" w:hAnsi="Verdana"/>
                <w:noProof/>
                <w:webHidden/>
                <w:sz w:val="18"/>
                <w:szCs w:val="18"/>
                <w:lang w:val="en-US"/>
              </w:rPr>
              <w:tab/>
            </w:r>
            <w:r w:rsidR="00B4689D" w:rsidRPr="009F337B">
              <w:rPr>
                <w:rFonts w:ascii="Verdana" w:hAnsi="Verdana"/>
                <w:noProof/>
                <w:webHidden/>
                <w:sz w:val="18"/>
                <w:szCs w:val="18"/>
                <w:lang w:val="en-US"/>
              </w:rPr>
              <w:fldChar w:fldCharType="begin"/>
            </w:r>
            <w:r w:rsidR="00B4689D" w:rsidRPr="009F337B">
              <w:rPr>
                <w:rFonts w:ascii="Verdana" w:hAnsi="Verdana"/>
                <w:noProof/>
                <w:webHidden/>
                <w:sz w:val="18"/>
                <w:szCs w:val="18"/>
                <w:lang w:val="en-US"/>
              </w:rPr>
              <w:instrText xml:space="preserve"> PAGEREF _Toc527466491 \h </w:instrText>
            </w:r>
            <w:r w:rsidR="00B4689D" w:rsidRPr="009F337B">
              <w:rPr>
                <w:rFonts w:ascii="Verdana" w:hAnsi="Verdana"/>
                <w:noProof/>
                <w:webHidden/>
                <w:sz w:val="18"/>
                <w:szCs w:val="18"/>
                <w:lang w:val="en-US"/>
              </w:rPr>
            </w:r>
            <w:r w:rsidR="00B4689D" w:rsidRPr="009F337B">
              <w:rPr>
                <w:rFonts w:ascii="Verdana" w:hAnsi="Verdana"/>
                <w:noProof/>
                <w:webHidden/>
                <w:sz w:val="18"/>
                <w:szCs w:val="18"/>
                <w:lang w:val="en-US"/>
              </w:rPr>
              <w:fldChar w:fldCharType="separate"/>
            </w:r>
            <w:r>
              <w:rPr>
                <w:rFonts w:ascii="Verdana" w:hAnsi="Verdana"/>
                <w:noProof/>
                <w:webHidden/>
                <w:sz w:val="18"/>
                <w:szCs w:val="18"/>
                <w:lang w:val="en-US"/>
              </w:rPr>
              <w:t>36</w:t>
            </w:r>
            <w:r w:rsidR="00B4689D" w:rsidRPr="009F337B">
              <w:rPr>
                <w:rFonts w:ascii="Verdana" w:hAnsi="Verdana"/>
                <w:noProof/>
                <w:webHidden/>
                <w:sz w:val="18"/>
                <w:szCs w:val="18"/>
                <w:lang w:val="en-US"/>
              </w:rPr>
              <w:fldChar w:fldCharType="end"/>
            </w:r>
          </w:hyperlink>
        </w:p>
        <w:p w14:paraId="3C9D14B2" w14:textId="4145FFE7" w:rsidR="00B4689D" w:rsidRPr="009F337B" w:rsidRDefault="0072758B" w:rsidP="00B4689D">
          <w:pPr>
            <w:pStyle w:val="TDC3"/>
            <w:tabs>
              <w:tab w:val="right" w:leader="dot" w:pos="9350"/>
            </w:tabs>
            <w:spacing w:after="0" w:line="240" w:lineRule="auto"/>
            <w:rPr>
              <w:rFonts w:ascii="Verdana" w:eastAsiaTheme="minorEastAsia" w:hAnsi="Verdana"/>
              <w:noProof/>
              <w:sz w:val="18"/>
              <w:szCs w:val="18"/>
              <w:lang w:val="en-US" w:eastAsia="es-CR"/>
            </w:rPr>
          </w:pPr>
          <w:hyperlink w:anchor="_Toc527466492" w:history="1">
            <w:r w:rsidR="00B4689D" w:rsidRPr="009F337B">
              <w:rPr>
                <w:rStyle w:val="Hipervnculo"/>
                <w:rFonts w:ascii="Verdana" w:eastAsia="Verdana" w:hAnsi="Verdana"/>
                <w:bCs/>
                <w:noProof/>
                <w:sz w:val="18"/>
                <w:szCs w:val="18"/>
                <w:lang w:val="en-US" w:eastAsia="x-none"/>
              </w:rPr>
              <w:t xml:space="preserve">B.4. </w:t>
            </w:r>
            <w:r w:rsidR="00B85062" w:rsidRPr="009F337B">
              <w:rPr>
                <w:rStyle w:val="Hipervnculo"/>
                <w:rFonts w:ascii="Verdana" w:hAnsi="Verdana"/>
                <w:noProof/>
                <w:sz w:val="18"/>
                <w:szCs w:val="18"/>
                <w:lang w:val="en-US"/>
              </w:rPr>
              <w:t>The violation of the right to health</w:t>
            </w:r>
            <w:r w:rsidR="00B4689D" w:rsidRPr="009F337B">
              <w:rPr>
                <w:rFonts w:ascii="Verdana" w:hAnsi="Verdana"/>
                <w:noProof/>
                <w:webHidden/>
                <w:sz w:val="18"/>
                <w:szCs w:val="18"/>
                <w:lang w:val="en-US"/>
              </w:rPr>
              <w:tab/>
            </w:r>
            <w:r w:rsidR="00B4689D" w:rsidRPr="009F337B">
              <w:rPr>
                <w:rFonts w:ascii="Verdana" w:hAnsi="Verdana"/>
                <w:noProof/>
                <w:webHidden/>
                <w:sz w:val="18"/>
                <w:szCs w:val="18"/>
                <w:lang w:val="en-US"/>
              </w:rPr>
              <w:fldChar w:fldCharType="begin"/>
            </w:r>
            <w:r w:rsidR="00B4689D" w:rsidRPr="009F337B">
              <w:rPr>
                <w:rFonts w:ascii="Verdana" w:hAnsi="Verdana"/>
                <w:noProof/>
                <w:webHidden/>
                <w:sz w:val="18"/>
                <w:szCs w:val="18"/>
                <w:lang w:val="en-US"/>
              </w:rPr>
              <w:instrText xml:space="preserve"> PAGEREF _Toc527466492 \h </w:instrText>
            </w:r>
            <w:r w:rsidR="00B4689D" w:rsidRPr="009F337B">
              <w:rPr>
                <w:rFonts w:ascii="Verdana" w:hAnsi="Verdana"/>
                <w:noProof/>
                <w:webHidden/>
                <w:sz w:val="18"/>
                <w:szCs w:val="18"/>
                <w:lang w:val="en-US"/>
              </w:rPr>
            </w:r>
            <w:r w:rsidR="00B4689D" w:rsidRPr="009F337B">
              <w:rPr>
                <w:rFonts w:ascii="Verdana" w:hAnsi="Verdana"/>
                <w:noProof/>
                <w:webHidden/>
                <w:sz w:val="18"/>
                <w:szCs w:val="18"/>
                <w:lang w:val="en-US"/>
              </w:rPr>
              <w:fldChar w:fldCharType="separate"/>
            </w:r>
            <w:r>
              <w:rPr>
                <w:rFonts w:ascii="Verdana" w:hAnsi="Verdana"/>
                <w:noProof/>
                <w:webHidden/>
                <w:sz w:val="18"/>
                <w:szCs w:val="18"/>
                <w:lang w:val="en-US"/>
              </w:rPr>
              <w:t>42</w:t>
            </w:r>
            <w:r w:rsidR="00B4689D" w:rsidRPr="009F337B">
              <w:rPr>
                <w:rFonts w:ascii="Verdana" w:hAnsi="Verdana"/>
                <w:noProof/>
                <w:webHidden/>
                <w:sz w:val="18"/>
                <w:szCs w:val="18"/>
                <w:lang w:val="en-US"/>
              </w:rPr>
              <w:fldChar w:fldCharType="end"/>
            </w:r>
          </w:hyperlink>
        </w:p>
        <w:p w14:paraId="712FC614" w14:textId="3730204B" w:rsidR="00B4689D" w:rsidRPr="009F337B" w:rsidRDefault="0072758B" w:rsidP="00B4689D">
          <w:pPr>
            <w:pStyle w:val="TDC3"/>
            <w:tabs>
              <w:tab w:val="right" w:leader="dot" w:pos="9350"/>
            </w:tabs>
            <w:spacing w:after="0" w:line="240" w:lineRule="auto"/>
            <w:rPr>
              <w:rFonts w:ascii="Verdana" w:eastAsiaTheme="minorEastAsia" w:hAnsi="Verdana"/>
              <w:noProof/>
              <w:sz w:val="18"/>
              <w:szCs w:val="18"/>
              <w:lang w:val="en-US" w:eastAsia="es-CR"/>
            </w:rPr>
          </w:pPr>
          <w:hyperlink w:anchor="_Toc527466493" w:history="1">
            <w:r w:rsidR="00B4689D" w:rsidRPr="009F337B">
              <w:rPr>
                <w:rStyle w:val="Hipervnculo"/>
                <w:rFonts w:ascii="Verdana" w:hAnsi="Verdana"/>
                <w:noProof/>
                <w:sz w:val="18"/>
                <w:szCs w:val="18"/>
                <w:lang w:val="en-US"/>
              </w:rPr>
              <w:t xml:space="preserve">B.5. </w:t>
            </w:r>
            <w:r w:rsidR="00F3419F" w:rsidRPr="009F337B">
              <w:rPr>
                <w:rStyle w:val="Hipervnculo"/>
                <w:rFonts w:ascii="Verdana" w:hAnsi="Verdana"/>
                <w:noProof/>
                <w:sz w:val="18"/>
                <w:szCs w:val="18"/>
                <w:lang w:val="en-US"/>
              </w:rPr>
              <w:t>The violation of the rights to life and to</w:t>
            </w:r>
            <w:r w:rsidR="00B4689D" w:rsidRPr="009F337B">
              <w:rPr>
                <w:rStyle w:val="Hipervnculo"/>
                <w:rFonts w:ascii="Verdana" w:hAnsi="Verdana"/>
                <w:noProof/>
                <w:sz w:val="18"/>
                <w:szCs w:val="18"/>
                <w:lang w:val="en-US"/>
              </w:rPr>
              <w:t xml:space="preserve"> </w:t>
            </w:r>
            <w:r w:rsidR="003C46A3" w:rsidRPr="009F337B">
              <w:rPr>
                <w:rStyle w:val="Hipervnculo"/>
                <w:rFonts w:ascii="Verdana" w:hAnsi="Verdana"/>
                <w:noProof/>
                <w:sz w:val="18"/>
                <w:szCs w:val="18"/>
                <w:lang w:val="en-US"/>
              </w:rPr>
              <w:t>personal integrity</w:t>
            </w:r>
            <w:r w:rsidR="00B4689D" w:rsidRPr="009F337B">
              <w:rPr>
                <w:rFonts w:ascii="Verdana" w:hAnsi="Verdana"/>
                <w:noProof/>
                <w:webHidden/>
                <w:sz w:val="18"/>
                <w:szCs w:val="18"/>
                <w:lang w:val="en-US"/>
              </w:rPr>
              <w:tab/>
            </w:r>
            <w:r w:rsidR="00B4689D" w:rsidRPr="009F337B">
              <w:rPr>
                <w:rFonts w:ascii="Verdana" w:hAnsi="Verdana"/>
                <w:noProof/>
                <w:webHidden/>
                <w:sz w:val="18"/>
                <w:szCs w:val="18"/>
                <w:lang w:val="en-US"/>
              </w:rPr>
              <w:fldChar w:fldCharType="begin"/>
            </w:r>
            <w:r w:rsidR="00B4689D" w:rsidRPr="009F337B">
              <w:rPr>
                <w:rFonts w:ascii="Verdana" w:hAnsi="Verdana"/>
                <w:noProof/>
                <w:webHidden/>
                <w:sz w:val="18"/>
                <w:szCs w:val="18"/>
                <w:lang w:val="en-US"/>
              </w:rPr>
              <w:instrText xml:space="preserve"> PAGEREF _Toc527466493 \h </w:instrText>
            </w:r>
            <w:r w:rsidR="00B4689D" w:rsidRPr="009F337B">
              <w:rPr>
                <w:rFonts w:ascii="Verdana" w:hAnsi="Verdana"/>
                <w:noProof/>
                <w:webHidden/>
                <w:sz w:val="18"/>
                <w:szCs w:val="18"/>
                <w:lang w:val="en-US"/>
              </w:rPr>
            </w:r>
            <w:r w:rsidR="00B4689D" w:rsidRPr="009F337B">
              <w:rPr>
                <w:rFonts w:ascii="Verdana" w:hAnsi="Verdana"/>
                <w:noProof/>
                <w:webHidden/>
                <w:sz w:val="18"/>
                <w:szCs w:val="18"/>
                <w:lang w:val="en-US"/>
              </w:rPr>
              <w:fldChar w:fldCharType="separate"/>
            </w:r>
            <w:r>
              <w:rPr>
                <w:rFonts w:ascii="Verdana" w:hAnsi="Verdana"/>
                <w:noProof/>
                <w:webHidden/>
                <w:sz w:val="18"/>
                <w:szCs w:val="18"/>
                <w:lang w:val="en-US"/>
              </w:rPr>
              <w:t>53</w:t>
            </w:r>
            <w:r w:rsidR="00B4689D" w:rsidRPr="009F337B">
              <w:rPr>
                <w:rFonts w:ascii="Verdana" w:hAnsi="Verdana"/>
                <w:noProof/>
                <w:webHidden/>
                <w:sz w:val="18"/>
                <w:szCs w:val="18"/>
                <w:lang w:val="en-US"/>
              </w:rPr>
              <w:fldChar w:fldCharType="end"/>
            </w:r>
          </w:hyperlink>
        </w:p>
        <w:p w14:paraId="50CEF02A" w14:textId="2F0EF7FA" w:rsidR="00B4689D" w:rsidRPr="009F337B" w:rsidRDefault="0072758B" w:rsidP="00B4689D">
          <w:pPr>
            <w:pStyle w:val="TDC1"/>
            <w:rPr>
              <w:rFonts w:ascii="Verdana" w:eastAsiaTheme="minorEastAsia" w:hAnsi="Verdana" w:cstheme="minorBidi"/>
              <w:b w:val="0"/>
              <w:caps w:val="0"/>
              <w:szCs w:val="18"/>
              <w:lang w:val="en-US" w:eastAsia="es-CR"/>
            </w:rPr>
          </w:pPr>
          <w:hyperlink w:anchor="_Toc527466494" w:history="1">
            <w:r w:rsidR="00B4689D" w:rsidRPr="009F337B">
              <w:rPr>
                <w:rStyle w:val="Hipervnculo"/>
                <w:rFonts w:ascii="Verdana" w:hAnsi="Verdana"/>
                <w:szCs w:val="18"/>
                <w:lang w:val="en-US"/>
              </w:rPr>
              <w:t xml:space="preserve">VIIi-2 </w:t>
            </w:r>
            <w:r w:rsidR="00EF3F8B" w:rsidRPr="009F337B">
              <w:rPr>
                <w:rStyle w:val="Hipervnculo"/>
                <w:rFonts w:ascii="Verdana" w:hAnsi="Verdana"/>
                <w:szCs w:val="18"/>
                <w:lang w:val="en-US"/>
              </w:rPr>
              <w:t>RIGHT TO JUDICIAL GUARANTEES AND TO JUDICIAL PROTECTION</w:t>
            </w:r>
            <w:r w:rsidR="00B4689D" w:rsidRPr="009F337B">
              <w:rPr>
                <w:rStyle w:val="Hipervnculo"/>
                <w:rFonts w:ascii="Verdana" w:hAnsi="Verdana"/>
                <w:szCs w:val="18"/>
                <w:lang w:val="en-US"/>
              </w:rPr>
              <w:t xml:space="preserve"> </w:t>
            </w:r>
            <w:r w:rsidR="000E73AE" w:rsidRPr="009F337B">
              <w:rPr>
                <w:rStyle w:val="Hipervnculo"/>
                <w:rFonts w:ascii="Verdana" w:hAnsi="Verdana"/>
                <w:szCs w:val="18"/>
                <w:lang w:val="en-US"/>
              </w:rPr>
              <w:t>IN RELATION TO</w:t>
            </w:r>
            <w:r w:rsidR="00B4689D" w:rsidRPr="009F337B">
              <w:rPr>
                <w:rStyle w:val="Hipervnculo"/>
                <w:rFonts w:ascii="Verdana" w:hAnsi="Verdana"/>
                <w:szCs w:val="18"/>
                <w:lang w:val="en-US"/>
              </w:rPr>
              <w:t xml:space="preserve"> </w:t>
            </w:r>
            <w:r w:rsidR="00EF3F8B" w:rsidRPr="009F337B">
              <w:rPr>
                <w:rStyle w:val="Hipervnculo"/>
                <w:rFonts w:ascii="Verdana" w:hAnsi="Verdana"/>
                <w:szCs w:val="18"/>
                <w:lang w:val="en-US"/>
              </w:rPr>
              <w:t>THE OBLIGATIONS TO RESPECT AND TO ENSURE THE RIGHTS</w:t>
            </w:r>
            <w:r w:rsidR="00B4689D" w:rsidRPr="009F337B">
              <w:rPr>
                <w:rStyle w:val="Hipervnculo"/>
                <w:rFonts w:ascii="Verdana" w:hAnsi="Verdana"/>
                <w:szCs w:val="18"/>
                <w:lang w:val="en-US"/>
              </w:rPr>
              <w:t xml:space="preserve"> (</w:t>
            </w:r>
            <w:r w:rsidR="00AE5F9E" w:rsidRPr="009F337B">
              <w:rPr>
                <w:rStyle w:val="Hipervnculo"/>
                <w:rFonts w:ascii="Verdana" w:hAnsi="Verdana"/>
                <w:szCs w:val="18"/>
                <w:lang w:val="en-US"/>
              </w:rPr>
              <w:t>ARTICLES</w:t>
            </w:r>
            <w:r w:rsidR="00B4689D" w:rsidRPr="009F337B">
              <w:rPr>
                <w:rStyle w:val="Hipervnculo"/>
                <w:rFonts w:ascii="Verdana" w:hAnsi="Verdana"/>
                <w:szCs w:val="18"/>
                <w:lang w:val="en-US"/>
              </w:rPr>
              <w:t xml:space="preserve"> 8, 25</w:t>
            </w:r>
            <w:r w:rsidR="003C46A3" w:rsidRPr="009F337B">
              <w:rPr>
                <w:rStyle w:val="Hipervnculo"/>
                <w:rFonts w:ascii="Verdana" w:hAnsi="Verdana"/>
                <w:szCs w:val="18"/>
                <w:lang w:val="en-US"/>
              </w:rPr>
              <w:t xml:space="preserve"> and 1(1)</w:t>
            </w:r>
            <w:r w:rsidR="00AE5F9E" w:rsidRPr="009F337B">
              <w:rPr>
                <w:rStyle w:val="Hipervnculo"/>
                <w:rFonts w:ascii="Verdana" w:hAnsi="Verdana"/>
                <w:szCs w:val="18"/>
                <w:lang w:val="en-US"/>
              </w:rPr>
              <w:t xml:space="preserve"> of the AMERICAN CONVENTION</w:t>
            </w:r>
            <w:r w:rsidR="00B4689D" w:rsidRPr="009F337B">
              <w:rPr>
                <w:rStyle w:val="Hipervnculo"/>
                <w:rFonts w:ascii="Verdana" w:hAnsi="Verdana"/>
                <w:szCs w:val="18"/>
                <w:lang w:val="en-US"/>
              </w:rPr>
              <w:t>)</w:t>
            </w:r>
            <w:r w:rsidR="00B4689D" w:rsidRPr="009F337B">
              <w:rPr>
                <w:rFonts w:ascii="Verdana" w:hAnsi="Verdana"/>
                <w:webHidden/>
                <w:szCs w:val="18"/>
                <w:lang w:val="en-US"/>
              </w:rPr>
              <w:tab/>
            </w:r>
            <w:r w:rsidR="001363A3">
              <w:rPr>
                <w:rFonts w:ascii="Verdana" w:hAnsi="Verdana"/>
                <w:webHidden/>
                <w:szCs w:val="18"/>
                <w:lang w:val="en-US"/>
              </w:rPr>
              <w:t>58</w:t>
            </w:r>
          </w:hyperlink>
        </w:p>
        <w:p w14:paraId="2DE061B0" w14:textId="1BCFDA39" w:rsidR="00B4689D" w:rsidRPr="009F337B" w:rsidRDefault="0072758B" w:rsidP="00B4689D">
          <w:pPr>
            <w:pStyle w:val="TDC2"/>
            <w:tabs>
              <w:tab w:val="left" w:pos="660"/>
              <w:tab w:val="right" w:leader="dot" w:pos="9350"/>
            </w:tabs>
            <w:spacing w:after="0" w:line="240" w:lineRule="auto"/>
            <w:rPr>
              <w:rFonts w:ascii="Verdana" w:hAnsi="Verdana"/>
              <w:noProof/>
              <w:sz w:val="18"/>
              <w:szCs w:val="18"/>
              <w:lang w:eastAsia="es-CR"/>
            </w:rPr>
          </w:pPr>
          <w:hyperlink w:anchor="_Toc527466495" w:history="1">
            <w:r w:rsidR="00B4689D" w:rsidRPr="009F337B">
              <w:rPr>
                <w:rStyle w:val="Hipervnculo"/>
                <w:rFonts w:ascii="Verdana" w:hAnsi="Verdana"/>
                <w:noProof/>
                <w:sz w:val="18"/>
                <w:szCs w:val="18"/>
                <w:u w:color="000000"/>
              </w:rPr>
              <w:t>A.</w:t>
            </w:r>
            <w:r w:rsidR="00B4689D" w:rsidRPr="009F337B">
              <w:rPr>
                <w:rFonts w:ascii="Verdana" w:hAnsi="Verdana"/>
                <w:noProof/>
                <w:sz w:val="18"/>
                <w:szCs w:val="18"/>
                <w:lang w:eastAsia="es-CR"/>
              </w:rPr>
              <w:tab/>
            </w:r>
            <w:r w:rsidR="0027465E" w:rsidRPr="009F337B">
              <w:rPr>
                <w:rStyle w:val="Hipervnculo"/>
                <w:rFonts w:ascii="Verdana" w:hAnsi="Verdana"/>
                <w:noProof/>
                <w:sz w:val="18"/>
                <w:szCs w:val="18"/>
                <w:u w:color="000000"/>
              </w:rPr>
              <w:t>Arguments of the Commission and the parties</w:t>
            </w:r>
            <w:r w:rsidR="00B4689D" w:rsidRPr="009F337B">
              <w:rPr>
                <w:rFonts w:ascii="Verdana" w:hAnsi="Verdana"/>
                <w:noProof/>
                <w:webHidden/>
                <w:sz w:val="18"/>
                <w:szCs w:val="18"/>
              </w:rPr>
              <w:tab/>
            </w:r>
            <w:r w:rsidR="001363A3">
              <w:rPr>
                <w:rFonts w:ascii="Verdana" w:hAnsi="Verdana"/>
                <w:noProof/>
                <w:webHidden/>
                <w:sz w:val="18"/>
                <w:szCs w:val="18"/>
              </w:rPr>
              <w:t>58</w:t>
            </w:r>
          </w:hyperlink>
        </w:p>
        <w:p w14:paraId="14105C08" w14:textId="7EAE9272" w:rsidR="00B4689D" w:rsidRPr="009F337B" w:rsidRDefault="0072758B" w:rsidP="00B4689D">
          <w:pPr>
            <w:pStyle w:val="TDC2"/>
            <w:tabs>
              <w:tab w:val="left" w:pos="660"/>
              <w:tab w:val="right" w:leader="dot" w:pos="9350"/>
            </w:tabs>
            <w:spacing w:after="0" w:line="240" w:lineRule="auto"/>
            <w:rPr>
              <w:rFonts w:ascii="Verdana" w:hAnsi="Verdana"/>
              <w:noProof/>
              <w:sz w:val="18"/>
              <w:szCs w:val="18"/>
              <w:lang w:eastAsia="es-CR"/>
            </w:rPr>
          </w:pPr>
          <w:hyperlink w:anchor="_Toc527466496" w:history="1">
            <w:r w:rsidR="00B4689D" w:rsidRPr="009F337B">
              <w:rPr>
                <w:rStyle w:val="Hipervnculo"/>
                <w:rFonts w:ascii="Verdana" w:eastAsia="Verdana" w:hAnsi="Verdana" w:cs="Cambria"/>
                <w:bCs/>
                <w:noProof/>
                <w:sz w:val="18"/>
                <w:szCs w:val="18"/>
                <w:u w:color="000000"/>
                <w:lang w:eastAsia="x-none"/>
              </w:rPr>
              <w:t>B.</w:t>
            </w:r>
            <w:r w:rsidR="00B4689D" w:rsidRPr="009F337B">
              <w:rPr>
                <w:rFonts w:ascii="Verdana" w:hAnsi="Verdana"/>
                <w:noProof/>
                <w:sz w:val="18"/>
                <w:szCs w:val="18"/>
                <w:lang w:eastAsia="es-CR"/>
              </w:rPr>
              <w:tab/>
            </w:r>
            <w:r w:rsidR="00473F70" w:rsidRPr="009F337B">
              <w:rPr>
                <w:rStyle w:val="Hipervnculo"/>
                <w:rFonts w:ascii="Verdana" w:eastAsia="Verdana" w:hAnsi="Verdana" w:cs="Cambria"/>
                <w:bCs/>
                <w:noProof/>
                <w:sz w:val="18"/>
                <w:szCs w:val="18"/>
                <w:u w:color="000000"/>
                <w:lang w:eastAsia="x-none"/>
              </w:rPr>
              <w:t>Considerations</w:t>
            </w:r>
            <w:r w:rsidR="00AE5F9E" w:rsidRPr="009F337B">
              <w:rPr>
                <w:rStyle w:val="Hipervnculo"/>
                <w:rFonts w:ascii="Verdana" w:eastAsia="Verdana" w:hAnsi="Verdana" w:cs="Cambria"/>
                <w:bCs/>
                <w:noProof/>
                <w:sz w:val="18"/>
                <w:szCs w:val="18"/>
                <w:u w:color="000000"/>
                <w:lang w:eastAsia="x-none"/>
              </w:rPr>
              <w:t xml:space="preserve"> of the Court</w:t>
            </w:r>
            <w:r w:rsidR="00B4689D" w:rsidRPr="009F337B">
              <w:rPr>
                <w:rFonts w:ascii="Verdana" w:hAnsi="Verdana"/>
                <w:noProof/>
                <w:webHidden/>
                <w:sz w:val="18"/>
                <w:szCs w:val="18"/>
              </w:rPr>
              <w:tab/>
            </w:r>
            <w:r w:rsidR="001363A3">
              <w:rPr>
                <w:rFonts w:ascii="Verdana" w:hAnsi="Verdana"/>
                <w:noProof/>
                <w:webHidden/>
                <w:sz w:val="18"/>
                <w:szCs w:val="18"/>
              </w:rPr>
              <w:t>59</w:t>
            </w:r>
          </w:hyperlink>
        </w:p>
        <w:p w14:paraId="52A75022" w14:textId="41AF43A8" w:rsidR="00B4689D" w:rsidRPr="009F337B" w:rsidRDefault="0072758B" w:rsidP="00B4689D">
          <w:pPr>
            <w:pStyle w:val="TDC1"/>
            <w:rPr>
              <w:rFonts w:ascii="Verdana" w:eastAsiaTheme="minorEastAsia" w:hAnsi="Verdana" w:cstheme="minorBidi"/>
              <w:b w:val="0"/>
              <w:caps w:val="0"/>
              <w:szCs w:val="18"/>
              <w:lang w:val="en-US" w:eastAsia="es-CR"/>
            </w:rPr>
          </w:pPr>
          <w:hyperlink w:anchor="_Toc527466497" w:history="1">
            <w:r w:rsidR="00B4689D" w:rsidRPr="009F337B">
              <w:rPr>
                <w:rStyle w:val="Hipervnculo"/>
                <w:rFonts w:ascii="Verdana" w:hAnsi="Verdana"/>
                <w:szCs w:val="18"/>
                <w:lang w:val="en-US"/>
              </w:rPr>
              <w:t xml:space="preserve">VIIi-3 </w:t>
            </w:r>
            <w:r w:rsidR="00955193" w:rsidRPr="009F337B">
              <w:rPr>
                <w:rStyle w:val="Hipervnculo"/>
                <w:rFonts w:ascii="Verdana" w:hAnsi="Verdana"/>
                <w:szCs w:val="18"/>
                <w:lang w:val="en-US"/>
              </w:rPr>
              <w:t>RIGHT TO PERSONAL INTEGRITY OF THE NEXT OF KIN OF THE VICTIMS</w:t>
            </w:r>
            <w:r w:rsidR="00B4689D" w:rsidRPr="009F337B">
              <w:rPr>
                <w:rStyle w:val="Hipervnculo"/>
                <w:rFonts w:ascii="Verdana" w:hAnsi="Verdana"/>
                <w:szCs w:val="18"/>
                <w:lang w:val="en-US"/>
              </w:rPr>
              <w:t xml:space="preserve"> (</w:t>
            </w:r>
            <w:r w:rsidR="00AE5F9E" w:rsidRPr="009F337B">
              <w:rPr>
                <w:rStyle w:val="Hipervnculo"/>
                <w:rFonts w:ascii="Verdana" w:hAnsi="Verdana"/>
                <w:szCs w:val="18"/>
                <w:lang w:val="en-US"/>
              </w:rPr>
              <w:t>Articles</w:t>
            </w:r>
            <w:r w:rsidR="00B4689D" w:rsidRPr="009F337B">
              <w:rPr>
                <w:rStyle w:val="Hipervnculo"/>
                <w:rFonts w:ascii="Verdana" w:hAnsi="Verdana"/>
                <w:szCs w:val="18"/>
                <w:lang w:val="en-US"/>
              </w:rPr>
              <w:t xml:space="preserve"> 5</w:t>
            </w:r>
            <w:r w:rsidR="003C46A3" w:rsidRPr="009F337B">
              <w:rPr>
                <w:rStyle w:val="Hipervnculo"/>
                <w:rFonts w:ascii="Verdana" w:hAnsi="Verdana"/>
                <w:szCs w:val="18"/>
                <w:lang w:val="en-US"/>
              </w:rPr>
              <w:t xml:space="preserve"> and 1(1)</w:t>
            </w:r>
            <w:r w:rsidR="00AE5F9E" w:rsidRPr="009F337B">
              <w:rPr>
                <w:rStyle w:val="Hipervnculo"/>
                <w:rFonts w:ascii="Verdana" w:hAnsi="Verdana"/>
                <w:szCs w:val="18"/>
                <w:lang w:val="en-US"/>
              </w:rPr>
              <w:t xml:space="preserve"> of the American Convention</w:t>
            </w:r>
            <w:r w:rsidR="00B4689D" w:rsidRPr="009F337B">
              <w:rPr>
                <w:rStyle w:val="Hipervnculo"/>
                <w:rFonts w:ascii="Verdana" w:hAnsi="Verdana"/>
                <w:szCs w:val="18"/>
                <w:lang w:val="en-US"/>
              </w:rPr>
              <w:t>)</w:t>
            </w:r>
            <w:r w:rsidR="00B4689D" w:rsidRPr="009F337B">
              <w:rPr>
                <w:rFonts w:ascii="Verdana" w:hAnsi="Verdana"/>
                <w:webHidden/>
                <w:szCs w:val="18"/>
                <w:lang w:val="en-US"/>
              </w:rPr>
              <w:tab/>
            </w:r>
            <w:r w:rsidR="00B4689D" w:rsidRPr="009F337B">
              <w:rPr>
                <w:rFonts w:ascii="Verdana" w:hAnsi="Verdana"/>
                <w:webHidden/>
                <w:szCs w:val="18"/>
                <w:lang w:val="en-US"/>
              </w:rPr>
              <w:fldChar w:fldCharType="begin"/>
            </w:r>
            <w:r w:rsidR="00B4689D" w:rsidRPr="009F337B">
              <w:rPr>
                <w:rFonts w:ascii="Verdana" w:hAnsi="Verdana"/>
                <w:webHidden/>
                <w:szCs w:val="18"/>
                <w:lang w:val="en-US"/>
              </w:rPr>
              <w:instrText xml:space="preserve"> PAGEREF _Toc527466497 \h </w:instrText>
            </w:r>
            <w:r w:rsidR="00B4689D" w:rsidRPr="009F337B">
              <w:rPr>
                <w:rFonts w:ascii="Verdana" w:hAnsi="Verdana"/>
                <w:webHidden/>
                <w:szCs w:val="18"/>
                <w:lang w:val="en-US"/>
              </w:rPr>
            </w:r>
            <w:r w:rsidR="00B4689D" w:rsidRPr="009F337B">
              <w:rPr>
                <w:rFonts w:ascii="Verdana" w:hAnsi="Verdana"/>
                <w:webHidden/>
                <w:szCs w:val="18"/>
                <w:lang w:val="en-US"/>
              </w:rPr>
              <w:fldChar w:fldCharType="separate"/>
            </w:r>
            <w:r>
              <w:rPr>
                <w:rFonts w:ascii="Verdana" w:hAnsi="Verdana"/>
                <w:webHidden/>
                <w:szCs w:val="18"/>
                <w:lang w:val="en-US"/>
              </w:rPr>
              <w:t>65</w:t>
            </w:r>
            <w:r w:rsidR="00B4689D" w:rsidRPr="009F337B">
              <w:rPr>
                <w:rFonts w:ascii="Verdana" w:hAnsi="Verdana"/>
                <w:webHidden/>
                <w:szCs w:val="18"/>
                <w:lang w:val="en-US"/>
              </w:rPr>
              <w:fldChar w:fldCharType="end"/>
            </w:r>
          </w:hyperlink>
        </w:p>
        <w:p w14:paraId="77BA0F26" w14:textId="11A45DCC" w:rsidR="00B4689D" w:rsidRPr="009F337B" w:rsidRDefault="0072758B" w:rsidP="00B4689D">
          <w:pPr>
            <w:pStyle w:val="TDC2"/>
            <w:tabs>
              <w:tab w:val="left" w:pos="660"/>
              <w:tab w:val="right" w:leader="dot" w:pos="9350"/>
            </w:tabs>
            <w:spacing w:after="0" w:line="240" w:lineRule="auto"/>
            <w:rPr>
              <w:rFonts w:ascii="Verdana" w:hAnsi="Verdana"/>
              <w:noProof/>
              <w:sz w:val="18"/>
              <w:szCs w:val="18"/>
              <w:lang w:eastAsia="es-CR"/>
            </w:rPr>
          </w:pPr>
          <w:hyperlink w:anchor="_Toc527466498" w:history="1">
            <w:r w:rsidR="00B4689D" w:rsidRPr="009F337B">
              <w:rPr>
                <w:rStyle w:val="Hipervnculo"/>
                <w:rFonts w:ascii="Verdana" w:hAnsi="Verdana"/>
                <w:noProof/>
                <w:sz w:val="18"/>
                <w:szCs w:val="18"/>
                <w:u w:color="000000"/>
              </w:rPr>
              <w:t>A.</w:t>
            </w:r>
            <w:r w:rsidR="00B4689D" w:rsidRPr="009F337B">
              <w:rPr>
                <w:rFonts w:ascii="Verdana" w:hAnsi="Verdana"/>
                <w:noProof/>
                <w:sz w:val="18"/>
                <w:szCs w:val="18"/>
                <w:lang w:eastAsia="es-CR"/>
              </w:rPr>
              <w:tab/>
            </w:r>
            <w:r w:rsidR="00955193" w:rsidRPr="009F337B">
              <w:rPr>
                <w:rStyle w:val="Hipervnculo"/>
                <w:rFonts w:ascii="Verdana" w:hAnsi="Verdana"/>
                <w:noProof/>
                <w:sz w:val="18"/>
                <w:szCs w:val="18"/>
                <w:u w:color="000000"/>
              </w:rPr>
              <w:t xml:space="preserve">Arguments of the parties and </w:t>
            </w:r>
            <w:r w:rsidR="00AE5F9E" w:rsidRPr="009F337B">
              <w:rPr>
                <w:rStyle w:val="Hipervnculo"/>
                <w:rFonts w:ascii="Verdana" w:hAnsi="Verdana"/>
                <w:noProof/>
                <w:sz w:val="18"/>
                <w:szCs w:val="18"/>
                <w:u w:color="000000"/>
              </w:rPr>
              <w:t>of the Commission</w:t>
            </w:r>
            <w:r w:rsidR="00B4689D" w:rsidRPr="009F337B">
              <w:rPr>
                <w:rFonts w:ascii="Verdana" w:hAnsi="Verdana"/>
                <w:noProof/>
                <w:webHidden/>
                <w:sz w:val="18"/>
                <w:szCs w:val="18"/>
              </w:rPr>
              <w:tab/>
            </w:r>
            <w:r w:rsidR="00B4689D" w:rsidRPr="009F337B">
              <w:rPr>
                <w:rFonts w:ascii="Verdana" w:hAnsi="Verdana"/>
                <w:noProof/>
                <w:webHidden/>
                <w:sz w:val="18"/>
                <w:szCs w:val="18"/>
              </w:rPr>
              <w:fldChar w:fldCharType="begin"/>
            </w:r>
            <w:r w:rsidR="00B4689D" w:rsidRPr="009F337B">
              <w:rPr>
                <w:rFonts w:ascii="Verdana" w:hAnsi="Verdana"/>
                <w:noProof/>
                <w:webHidden/>
                <w:sz w:val="18"/>
                <w:szCs w:val="18"/>
              </w:rPr>
              <w:instrText xml:space="preserve"> PAGEREF _Toc527466498 \h </w:instrText>
            </w:r>
            <w:r w:rsidR="00B4689D" w:rsidRPr="009F337B">
              <w:rPr>
                <w:rFonts w:ascii="Verdana" w:hAnsi="Verdana"/>
                <w:noProof/>
                <w:webHidden/>
                <w:sz w:val="18"/>
                <w:szCs w:val="18"/>
              </w:rPr>
            </w:r>
            <w:r w:rsidR="00B4689D" w:rsidRPr="009F337B">
              <w:rPr>
                <w:rFonts w:ascii="Verdana" w:hAnsi="Verdana"/>
                <w:noProof/>
                <w:webHidden/>
                <w:sz w:val="18"/>
                <w:szCs w:val="18"/>
              </w:rPr>
              <w:fldChar w:fldCharType="separate"/>
            </w:r>
            <w:r>
              <w:rPr>
                <w:rFonts w:ascii="Verdana" w:hAnsi="Verdana"/>
                <w:noProof/>
                <w:webHidden/>
                <w:sz w:val="18"/>
                <w:szCs w:val="18"/>
              </w:rPr>
              <w:t>65</w:t>
            </w:r>
            <w:r w:rsidR="00B4689D" w:rsidRPr="009F337B">
              <w:rPr>
                <w:rFonts w:ascii="Verdana" w:hAnsi="Verdana"/>
                <w:noProof/>
                <w:webHidden/>
                <w:sz w:val="18"/>
                <w:szCs w:val="18"/>
              </w:rPr>
              <w:fldChar w:fldCharType="end"/>
            </w:r>
          </w:hyperlink>
        </w:p>
        <w:p w14:paraId="37E42D1A" w14:textId="7E534531" w:rsidR="00B4689D" w:rsidRPr="009F337B" w:rsidRDefault="0072758B" w:rsidP="00B4689D">
          <w:pPr>
            <w:pStyle w:val="TDC2"/>
            <w:tabs>
              <w:tab w:val="left" w:pos="660"/>
              <w:tab w:val="right" w:leader="dot" w:pos="9350"/>
            </w:tabs>
            <w:spacing w:after="0" w:line="240" w:lineRule="auto"/>
            <w:rPr>
              <w:rFonts w:ascii="Verdana" w:hAnsi="Verdana"/>
              <w:noProof/>
              <w:sz w:val="18"/>
              <w:szCs w:val="18"/>
              <w:lang w:eastAsia="es-CR"/>
            </w:rPr>
          </w:pPr>
          <w:hyperlink w:anchor="_Toc527466499" w:history="1">
            <w:r w:rsidR="00B4689D" w:rsidRPr="009F337B">
              <w:rPr>
                <w:rStyle w:val="Hipervnculo"/>
                <w:rFonts w:ascii="Verdana" w:hAnsi="Verdana"/>
                <w:noProof/>
                <w:sz w:val="18"/>
                <w:szCs w:val="18"/>
              </w:rPr>
              <w:t>B.</w:t>
            </w:r>
            <w:r w:rsidR="00B4689D" w:rsidRPr="009F337B">
              <w:rPr>
                <w:rFonts w:ascii="Verdana" w:hAnsi="Verdana"/>
                <w:noProof/>
                <w:sz w:val="18"/>
                <w:szCs w:val="18"/>
                <w:lang w:eastAsia="es-CR"/>
              </w:rPr>
              <w:tab/>
            </w:r>
            <w:r w:rsidR="00473F70" w:rsidRPr="009F337B">
              <w:rPr>
                <w:rStyle w:val="Hipervnculo"/>
                <w:rFonts w:ascii="Verdana" w:hAnsi="Verdana"/>
                <w:noProof/>
                <w:sz w:val="18"/>
                <w:szCs w:val="18"/>
              </w:rPr>
              <w:t>Considerations</w:t>
            </w:r>
            <w:r w:rsidR="00AE5F9E" w:rsidRPr="009F337B">
              <w:rPr>
                <w:rStyle w:val="Hipervnculo"/>
                <w:rFonts w:ascii="Verdana" w:hAnsi="Verdana"/>
                <w:noProof/>
                <w:sz w:val="18"/>
                <w:szCs w:val="18"/>
              </w:rPr>
              <w:t xml:space="preserve"> of the Court</w:t>
            </w:r>
            <w:r w:rsidR="00B4689D" w:rsidRPr="009F337B">
              <w:rPr>
                <w:rFonts w:ascii="Verdana" w:hAnsi="Verdana"/>
                <w:noProof/>
                <w:webHidden/>
                <w:sz w:val="18"/>
                <w:szCs w:val="18"/>
              </w:rPr>
              <w:tab/>
            </w:r>
            <w:r w:rsidR="00B4689D" w:rsidRPr="009F337B">
              <w:rPr>
                <w:rFonts w:ascii="Verdana" w:hAnsi="Verdana"/>
                <w:noProof/>
                <w:webHidden/>
                <w:sz w:val="18"/>
                <w:szCs w:val="18"/>
              </w:rPr>
              <w:fldChar w:fldCharType="begin"/>
            </w:r>
            <w:r w:rsidR="00B4689D" w:rsidRPr="009F337B">
              <w:rPr>
                <w:rFonts w:ascii="Verdana" w:hAnsi="Verdana"/>
                <w:noProof/>
                <w:webHidden/>
                <w:sz w:val="18"/>
                <w:szCs w:val="18"/>
              </w:rPr>
              <w:instrText xml:space="preserve"> PAGEREF _Toc527466499 \h </w:instrText>
            </w:r>
            <w:r w:rsidR="00B4689D" w:rsidRPr="009F337B">
              <w:rPr>
                <w:rFonts w:ascii="Verdana" w:hAnsi="Verdana"/>
                <w:noProof/>
                <w:webHidden/>
                <w:sz w:val="18"/>
                <w:szCs w:val="18"/>
              </w:rPr>
            </w:r>
            <w:r w:rsidR="00B4689D" w:rsidRPr="009F337B">
              <w:rPr>
                <w:rFonts w:ascii="Verdana" w:hAnsi="Verdana"/>
                <w:noProof/>
                <w:webHidden/>
                <w:sz w:val="18"/>
                <w:szCs w:val="18"/>
              </w:rPr>
              <w:fldChar w:fldCharType="separate"/>
            </w:r>
            <w:r>
              <w:rPr>
                <w:rFonts w:ascii="Verdana" w:hAnsi="Verdana"/>
                <w:noProof/>
                <w:webHidden/>
                <w:sz w:val="18"/>
                <w:szCs w:val="18"/>
              </w:rPr>
              <w:t>65</w:t>
            </w:r>
            <w:r w:rsidR="00B4689D" w:rsidRPr="009F337B">
              <w:rPr>
                <w:rFonts w:ascii="Verdana" w:hAnsi="Verdana"/>
                <w:noProof/>
                <w:webHidden/>
                <w:sz w:val="18"/>
                <w:szCs w:val="18"/>
              </w:rPr>
              <w:fldChar w:fldCharType="end"/>
            </w:r>
          </w:hyperlink>
        </w:p>
        <w:p w14:paraId="47A30182" w14:textId="4AF1CF63" w:rsidR="00B4689D" w:rsidRPr="009F337B" w:rsidRDefault="0072758B" w:rsidP="00B4689D">
          <w:pPr>
            <w:pStyle w:val="TDC1"/>
            <w:rPr>
              <w:rFonts w:ascii="Verdana" w:eastAsiaTheme="minorEastAsia" w:hAnsi="Verdana" w:cstheme="minorBidi"/>
              <w:b w:val="0"/>
              <w:caps w:val="0"/>
              <w:szCs w:val="18"/>
              <w:lang w:val="en-US" w:eastAsia="es-CR"/>
            </w:rPr>
          </w:pPr>
          <w:hyperlink w:anchor="_Toc527466500" w:history="1">
            <w:r w:rsidR="00B4689D" w:rsidRPr="009F337B">
              <w:rPr>
                <w:rStyle w:val="Hipervnculo"/>
                <w:rFonts w:ascii="Verdana" w:hAnsi="Verdana"/>
                <w:szCs w:val="18"/>
                <w:lang w:val="en-US"/>
              </w:rPr>
              <w:t xml:space="preserve">IX. </w:t>
            </w:r>
            <w:r w:rsidR="0010522A" w:rsidRPr="009F337B">
              <w:rPr>
                <w:rStyle w:val="Hipervnculo"/>
                <w:rFonts w:ascii="Verdana" w:hAnsi="Verdana"/>
                <w:szCs w:val="18"/>
                <w:lang w:val="en-US"/>
              </w:rPr>
              <w:t>REPARATIONS (APPLICATION OF</w:t>
            </w:r>
            <w:r w:rsidR="00B4689D" w:rsidRPr="009F337B">
              <w:rPr>
                <w:rStyle w:val="Hipervnculo"/>
                <w:rFonts w:ascii="Verdana" w:hAnsi="Verdana"/>
                <w:szCs w:val="18"/>
                <w:lang w:val="en-US"/>
              </w:rPr>
              <w:t xml:space="preserve"> </w:t>
            </w:r>
            <w:r w:rsidR="00AE5F9E" w:rsidRPr="009F337B">
              <w:rPr>
                <w:rStyle w:val="Hipervnculo"/>
                <w:rFonts w:ascii="Verdana" w:hAnsi="Verdana"/>
                <w:szCs w:val="18"/>
                <w:lang w:val="en-US"/>
              </w:rPr>
              <w:t>ARTICLE</w:t>
            </w:r>
            <w:r w:rsidR="00B4689D" w:rsidRPr="009F337B">
              <w:rPr>
                <w:rStyle w:val="Hipervnculo"/>
                <w:rFonts w:ascii="Verdana" w:hAnsi="Verdana"/>
                <w:szCs w:val="18"/>
                <w:lang w:val="en-US"/>
              </w:rPr>
              <w:t xml:space="preserve"> </w:t>
            </w:r>
            <w:r w:rsidR="00AE5F9E" w:rsidRPr="009F337B">
              <w:rPr>
                <w:rStyle w:val="Hipervnculo"/>
                <w:rFonts w:ascii="Verdana" w:hAnsi="Verdana"/>
                <w:szCs w:val="18"/>
                <w:lang w:val="en-US"/>
              </w:rPr>
              <w:t>63(1) of the AMERICAN CONVENTION</w:t>
            </w:r>
            <w:r w:rsidR="00B4689D" w:rsidRPr="009F337B">
              <w:rPr>
                <w:rStyle w:val="Hipervnculo"/>
                <w:rFonts w:ascii="Verdana" w:hAnsi="Verdana"/>
                <w:szCs w:val="18"/>
                <w:lang w:val="en-US"/>
              </w:rPr>
              <w:t>)</w:t>
            </w:r>
            <w:r w:rsidR="00B4689D" w:rsidRPr="009F337B">
              <w:rPr>
                <w:rFonts w:ascii="Verdana" w:hAnsi="Verdana"/>
                <w:webHidden/>
                <w:szCs w:val="18"/>
                <w:lang w:val="en-US"/>
              </w:rPr>
              <w:tab/>
            </w:r>
            <w:r w:rsidR="001363A3">
              <w:rPr>
                <w:rFonts w:ascii="Verdana" w:hAnsi="Verdana"/>
                <w:webHidden/>
                <w:szCs w:val="18"/>
                <w:lang w:val="en-US"/>
              </w:rPr>
              <w:t>68</w:t>
            </w:r>
          </w:hyperlink>
        </w:p>
        <w:p w14:paraId="537DA181" w14:textId="10C70E1A" w:rsidR="00B4689D" w:rsidRPr="009F337B" w:rsidRDefault="0072758B" w:rsidP="00B4689D">
          <w:pPr>
            <w:pStyle w:val="TDC2"/>
            <w:tabs>
              <w:tab w:val="left" w:pos="660"/>
              <w:tab w:val="right" w:leader="dot" w:pos="9350"/>
            </w:tabs>
            <w:spacing w:after="0" w:line="240" w:lineRule="auto"/>
            <w:rPr>
              <w:rFonts w:ascii="Verdana" w:hAnsi="Verdana"/>
              <w:noProof/>
              <w:sz w:val="18"/>
              <w:szCs w:val="18"/>
              <w:lang w:eastAsia="es-CR"/>
            </w:rPr>
          </w:pPr>
          <w:hyperlink w:anchor="_Toc527466501" w:history="1">
            <w:r w:rsidR="00B4689D" w:rsidRPr="009F337B">
              <w:rPr>
                <w:rStyle w:val="Hipervnculo"/>
                <w:rFonts w:ascii="Verdana" w:hAnsi="Verdana"/>
                <w:noProof/>
                <w:sz w:val="18"/>
                <w:szCs w:val="18"/>
              </w:rPr>
              <w:t>A.</w:t>
            </w:r>
            <w:r w:rsidR="00B4689D" w:rsidRPr="009F337B">
              <w:rPr>
                <w:rFonts w:ascii="Verdana" w:hAnsi="Verdana"/>
                <w:noProof/>
                <w:sz w:val="18"/>
                <w:szCs w:val="18"/>
                <w:lang w:eastAsia="es-CR"/>
              </w:rPr>
              <w:tab/>
            </w:r>
            <w:r w:rsidR="00640C52" w:rsidRPr="009F337B">
              <w:rPr>
                <w:rStyle w:val="Hipervnculo"/>
                <w:rFonts w:ascii="Verdana" w:hAnsi="Verdana"/>
                <w:noProof/>
                <w:sz w:val="18"/>
                <w:szCs w:val="18"/>
              </w:rPr>
              <w:t>Injured party</w:t>
            </w:r>
            <w:r w:rsidR="00B4689D" w:rsidRPr="009F337B">
              <w:rPr>
                <w:rFonts w:ascii="Verdana" w:hAnsi="Verdana"/>
                <w:noProof/>
                <w:webHidden/>
                <w:sz w:val="18"/>
                <w:szCs w:val="18"/>
              </w:rPr>
              <w:tab/>
            </w:r>
            <w:r w:rsidR="001363A3">
              <w:rPr>
                <w:rFonts w:ascii="Verdana" w:hAnsi="Verdana"/>
                <w:noProof/>
                <w:webHidden/>
                <w:sz w:val="18"/>
                <w:szCs w:val="18"/>
              </w:rPr>
              <w:t>69</w:t>
            </w:r>
          </w:hyperlink>
        </w:p>
        <w:p w14:paraId="15A9C46E" w14:textId="76E42964" w:rsidR="00B4689D" w:rsidRPr="009F337B" w:rsidRDefault="0072758B" w:rsidP="00B4689D">
          <w:pPr>
            <w:pStyle w:val="TDC2"/>
            <w:tabs>
              <w:tab w:val="left" w:pos="660"/>
              <w:tab w:val="right" w:leader="dot" w:pos="9350"/>
            </w:tabs>
            <w:spacing w:after="0" w:line="240" w:lineRule="auto"/>
            <w:rPr>
              <w:rFonts w:ascii="Verdana" w:hAnsi="Verdana"/>
              <w:noProof/>
              <w:sz w:val="18"/>
              <w:szCs w:val="18"/>
              <w:lang w:eastAsia="es-CR"/>
            </w:rPr>
          </w:pPr>
          <w:hyperlink w:anchor="_Toc527466502" w:history="1">
            <w:r w:rsidR="00B4689D" w:rsidRPr="009F337B">
              <w:rPr>
                <w:rStyle w:val="Hipervnculo"/>
                <w:rFonts w:ascii="Verdana" w:hAnsi="Verdana"/>
                <w:noProof/>
                <w:sz w:val="18"/>
                <w:szCs w:val="18"/>
              </w:rPr>
              <w:t>B.</w:t>
            </w:r>
            <w:r w:rsidR="00B4689D" w:rsidRPr="009F337B">
              <w:rPr>
                <w:rFonts w:ascii="Verdana" w:hAnsi="Verdana"/>
                <w:noProof/>
                <w:sz w:val="18"/>
                <w:szCs w:val="18"/>
                <w:lang w:eastAsia="es-CR"/>
              </w:rPr>
              <w:tab/>
            </w:r>
            <w:r w:rsidR="00FA59D3" w:rsidRPr="009F337B">
              <w:rPr>
                <w:rStyle w:val="Hipervnculo"/>
                <w:rFonts w:ascii="Verdana" w:hAnsi="Verdana"/>
                <w:noProof/>
                <w:sz w:val="18"/>
                <w:szCs w:val="18"/>
              </w:rPr>
              <w:t>Measures of rehabilitation and satisfaction and guarantees of non-repetition</w:t>
            </w:r>
            <w:r w:rsidR="00B4689D" w:rsidRPr="009F337B">
              <w:rPr>
                <w:rFonts w:ascii="Verdana" w:hAnsi="Verdana"/>
                <w:noProof/>
                <w:webHidden/>
                <w:sz w:val="18"/>
                <w:szCs w:val="18"/>
              </w:rPr>
              <w:tab/>
            </w:r>
          </w:hyperlink>
          <w:r w:rsidR="00903904">
            <w:rPr>
              <w:rFonts w:ascii="Verdana" w:hAnsi="Verdana"/>
              <w:noProof/>
              <w:sz w:val="18"/>
              <w:szCs w:val="18"/>
            </w:rPr>
            <w:t>69</w:t>
          </w:r>
        </w:p>
        <w:p w14:paraId="2CE17F63" w14:textId="5A596ADA" w:rsidR="00B4689D" w:rsidRPr="009F337B" w:rsidRDefault="0072758B" w:rsidP="00B4689D">
          <w:pPr>
            <w:pStyle w:val="TDC2"/>
            <w:tabs>
              <w:tab w:val="left" w:pos="660"/>
              <w:tab w:val="right" w:leader="dot" w:pos="9350"/>
            </w:tabs>
            <w:spacing w:after="0" w:line="240" w:lineRule="auto"/>
            <w:rPr>
              <w:rFonts w:ascii="Verdana" w:hAnsi="Verdana"/>
              <w:noProof/>
              <w:sz w:val="18"/>
              <w:szCs w:val="18"/>
              <w:lang w:eastAsia="es-CR"/>
            </w:rPr>
          </w:pPr>
          <w:hyperlink w:anchor="_Toc527466503" w:history="1">
            <w:r w:rsidR="00B4689D" w:rsidRPr="009F337B">
              <w:rPr>
                <w:rStyle w:val="Hipervnculo"/>
                <w:rFonts w:ascii="Verdana" w:hAnsi="Verdana"/>
                <w:noProof/>
                <w:sz w:val="18"/>
                <w:szCs w:val="18"/>
              </w:rPr>
              <w:t>C.</w:t>
            </w:r>
            <w:r w:rsidR="00B4689D" w:rsidRPr="009F337B">
              <w:rPr>
                <w:rFonts w:ascii="Verdana" w:hAnsi="Verdana"/>
                <w:noProof/>
                <w:sz w:val="18"/>
                <w:szCs w:val="18"/>
                <w:lang w:eastAsia="es-CR"/>
              </w:rPr>
              <w:tab/>
            </w:r>
            <w:r w:rsidR="00640C52" w:rsidRPr="009F337B">
              <w:rPr>
                <w:rStyle w:val="Hipervnculo"/>
                <w:rFonts w:ascii="Verdana" w:hAnsi="Verdana"/>
                <w:noProof/>
                <w:sz w:val="18"/>
                <w:szCs w:val="18"/>
              </w:rPr>
              <w:t>Compensation</w:t>
            </w:r>
            <w:r w:rsidR="00B4689D" w:rsidRPr="009F337B">
              <w:rPr>
                <w:rFonts w:ascii="Verdana" w:hAnsi="Verdana"/>
                <w:noProof/>
                <w:webHidden/>
                <w:sz w:val="18"/>
                <w:szCs w:val="18"/>
              </w:rPr>
              <w:tab/>
            </w:r>
          </w:hyperlink>
          <w:r w:rsidR="00B13423">
            <w:rPr>
              <w:rFonts w:ascii="Verdana" w:hAnsi="Verdana"/>
              <w:noProof/>
              <w:sz w:val="18"/>
              <w:szCs w:val="18"/>
            </w:rPr>
            <w:t>76</w:t>
          </w:r>
        </w:p>
        <w:p w14:paraId="61E0C11E" w14:textId="0DB5A7A9" w:rsidR="00B4689D" w:rsidRPr="009F337B" w:rsidRDefault="0072758B" w:rsidP="00B4689D">
          <w:pPr>
            <w:pStyle w:val="TDC2"/>
            <w:tabs>
              <w:tab w:val="left" w:pos="660"/>
              <w:tab w:val="right" w:leader="dot" w:pos="9350"/>
            </w:tabs>
            <w:spacing w:after="0" w:line="240" w:lineRule="auto"/>
            <w:rPr>
              <w:rFonts w:ascii="Verdana" w:hAnsi="Verdana"/>
              <w:noProof/>
              <w:sz w:val="18"/>
              <w:szCs w:val="18"/>
              <w:lang w:eastAsia="es-CR"/>
            </w:rPr>
          </w:pPr>
          <w:hyperlink w:anchor="_Toc527466504" w:history="1">
            <w:r w:rsidR="00B4689D" w:rsidRPr="009F337B">
              <w:rPr>
                <w:rStyle w:val="Hipervnculo"/>
                <w:rFonts w:ascii="Verdana" w:hAnsi="Verdana"/>
                <w:noProof/>
                <w:sz w:val="18"/>
                <w:szCs w:val="18"/>
              </w:rPr>
              <w:t>D.</w:t>
            </w:r>
            <w:r w:rsidR="00B4689D" w:rsidRPr="009F337B">
              <w:rPr>
                <w:rFonts w:ascii="Verdana" w:hAnsi="Verdana"/>
                <w:noProof/>
                <w:sz w:val="18"/>
                <w:szCs w:val="18"/>
                <w:lang w:eastAsia="es-CR"/>
              </w:rPr>
              <w:tab/>
            </w:r>
            <w:r w:rsidR="003953CA" w:rsidRPr="009F337B">
              <w:rPr>
                <w:rStyle w:val="Hipervnculo"/>
                <w:rFonts w:ascii="Verdana" w:hAnsi="Verdana"/>
                <w:noProof/>
                <w:sz w:val="18"/>
                <w:szCs w:val="18"/>
              </w:rPr>
              <w:t>Reimbursement</w:t>
            </w:r>
            <w:r w:rsidR="00640C52" w:rsidRPr="009F337B">
              <w:rPr>
                <w:rStyle w:val="Hipervnculo"/>
                <w:rFonts w:ascii="Verdana" w:hAnsi="Verdana"/>
                <w:noProof/>
                <w:sz w:val="18"/>
                <w:szCs w:val="18"/>
              </w:rPr>
              <w:t xml:space="preserve"> of expenses to the</w:t>
            </w:r>
            <w:r w:rsidR="00B4689D" w:rsidRPr="009F337B">
              <w:rPr>
                <w:rStyle w:val="Hipervnculo"/>
                <w:rFonts w:ascii="Verdana" w:hAnsi="Verdana"/>
                <w:noProof/>
                <w:sz w:val="18"/>
                <w:szCs w:val="18"/>
              </w:rPr>
              <w:t xml:space="preserve"> </w:t>
            </w:r>
            <w:r w:rsidR="00640C52" w:rsidRPr="009F337B">
              <w:rPr>
                <w:rStyle w:val="Hipervnculo"/>
                <w:rFonts w:ascii="Verdana" w:hAnsi="Verdana"/>
                <w:noProof/>
                <w:sz w:val="18"/>
                <w:szCs w:val="18"/>
              </w:rPr>
              <w:t>Legal Assistance Fund</w:t>
            </w:r>
            <w:r w:rsidR="00B4689D" w:rsidRPr="009F337B">
              <w:rPr>
                <w:rFonts w:ascii="Verdana" w:hAnsi="Verdana"/>
                <w:noProof/>
                <w:webHidden/>
                <w:sz w:val="18"/>
                <w:szCs w:val="18"/>
              </w:rPr>
              <w:tab/>
            </w:r>
          </w:hyperlink>
          <w:r w:rsidR="00B13423">
            <w:rPr>
              <w:rFonts w:ascii="Verdana" w:hAnsi="Verdana"/>
              <w:noProof/>
              <w:sz w:val="18"/>
              <w:szCs w:val="18"/>
            </w:rPr>
            <w:t>79</w:t>
          </w:r>
        </w:p>
        <w:p w14:paraId="065D9908" w14:textId="16973185" w:rsidR="00B4689D" w:rsidRPr="009F337B" w:rsidRDefault="0072758B" w:rsidP="00B4689D">
          <w:pPr>
            <w:pStyle w:val="TDC2"/>
            <w:tabs>
              <w:tab w:val="left" w:pos="660"/>
              <w:tab w:val="right" w:leader="dot" w:pos="9350"/>
            </w:tabs>
            <w:spacing w:after="0" w:line="240" w:lineRule="auto"/>
            <w:rPr>
              <w:rFonts w:ascii="Verdana" w:hAnsi="Verdana"/>
              <w:noProof/>
              <w:sz w:val="18"/>
              <w:szCs w:val="18"/>
              <w:lang w:eastAsia="es-CR"/>
            </w:rPr>
          </w:pPr>
          <w:hyperlink w:anchor="_Toc527466505" w:history="1">
            <w:r w:rsidR="00B4689D" w:rsidRPr="009F337B">
              <w:rPr>
                <w:rStyle w:val="Hipervnculo"/>
                <w:rFonts w:ascii="Verdana" w:hAnsi="Verdana"/>
                <w:noProof/>
                <w:sz w:val="18"/>
                <w:szCs w:val="18"/>
              </w:rPr>
              <w:t>E.</w:t>
            </w:r>
            <w:r w:rsidR="00B4689D" w:rsidRPr="009F337B">
              <w:rPr>
                <w:rFonts w:ascii="Verdana" w:hAnsi="Verdana"/>
                <w:noProof/>
                <w:sz w:val="18"/>
                <w:szCs w:val="18"/>
                <w:lang w:eastAsia="es-CR"/>
              </w:rPr>
              <w:tab/>
            </w:r>
            <w:r w:rsidR="00686B07" w:rsidRPr="009F337B">
              <w:rPr>
                <w:rStyle w:val="Hipervnculo"/>
                <w:rFonts w:ascii="Verdana" w:hAnsi="Verdana"/>
                <w:noProof/>
                <w:sz w:val="18"/>
                <w:szCs w:val="18"/>
              </w:rPr>
              <w:t>Method of compliance with the payments ordered</w:t>
            </w:r>
            <w:r w:rsidR="00B4689D" w:rsidRPr="009F337B">
              <w:rPr>
                <w:rFonts w:ascii="Verdana" w:hAnsi="Verdana"/>
                <w:noProof/>
                <w:webHidden/>
                <w:sz w:val="18"/>
                <w:szCs w:val="18"/>
              </w:rPr>
              <w:tab/>
            </w:r>
            <w:r w:rsidR="00B13423">
              <w:rPr>
                <w:rFonts w:ascii="Verdana" w:hAnsi="Verdana"/>
                <w:noProof/>
                <w:webHidden/>
                <w:sz w:val="18"/>
                <w:szCs w:val="18"/>
              </w:rPr>
              <w:t>79</w:t>
            </w:r>
          </w:hyperlink>
        </w:p>
        <w:p w14:paraId="4FC4886B" w14:textId="1A65E207" w:rsidR="00B4689D" w:rsidRPr="009F337B" w:rsidRDefault="0072758B" w:rsidP="00B4689D">
          <w:pPr>
            <w:pStyle w:val="TDC1"/>
            <w:rPr>
              <w:rFonts w:ascii="Verdana" w:eastAsiaTheme="minorEastAsia" w:hAnsi="Verdana" w:cstheme="minorBidi"/>
              <w:b w:val="0"/>
              <w:caps w:val="0"/>
              <w:szCs w:val="18"/>
              <w:lang w:val="en-US" w:eastAsia="es-CR"/>
            </w:rPr>
          </w:pPr>
          <w:hyperlink w:anchor="_Toc527466506" w:history="1">
            <w:r w:rsidR="00B4689D" w:rsidRPr="009F337B">
              <w:rPr>
                <w:rStyle w:val="Hipervnculo"/>
                <w:rFonts w:ascii="Verdana" w:hAnsi="Verdana"/>
                <w:szCs w:val="18"/>
                <w:lang w:val="en-US"/>
              </w:rPr>
              <w:t xml:space="preserve">X. </w:t>
            </w:r>
            <w:r w:rsidR="0010522A" w:rsidRPr="009F337B">
              <w:rPr>
                <w:rStyle w:val="Hipervnculo"/>
                <w:rFonts w:ascii="Verdana" w:hAnsi="Verdana"/>
                <w:szCs w:val="18"/>
                <w:lang w:val="en-US"/>
              </w:rPr>
              <w:t>OPERATIVE PARAGRAPHS</w:t>
            </w:r>
            <w:r w:rsidR="00B4689D" w:rsidRPr="009F337B">
              <w:rPr>
                <w:rFonts w:ascii="Verdana" w:hAnsi="Verdana"/>
                <w:webHidden/>
                <w:szCs w:val="18"/>
                <w:lang w:val="en-US"/>
              </w:rPr>
              <w:tab/>
            </w:r>
            <w:r w:rsidR="00B4689D" w:rsidRPr="009F337B">
              <w:rPr>
                <w:rFonts w:ascii="Verdana" w:hAnsi="Verdana"/>
                <w:webHidden/>
                <w:szCs w:val="18"/>
                <w:lang w:val="en-US"/>
              </w:rPr>
              <w:fldChar w:fldCharType="begin"/>
            </w:r>
            <w:r w:rsidR="00B4689D" w:rsidRPr="009F337B">
              <w:rPr>
                <w:rFonts w:ascii="Verdana" w:hAnsi="Verdana"/>
                <w:webHidden/>
                <w:szCs w:val="18"/>
                <w:lang w:val="en-US"/>
              </w:rPr>
              <w:instrText xml:space="preserve"> PAGEREF _Toc527466506 \h </w:instrText>
            </w:r>
            <w:r w:rsidR="00B4689D" w:rsidRPr="009F337B">
              <w:rPr>
                <w:rFonts w:ascii="Verdana" w:hAnsi="Verdana"/>
                <w:webHidden/>
                <w:szCs w:val="18"/>
                <w:lang w:val="en-US"/>
              </w:rPr>
            </w:r>
            <w:r w:rsidR="00B4689D" w:rsidRPr="009F337B">
              <w:rPr>
                <w:rFonts w:ascii="Verdana" w:hAnsi="Verdana"/>
                <w:webHidden/>
                <w:szCs w:val="18"/>
                <w:lang w:val="en-US"/>
              </w:rPr>
              <w:fldChar w:fldCharType="separate"/>
            </w:r>
            <w:r>
              <w:rPr>
                <w:rFonts w:ascii="Verdana" w:hAnsi="Verdana"/>
                <w:webHidden/>
                <w:szCs w:val="18"/>
                <w:lang w:val="en-US"/>
              </w:rPr>
              <w:t>80</w:t>
            </w:r>
            <w:r w:rsidR="00B4689D" w:rsidRPr="009F337B">
              <w:rPr>
                <w:rFonts w:ascii="Verdana" w:hAnsi="Verdana"/>
                <w:webHidden/>
                <w:szCs w:val="18"/>
                <w:lang w:val="en-US"/>
              </w:rPr>
              <w:fldChar w:fldCharType="end"/>
            </w:r>
          </w:hyperlink>
        </w:p>
        <w:p w14:paraId="41B259C5" w14:textId="0AD792CF" w:rsidR="00B4689D" w:rsidRPr="009F337B" w:rsidRDefault="0072758B" w:rsidP="00B4689D">
          <w:pPr>
            <w:pStyle w:val="TDC1"/>
            <w:rPr>
              <w:rFonts w:ascii="Verdana" w:eastAsiaTheme="minorEastAsia" w:hAnsi="Verdana" w:cstheme="minorBidi"/>
              <w:b w:val="0"/>
              <w:caps w:val="0"/>
              <w:szCs w:val="18"/>
              <w:lang w:val="en-US" w:eastAsia="es-CR"/>
            </w:rPr>
          </w:pPr>
          <w:hyperlink w:anchor="_Toc527466507" w:history="1">
            <w:r w:rsidR="00B4689D" w:rsidRPr="009F337B">
              <w:rPr>
                <w:rStyle w:val="Hipervnculo"/>
                <w:rFonts w:ascii="Verdana" w:hAnsi="Verdana"/>
                <w:szCs w:val="18"/>
                <w:lang w:val="en-US"/>
              </w:rPr>
              <w:t xml:space="preserve">ANEXO 1. </w:t>
            </w:r>
            <w:r w:rsidR="00640C52" w:rsidRPr="009F337B">
              <w:rPr>
                <w:rStyle w:val="Hipervnculo"/>
                <w:rFonts w:ascii="Verdana" w:hAnsi="Verdana"/>
                <w:szCs w:val="18"/>
                <w:lang w:val="en-US"/>
              </w:rPr>
              <w:t>LIST OF</w:t>
            </w:r>
            <w:r w:rsidR="00B4689D" w:rsidRPr="009F337B">
              <w:rPr>
                <w:rStyle w:val="Hipervnculo"/>
                <w:rFonts w:ascii="Verdana" w:hAnsi="Verdana"/>
                <w:szCs w:val="18"/>
                <w:lang w:val="en-US"/>
              </w:rPr>
              <w:t xml:space="preserve"> </w:t>
            </w:r>
            <w:r w:rsidR="003C46A3" w:rsidRPr="009F337B">
              <w:rPr>
                <w:rStyle w:val="Hipervnculo"/>
                <w:rFonts w:ascii="Verdana" w:hAnsi="Verdana"/>
                <w:szCs w:val="18"/>
                <w:lang w:val="en-US"/>
              </w:rPr>
              <w:t>presumed victims</w:t>
            </w:r>
            <w:r w:rsidR="00B4689D" w:rsidRPr="009F337B">
              <w:rPr>
                <w:rStyle w:val="Hipervnculo"/>
                <w:rFonts w:ascii="Verdana" w:hAnsi="Verdana"/>
                <w:szCs w:val="18"/>
                <w:lang w:val="en-US"/>
              </w:rPr>
              <w:t xml:space="preserve"> </w:t>
            </w:r>
            <w:r w:rsidR="00640C52" w:rsidRPr="009F337B">
              <w:rPr>
                <w:rStyle w:val="Hipervnculo"/>
                <w:rFonts w:ascii="Verdana" w:hAnsi="Verdana"/>
                <w:szCs w:val="18"/>
                <w:lang w:val="en-US"/>
              </w:rPr>
              <w:t>SUBMITTED BY IACHR</w:t>
            </w:r>
            <w:r w:rsidR="00B4689D" w:rsidRPr="009F337B">
              <w:rPr>
                <w:rFonts w:ascii="Verdana" w:hAnsi="Verdana"/>
                <w:webHidden/>
                <w:szCs w:val="18"/>
                <w:lang w:val="en-US"/>
              </w:rPr>
              <w:tab/>
            </w:r>
            <w:r w:rsidR="00B4689D" w:rsidRPr="009F337B">
              <w:rPr>
                <w:rFonts w:ascii="Verdana" w:hAnsi="Verdana"/>
                <w:webHidden/>
                <w:szCs w:val="18"/>
                <w:lang w:val="en-US"/>
              </w:rPr>
              <w:fldChar w:fldCharType="begin"/>
            </w:r>
            <w:r w:rsidR="00B4689D" w:rsidRPr="009F337B">
              <w:rPr>
                <w:rFonts w:ascii="Verdana" w:hAnsi="Verdana"/>
                <w:webHidden/>
                <w:szCs w:val="18"/>
                <w:lang w:val="en-US"/>
              </w:rPr>
              <w:instrText xml:space="preserve"> PAGEREF _Toc527466507 \h </w:instrText>
            </w:r>
            <w:r w:rsidR="00B4689D" w:rsidRPr="009F337B">
              <w:rPr>
                <w:rFonts w:ascii="Verdana" w:hAnsi="Verdana"/>
                <w:webHidden/>
                <w:szCs w:val="18"/>
                <w:lang w:val="en-US"/>
              </w:rPr>
            </w:r>
            <w:r w:rsidR="00B4689D" w:rsidRPr="009F337B">
              <w:rPr>
                <w:rFonts w:ascii="Verdana" w:hAnsi="Verdana"/>
                <w:webHidden/>
                <w:szCs w:val="18"/>
                <w:lang w:val="en-US"/>
              </w:rPr>
              <w:fldChar w:fldCharType="separate"/>
            </w:r>
            <w:r>
              <w:rPr>
                <w:rFonts w:ascii="Verdana" w:hAnsi="Verdana"/>
                <w:webHidden/>
                <w:szCs w:val="18"/>
                <w:lang w:val="en-US"/>
              </w:rPr>
              <w:t>83</w:t>
            </w:r>
            <w:r w:rsidR="00B4689D" w:rsidRPr="009F337B">
              <w:rPr>
                <w:rFonts w:ascii="Verdana" w:hAnsi="Verdana"/>
                <w:webHidden/>
                <w:szCs w:val="18"/>
                <w:lang w:val="en-US"/>
              </w:rPr>
              <w:fldChar w:fldCharType="end"/>
            </w:r>
          </w:hyperlink>
        </w:p>
        <w:p w14:paraId="722ABFCB" w14:textId="042DF378" w:rsidR="00B4689D" w:rsidRPr="009F337B" w:rsidRDefault="0072758B" w:rsidP="00B4689D">
          <w:pPr>
            <w:pStyle w:val="TDC1"/>
            <w:rPr>
              <w:rFonts w:ascii="Verdana" w:eastAsiaTheme="minorEastAsia" w:hAnsi="Verdana" w:cstheme="minorBidi"/>
              <w:b w:val="0"/>
              <w:caps w:val="0"/>
              <w:szCs w:val="18"/>
              <w:lang w:val="en-US" w:eastAsia="es-CR"/>
            </w:rPr>
          </w:pPr>
          <w:hyperlink w:anchor="_Toc527466508" w:history="1">
            <w:r w:rsidR="00B4689D" w:rsidRPr="009F337B">
              <w:rPr>
                <w:rStyle w:val="Hipervnculo"/>
                <w:rFonts w:ascii="Verdana" w:hAnsi="Verdana"/>
                <w:szCs w:val="18"/>
                <w:lang w:val="en-US"/>
              </w:rPr>
              <w:t xml:space="preserve">ANEXO 2. </w:t>
            </w:r>
            <w:r w:rsidR="00640C52" w:rsidRPr="009F337B">
              <w:rPr>
                <w:rStyle w:val="Hipervnculo"/>
                <w:rFonts w:ascii="Verdana" w:hAnsi="Verdana"/>
                <w:szCs w:val="18"/>
                <w:lang w:val="en-US"/>
              </w:rPr>
              <w:t>LIST OF VICTIMS</w:t>
            </w:r>
            <w:r w:rsidR="003C46A3" w:rsidRPr="009F337B">
              <w:rPr>
                <w:rStyle w:val="Hipervnculo"/>
                <w:rFonts w:ascii="Verdana" w:hAnsi="Verdana"/>
                <w:szCs w:val="18"/>
                <w:lang w:val="en-US"/>
              </w:rPr>
              <w:t xml:space="preserve"> and </w:t>
            </w:r>
            <w:r w:rsidR="00BB0DF2" w:rsidRPr="009F337B">
              <w:rPr>
                <w:rStyle w:val="Hipervnculo"/>
                <w:rFonts w:ascii="Verdana" w:hAnsi="Verdana"/>
                <w:szCs w:val="18"/>
                <w:lang w:val="en-US"/>
              </w:rPr>
              <w:t>their next of kin</w:t>
            </w:r>
            <w:r w:rsidR="00B4689D" w:rsidRPr="009F337B">
              <w:rPr>
                <w:rFonts w:ascii="Verdana" w:hAnsi="Verdana"/>
                <w:webHidden/>
                <w:szCs w:val="18"/>
                <w:lang w:val="en-US"/>
              </w:rPr>
              <w:tab/>
            </w:r>
            <w:r w:rsidR="00B13423">
              <w:rPr>
                <w:rFonts w:ascii="Verdana" w:hAnsi="Verdana"/>
                <w:webHidden/>
                <w:szCs w:val="18"/>
                <w:lang w:val="en-US"/>
              </w:rPr>
              <w:t>88</w:t>
            </w:r>
          </w:hyperlink>
        </w:p>
        <w:p w14:paraId="6D0CB7CB" w14:textId="1024CFDC" w:rsidR="00B4689D" w:rsidRPr="009F337B" w:rsidRDefault="0072758B" w:rsidP="00B4689D">
          <w:pPr>
            <w:pStyle w:val="TDC1"/>
            <w:rPr>
              <w:rFonts w:ascii="Verdana" w:eastAsiaTheme="minorEastAsia" w:hAnsi="Verdana" w:cstheme="minorBidi"/>
              <w:b w:val="0"/>
              <w:caps w:val="0"/>
              <w:sz w:val="20"/>
              <w:szCs w:val="20"/>
              <w:lang w:val="en-US" w:eastAsia="es-CR"/>
            </w:rPr>
          </w:pPr>
          <w:hyperlink w:anchor="_Toc527466509" w:history="1">
            <w:r w:rsidR="00B4689D" w:rsidRPr="009F337B">
              <w:rPr>
                <w:rStyle w:val="Hipervnculo"/>
                <w:rFonts w:ascii="Verdana" w:hAnsi="Verdana"/>
                <w:szCs w:val="18"/>
                <w:lang w:val="en-US"/>
              </w:rPr>
              <w:t>Anexo 3. Individualiza</w:t>
            </w:r>
            <w:r w:rsidR="00640C52" w:rsidRPr="009F337B">
              <w:rPr>
                <w:rStyle w:val="Hipervnculo"/>
                <w:rFonts w:ascii="Verdana" w:hAnsi="Verdana"/>
                <w:szCs w:val="18"/>
                <w:lang w:val="en-US"/>
              </w:rPr>
              <w:t>TIO</w:t>
            </w:r>
            <w:r w:rsidR="00B4689D" w:rsidRPr="009F337B">
              <w:rPr>
                <w:rStyle w:val="Hipervnculo"/>
                <w:rFonts w:ascii="Verdana" w:hAnsi="Verdana"/>
                <w:szCs w:val="18"/>
                <w:lang w:val="en-US"/>
              </w:rPr>
              <w:t xml:space="preserve">n </w:t>
            </w:r>
            <w:r w:rsidR="00640C52" w:rsidRPr="009F337B">
              <w:rPr>
                <w:rStyle w:val="Hipervnculo"/>
                <w:rFonts w:ascii="Verdana" w:hAnsi="Verdana"/>
                <w:szCs w:val="18"/>
                <w:lang w:val="en-US"/>
              </w:rPr>
              <w:t>OF THE</w:t>
            </w:r>
            <w:r w:rsidR="00B4689D" w:rsidRPr="009F337B">
              <w:rPr>
                <w:rStyle w:val="Hipervnculo"/>
                <w:rFonts w:ascii="Verdana" w:hAnsi="Verdana"/>
                <w:szCs w:val="18"/>
                <w:lang w:val="en-US"/>
              </w:rPr>
              <w:t xml:space="preserve"> v</w:t>
            </w:r>
            <w:r w:rsidR="00640C52" w:rsidRPr="009F337B">
              <w:rPr>
                <w:rStyle w:val="Hipervnculo"/>
                <w:rFonts w:ascii="Verdana" w:hAnsi="Verdana"/>
                <w:szCs w:val="18"/>
                <w:lang w:val="en-US"/>
              </w:rPr>
              <w:t>ICTIM</w:t>
            </w:r>
            <w:r w:rsidR="00B4689D" w:rsidRPr="009F337B">
              <w:rPr>
                <w:rStyle w:val="Hipervnculo"/>
                <w:rFonts w:ascii="Verdana" w:hAnsi="Verdana"/>
                <w:szCs w:val="18"/>
                <w:lang w:val="en-US"/>
              </w:rPr>
              <w:t>s</w:t>
            </w:r>
            <w:r w:rsidR="003C46A3" w:rsidRPr="009F337B">
              <w:rPr>
                <w:rStyle w:val="Hipervnculo"/>
                <w:rFonts w:ascii="Verdana" w:hAnsi="Verdana"/>
                <w:szCs w:val="18"/>
                <w:lang w:val="en-US"/>
              </w:rPr>
              <w:t xml:space="preserve"> and </w:t>
            </w:r>
            <w:r w:rsidR="00BB0DF2" w:rsidRPr="009F337B">
              <w:rPr>
                <w:rStyle w:val="Hipervnculo"/>
                <w:rFonts w:ascii="Verdana" w:hAnsi="Verdana"/>
                <w:szCs w:val="18"/>
                <w:lang w:val="en-US"/>
              </w:rPr>
              <w:t>their next of kin</w:t>
            </w:r>
            <w:r w:rsidR="00B4689D" w:rsidRPr="009F337B">
              <w:rPr>
                <w:rFonts w:ascii="Verdana" w:hAnsi="Verdana"/>
                <w:webHidden/>
                <w:szCs w:val="18"/>
                <w:lang w:val="en-US"/>
              </w:rPr>
              <w:tab/>
            </w:r>
            <w:r w:rsidR="00B4689D" w:rsidRPr="009F337B">
              <w:rPr>
                <w:rFonts w:ascii="Verdana" w:hAnsi="Verdana"/>
                <w:webHidden/>
                <w:szCs w:val="18"/>
                <w:lang w:val="en-US"/>
              </w:rPr>
              <w:fldChar w:fldCharType="begin"/>
            </w:r>
            <w:r w:rsidR="00B4689D" w:rsidRPr="009F337B">
              <w:rPr>
                <w:rFonts w:ascii="Verdana" w:hAnsi="Verdana"/>
                <w:webHidden/>
                <w:szCs w:val="18"/>
                <w:lang w:val="en-US"/>
              </w:rPr>
              <w:instrText xml:space="preserve"> PAGEREF _Toc527466509 \h </w:instrText>
            </w:r>
            <w:r w:rsidR="00B4689D" w:rsidRPr="009F337B">
              <w:rPr>
                <w:rFonts w:ascii="Verdana" w:hAnsi="Verdana"/>
                <w:webHidden/>
                <w:szCs w:val="18"/>
                <w:lang w:val="en-US"/>
              </w:rPr>
            </w:r>
            <w:r w:rsidR="00B4689D" w:rsidRPr="009F337B">
              <w:rPr>
                <w:rFonts w:ascii="Verdana" w:hAnsi="Verdana"/>
                <w:webHidden/>
                <w:szCs w:val="18"/>
                <w:lang w:val="en-US"/>
              </w:rPr>
              <w:fldChar w:fldCharType="separate"/>
            </w:r>
            <w:r>
              <w:rPr>
                <w:rFonts w:ascii="Verdana" w:hAnsi="Verdana"/>
                <w:webHidden/>
                <w:szCs w:val="18"/>
                <w:lang w:val="en-US"/>
              </w:rPr>
              <w:t>90</w:t>
            </w:r>
            <w:r w:rsidR="00B4689D" w:rsidRPr="009F337B">
              <w:rPr>
                <w:rFonts w:ascii="Verdana" w:hAnsi="Verdana"/>
                <w:webHidden/>
                <w:szCs w:val="18"/>
                <w:lang w:val="en-US"/>
              </w:rPr>
              <w:fldChar w:fldCharType="end"/>
            </w:r>
          </w:hyperlink>
        </w:p>
        <w:p w14:paraId="2BB3D673" w14:textId="2BBDF97D" w:rsidR="00DC44DA" w:rsidRPr="009F337B" w:rsidRDefault="006F26F0" w:rsidP="00B4689D">
          <w:pPr>
            <w:pStyle w:val="TtuloTDC"/>
            <w:spacing w:before="0" w:line="240" w:lineRule="auto"/>
            <w:rPr>
              <w:rFonts w:ascii="Verdana" w:hAnsi="Verdana" w:cs="Times New Roman"/>
              <w:sz w:val="20"/>
              <w:szCs w:val="20"/>
            </w:rPr>
          </w:pPr>
          <w:r w:rsidRPr="009F337B">
            <w:rPr>
              <w:rFonts w:ascii="Verdana" w:hAnsi="Verdana" w:cs="Times New Roman"/>
              <w:b w:val="0"/>
              <w:bCs w:val="0"/>
              <w:sz w:val="20"/>
              <w:szCs w:val="20"/>
            </w:rPr>
            <w:fldChar w:fldCharType="end"/>
          </w:r>
          <w:r w:rsidR="00343438" w:rsidRPr="009F337B">
            <w:rPr>
              <w:rFonts w:ascii="Verdana" w:hAnsi="Verdana" w:cs="Times New Roman"/>
              <w:sz w:val="20"/>
              <w:szCs w:val="20"/>
            </w:rPr>
            <w:br w:type="page"/>
          </w:r>
        </w:p>
      </w:sdtContent>
    </w:sdt>
    <w:p w14:paraId="2D36B605" w14:textId="6258C4D2" w:rsidR="006761DC" w:rsidRPr="009F337B" w:rsidRDefault="00EA0905" w:rsidP="009F7070">
      <w:pPr>
        <w:pStyle w:val="Ttulo1"/>
        <w:spacing w:before="0" w:after="0"/>
        <w:rPr>
          <w:lang w:val="en-US"/>
        </w:rPr>
      </w:pPr>
      <w:bookmarkStart w:id="0" w:name="_Toc369989729"/>
      <w:bookmarkStart w:id="1" w:name="_Toc438132269"/>
      <w:bookmarkStart w:id="2" w:name="_Toc288744729"/>
      <w:bookmarkStart w:id="3" w:name="_Toc486693351"/>
      <w:bookmarkStart w:id="4" w:name="_Toc486842767"/>
      <w:bookmarkStart w:id="5" w:name="_Toc486842905"/>
      <w:bookmarkStart w:id="6" w:name="_Toc508792630"/>
      <w:bookmarkStart w:id="7" w:name="_Toc510690625"/>
      <w:bookmarkStart w:id="8" w:name="_Toc527466462"/>
      <w:r w:rsidRPr="009F337B">
        <w:rPr>
          <w:lang w:val="en-US"/>
        </w:rPr>
        <w:lastRenderedPageBreak/>
        <w:t>I</w:t>
      </w:r>
      <w:r w:rsidR="001D1187" w:rsidRPr="009F337B">
        <w:rPr>
          <w:lang w:val="en-US"/>
        </w:rPr>
        <w:t>.</w:t>
      </w:r>
      <w:r w:rsidRPr="009F337B">
        <w:rPr>
          <w:color w:val="FFFFFF" w:themeColor="background1"/>
          <w:lang w:val="en-US"/>
        </w:rPr>
        <w:t>.</w:t>
      </w:r>
      <w:r w:rsidRPr="009F337B">
        <w:rPr>
          <w:lang w:val="en-US"/>
        </w:rPr>
        <w:br/>
      </w:r>
      <w:r w:rsidR="008E3036" w:rsidRPr="009F337B">
        <w:rPr>
          <w:lang w:val="en-US"/>
        </w:rPr>
        <w:t>INTRODUCTION OF THE CASE AND PURPOSE OF THE DISPUTE</w:t>
      </w:r>
      <w:bookmarkEnd w:id="0"/>
      <w:bookmarkEnd w:id="1"/>
      <w:bookmarkEnd w:id="2"/>
      <w:bookmarkEnd w:id="3"/>
      <w:bookmarkEnd w:id="4"/>
      <w:bookmarkEnd w:id="5"/>
      <w:bookmarkEnd w:id="6"/>
      <w:bookmarkEnd w:id="7"/>
      <w:bookmarkEnd w:id="8"/>
    </w:p>
    <w:p w14:paraId="15BDBF5B" w14:textId="77777777" w:rsidR="009B113E" w:rsidRPr="009F337B" w:rsidRDefault="009B113E" w:rsidP="009F7070">
      <w:pPr>
        <w:rPr>
          <w:lang w:val="en-US" w:eastAsia="es-ES"/>
        </w:rPr>
      </w:pPr>
    </w:p>
    <w:p w14:paraId="4A0D0D98" w14:textId="3F5455F1" w:rsidR="009455ED" w:rsidRPr="009F337B" w:rsidRDefault="008E3036" w:rsidP="00593E37">
      <w:pPr>
        <w:numPr>
          <w:ilvl w:val="0"/>
          <w:numId w:val="1"/>
        </w:numPr>
        <w:ind w:left="0" w:right="-4" w:firstLine="0"/>
        <w:contextualSpacing/>
        <w:rPr>
          <w:noProof w:val="0"/>
          <w:szCs w:val="20"/>
          <w:lang w:val="en-US"/>
        </w:rPr>
      </w:pPr>
      <w:r w:rsidRPr="009F337B">
        <w:rPr>
          <w:i/>
          <w:noProof w:val="0"/>
          <w:lang w:val="en-US"/>
        </w:rPr>
        <w:t>The case submitted to</w:t>
      </w:r>
      <w:r w:rsidR="009A4176" w:rsidRPr="009F337B">
        <w:rPr>
          <w:i/>
          <w:noProof w:val="0"/>
          <w:lang w:val="en-US"/>
        </w:rPr>
        <w:t xml:space="preserve"> </w:t>
      </w:r>
      <w:r w:rsidR="00AE5F9E" w:rsidRPr="009F337B">
        <w:rPr>
          <w:i/>
          <w:noProof w:val="0"/>
          <w:lang w:val="en-US"/>
        </w:rPr>
        <w:t>the Court</w:t>
      </w:r>
      <w:r w:rsidR="009A4176" w:rsidRPr="009F337B">
        <w:rPr>
          <w:i/>
          <w:noProof w:val="0"/>
          <w:lang w:val="en-US"/>
        </w:rPr>
        <w:t>.</w:t>
      </w:r>
      <w:r w:rsidR="009A4176" w:rsidRPr="009F337B">
        <w:rPr>
          <w:noProof w:val="0"/>
          <w:lang w:val="en-US"/>
        </w:rPr>
        <w:t xml:space="preserve"> </w:t>
      </w:r>
      <w:r w:rsidR="003C46A3" w:rsidRPr="009F337B">
        <w:rPr>
          <w:noProof w:val="0"/>
          <w:szCs w:val="20"/>
          <w:lang w:val="en-US"/>
        </w:rPr>
        <w:t>On December 3,</w:t>
      </w:r>
      <w:r w:rsidR="00821699" w:rsidRPr="009F337B">
        <w:rPr>
          <w:noProof w:val="0"/>
          <w:szCs w:val="20"/>
          <w:lang w:val="en-US"/>
        </w:rPr>
        <w:t xml:space="preserve"> 2016</w:t>
      </w:r>
      <w:r w:rsidR="00F51FE4" w:rsidRPr="009F337B">
        <w:rPr>
          <w:noProof w:val="0"/>
          <w:szCs w:val="20"/>
          <w:lang w:val="en-US"/>
        </w:rPr>
        <w:t xml:space="preserve">, </w:t>
      </w:r>
      <w:r w:rsidR="003C46A3" w:rsidRPr="009F337B">
        <w:rPr>
          <w:noProof w:val="0"/>
          <w:szCs w:val="20"/>
          <w:lang w:val="en-US"/>
        </w:rPr>
        <w:t xml:space="preserve">pursuant to the provisions of </w:t>
      </w:r>
      <w:r w:rsidR="00AE5F9E" w:rsidRPr="009F337B">
        <w:rPr>
          <w:noProof w:val="0"/>
          <w:szCs w:val="20"/>
          <w:lang w:val="en-US"/>
        </w:rPr>
        <w:t>Articles</w:t>
      </w:r>
      <w:r w:rsidR="00F51FE4" w:rsidRPr="009F337B">
        <w:rPr>
          <w:noProof w:val="0"/>
          <w:szCs w:val="20"/>
          <w:lang w:val="en-US"/>
        </w:rPr>
        <w:t xml:space="preserve"> 51</w:t>
      </w:r>
      <w:r w:rsidR="003C46A3" w:rsidRPr="009F337B">
        <w:rPr>
          <w:noProof w:val="0"/>
          <w:szCs w:val="20"/>
          <w:lang w:val="en-US"/>
        </w:rPr>
        <w:t xml:space="preserve"> and </w:t>
      </w:r>
      <w:r w:rsidR="00F51FE4" w:rsidRPr="009F337B">
        <w:rPr>
          <w:noProof w:val="0"/>
          <w:szCs w:val="20"/>
          <w:lang w:val="en-US"/>
        </w:rPr>
        <w:t>61</w:t>
      </w:r>
      <w:r w:rsidR="00AE5F9E" w:rsidRPr="009F337B">
        <w:rPr>
          <w:noProof w:val="0"/>
          <w:szCs w:val="20"/>
          <w:lang w:val="en-US"/>
        </w:rPr>
        <w:t xml:space="preserve"> of the American Convention</w:t>
      </w:r>
      <w:r w:rsidR="003C46A3" w:rsidRPr="009F337B">
        <w:rPr>
          <w:noProof w:val="0"/>
          <w:szCs w:val="20"/>
          <w:lang w:val="en-US"/>
        </w:rPr>
        <w:t xml:space="preserve"> and </w:t>
      </w:r>
      <w:r w:rsidR="00AE5F9E" w:rsidRPr="009F337B">
        <w:rPr>
          <w:noProof w:val="0"/>
          <w:szCs w:val="20"/>
          <w:lang w:val="en-US"/>
        </w:rPr>
        <w:t>Article</w:t>
      </w:r>
      <w:r w:rsidR="00F51FE4" w:rsidRPr="009F337B">
        <w:rPr>
          <w:noProof w:val="0"/>
          <w:szCs w:val="20"/>
          <w:lang w:val="en-US"/>
        </w:rPr>
        <w:t xml:space="preserve"> 35 </w:t>
      </w:r>
      <w:r w:rsidR="00AE5F9E" w:rsidRPr="009F337B">
        <w:rPr>
          <w:noProof w:val="0"/>
          <w:szCs w:val="20"/>
          <w:lang w:val="en-US"/>
        </w:rPr>
        <w:t xml:space="preserve">of the </w:t>
      </w:r>
      <w:r w:rsidR="003C46A3" w:rsidRPr="009F337B">
        <w:rPr>
          <w:noProof w:val="0"/>
          <w:szCs w:val="20"/>
          <w:lang w:val="en-US"/>
        </w:rPr>
        <w:t xml:space="preserve">Court’s </w:t>
      </w:r>
      <w:r w:rsidR="00AE5F9E" w:rsidRPr="009F337B">
        <w:rPr>
          <w:noProof w:val="0"/>
          <w:szCs w:val="20"/>
          <w:lang w:val="en-US"/>
        </w:rPr>
        <w:t>Rules of Procedure</w:t>
      </w:r>
      <w:r w:rsidR="00F51FE4" w:rsidRPr="009F337B">
        <w:rPr>
          <w:noProof w:val="0"/>
          <w:szCs w:val="20"/>
          <w:lang w:val="en-US"/>
        </w:rPr>
        <w:t>,</w:t>
      </w:r>
      <w:r w:rsidR="009A4176" w:rsidRPr="009F337B">
        <w:rPr>
          <w:noProof w:val="0"/>
          <w:szCs w:val="20"/>
          <w:lang w:val="en-US"/>
        </w:rPr>
        <w:t xml:space="preserve"> </w:t>
      </w:r>
      <w:r w:rsidR="00AE5F9E" w:rsidRPr="009F337B">
        <w:rPr>
          <w:noProof w:val="0"/>
          <w:szCs w:val="20"/>
          <w:lang w:val="en-US"/>
        </w:rPr>
        <w:t>the Inter-American Commission on Human Rights</w:t>
      </w:r>
      <w:r w:rsidR="009A4176" w:rsidRPr="009F337B">
        <w:rPr>
          <w:noProof w:val="0"/>
          <w:szCs w:val="20"/>
          <w:lang w:val="en-US"/>
        </w:rPr>
        <w:t xml:space="preserve"> (</w:t>
      </w:r>
      <w:r w:rsidR="00AE5F9E" w:rsidRPr="009F337B">
        <w:rPr>
          <w:noProof w:val="0"/>
          <w:szCs w:val="20"/>
          <w:lang w:val="en-US"/>
        </w:rPr>
        <w:t>hereinafter</w:t>
      </w:r>
      <w:r w:rsidR="009A4176" w:rsidRPr="009F337B">
        <w:rPr>
          <w:noProof w:val="0"/>
          <w:szCs w:val="20"/>
          <w:lang w:val="en-US"/>
        </w:rPr>
        <w:t xml:space="preserve"> “</w:t>
      </w:r>
      <w:r w:rsidR="00AE5F9E" w:rsidRPr="009F337B">
        <w:rPr>
          <w:noProof w:val="0"/>
          <w:szCs w:val="20"/>
          <w:lang w:val="en-US"/>
        </w:rPr>
        <w:t>the Inter-American Commission</w:t>
      </w:r>
      <w:r w:rsidR="009A4176" w:rsidRPr="009F337B">
        <w:rPr>
          <w:noProof w:val="0"/>
          <w:szCs w:val="20"/>
          <w:lang w:val="en-US"/>
        </w:rPr>
        <w:t>” o</w:t>
      </w:r>
      <w:r w:rsidR="003C46A3" w:rsidRPr="009F337B">
        <w:rPr>
          <w:noProof w:val="0"/>
          <w:szCs w:val="20"/>
          <w:lang w:val="en-US"/>
        </w:rPr>
        <w:t>r</w:t>
      </w:r>
      <w:r w:rsidR="009A4176" w:rsidRPr="009F337B">
        <w:rPr>
          <w:noProof w:val="0"/>
          <w:szCs w:val="20"/>
          <w:lang w:val="en-US"/>
        </w:rPr>
        <w:t xml:space="preserve"> “</w:t>
      </w:r>
      <w:r w:rsidR="00AE5F9E" w:rsidRPr="009F337B">
        <w:rPr>
          <w:noProof w:val="0"/>
          <w:szCs w:val="20"/>
          <w:lang w:val="en-US"/>
        </w:rPr>
        <w:t>the Commission</w:t>
      </w:r>
      <w:r w:rsidR="009A4176" w:rsidRPr="009F337B">
        <w:rPr>
          <w:noProof w:val="0"/>
          <w:szCs w:val="20"/>
          <w:lang w:val="en-US"/>
        </w:rPr>
        <w:t>”) s</w:t>
      </w:r>
      <w:r w:rsidR="003C46A3" w:rsidRPr="009F337B">
        <w:rPr>
          <w:noProof w:val="0"/>
          <w:szCs w:val="20"/>
          <w:lang w:val="en-US"/>
        </w:rPr>
        <w:t xml:space="preserve">ubmitted to the jurisdiction </w:t>
      </w:r>
      <w:r w:rsidR="00AE5F9E" w:rsidRPr="009F337B">
        <w:rPr>
          <w:noProof w:val="0"/>
          <w:szCs w:val="20"/>
          <w:lang w:val="en-US"/>
        </w:rPr>
        <w:t>of the Inter-American Court</w:t>
      </w:r>
      <w:r w:rsidR="009A4176" w:rsidRPr="009F337B">
        <w:rPr>
          <w:rFonts w:eastAsia="Calibri"/>
          <w:noProof w:val="0"/>
          <w:szCs w:val="20"/>
          <w:lang w:val="en-US"/>
        </w:rPr>
        <w:t xml:space="preserve"> </w:t>
      </w:r>
      <w:r w:rsidR="003C46A3" w:rsidRPr="009F337B">
        <w:rPr>
          <w:noProof w:val="0"/>
          <w:szCs w:val="20"/>
          <w:lang w:val="en-US"/>
        </w:rPr>
        <w:t xml:space="preserve">the </w:t>
      </w:r>
      <w:r w:rsidR="003C46A3" w:rsidRPr="009F337B">
        <w:rPr>
          <w:i/>
          <w:noProof w:val="0"/>
          <w:szCs w:val="20"/>
          <w:lang w:val="en-US"/>
        </w:rPr>
        <w:t>case of</w:t>
      </w:r>
      <w:r w:rsidR="009A4176" w:rsidRPr="009F337B">
        <w:rPr>
          <w:noProof w:val="0"/>
          <w:szCs w:val="20"/>
          <w:lang w:val="en-US"/>
        </w:rPr>
        <w:t xml:space="preserve"> </w:t>
      </w:r>
      <w:proofErr w:type="spellStart"/>
      <w:r w:rsidR="00821699" w:rsidRPr="009F337B">
        <w:rPr>
          <w:rFonts w:cs="Verdana"/>
          <w:i/>
          <w:noProof w:val="0"/>
          <w:szCs w:val="20"/>
          <w:lang w:val="en-US"/>
        </w:rPr>
        <w:t>Cuscul</w:t>
      </w:r>
      <w:proofErr w:type="spellEnd"/>
      <w:r w:rsidR="00821699" w:rsidRPr="009F337B">
        <w:rPr>
          <w:rFonts w:cs="Verdana"/>
          <w:i/>
          <w:noProof w:val="0"/>
          <w:szCs w:val="20"/>
          <w:lang w:val="en-US"/>
        </w:rPr>
        <w:t xml:space="preserve"> </w:t>
      </w:r>
      <w:proofErr w:type="spellStart"/>
      <w:r w:rsidR="00821699" w:rsidRPr="009F337B">
        <w:rPr>
          <w:rFonts w:cs="Verdana"/>
          <w:i/>
          <w:noProof w:val="0"/>
          <w:szCs w:val="20"/>
          <w:lang w:val="en-US"/>
        </w:rPr>
        <w:t>Pivaral</w:t>
      </w:r>
      <w:proofErr w:type="spellEnd"/>
      <w:r w:rsidR="003C46A3" w:rsidRPr="009F337B">
        <w:rPr>
          <w:rFonts w:cs="Verdana"/>
          <w:i/>
          <w:noProof w:val="0"/>
          <w:szCs w:val="20"/>
          <w:lang w:val="en-US"/>
        </w:rPr>
        <w:t xml:space="preserve"> et al.</w:t>
      </w:r>
      <w:r w:rsidR="009A4176" w:rsidRPr="009F337B">
        <w:rPr>
          <w:rFonts w:cs="Verdana"/>
          <w:i/>
          <w:noProof w:val="0"/>
          <w:szCs w:val="20"/>
          <w:lang w:val="en-US"/>
        </w:rPr>
        <w:t xml:space="preserve"> </w:t>
      </w:r>
      <w:r w:rsidR="003C46A3" w:rsidRPr="009F337B">
        <w:rPr>
          <w:noProof w:val="0"/>
          <w:szCs w:val="20"/>
          <w:lang w:val="en-US"/>
        </w:rPr>
        <w:t>against</w:t>
      </w:r>
      <w:r w:rsidR="009A4176" w:rsidRPr="009F337B">
        <w:rPr>
          <w:noProof w:val="0"/>
          <w:szCs w:val="20"/>
          <w:lang w:val="en-US"/>
        </w:rPr>
        <w:t xml:space="preserve"> </w:t>
      </w:r>
      <w:r w:rsidR="003C46A3" w:rsidRPr="009F337B">
        <w:rPr>
          <w:noProof w:val="0"/>
          <w:szCs w:val="20"/>
          <w:lang w:val="en-US"/>
        </w:rPr>
        <w:t>the Republic of</w:t>
      </w:r>
      <w:r w:rsidR="009A4176" w:rsidRPr="009F337B">
        <w:rPr>
          <w:noProof w:val="0"/>
          <w:szCs w:val="20"/>
          <w:lang w:val="en-US"/>
        </w:rPr>
        <w:t xml:space="preserve"> </w:t>
      </w:r>
      <w:r w:rsidR="00821699" w:rsidRPr="009F337B">
        <w:rPr>
          <w:noProof w:val="0"/>
          <w:szCs w:val="20"/>
          <w:lang w:val="en-US"/>
        </w:rPr>
        <w:t>Guatemala</w:t>
      </w:r>
      <w:r w:rsidR="009A4176" w:rsidRPr="009F337B">
        <w:rPr>
          <w:i/>
          <w:noProof w:val="0"/>
          <w:szCs w:val="20"/>
          <w:lang w:val="en-US"/>
        </w:rPr>
        <w:t xml:space="preserve"> </w:t>
      </w:r>
      <w:r w:rsidR="009A4176" w:rsidRPr="009F337B">
        <w:rPr>
          <w:noProof w:val="0"/>
          <w:szCs w:val="20"/>
          <w:lang w:val="en-US"/>
        </w:rPr>
        <w:t>(</w:t>
      </w:r>
      <w:r w:rsidR="00AE5F9E" w:rsidRPr="009F337B">
        <w:rPr>
          <w:noProof w:val="0"/>
          <w:szCs w:val="20"/>
          <w:lang w:val="en-US"/>
        </w:rPr>
        <w:t>hereinafter</w:t>
      </w:r>
      <w:r w:rsidR="009A4176" w:rsidRPr="009F337B">
        <w:rPr>
          <w:noProof w:val="0"/>
          <w:szCs w:val="20"/>
          <w:lang w:val="en-US"/>
        </w:rPr>
        <w:t xml:space="preserve"> “</w:t>
      </w:r>
      <w:r w:rsidR="003C46A3" w:rsidRPr="009F337B">
        <w:rPr>
          <w:noProof w:val="0"/>
          <w:szCs w:val="20"/>
          <w:lang w:val="en-US"/>
        </w:rPr>
        <w:t>the State</w:t>
      </w:r>
      <w:r w:rsidR="009A4176" w:rsidRPr="009F337B">
        <w:rPr>
          <w:noProof w:val="0"/>
          <w:szCs w:val="20"/>
          <w:lang w:val="en-US"/>
        </w:rPr>
        <w:t>” o</w:t>
      </w:r>
      <w:r w:rsidR="003C46A3" w:rsidRPr="009F337B">
        <w:rPr>
          <w:noProof w:val="0"/>
          <w:szCs w:val="20"/>
          <w:lang w:val="en-US"/>
        </w:rPr>
        <w:t>r</w:t>
      </w:r>
      <w:r w:rsidR="009A4176" w:rsidRPr="009F337B">
        <w:rPr>
          <w:noProof w:val="0"/>
          <w:szCs w:val="20"/>
          <w:lang w:val="en-US"/>
        </w:rPr>
        <w:t xml:space="preserve"> “</w:t>
      </w:r>
      <w:r w:rsidR="00821699" w:rsidRPr="009F337B">
        <w:rPr>
          <w:noProof w:val="0"/>
          <w:szCs w:val="20"/>
          <w:lang w:val="en-US"/>
        </w:rPr>
        <w:t>Guatemala</w:t>
      </w:r>
      <w:r w:rsidR="009A4176" w:rsidRPr="009F337B">
        <w:rPr>
          <w:noProof w:val="0"/>
          <w:szCs w:val="20"/>
          <w:lang w:val="en-US"/>
        </w:rPr>
        <w:t>”).</w:t>
      </w:r>
      <w:r w:rsidR="009A4176" w:rsidRPr="009F337B">
        <w:rPr>
          <w:rFonts w:eastAsia="Calibri"/>
          <w:noProof w:val="0"/>
          <w:szCs w:val="20"/>
          <w:lang w:val="en-US"/>
        </w:rPr>
        <w:t xml:space="preserve"> </w:t>
      </w:r>
      <w:r w:rsidR="003C46A3" w:rsidRPr="009F337B">
        <w:rPr>
          <w:rFonts w:eastAsia="Calibri"/>
          <w:noProof w:val="0"/>
          <w:szCs w:val="20"/>
          <w:lang w:val="en-US"/>
        </w:rPr>
        <w:t xml:space="preserve">According to </w:t>
      </w:r>
      <w:r w:rsidR="00AE5F9E" w:rsidRPr="009F337B">
        <w:rPr>
          <w:rFonts w:eastAsia="Calibri"/>
          <w:noProof w:val="0"/>
          <w:szCs w:val="20"/>
          <w:lang w:val="en-US"/>
        </w:rPr>
        <w:t>the Commission</w:t>
      </w:r>
      <w:r w:rsidR="00375F50" w:rsidRPr="009F337B">
        <w:rPr>
          <w:rFonts w:eastAsia="Calibri"/>
          <w:noProof w:val="0"/>
          <w:szCs w:val="20"/>
          <w:lang w:val="en-US"/>
        </w:rPr>
        <w:t xml:space="preserve">, </w:t>
      </w:r>
      <w:r w:rsidR="003C46A3" w:rsidRPr="009F337B">
        <w:rPr>
          <w:rFonts w:eastAsia="Calibri"/>
          <w:noProof w:val="0"/>
          <w:szCs w:val="20"/>
          <w:lang w:val="en-US"/>
        </w:rPr>
        <w:t xml:space="preserve">the case refers to the presumed international responsibility of the State for the violation of various rights established in </w:t>
      </w:r>
      <w:r w:rsidR="00AE5F9E" w:rsidRPr="009F337B">
        <w:rPr>
          <w:noProof w:val="0"/>
          <w:szCs w:val="20"/>
          <w:lang w:val="en-US"/>
        </w:rPr>
        <w:t>the American Convention</w:t>
      </w:r>
      <w:r w:rsidR="00375F50" w:rsidRPr="009F337B">
        <w:rPr>
          <w:noProof w:val="0"/>
          <w:szCs w:val="20"/>
          <w:lang w:val="en-US"/>
        </w:rPr>
        <w:t xml:space="preserve"> </w:t>
      </w:r>
      <w:r w:rsidR="003C46A3" w:rsidRPr="009F337B">
        <w:rPr>
          <w:noProof w:val="0"/>
          <w:szCs w:val="20"/>
          <w:lang w:val="en-US"/>
        </w:rPr>
        <w:t>to the detriment of</w:t>
      </w:r>
      <w:r w:rsidR="00375F50" w:rsidRPr="009F337B">
        <w:rPr>
          <w:noProof w:val="0"/>
          <w:szCs w:val="20"/>
          <w:lang w:val="en-US"/>
        </w:rPr>
        <w:t xml:space="preserve"> 49 </w:t>
      </w:r>
      <w:r w:rsidR="003C46A3" w:rsidRPr="009F337B">
        <w:rPr>
          <w:noProof w:val="0"/>
          <w:szCs w:val="20"/>
          <w:lang w:val="en-US"/>
        </w:rPr>
        <w:t>presumed victims</w:t>
      </w:r>
      <w:r w:rsidR="00BC50CD" w:rsidRPr="009F337B">
        <w:rPr>
          <w:noProof w:val="0"/>
          <w:szCs w:val="20"/>
          <w:lang w:val="en-US"/>
        </w:rPr>
        <w:t xml:space="preserve"> </w:t>
      </w:r>
      <w:r w:rsidR="003C46A3" w:rsidRPr="009F337B">
        <w:rPr>
          <w:noProof w:val="0"/>
          <w:szCs w:val="20"/>
          <w:lang w:val="en-US"/>
        </w:rPr>
        <w:t xml:space="preserve">who were diagnosed with HIV between </w:t>
      </w:r>
      <w:r w:rsidR="00D13A70" w:rsidRPr="009F337B">
        <w:rPr>
          <w:noProof w:val="0"/>
          <w:szCs w:val="20"/>
          <w:lang w:val="en-US"/>
        </w:rPr>
        <w:t>1992</w:t>
      </w:r>
      <w:r w:rsidR="003C46A3" w:rsidRPr="009F337B">
        <w:rPr>
          <w:noProof w:val="0"/>
          <w:szCs w:val="20"/>
          <w:lang w:val="en-US"/>
        </w:rPr>
        <w:t xml:space="preserve"> and </w:t>
      </w:r>
      <w:r w:rsidR="00D13A70" w:rsidRPr="009F337B">
        <w:rPr>
          <w:noProof w:val="0"/>
          <w:szCs w:val="20"/>
          <w:lang w:val="en-US"/>
        </w:rPr>
        <w:t xml:space="preserve">2003. </w:t>
      </w:r>
      <w:r w:rsidR="00AE5F9E" w:rsidRPr="009F337B">
        <w:rPr>
          <w:noProof w:val="0"/>
          <w:szCs w:val="20"/>
          <w:lang w:val="en-US"/>
        </w:rPr>
        <w:t>The Commission</w:t>
      </w:r>
      <w:r w:rsidR="00BC50CD" w:rsidRPr="009F337B">
        <w:rPr>
          <w:noProof w:val="0"/>
          <w:szCs w:val="20"/>
          <w:lang w:val="en-US"/>
        </w:rPr>
        <w:t xml:space="preserve"> establ</w:t>
      </w:r>
      <w:r w:rsidR="003C46A3" w:rsidRPr="009F337B">
        <w:rPr>
          <w:noProof w:val="0"/>
          <w:szCs w:val="20"/>
          <w:lang w:val="en-US"/>
        </w:rPr>
        <w:t>ished that</w:t>
      </w:r>
      <w:r w:rsidR="0019044D" w:rsidRPr="009F337B">
        <w:rPr>
          <w:noProof w:val="0"/>
          <w:szCs w:val="20"/>
          <w:lang w:val="en-US"/>
        </w:rPr>
        <w:t>,</w:t>
      </w:r>
      <w:r w:rsidR="003C46A3" w:rsidRPr="009F337B">
        <w:rPr>
          <w:noProof w:val="0"/>
          <w:szCs w:val="20"/>
          <w:lang w:val="en-US"/>
        </w:rPr>
        <w:t xml:space="preserve"> up until 2006 and 2007, there had been a</w:t>
      </w:r>
      <w:r w:rsidR="003C0893" w:rsidRPr="009F337B">
        <w:rPr>
          <w:noProof w:val="0"/>
          <w:szCs w:val="20"/>
          <w:lang w:val="en-US"/>
        </w:rPr>
        <w:t xml:space="preserve"> total</w:t>
      </w:r>
      <w:r w:rsidR="003C46A3" w:rsidRPr="009F337B">
        <w:rPr>
          <w:noProof w:val="0"/>
          <w:szCs w:val="20"/>
          <w:lang w:val="en-US"/>
        </w:rPr>
        <w:t xml:space="preserve"> lack of </w:t>
      </w:r>
      <w:r w:rsidR="003C0893" w:rsidRPr="009F337B">
        <w:rPr>
          <w:noProof w:val="0"/>
          <w:szCs w:val="20"/>
          <w:lang w:val="en-US"/>
        </w:rPr>
        <w:t>public</w:t>
      </w:r>
      <w:r w:rsidR="003C46A3" w:rsidRPr="009F337B">
        <w:rPr>
          <w:noProof w:val="0"/>
          <w:szCs w:val="20"/>
          <w:lang w:val="en-US"/>
        </w:rPr>
        <w:t xml:space="preserve"> medical care for this group of individuals </w:t>
      </w:r>
      <w:r w:rsidR="003C0893" w:rsidRPr="009F337B">
        <w:rPr>
          <w:noProof w:val="0"/>
          <w:szCs w:val="20"/>
          <w:lang w:val="en-US"/>
        </w:rPr>
        <w:t xml:space="preserve">who were </w:t>
      </w:r>
      <w:r w:rsidR="003C46A3" w:rsidRPr="009F337B">
        <w:rPr>
          <w:noProof w:val="0"/>
          <w:szCs w:val="20"/>
          <w:lang w:val="en-US"/>
        </w:rPr>
        <w:t xml:space="preserve">living with HIV </w:t>
      </w:r>
      <w:r w:rsidR="003C0893" w:rsidRPr="009F337B">
        <w:rPr>
          <w:noProof w:val="0"/>
          <w:szCs w:val="20"/>
          <w:lang w:val="en-US"/>
        </w:rPr>
        <w:t>and also</w:t>
      </w:r>
      <w:r w:rsidR="003C46A3" w:rsidRPr="009F337B">
        <w:rPr>
          <w:noProof w:val="0"/>
          <w:szCs w:val="20"/>
          <w:lang w:val="en-US"/>
        </w:rPr>
        <w:t xml:space="preserve"> in poverty, and determined that this failure had </w:t>
      </w:r>
      <w:r w:rsidR="0019044D" w:rsidRPr="009F337B">
        <w:rPr>
          <w:noProof w:val="0"/>
          <w:szCs w:val="20"/>
          <w:lang w:val="en-US"/>
        </w:rPr>
        <w:t xml:space="preserve">had </w:t>
      </w:r>
      <w:r w:rsidR="003C46A3" w:rsidRPr="009F337B">
        <w:rPr>
          <w:noProof w:val="0"/>
          <w:szCs w:val="20"/>
          <w:lang w:val="en-US"/>
        </w:rPr>
        <w:t xml:space="preserve">a serious impact on their health, life and personal integrity. According to the Commission, starting in </w:t>
      </w:r>
      <w:r w:rsidR="009F7070" w:rsidRPr="009F337B">
        <w:rPr>
          <w:noProof w:val="0"/>
          <w:szCs w:val="20"/>
          <w:lang w:val="en-US"/>
        </w:rPr>
        <w:t>2006-2007</w:t>
      </w:r>
      <w:r w:rsidR="003C46A3" w:rsidRPr="009F337B">
        <w:rPr>
          <w:noProof w:val="0"/>
          <w:szCs w:val="20"/>
          <w:lang w:val="en-US"/>
        </w:rPr>
        <w:t>,</w:t>
      </w:r>
      <w:r w:rsidR="00A25BA0" w:rsidRPr="009F337B">
        <w:rPr>
          <w:noProof w:val="0"/>
          <w:szCs w:val="20"/>
          <w:lang w:val="en-US"/>
        </w:rPr>
        <w:t xml:space="preserve"> </w:t>
      </w:r>
      <w:r w:rsidR="003C46A3" w:rsidRPr="009F337B">
        <w:rPr>
          <w:noProof w:val="0"/>
          <w:szCs w:val="20"/>
          <w:lang w:val="en-US"/>
        </w:rPr>
        <w:t>the State</w:t>
      </w:r>
      <w:r w:rsidR="00A25BA0" w:rsidRPr="009F337B">
        <w:rPr>
          <w:noProof w:val="0"/>
          <w:szCs w:val="20"/>
          <w:lang w:val="en-US"/>
        </w:rPr>
        <w:t xml:space="preserve"> impleme</w:t>
      </w:r>
      <w:r w:rsidR="003C46A3" w:rsidRPr="009F337B">
        <w:rPr>
          <w:noProof w:val="0"/>
          <w:szCs w:val="20"/>
          <w:lang w:val="en-US"/>
        </w:rPr>
        <w:t xml:space="preserve">nted some treatment for people living with HIV, but the care provided was neither comprehensive </w:t>
      </w:r>
      <w:r w:rsidR="00542AB5">
        <w:rPr>
          <w:noProof w:val="0"/>
          <w:szCs w:val="20"/>
          <w:lang w:val="en-US"/>
        </w:rPr>
        <w:t>n</w:t>
      </w:r>
      <w:r w:rsidR="003C46A3" w:rsidRPr="009F337B">
        <w:rPr>
          <w:noProof w:val="0"/>
          <w:szCs w:val="20"/>
          <w:lang w:val="en-US"/>
        </w:rPr>
        <w:t xml:space="preserve">or adequate. </w:t>
      </w:r>
      <w:r w:rsidR="0019044D" w:rsidRPr="009F337B">
        <w:rPr>
          <w:noProof w:val="0"/>
          <w:szCs w:val="20"/>
          <w:lang w:val="en-US"/>
        </w:rPr>
        <w:t xml:space="preserve">The </w:t>
      </w:r>
      <w:r w:rsidR="00A30D95" w:rsidRPr="009F337B">
        <w:rPr>
          <w:noProof w:val="0"/>
          <w:szCs w:val="20"/>
          <w:lang w:val="en-US"/>
        </w:rPr>
        <w:t>Commission</w:t>
      </w:r>
      <w:r w:rsidR="003C46A3" w:rsidRPr="009F337B">
        <w:rPr>
          <w:noProof w:val="0"/>
          <w:szCs w:val="20"/>
          <w:lang w:val="en-US"/>
        </w:rPr>
        <w:t xml:space="preserve"> therefore considered that these shortcomings continued to violate the rights to health, life and personal integrity of the surviving victims.</w:t>
      </w:r>
      <w:r w:rsidR="00BC50CD" w:rsidRPr="009F337B">
        <w:rPr>
          <w:noProof w:val="0"/>
          <w:szCs w:val="20"/>
          <w:lang w:val="en-US"/>
        </w:rPr>
        <w:t xml:space="preserve"> </w:t>
      </w:r>
      <w:r w:rsidR="003C46A3" w:rsidRPr="009F337B">
        <w:rPr>
          <w:noProof w:val="0"/>
          <w:szCs w:val="20"/>
          <w:lang w:val="en-US"/>
        </w:rPr>
        <w:t>T</w:t>
      </w:r>
      <w:r w:rsidR="00AE5F9E" w:rsidRPr="009F337B">
        <w:rPr>
          <w:noProof w:val="0"/>
          <w:szCs w:val="20"/>
          <w:lang w:val="en-US"/>
        </w:rPr>
        <w:t>he Commission</w:t>
      </w:r>
      <w:r w:rsidR="00BC50CD" w:rsidRPr="009F337B">
        <w:rPr>
          <w:noProof w:val="0"/>
          <w:szCs w:val="20"/>
          <w:lang w:val="en-US"/>
        </w:rPr>
        <w:t xml:space="preserve"> </w:t>
      </w:r>
      <w:r w:rsidR="003C46A3" w:rsidRPr="009F337B">
        <w:rPr>
          <w:noProof w:val="0"/>
          <w:szCs w:val="20"/>
          <w:lang w:val="en-US"/>
        </w:rPr>
        <w:t>also determined that the death of eight of the</w:t>
      </w:r>
      <w:r w:rsidR="00BC50CD" w:rsidRPr="009F337B">
        <w:rPr>
          <w:noProof w:val="0"/>
          <w:szCs w:val="20"/>
          <w:lang w:val="en-US"/>
        </w:rPr>
        <w:t xml:space="preserve"> </w:t>
      </w:r>
      <w:r w:rsidR="003C46A3" w:rsidRPr="009F337B">
        <w:rPr>
          <w:noProof w:val="0"/>
          <w:szCs w:val="20"/>
          <w:lang w:val="en-US"/>
        </w:rPr>
        <w:t>presumed victims</w:t>
      </w:r>
      <w:r w:rsidR="009F7070" w:rsidRPr="009F337B">
        <w:rPr>
          <w:noProof w:val="0"/>
          <w:szCs w:val="20"/>
          <w:lang w:val="en-US"/>
        </w:rPr>
        <w:t xml:space="preserve"> </w:t>
      </w:r>
      <w:r w:rsidR="003C46A3" w:rsidRPr="009F337B">
        <w:rPr>
          <w:noProof w:val="0"/>
          <w:szCs w:val="20"/>
          <w:lang w:val="en-US"/>
        </w:rPr>
        <w:t xml:space="preserve">occurred as a result of opportunistic illnesses, or during the time that they presumably did not receive the care they required from the State, or following deficient care. </w:t>
      </w:r>
      <w:r w:rsidR="00AE5F9E" w:rsidRPr="009F337B">
        <w:rPr>
          <w:noProof w:val="0"/>
          <w:szCs w:val="20"/>
          <w:lang w:val="en-US"/>
        </w:rPr>
        <w:t>The Commission</w:t>
      </w:r>
      <w:r w:rsidR="009A4176" w:rsidRPr="009F337B">
        <w:rPr>
          <w:noProof w:val="0"/>
          <w:szCs w:val="20"/>
          <w:lang w:val="en-US"/>
        </w:rPr>
        <w:t xml:space="preserve"> </w:t>
      </w:r>
      <w:r w:rsidR="00FA0349" w:rsidRPr="009F337B">
        <w:rPr>
          <w:noProof w:val="0"/>
          <w:szCs w:val="20"/>
          <w:lang w:val="en-US"/>
        </w:rPr>
        <w:t>a</w:t>
      </w:r>
      <w:r w:rsidR="003C46A3" w:rsidRPr="009F337B">
        <w:rPr>
          <w:noProof w:val="0"/>
          <w:szCs w:val="20"/>
          <w:lang w:val="en-US"/>
        </w:rPr>
        <w:t xml:space="preserve">dded that the </w:t>
      </w:r>
      <w:r w:rsidR="0019044D" w:rsidRPr="009F337B">
        <w:rPr>
          <w:noProof w:val="0"/>
          <w:szCs w:val="20"/>
          <w:lang w:val="en-US"/>
        </w:rPr>
        <w:t>application for</w:t>
      </w:r>
      <w:r w:rsidR="003C46A3" w:rsidRPr="009F337B">
        <w:rPr>
          <w:noProof w:val="0"/>
          <w:szCs w:val="20"/>
          <w:lang w:val="en-US"/>
        </w:rPr>
        <w:t xml:space="preserve"> amparo filed before the Constitutional Court on July 26, </w:t>
      </w:r>
      <w:r w:rsidR="00FA0349" w:rsidRPr="009F337B">
        <w:rPr>
          <w:noProof w:val="0"/>
          <w:szCs w:val="20"/>
          <w:lang w:val="en-US"/>
        </w:rPr>
        <w:t>2002</w:t>
      </w:r>
      <w:r w:rsidR="003C46A3" w:rsidRPr="009F337B">
        <w:rPr>
          <w:noProof w:val="0"/>
          <w:szCs w:val="20"/>
          <w:lang w:val="en-US"/>
        </w:rPr>
        <w:t>, did not provide the presumed victims with effective judicial protection</w:t>
      </w:r>
      <w:r w:rsidR="00FA0349" w:rsidRPr="009F337B">
        <w:rPr>
          <w:noProof w:val="0"/>
          <w:szCs w:val="20"/>
          <w:lang w:val="en-US"/>
        </w:rPr>
        <w:t xml:space="preserve">. </w:t>
      </w:r>
      <w:r w:rsidR="003C46A3" w:rsidRPr="009F337B">
        <w:rPr>
          <w:noProof w:val="0"/>
          <w:szCs w:val="20"/>
          <w:lang w:val="en-US"/>
        </w:rPr>
        <w:t xml:space="preserve">Lastly, it concluded that the mental and moral integrity of the next of kin and/or those closest to the presumed victims </w:t>
      </w:r>
      <w:r w:rsidR="0019044D" w:rsidRPr="009F337B">
        <w:rPr>
          <w:noProof w:val="0"/>
          <w:szCs w:val="20"/>
          <w:lang w:val="en-US"/>
        </w:rPr>
        <w:t xml:space="preserve">had been violated. </w:t>
      </w:r>
      <w:r w:rsidR="003C46A3" w:rsidRPr="009F337B">
        <w:rPr>
          <w:noProof w:val="0"/>
          <w:szCs w:val="20"/>
          <w:lang w:val="en-US"/>
        </w:rPr>
        <w:t xml:space="preserve">The names of the </w:t>
      </w:r>
      <w:r w:rsidR="003C46A3" w:rsidRPr="009F337B">
        <w:rPr>
          <w:szCs w:val="16"/>
          <w:lang w:val="en-US"/>
        </w:rPr>
        <w:t>presumed victims can be found in Annex 1 to this judgment.</w:t>
      </w:r>
    </w:p>
    <w:p w14:paraId="71CF55EF" w14:textId="77777777" w:rsidR="00101969" w:rsidRPr="009F337B" w:rsidRDefault="00101969" w:rsidP="009F7070">
      <w:pPr>
        <w:ind w:right="-4"/>
        <w:contextualSpacing/>
        <w:rPr>
          <w:noProof w:val="0"/>
          <w:szCs w:val="20"/>
          <w:lang w:val="en-US"/>
        </w:rPr>
      </w:pPr>
    </w:p>
    <w:p w14:paraId="46905A9D" w14:textId="15D34C65" w:rsidR="009A4176" w:rsidRPr="009F337B" w:rsidRDefault="003C46A3" w:rsidP="00593E37">
      <w:pPr>
        <w:numPr>
          <w:ilvl w:val="0"/>
          <w:numId w:val="1"/>
        </w:numPr>
        <w:ind w:left="0" w:right="-4" w:firstLine="0"/>
        <w:contextualSpacing/>
        <w:rPr>
          <w:noProof w:val="0"/>
          <w:szCs w:val="20"/>
          <w:lang w:val="en-US"/>
        </w:rPr>
      </w:pPr>
      <w:bookmarkStart w:id="9" w:name="_Ref363651855"/>
      <w:r w:rsidRPr="009F337B">
        <w:rPr>
          <w:i/>
          <w:noProof w:val="0"/>
          <w:szCs w:val="20"/>
          <w:lang w:val="en-US"/>
        </w:rPr>
        <w:t>Procedure before</w:t>
      </w:r>
      <w:r w:rsidR="009A4176" w:rsidRPr="009F337B">
        <w:rPr>
          <w:i/>
          <w:noProof w:val="0"/>
          <w:szCs w:val="20"/>
          <w:lang w:val="en-US"/>
        </w:rPr>
        <w:t xml:space="preserve"> </w:t>
      </w:r>
      <w:r w:rsidR="00AE5F9E" w:rsidRPr="009F337B">
        <w:rPr>
          <w:i/>
          <w:noProof w:val="0"/>
          <w:szCs w:val="20"/>
          <w:lang w:val="en-US"/>
        </w:rPr>
        <w:t>the Commission</w:t>
      </w:r>
      <w:r w:rsidR="009A4176" w:rsidRPr="009F337B">
        <w:rPr>
          <w:i/>
          <w:noProof w:val="0"/>
          <w:szCs w:val="20"/>
          <w:lang w:val="en-US"/>
        </w:rPr>
        <w:t>.</w:t>
      </w:r>
      <w:r w:rsidR="009A4176" w:rsidRPr="009F337B">
        <w:rPr>
          <w:noProof w:val="0"/>
          <w:szCs w:val="20"/>
          <w:lang w:val="en-US"/>
        </w:rPr>
        <w:t xml:space="preserve"> </w:t>
      </w:r>
      <w:r w:rsidRPr="009F337B">
        <w:rPr>
          <w:noProof w:val="0"/>
          <w:szCs w:val="20"/>
          <w:lang w:val="en-US"/>
        </w:rPr>
        <w:t xml:space="preserve">The procedure before </w:t>
      </w:r>
      <w:r w:rsidR="00AE5F9E" w:rsidRPr="009F337B">
        <w:rPr>
          <w:noProof w:val="0"/>
          <w:szCs w:val="20"/>
          <w:lang w:val="en-US"/>
        </w:rPr>
        <w:t>the Commission</w:t>
      </w:r>
      <w:r w:rsidR="009A4176" w:rsidRPr="009F337B">
        <w:rPr>
          <w:noProof w:val="0"/>
          <w:szCs w:val="20"/>
          <w:lang w:val="en-US"/>
        </w:rPr>
        <w:t xml:space="preserve"> </w:t>
      </w:r>
      <w:r w:rsidRPr="009F337B">
        <w:rPr>
          <w:noProof w:val="0"/>
          <w:szCs w:val="20"/>
          <w:lang w:val="en-US"/>
        </w:rPr>
        <w:t>was as follows:</w:t>
      </w:r>
      <w:bookmarkEnd w:id="9"/>
    </w:p>
    <w:p w14:paraId="2AF1028B" w14:textId="77777777" w:rsidR="009A4176" w:rsidRPr="009F337B" w:rsidRDefault="009A4176" w:rsidP="009F7070">
      <w:pPr>
        <w:ind w:right="-4"/>
        <w:contextualSpacing/>
        <w:rPr>
          <w:noProof w:val="0"/>
          <w:szCs w:val="20"/>
          <w:lang w:val="en-US"/>
        </w:rPr>
      </w:pPr>
    </w:p>
    <w:p w14:paraId="7AFB493D" w14:textId="4DBC1C78" w:rsidR="009A4176" w:rsidRPr="009F337B" w:rsidRDefault="009A4176" w:rsidP="00593E37">
      <w:pPr>
        <w:numPr>
          <w:ilvl w:val="1"/>
          <w:numId w:val="2"/>
        </w:numPr>
        <w:ind w:left="709" w:right="-6" w:firstLine="0"/>
        <w:contextualSpacing/>
        <w:rPr>
          <w:noProof w:val="0"/>
          <w:szCs w:val="20"/>
          <w:lang w:val="en-US"/>
        </w:rPr>
      </w:pPr>
      <w:r w:rsidRPr="009F337B">
        <w:rPr>
          <w:i/>
          <w:noProof w:val="0"/>
          <w:szCs w:val="20"/>
          <w:lang w:val="en-US"/>
        </w:rPr>
        <w:t>Peti</w:t>
      </w:r>
      <w:r w:rsidR="003C46A3" w:rsidRPr="009F337B">
        <w:rPr>
          <w:i/>
          <w:noProof w:val="0"/>
          <w:szCs w:val="20"/>
          <w:lang w:val="en-US"/>
        </w:rPr>
        <w:t>tio</w:t>
      </w:r>
      <w:r w:rsidRPr="009F337B">
        <w:rPr>
          <w:i/>
          <w:noProof w:val="0"/>
          <w:szCs w:val="20"/>
          <w:lang w:val="en-US"/>
        </w:rPr>
        <w:t xml:space="preserve">n. </w:t>
      </w:r>
      <w:r w:rsidR="003C46A3" w:rsidRPr="009F337B">
        <w:rPr>
          <w:noProof w:val="0"/>
          <w:szCs w:val="20"/>
          <w:lang w:val="en-US"/>
        </w:rPr>
        <w:t>On August 26,</w:t>
      </w:r>
      <w:r w:rsidR="00DF1228" w:rsidRPr="009F337B">
        <w:rPr>
          <w:noProof w:val="0"/>
          <w:szCs w:val="20"/>
          <w:lang w:val="en-US"/>
        </w:rPr>
        <w:t xml:space="preserve"> 2003</w:t>
      </w:r>
      <w:r w:rsidR="003C46A3" w:rsidRPr="009F337B">
        <w:rPr>
          <w:noProof w:val="0"/>
          <w:szCs w:val="20"/>
          <w:lang w:val="en-US"/>
        </w:rPr>
        <w:t>,</w:t>
      </w:r>
      <w:r w:rsidRPr="009F337B">
        <w:rPr>
          <w:noProof w:val="0"/>
          <w:szCs w:val="20"/>
          <w:lang w:val="en-US"/>
        </w:rPr>
        <w:t xml:space="preserve"> </w:t>
      </w:r>
      <w:r w:rsidR="003C46A3" w:rsidRPr="009F337B">
        <w:rPr>
          <w:noProof w:val="0"/>
          <w:szCs w:val="20"/>
          <w:lang w:val="en-US"/>
        </w:rPr>
        <w:t xml:space="preserve">a petition against Guatemala was lodged before </w:t>
      </w:r>
      <w:r w:rsidR="00AE5F9E" w:rsidRPr="009F337B">
        <w:rPr>
          <w:noProof w:val="0"/>
          <w:szCs w:val="20"/>
          <w:lang w:val="en-US"/>
        </w:rPr>
        <w:t>the Commission</w:t>
      </w:r>
      <w:r w:rsidRPr="009F337B">
        <w:rPr>
          <w:noProof w:val="0"/>
          <w:szCs w:val="20"/>
          <w:lang w:val="en-US"/>
        </w:rPr>
        <w:t xml:space="preserve"> </w:t>
      </w:r>
      <w:r w:rsidR="003C46A3" w:rsidRPr="009F337B">
        <w:rPr>
          <w:noProof w:val="0"/>
          <w:szCs w:val="20"/>
          <w:lang w:val="en-US"/>
        </w:rPr>
        <w:t xml:space="preserve">by the Center for Justice and International Law </w:t>
      </w:r>
      <w:r w:rsidR="00857325" w:rsidRPr="009F337B">
        <w:rPr>
          <w:noProof w:val="0"/>
          <w:szCs w:val="20"/>
          <w:lang w:val="en-US"/>
        </w:rPr>
        <w:t>(CEJIL)</w:t>
      </w:r>
      <w:r w:rsidR="00363CDF" w:rsidRPr="009F337B">
        <w:rPr>
          <w:noProof w:val="0"/>
          <w:szCs w:val="20"/>
          <w:lang w:val="en-US"/>
        </w:rPr>
        <w:t>,</w:t>
      </w:r>
      <w:r w:rsidR="00857325" w:rsidRPr="009F337B">
        <w:rPr>
          <w:noProof w:val="0"/>
          <w:szCs w:val="20"/>
          <w:lang w:val="en-US"/>
        </w:rPr>
        <w:t xml:space="preserve"> </w:t>
      </w:r>
      <w:r w:rsidR="00896824" w:rsidRPr="009F337B">
        <w:rPr>
          <w:szCs w:val="20"/>
          <w:lang w:val="en-US"/>
        </w:rPr>
        <w:t xml:space="preserve">the </w:t>
      </w:r>
      <w:r w:rsidR="00896824" w:rsidRPr="009F337B">
        <w:rPr>
          <w:i/>
          <w:szCs w:val="20"/>
          <w:lang w:val="en-US"/>
        </w:rPr>
        <w:t>Red Nacional de Personas que Viven con el VIH/SIDA</w:t>
      </w:r>
      <w:r w:rsidR="00896824" w:rsidRPr="009F337B">
        <w:rPr>
          <w:i/>
          <w:noProof w:val="0"/>
          <w:szCs w:val="20"/>
          <w:lang w:val="en-US"/>
        </w:rPr>
        <w:t xml:space="preserve">, </w:t>
      </w:r>
      <w:r w:rsidR="003C46A3" w:rsidRPr="009F337B">
        <w:rPr>
          <w:noProof w:val="0"/>
          <w:szCs w:val="20"/>
          <w:lang w:val="en-US"/>
        </w:rPr>
        <w:t xml:space="preserve">the </w:t>
      </w:r>
      <w:proofErr w:type="spellStart"/>
      <w:r w:rsidR="00857325" w:rsidRPr="009F337B">
        <w:rPr>
          <w:i/>
          <w:noProof w:val="0"/>
          <w:szCs w:val="20"/>
          <w:lang w:val="en-US"/>
        </w:rPr>
        <w:t>Gente</w:t>
      </w:r>
      <w:proofErr w:type="spellEnd"/>
      <w:r w:rsidR="00857325" w:rsidRPr="009F337B">
        <w:rPr>
          <w:i/>
          <w:noProof w:val="0"/>
          <w:szCs w:val="20"/>
          <w:lang w:val="en-US"/>
        </w:rPr>
        <w:t xml:space="preserve"> </w:t>
      </w:r>
      <w:proofErr w:type="spellStart"/>
      <w:r w:rsidR="00857325" w:rsidRPr="009F337B">
        <w:rPr>
          <w:i/>
          <w:noProof w:val="0"/>
          <w:szCs w:val="20"/>
          <w:lang w:val="en-US"/>
        </w:rPr>
        <w:t>Unida</w:t>
      </w:r>
      <w:proofErr w:type="spellEnd"/>
      <w:r w:rsidR="00D53336" w:rsidRPr="009F337B">
        <w:rPr>
          <w:noProof w:val="0"/>
          <w:szCs w:val="20"/>
          <w:lang w:val="en-US"/>
        </w:rPr>
        <w:t xml:space="preserve"> Association</w:t>
      </w:r>
      <w:r w:rsidR="00857325" w:rsidRPr="009F337B">
        <w:rPr>
          <w:noProof w:val="0"/>
          <w:szCs w:val="20"/>
          <w:lang w:val="en-US"/>
        </w:rPr>
        <w:t xml:space="preserve">, </w:t>
      </w:r>
      <w:r w:rsidR="00AE674B" w:rsidRPr="009F337B">
        <w:rPr>
          <w:i/>
          <w:noProof w:val="0"/>
          <w:szCs w:val="20"/>
          <w:lang w:val="en-US"/>
        </w:rPr>
        <w:t>Proyecto Vida</w:t>
      </w:r>
      <w:r w:rsidR="00857325" w:rsidRPr="009F337B">
        <w:rPr>
          <w:noProof w:val="0"/>
          <w:szCs w:val="20"/>
          <w:lang w:val="en-US"/>
        </w:rPr>
        <w:t xml:space="preserve">, </w:t>
      </w:r>
      <w:r w:rsidR="003C46A3" w:rsidRPr="009F337B">
        <w:rPr>
          <w:noProof w:val="0"/>
          <w:szCs w:val="20"/>
          <w:lang w:val="en-US"/>
        </w:rPr>
        <w:t>the</w:t>
      </w:r>
      <w:r w:rsidR="00857325" w:rsidRPr="009F337B">
        <w:rPr>
          <w:noProof w:val="0"/>
          <w:szCs w:val="20"/>
          <w:lang w:val="en-US"/>
        </w:rPr>
        <w:t xml:space="preserve"> Fernando Iturbide</w:t>
      </w:r>
      <w:r w:rsidR="00D53336" w:rsidRPr="009F337B">
        <w:rPr>
          <w:noProof w:val="0"/>
          <w:szCs w:val="20"/>
          <w:lang w:val="en-US"/>
        </w:rPr>
        <w:t xml:space="preserve"> AIDS Prevention Foundation</w:t>
      </w:r>
      <w:r w:rsidR="003C46A3" w:rsidRPr="009F337B">
        <w:rPr>
          <w:noProof w:val="0"/>
          <w:szCs w:val="20"/>
          <w:lang w:val="en-US"/>
        </w:rPr>
        <w:t>, and the</w:t>
      </w:r>
      <w:r w:rsidR="00857325" w:rsidRPr="009F337B">
        <w:rPr>
          <w:noProof w:val="0"/>
          <w:szCs w:val="20"/>
          <w:lang w:val="en-US"/>
        </w:rPr>
        <w:t xml:space="preserve"> </w:t>
      </w:r>
      <w:proofErr w:type="spellStart"/>
      <w:r w:rsidR="00857325" w:rsidRPr="009F337B">
        <w:rPr>
          <w:i/>
          <w:noProof w:val="0"/>
          <w:szCs w:val="20"/>
          <w:lang w:val="en-US"/>
        </w:rPr>
        <w:t>Asociación</w:t>
      </w:r>
      <w:proofErr w:type="spellEnd"/>
      <w:r w:rsidR="00857325" w:rsidRPr="009F337B">
        <w:rPr>
          <w:i/>
          <w:noProof w:val="0"/>
          <w:szCs w:val="20"/>
          <w:lang w:val="en-US"/>
        </w:rPr>
        <w:t xml:space="preserve"> de </w:t>
      </w:r>
      <w:proofErr w:type="spellStart"/>
      <w:r w:rsidR="00857325" w:rsidRPr="009F337B">
        <w:rPr>
          <w:i/>
          <w:noProof w:val="0"/>
          <w:szCs w:val="20"/>
          <w:lang w:val="en-US"/>
        </w:rPr>
        <w:t>Salud</w:t>
      </w:r>
      <w:proofErr w:type="spellEnd"/>
      <w:r w:rsidR="00857325" w:rsidRPr="009F337B">
        <w:rPr>
          <w:i/>
          <w:noProof w:val="0"/>
          <w:szCs w:val="20"/>
          <w:lang w:val="en-US"/>
        </w:rPr>
        <w:t xml:space="preserve"> Integral </w:t>
      </w:r>
      <w:r w:rsidRPr="009F337B">
        <w:rPr>
          <w:noProof w:val="0"/>
          <w:szCs w:val="20"/>
          <w:lang w:val="en-US"/>
        </w:rPr>
        <w:t>(</w:t>
      </w:r>
      <w:r w:rsidR="00AE5F9E" w:rsidRPr="009F337B">
        <w:rPr>
          <w:noProof w:val="0"/>
          <w:szCs w:val="20"/>
          <w:lang w:val="en-US"/>
        </w:rPr>
        <w:t>hereinafter</w:t>
      </w:r>
      <w:r w:rsidRPr="009F337B">
        <w:rPr>
          <w:noProof w:val="0"/>
          <w:szCs w:val="20"/>
          <w:lang w:val="en-US"/>
        </w:rPr>
        <w:t xml:space="preserve"> “</w:t>
      </w:r>
      <w:r w:rsidR="003C46A3" w:rsidRPr="009F337B">
        <w:rPr>
          <w:noProof w:val="0"/>
          <w:szCs w:val="20"/>
          <w:lang w:val="en-US"/>
        </w:rPr>
        <w:t>the petitioners</w:t>
      </w:r>
      <w:r w:rsidR="00857325" w:rsidRPr="009F337B">
        <w:rPr>
          <w:noProof w:val="0"/>
          <w:szCs w:val="20"/>
          <w:lang w:val="en-US"/>
        </w:rPr>
        <w:t>”</w:t>
      </w:r>
      <w:r w:rsidRPr="009F337B">
        <w:rPr>
          <w:noProof w:val="0"/>
          <w:szCs w:val="20"/>
          <w:lang w:val="en-US"/>
        </w:rPr>
        <w:t>)</w:t>
      </w:r>
      <w:r w:rsidR="00D13A70" w:rsidRPr="009F337B">
        <w:rPr>
          <w:noProof w:val="0"/>
          <w:szCs w:val="20"/>
          <w:lang w:val="en-US"/>
        </w:rPr>
        <w:t>.</w:t>
      </w:r>
    </w:p>
    <w:p w14:paraId="15359296" w14:textId="77777777" w:rsidR="009A4176" w:rsidRPr="009F337B" w:rsidRDefault="009A4176" w:rsidP="009F7070">
      <w:pPr>
        <w:ind w:left="284" w:right="-6"/>
        <w:contextualSpacing/>
        <w:rPr>
          <w:noProof w:val="0"/>
          <w:szCs w:val="20"/>
          <w:lang w:val="en-US"/>
        </w:rPr>
      </w:pPr>
    </w:p>
    <w:p w14:paraId="43454DD9" w14:textId="1903BC3D" w:rsidR="009A4176" w:rsidRPr="009F337B" w:rsidRDefault="003C46A3" w:rsidP="00593E37">
      <w:pPr>
        <w:numPr>
          <w:ilvl w:val="1"/>
          <w:numId w:val="2"/>
        </w:numPr>
        <w:ind w:left="709" w:right="-6" w:firstLine="0"/>
        <w:contextualSpacing/>
        <w:rPr>
          <w:noProof w:val="0"/>
          <w:szCs w:val="20"/>
          <w:lang w:val="en-US"/>
        </w:rPr>
      </w:pPr>
      <w:r w:rsidRPr="009F337B">
        <w:rPr>
          <w:i/>
          <w:noProof w:val="0"/>
          <w:szCs w:val="20"/>
          <w:lang w:val="en-US"/>
        </w:rPr>
        <w:t>Admissibility Report</w:t>
      </w:r>
      <w:r w:rsidR="009A4176" w:rsidRPr="009F337B">
        <w:rPr>
          <w:noProof w:val="0"/>
          <w:szCs w:val="20"/>
          <w:lang w:val="en-US"/>
        </w:rPr>
        <w:t xml:space="preserve">. </w:t>
      </w:r>
      <w:r w:rsidRPr="009F337B">
        <w:rPr>
          <w:noProof w:val="0"/>
          <w:szCs w:val="20"/>
          <w:lang w:val="en-US"/>
        </w:rPr>
        <w:t>On</w:t>
      </w:r>
      <w:r w:rsidR="009A4176" w:rsidRPr="009F337B">
        <w:rPr>
          <w:noProof w:val="0"/>
          <w:szCs w:val="20"/>
          <w:lang w:val="en-US"/>
        </w:rPr>
        <w:t xml:space="preserve"> </w:t>
      </w:r>
      <w:r w:rsidRPr="009F337B">
        <w:rPr>
          <w:noProof w:val="0"/>
          <w:szCs w:val="20"/>
          <w:lang w:val="en-US"/>
        </w:rPr>
        <w:t>March 7,</w:t>
      </w:r>
      <w:r w:rsidR="003920A6" w:rsidRPr="009F337B">
        <w:rPr>
          <w:noProof w:val="0"/>
          <w:szCs w:val="20"/>
          <w:lang w:val="en-US"/>
        </w:rPr>
        <w:t xml:space="preserve"> 2005</w:t>
      </w:r>
      <w:r w:rsidRPr="009F337B">
        <w:rPr>
          <w:noProof w:val="0"/>
          <w:szCs w:val="20"/>
          <w:lang w:val="en-US"/>
        </w:rPr>
        <w:t>,</w:t>
      </w:r>
      <w:r w:rsidR="009A4176" w:rsidRPr="009F337B">
        <w:rPr>
          <w:noProof w:val="0"/>
          <w:szCs w:val="20"/>
          <w:lang w:val="en-US"/>
        </w:rPr>
        <w:t xml:space="preserve"> </w:t>
      </w:r>
      <w:r w:rsidR="00AE5F9E" w:rsidRPr="009F337B">
        <w:rPr>
          <w:noProof w:val="0"/>
          <w:szCs w:val="20"/>
          <w:lang w:val="en-US"/>
        </w:rPr>
        <w:t>the Commission</w:t>
      </w:r>
      <w:r w:rsidR="009A4176" w:rsidRPr="009F337B">
        <w:rPr>
          <w:noProof w:val="0"/>
          <w:szCs w:val="20"/>
          <w:lang w:val="en-US"/>
        </w:rPr>
        <w:t xml:space="preserve"> </w:t>
      </w:r>
      <w:r w:rsidRPr="009F337B">
        <w:rPr>
          <w:noProof w:val="0"/>
          <w:szCs w:val="20"/>
          <w:lang w:val="en-US"/>
        </w:rPr>
        <w:t>adopted</w:t>
      </w:r>
      <w:r w:rsidR="003920A6" w:rsidRPr="009F337B">
        <w:rPr>
          <w:noProof w:val="0"/>
          <w:szCs w:val="20"/>
          <w:lang w:val="en-US"/>
        </w:rPr>
        <w:t xml:space="preserve"> </w:t>
      </w:r>
      <w:r w:rsidRPr="009F337B">
        <w:rPr>
          <w:noProof w:val="0"/>
          <w:szCs w:val="20"/>
          <w:lang w:val="en-US"/>
        </w:rPr>
        <w:t>Admissibility Report</w:t>
      </w:r>
      <w:r w:rsidR="003920A6" w:rsidRPr="009F337B">
        <w:rPr>
          <w:noProof w:val="0"/>
          <w:szCs w:val="20"/>
          <w:lang w:val="en-US"/>
        </w:rPr>
        <w:t xml:space="preserve"> No. 32/05</w:t>
      </w:r>
      <w:r w:rsidRPr="009F337B">
        <w:rPr>
          <w:noProof w:val="0"/>
          <w:szCs w:val="20"/>
          <w:lang w:val="en-US"/>
        </w:rPr>
        <w:t>.</w:t>
      </w:r>
      <w:r w:rsidR="009A4176" w:rsidRPr="009F337B">
        <w:rPr>
          <w:rFonts w:cs="Times New Roman"/>
          <w:noProof w:val="0"/>
          <w:szCs w:val="20"/>
          <w:vertAlign w:val="superscript"/>
          <w:lang w:val="en-US"/>
        </w:rPr>
        <w:footnoteReference w:id="2"/>
      </w:r>
    </w:p>
    <w:p w14:paraId="54C85100" w14:textId="77777777" w:rsidR="00CA4158" w:rsidRPr="009F337B" w:rsidRDefault="00CA4158" w:rsidP="009F7070">
      <w:pPr>
        <w:ind w:left="284" w:right="-6"/>
        <w:contextualSpacing/>
        <w:rPr>
          <w:noProof w:val="0"/>
          <w:szCs w:val="20"/>
          <w:lang w:val="en-US"/>
        </w:rPr>
      </w:pPr>
    </w:p>
    <w:p w14:paraId="23D85EAB" w14:textId="366A45CB" w:rsidR="009A4176" w:rsidRPr="009F337B" w:rsidRDefault="003C46A3" w:rsidP="00593E37">
      <w:pPr>
        <w:numPr>
          <w:ilvl w:val="1"/>
          <w:numId w:val="2"/>
        </w:numPr>
        <w:ind w:left="709" w:right="-6" w:firstLine="0"/>
        <w:contextualSpacing/>
        <w:rPr>
          <w:noProof w:val="0"/>
          <w:szCs w:val="20"/>
          <w:lang w:val="en-US"/>
        </w:rPr>
      </w:pPr>
      <w:r w:rsidRPr="009F337B">
        <w:rPr>
          <w:i/>
          <w:noProof w:val="0"/>
          <w:szCs w:val="20"/>
          <w:lang w:val="en-US"/>
        </w:rPr>
        <w:t>Merits Report</w:t>
      </w:r>
      <w:r w:rsidR="009A4176" w:rsidRPr="009F337B">
        <w:rPr>
          <w:noProof w:val="0"/>
          <w:szCs w:val="20"/>
          <w:lang w:val="en-US"/>
        </w:rPr>
        <w:t xml:space="preserve">. </w:t>
      </w:r>
      <w:r w:rsidRPr="009F337B">
        <w:rPr>
          <w:noProof w:val="0"/>
          <w:lang w:val="en-US"/>
        </w:rPr>
        <w:t>On</w:t>
      </w:r>
      <w:r w:rsidR="009A4176" w:rsidRPr="009F337B">
        <w:rPr>
          <w:noProof w:val="0"/>
          <w:lang w:val="en-US"/>
        </w:rPr>
        <w:t xml:space="preserve"> </w:t>
      </w:r>
      <w:r w:rsidRPr="009F337B">
        <w:rPr>
          <w:noProof w:val="0"/>
          <w:lang w:val="en-US"/>
        </w:rPr>
        <w:t>April 13,</w:t>
      </w:r>
      <w:r w:rsidR="003920A6" w:rsidRPr="009F337B">
        <w:rPr>
          <w:noProof w:val="0"/>
          <w:lang w:val="en-US"/>
        </w:rPr>
        <w:t xml:space="preserve"> 2016</w:t>
      </w:r>
      <w:r w:rsidRPr="009F337B">
        <w:rPr>
          <w:noProof w:val="0"/>
          <w:lang w:val="en-US"/>
        </w:rPr>
        <w:t>,</w:t>
      </w:r>
      <w:r w:rsidR="009A4176" w:rsidRPr="009F337B">
        <w:rPr>
          <w:noProof w:val="0"/>
          <w:lang w:val="en-US"/>
        </w:rPr>
        <w:t xml:space="preserve"> </w:t>
      </w:r>
      <w:r w:rsidR="00AE5F9E" w:rsidRPr="009F337B">
        <w:rPr>
          <w:noProof w:val="0"/>
          <w:lang w:val="en-US"/>
        </w:rPr>
        <w:t>the Commission</w:t>
      </w:r>
      <w:r w:rsidR="009A4176" w:rsidRPr="009F337B">
        <w:rPr>
          <w:noProof w:val="0"/>
          <w:lang w:val="en-US"/>
        </w:rPr>
        <w:t xml:space="preserve"> </w:t>
      </w:r>
      <w:r w:rsidRPr="009F337B">
        <w:rPr>
          <w:noProof w:val="0"/>
          <w:lang w:val="en-US"/>
        </w:rPr>
        <w:t>issued</w:t>
      </w:r>
      <w:r w:rsidR="003920A6" w:rsidRPr="009F337B">
        <w:rPr>
          <w:noProof w:val="0"/>
          <w:lang w:val="en-US"/>
        </w:rPr>
        <w:t xml:space="preserve"> </w:t>
      </w:r>
      <w:r w:rsidRPr="009F337B">
        <w:rPr>
          <w:noProof w:val="0"/>
          <w:lang w:val="en-US"/>
        </w:rPr>
        <w:t>Merits Report</w:t>
      </w:r>
      <w:r w:rsidR="003920A6" w:rsidRPr="009F337B">
        <w:rPr>
          <w:noProof w:val="0"/>
          <w:lang w:val="en-US"/>
        </w:rPr>
        <w:t xml:space="preserve"> No. 2/16</w:t>
      </w:r>
      <w:r w:rsidR="009A4176" w:rsidRPr="009F337B">
        <w:rPr>
          <w:noProof w:val="0"/>
          <w:lang w:val="en-US"/>
        </w:rPr>
        <w:t xml:space="preserve">, </w:t>
      </w:r>
      <w:r w:rsidRPr="009F337B">
        <w:rPr>
          <w:noProof w:val="0"/>
          <w:lang w:val="en-US"/>
        </w:rPr>
        <w:t>under Article</w:t>
      </w:r>
      <w:r w:rsidR="009A4176" w:rsidRPr="009F337B">
        <w:rPr>
          <w:noProof w:val="0"/>
          <w:lang w:val="en-US"/>
        </w:rPr>
        <w:t xml:space="preserve"> 50</w:t>
      </w:r>
      <w:r w:rsidR="00AE5F9E" w:rsidRPr="009F337B">
        <w:rPr>
          <w:noProof w:val="0"/>
          <w:lang w:val="en-US"/>
        </w:rPr>
        <w:t xml:space="preserve"> of the Convention</w:t>
      </w:r>
      <w:r w:rsidR="009A4176" w:rsidRPr="009F337B">
        <w:rPr>
          <w:noProof w:val="0"/>
          <w:lang w:val="en-US"/>
        </w:rPr>
        <w:t xml:space="preserve"> (</w:t>
      </w:r>
      <w:r w:rsidR="00AE5F9E" w:rsidRPr="009F337B">
        <w:rPr>
          <w:noProof w:val="0"/>
          <w:lang w:val="en-US"/>
        </w:rPr>
        <w:t>hereinafter</w:t>
      </w:r>
      <w:r w:rsidR="009A4176" w:rsidRPr="009F337B">
        <w:rPr>
          <w:noProof w:val="0"/>
          <w:lang w:val="en-US"/>
        </w:rPr>
        <w:t xml:space="preserve"> “</w:t>
      </w:r>
      <w:r w:rsidRPr="009F337B">
        <w:rPr>
          <w:noProof w:val="0"/>
          <w:lang w:val="en-US"/>
        </w:rPr>
        <w:t>the</w:t>
      </w:r>
      <w:r w:rsidR="009A4176" w:rsidRPr="009F337B">
        <w:rPr>
          <w:noProof w:val="0"/>
          <w:lang w:val="en-US"/>
        </w:rPr>
        <w:t xml:space="preserve"> </w:t>
      </w:r>
      <w:r w:rsidRPr="009F337B">
        <w:rPr>
          <w:noProof w:val="0"/>
          <w:lang w:val="en-US"/>
        </w:rPr>
        <w:t>Merits Report</w:t>
      </w:r>
      <w:r w:rsidR="009A4176" w:rsidRPr="009F337B">
        <w:rPr>
          <w:noProof w:val="0"/>
          <w:lang w:val="en-US"/>
        </w:rPr>
        <w:t xml:space="preserve">”), </w:t>
      </w:r>
      <w:r w:rsidRPr="009F337B">
        <w:rPr>
          <w:noProof w:val="0"/>
          <w:lang w:val="en-US"/>
        </w:rPr>
        <w:t>in which it reached a series of conclusions and made several recommendations:</w:t>
      </w:r>
    </w:p>
    <w:p w14:paraId="3EB48EA7" w14:textId="77777777" w:rsidR="009A4176" w:rsidRPr="009F337B" w:rsidRDefault="009A4176" w:rsidP="009F7070">
      <w:pPr>
        <w:ind w:left="284" w:right="-6"/>
        <w:contextualSpacing/>
        <w:rPr>
          <w:noProof w:val="0"/>
          <w:szCs w:val="20"/>
          <w:lang w:val="en-US"/>
        </w:rPr>
      </w:pPr>
    </w:p>
    <w:p w14:paraId="2FD16FEA" w14:textId="60E66974" w:rsidR="009A4176" w:rsidRPr="009F337B" w:rsidRDefault="005B7B52" w:rsidP="00593E37">
      <w:pPr>
        <w:numPr>
          <w:ilvl w:val="2"/>
          <w:numId w:val="2"/>
        </w:numPr>
        <w:ind w:left="1418" w:firstLine="0"/>
        <w:rPr>
          <w:i/>
          <w:noProof w:val="0"/>
          <w:szCs w:val="20"/>
          <w:lang w:val="en-US"/>
        </w:rPr>
      </w:pPr>
      <w:r w:rsidRPr="009F337B">
        <w:rPr>
          <w:i/>
          <w:noProof w:val="0"/>
          <w:szCs w:val="20"/>
          <w:lang w:val="en-US"/>
        </w:rPr>
        <w:t xml:space="preserve"> </w:t>
      </w:r>
      <w:r w:rsidR="00991425" w:rsidRPr="009F337B">
        <w:rPr>
          <w:i/>
          <w:noProof w:val="0"/>
          <w:szCs w:val="20"/>
          <w:lang w:val="en-US"/>
        </w:rPr>
        <w:tab/>
      </w:r>
      <w:r w:rsidR="009A4176" w:rsidRPr="009F337B">
        <w:rPr>
          <w:i/>
          <w:noProof w:val="0"/>
          <w:szCs w:val="20"/>
          <w:lang w:val="en-US"/>
        </w:rPr>
        <w:t xml:space="preserve">Conclusions. </w:t>
      </w:r>
      <w:r w:rsidR="00AE5F9E" w:rsidRPr="009F337B">
        <w:rPr>
          <w:noProof w:val="0"/>
          <w:szCs w:val="20"/>
          <w:lang w:val="en-US"/>
        </w:rPr>
        <w:t>The Commission</w:t>
      </w:r>
      <w:r w:rsidR="00D13A70" w:rsidRPr="009F337B">
        <w:rPr>
          <w:noProof w:val="0"/>
          <w:szCs w:val="20"/>
          <w:lang w:val="en-US"/>
        </w:rPr>
        <w:t xml:space="preserve"> conclu</w:t>
      </w:r>
      <w:r w:rsidR="003C46A3" w:rsidRPr="009F337B">
        <w:rPr>
          <w:noProof w:val="0"/>
          <w:szCs w:val="20"/>
          <w:lang w:val="en-US"/>
        </w:rPr>
        <w:t>ded that</w:t>
      </w:r>
      <w:r w:rsidR="00D13A70" w:rsidRPr="009F337B">
        <w:rPr>
          <w:noProof w:val="0"/>
          <w:szCs w:val="20"/>
          <w:lang w:val="en-US"/>
        </w:rPr>
        <w:t xml:space="preserve"> </w:t>
      </w:r>
      <w:r w:rsidRPr="009F337B">
        <w:rPr>
          <w:noProof w:val="0"/>
          <w:szCs w:val="20"/>
          <w:lang w:val="en-US"/>
        </w:rPr>
        <w:t>Guatemala</w:t>
      </w:r>
      <w:r w:rsidR="009A4176" w:rsidRPr="009F337B">
        <w:rPr>
          <w:noProof w:val="0"/>
          <w:szCs w:val="20"/>
          <w:lang w:val="en-US"/>
        </w:rPr>
        <w:t xml:space="preserve"> </w:t>
      </w:r>
      <w:r w:rsidR="003C46A3" w:rsidRPr="009F337B">
        <w:rPr>
          <w:noProof w:val="0"/>
          <w:szCs w:val="20"/>
          <w:lang w:val="en-US"/>
        </w:rPr>
        <w:t xml:space="preserve">was responsible for violating the rights recognized in </w:t>
      </w:r>
      <w:r w:rsidR="00AE5F9E" w:rsidRPr="009F337B">
        <w:rPr>
          <w:noProof w:val="0"/>
          <w:szCs w:val="20"/>
          <w:lang w:val="en-US"/>
        </w:rPr>
        <w:t>Articles</w:t>
      </w:r>
      <w:r w:rsidR="003C46A3" w:rsidRPr="009F337B">
        <w:rPr>
          <w:noProof w:val="0"/>
          <w:szCs w:val="20"/>
          <w:lang w:val="en-US"/>
        </w:rPr>
        <w:t xml:space="preserve"> 4(1)</w:t>
      </w:r>
      <w:r w:rsidRPr="009F337B">
        <w:rPr>
          <w:noProof w:val="0"/>
          <w:szCs w:val="20"/>
          <w:lang w:val="en-US"/>
        </w:rPr>
        <w:t>,</w:t>
      </w:r>
      <w:r w:rsidR="003C46A3" w:rsidRPr="009F337B">
        <w:rPr>
          <w:noProof w:val="0"/>
          <w:szCs w:val="20"/>
          <w:lang w:val="en-US"/>
        </w:rPr>
        <w:t xml:space="preserve"> 5(1) and 25(1)</w:t>
      </w:r>
      <w:r w:rsidR="00AE5F9E" w:rsidRPr="009F337B">
        <w:rPr>
          <w:noProof w:val="0"/>
          <w:szCs w:val="20"/>
          <w:lang w:val="en-US"/>
        </w:rPr>
        <w:t xml:space="preserve"> of the Convention</w:t>
      </w:r>
      <w:r w:rsidR="009A4176" w:rsidRPr="009F337B">
        <w:rPr>
          <w:noProof w:val="0"/>
          <w:szCs w:val="20"/>
          <w:lang w:val="en-US"/>
        </w:rPr>
        <w:t xml:space="preserve">, </w:t>
      </w:r>
      <w:r w:rsidR="003C46A3" w:rsidRPr="009F337B">
        <w:rPr>
          <w:noProof w:val="0"/>
          <w:szCs w:val="20"/>
          <w:lang w:val="en-US"/>
        </w:rPr>
        <w:t xml:space="preserve">in relation to the obligations established in </w:t>
      </w:r>
      <w:r w:rsidR="00AE5F9E" w:rsidRPr="009F337B">
        <w:rPr>
          <w:noProof w:val="0"/>
          <w:szCs w:val="20"/>
          <w:lang w:val="en-US"/>
        </w:rPr>
        <w:t>Article</w:t>
      </w:r>
      <w:r w:rsidR="003C46A3" w:rsidRPr="009F337B">
        <w:rPr>
          <w:noProof w:val="0"/>
          <w:szCs w:val="20"/>
          <w:lang w:val="en-US"/>
        </w:rPr>
        <w:t xml:space="preserve"> 1(1)</w:t>
      </w:r>
      <w:r w:rsidR="009A4176" w:rsidRPr="009F337B">
        <w:rPr>
          <w:noProof w:val="0"/>
          <w:szCs w:val="20"/>
          <w:lang w:val="en-US"/>
        </w:rPr>
        <w:t xml:space="preserve"> </w:t>
      </w:r>
      <w:r w:rsidR="003C46A3" w:rsidRPr="009F337B">
        <w:rPr>
          <w:noProof w:val="0"/>
          <w:szCs w:val="20"/>
          <w:lang w:val="en-US"/>
        </w:rPr>
        <w:t>of this instrument</w:t>
      </w:r>
      <w:r w:rsidR="00D53336" w:rsidRPr="009F337B">
        <w:rPr>
          <w:noProof w:val="0"/>
          <w:szCs w:val="20"/>
          <w:lang w:val="en-US"/>
        </w:rPr>
        <w:t>,</w:t>
      </w:r>
      <w:r w:rsidR="003C46A3" w:rsidRPr="009F337B">
        <w:rPr>
          <w:noProof w:val="0"/>
          <w:szCs w:val="20"/>
          <w:lang w:val="en-US"/>
        </w:rPr>
        <w:t xml:space="preserve"> to the detriment of the presumed victims</w:t>
      </w:r>
      <w:r w:rsidR="009F7070" w:rsidRPr="009F337B">
        <w:rPr>
          <w:noProof w:val="0"/>
          <w:szCs w:val="20"/>
          <w:lang w:val="en-US"/>
        </w:rPr>
        <w:t xml:space="preserve"> </w:t>
      </w:r>
      <w:r w:rsidR="003C46A3" w:rsidRPr="009F337B">
        <w:rPr>
          <w:noProof w:val="0"/>
          <w:szCs w:val="20"/>
          <w:lang w:val="en-US"/>
        </w:rPr>
        <w:t>mentioned in the</w:t>
      </w:r>
      <w:r w:rsidR="009F7070" w:rsidRPr="009F337B">
        <w:rPr>
          <w:noProof w:val="0"/>
          <w:szCs w:val="20"/>
          <w:lang w:val="en-US"/>
        </w:rPr>
        <w:t xml:space="preserve"> </w:t>
      </w:r>
      <w:r w:rsidR="003C46A3" w:rsidRPr="009F337B">
        <w:rPr>
          <w:noProof w:val="0"/>
          <w:szCs w:val="20"/>
          <w:lang w:val="en-US"/>
        </w:rPr>
        <w:t>Merits Report</w:t>
      </w:r>
      <w:r w:rsidR="009A4176" w:rsidRPr="009F337B">
        <w:rPr>
          <w:noProof w:val="0"/>
          <w:szCs w:val="20"/>
          <w:lang w:val="en-US"/>
        </w:rPr>
        <w:t>.</w:t>
      </w:r>
    </w:p>
    <w:p w14:paraId="1280F04B" w14:textId="77777777" w:rsidR="009F7070" w:rsidRPr="009F337B" w:rsidRDefault="009F7070" w:rsidP="009F7070">
      <w:pPr>
        <w:ind w:left="1418"/>
        <w:rPr>
          <w:i/>
          <w:noProof w:val="0"/>
          <w:szCs w:val="20"/>
          <w:lang w:val="en-US"/>
        </w:rPr>
      </w:pPr>
    </w:p>
    <w:p w14:paraId="10BF3648" w14:textId="002513D3" w:rsidR="005B7B52" w:rsidRPr="009F337B" w:rsidRDefault="005B7B52" w:rsidP="00593E37">
      <w:pPr>
        <w:numPr>
          <w:ilvl w:val="2"/>
          <w:numId w:val="2"/>
        </w:numPr>
        <w:ind w:left="1418" w:right="-4" w:firstLine="0"/>
        <w:rPr>
          <w:noProof w:val="0"/>
          <w:szCs w:val="20"/>
          <w:lang w:val="en-US"/>
        </w:rPr>
      </w:pPr>
      <w:r w:rsidRPr="009F337B">
        <w:rPr>
          <w:i/>
          <w:noProof w:val="0"/>
          <w:szCs w:val="20"/>
          <w:lang w:val="en-US"/>
        </w:rPr>
        <w:lastRenderedPageBreak/>
        <w:t xml:space="preserve"> </w:t>
      </w:r>
      <w:r w:rsidR="00991425" w:rsidRPr="009F337B">
        <w:rPr>
          <w:i/>
          <w:noProof w:val="0"/>
          <w:szCs w:val="20"/>
          <w:lang w:val="en-US"/>
        </w:rPr>
        <w:tab/>
      </w:r>
      <w:r w:rsidR="009A4176" w:rsidRPr="009F337B">
        <w:rPr>
          <w:i/>
          <w:noProof w:val="0"/>
          <w:szCs w:val="20"/>
          <w:lang w:val="en-US"/>
        </w:rPr>
        <w:t>Recom</w:t>
      </w:r>
      <w:r w:rsidR="003C46A3" w:rsidRPr="009F337B">
        <w:rPr>
          <w:i/>
          <w:noProof w:val="0"/>
          <w:szCs w:val="20"/>
          <w:lang w:val="en-US"/>
        </w:rPr>
        <w:t>mendation</w:t>
      </w:r>
      <w:r w:rsidR="009A4176" w:rsidRPr="009F337B">
        <w:rPr>
          <w:i/>
          <w:noProof w:val="0"/>
          <w:szCs w:val="20"/>
          <w:lang w:val="en-US"/>
        </w:rPr>
        <w:t>s.</w:t>
      </w:r>
      <w:r w:rsidR="003C46A3" w:rsidRPr="009F337B">
        <w:rPr>
          <w:i/>
          <w:noProof w:val="0"/>
          <w:szCs w:val="20"/>
          <w:lang w:val="en-US"/>
        </w:rPr>
        <w:t xml:space="preserve"> </w:t>
      </w:r>
      <w:r w:rsidR="003C46A3" w:rsidRPr="009F337B">
        <w:rPr>
          <w:noProof w:val="0"/>
          <w:szCs w:val="20"/>
          <w:lang w:val="en-US"/>
        </w:rPr>
        <w:t xml:space="preserve">Consequently, it made the following recommendations to the State: </w:t>
      </w:r>
    </w:p>
    <w:p w14:paraId="4E82453E" w14:textId="77777777" w:rsidR="00991425" w:rsidRPr="009F337B" w:rsidRDefault="00991425" w:rsidP="009F7070">
      <w:pPr>
        <w:autoSpaceDE w:val="0"/>
        <w:autoSpaceDN w:val="0"/>
        <w:adjustRightInd w:val="0"/>
        <w:ind w:left="992" w:right="720"/>
        <w:contextualSpacing/>
        <w:rPr>
          <w:noProof w:val="0"/>
          <w:sz w:val="16"/>
          <w:szCs w:val="16"/>
          <w:lang w:val="en-US"/>
        </w:rPr>
      </w:pPr>
    </w:p>
    <w:p w14:paraId="12922C92" w14:textId="526E054E" w:rsidR="005B7B52" w:rsidRPr="009F337B" w:rsidRDefault="005B7B52" w:rsidP="00B66D9C">
      <w:pPr>
        <w:autoSpaceDE w:val="0"/>
        <w:autoSpaceDN w:val="0"/>
        <w:adjustRightInd w:val="0"/>
        <w:ind w:left="1701" w:right="720"/>
        <w:contextualSpacing/>
        <w:rPr>
          <w:noProof w:val="0"/>
          <w:sz w:val="18"/>
          <w:szCs w:val="18"/>
          <w:lang w:val="en-US"/>
        </w:rPr>
      </w:pPr>
      <w:r w:rsidRPr="009F337B">
        <w:rPr>
          <w:noProof w:val="0"/>
          <w:sz w:val="18"/>
          <w:szCs w:val="18"/>
          <w:lang w:val="en-US"/>
        </w:rPr>
        <w:t xml:space="preserve">1. </w:t>
      </w:r>
      <w:r w:rsidR="00991425" w:rsidRPr="009F337B">
        <w:rPr>
          <w:noProof w:val="0"/>
          <w:sz w:val="18"/>
          <w:szCs w:val="18"/>
          <w:lang w:val="en-US"/>
        </w:rPr>
        <w:tab/>
      </w:r>
      <w:r w:rsidR="00B66D9C" w:rsidRPr="009F337B">
        <w:rPr>
          <w:sz w:val="18"/>
          <w:szCs w:val="18"/>
          <w:lang w:val="en-US"/>
        </w:rPr>
        <w:t xml:space="preserve">Make full reparation to the surviving victims and to the next of kin and loved ones of all the victims for the human rights </w:t>
      </w:r>
      <w:r w:rsidR="00D53336" w:rsidRPr="009F337B">
        <w:rPr>
          <w:sz w:val="18"/>
          <w:szCs w:val="18"/>
          <w:lang w:val="en-US"/>
        </w:rPr>
        <w:t xml:space="preserve">violations </w:t>
      </w:r>
      <w:r w:rsidR="00B66D9C" w:rsidRPr="009F337B">
        <w:rPr>
          <w:sz w:val="18"/>
          <w:szCs w:val="18"/>
          <w:lang w:val="en-US"/>
        </w:rPr>
        <w:t>declared in the report, of both a material and moral nature</w:t>
      </w:r>
      <w:r w:rsidRPr="009F337B">
        <w:rPr>
          <w:noProof w:val="0"/>
          <w:sz w:val="18"/>
          <w:szCs w:val="18"/>
          <w:lang w:val="en-US"/>
        </w:rPr>
        <w:t>.</w:t>
      </w:r>
    </w:p>
    <w:p w14:paraId="053ACED9" w14:textId="3C1DFB34" w:rsidR="00B66D9C" w:rsidRPr="009F337B" w:rsidRDefault="00B66D9C" w:rsidP="00B66D9C">
      <w:pPr>
        <w:autoSpaceDE w:val="0"/>
        <w:autoSpaceDN w:val="0"/>
        <w:adjustRightInd w:val="0"/>
        <w:ind w:left="1701" w:right="720"/>
        <w:contextualSpacing/>
        <w:rPr>
          <w:noProof w:val="0"/>
          <w:sz w:val="18"/>
          <w:szCs w:val="18"/>
          <w:lang w:val="en-US"/>
        </w:rPr>
      </w:pPr>
    </w:p>
    <w:p w14:paraId="0BC93F1B" w14:textId="66393BA1" w:rsidR="00B66D9C" w:rsidRPr="009F337B" w:rsidRDefault="00B66D9C" w:rsidP="00727E74">
      <w:pPr>
        <w:suppressAutoHyphens/>
        <w:ind w:left="1701" w:right="720"/>
        <w:rPr>
          <w:rFonts w:cs="BookAntiqua"/>
          <w:sz w:val="18"/>
          <w:szCs w:val="18"/>
          <w:lang w:val="en-US"/>
        </w:rPr>
      </w:pPr>
      <w:r w:rsidRPr="009F337B">
        <w:rPr>
          <w:noProof w:val="0"/>
          <w:sz w:val="18"/>
          <w:szCs w:val="18"/>
          <w:lang w:val="en-US"/>
        </w:rPr>
        <w:t>2.</w:t>
      </w:r>
      <w:r w:rsidRPr="009F337B">
        <w:rPr>
          <w:rFonts w:cs="BookAntiqua"/>
          <w:sz w:val="18"/>
          <w:szCs w:val="18"/>
          <w:lang w:val="en-US"/>
        </w:rPr>
        <w:t xml:space="preserve"> </w:t>
      </w:r>
      <w:r w:rsidR="00D53336" w:rsidRPr="009F337B">
        <w:rPr>
          <w:rFonts w:cs="BookAntiqua"/>
          <w:sz w:val="18"/>
          <w:szCs w:val="18"/>
          <w:lang w:val="en-US"/>
        </w:rPr>
        <w:t xml:space="preserve"> </w:t>
      </w:r>
      <w:r w:rsidRPr="009F337B">
        <w:rPr>
          <w:rFonts w:cs="BookAntiqua"/>
          <w:sz w:val="18"/>
          <w:szCs w:val="18"/>
          <w:lang w:val="en-US"/>
        </w:rPr>
        <w:t xml:space="preserve">Immediately adopt the necessary measures to ensure that all the surviving victims in this case receive comprehensive medical care, in keeping with international standards, including, among other requirements: (i) </w:t>
      </w:r>
      <w:r w:rsidR="00727E74" w:rsidRPr="009F337B">
        <w:rPr>
          <w:rFonts w:cs="BookAntiqua"/>
          <w:sz w:val="18"/>
          <w:szCs w:val="18"/>
          <w:lang w:val="en-US"/>
        </w:rPr>
        <w:t>a thorough</w:t>
      </w:r>
      <w:r w:rsidRPr="009F337B">
        <w:rPr>
          <w:rFonts w:cs="BookAntiqua"/>
          <w:sz w:val="18"/>
          <w:szCs w:val="18"/>
          <w:lang w:val="en-US"/>
        </w:rPr>
        <w:t xml:space="preserve"> diagnos</w:t>
      </w:r>
      <w:r w:rsidR="00727E74" w:rsidRPr="009F337B">
        <w:rPr>
          <w:rFonts w:cs="BookAntiqua"/>
          <w:sz w:val="18"/>
          <w:szCs w:val="18"/>
          <w:lang w:val="en-US"/>
        </w:rPr>
        <w:t>is</w:t>
      </w:r>
      <w:r w:rsidRPr="009F337B">
        <w:rPr>
          <w:rFonts w:cs="BookAntiqua"/>
          <w:sz w:val="18"/>
          <w:szCs w:val="18"/>
          <w:lang w:val="en-US"/>
        </w:rPr>
        <w:t xml:space="preserve"> and periodic follow-up testing; (ii) </w:t>
      </w:r>
      <w:r w:rsidR="00727E74" w:rsidRPr="009F337B">
        <w:rPr>
          <w:rFonts w:cs="BookAntiqua"/>
          <w:sz w:val="18"/>
          <w:szCs w:val="18"/>
          <w:lang w:val="en-US"/>
        </w:rPr>
        <w:t xml:space="preserve">the </w:t>
      </w:r>
      <w:r w:rsidRPr="009F337B">
        <w:rPr>
          <w:rFonts w:cs="BookAntiqua"/>
          <w:sz w:val="18"/>
          <w:szCs w:val="18"/>
          <w:lang w:val="en-US"/>
        </w:rPr>
        <w:t xml:space="preserve">permanent and uninterrupted </w:t>
      </w:r>
      <w:r w:rsidR="00727E74" w:rsidRPr="009F337B">
        <w:rPr>
          <w:rFonts w:cs="BookAntiqua"/>
          <w:sz w:val="18"/>
          <w:szCs w:val="18"/>
          <w:lang w:val="en-US"/>
        </w:rPr>
        <w:t xml:space="preserve">provision of the required </w:t>
      </w:r>
      <w:r w:rsidRPr="009F337B">
        <w:rPr>
          <w:rFonts w:cs="BookAntiqua"/>
          <w:sz w:val="18"/>
          <w:szCs w:val="18"/>
          <w:lang w:val="en-US"/>
        </w:rPr>
        <w:t xml:space="preserve">antiretroviral </w:t>
      </w:r>
      <w:r w:rsidR="00727E74" w:rsidRPr="009F337B">
        <w:rPr>
          <w:rFonts w:cs="BookAntiqua"/>
          <w:sz w:val="18"/>
          <w:szCs w:val="18"/>
          <w:lang w:val="en-US"/>
        </w:rPr>
        <w:t>drugs and any others that they may need owing to their specific health situation; (iii) mental health care for the victims who so wi</w:t>
      </w:r>
      <w:r w:rsidR="00D53336" w:rsidRPr="009F337B">
        <w:rPr>
          <w:rFonts w:cs="BookAntiqua"/>
          <w:sz w:val="18"/>
          <w:szCs w:val="18"/>
          <w:lang w:val="en-US"/>
        </w:rPr>
        <w:t>s</w:t>
      </w:r>
      <w:r w:rsidR="00727E74" w:rsidRPr="009F337B">
        <w:rPr>
          <w:rFonts w:cs="BookAntiqua"/>
          <w:sz w:val="18"/>
          <w:szCs w:val="18"/>
          <w:lang w:val="en-US"/>
        </w:rPr>
        <w:t xml:space="preserve">h; (iv) the differentiated care required by </w:t>
      </w:r>
      <w:r w:rsidRPr="009F337B">
        <w:rPr>
          <w:rFonts w:cs="BookAntiqua"/>
          <w:sz w:val="18"/>
          <w:szCs w:val="18"/>
          <w:lang w:val="en-US"/>
        </w:rPr>
        <w:t xml:space="preserve">the women victims in this case, </w:t>
      </w:r>
      <w:r w:rsidR="00727E74" w:rsidRPr="009F337B">
        <w:rPr>
          <w:rFonts w:cs="BookAntiqua"/>
          <w:sz w:val="18"/>
          <w:szCs w:val="18"/>
          <w:lang w:val="en-US"/>
        </w:rPr>
        <w:t>giving</w:t>
      </w:r>
      <w:r w:rsidRPr="009F337B">
        <w:rPr>
          <w:rFonts w:cs="BookAntiqua"/>
          <w:sz w:val="18"/>
          <w:szCs w:val="18"/>
          <w:lang w:val="en-US"/>
        </w:rPr>
        <w:t xml:space="preserve"> special consideration </w:t>
      </w:r>
      <w:r w:rsidR="00727E74" w:rsidRPr="009F337B">
        <w:rPr>
          <w:rFonts w:cs="BookAntiqua"/>
          <w:sz w:val="18"/>
          <w:szCs w:val="18"/>
          <w:lang w:val="en-US"/>
        </w:rPr>
        <w:t>to</w:t>
      </w:r>
      <w:r w:rsidRPr="009F337B">
        <w:rPr>
          <w:rFonts w:cs="BookAntiqua"/>
          <w:sz w:val="18"/>
          <w:szCs w:val="18"/>
          <w:lang w:val="en-US"/>
        </w:rPr>
        <w:t xml:space="preserve"> their reproductive capacity. The State must ensure that the victims do not </w:t>
      </w:r>
      <w:r w:rsidR="00727E74" w:rsidRPr="009F337B">
        <w:rPr>
          <w:rFonts w:cs="BookAntiqua"/>
          <w:sz w:val="18"/>
          <w:szCs w:val="18"/>
          <w:lang w:val="en-US"/>
        </w:rPr>
        <w:t>face</w:t>
      </w:r>
      <w:r w:rsidRPr="009F337B">
        <w:rPr>
          <w:rFonts w:cs="BookAntiqua"/>
          <w:sz w:val="18"/>
          <w:szCs w:val="18"/>
          <w:lang w:val="en-US"/>
        </w:rPr>
        <w:t xml:space="preserve"> obstacles </w:t>
      </w:r>
      <w:r w:rsidR="00D53336" w:rsidRPr="009F337B">
        <w:rPr>
          <w:rFonts w:cs="BookAntiqua"/>
          <w:sz w:val="18"/>
          <w:szCs w:val="18"/>
          <w:lang w:val="en-US"/>
        </w:rPr>
        <w:t>of</w:t>
      </w:r>
      <w:r w:rsidRPr="009F337B">
        <w:rPr>
          <w:rFonts w:cs="BookAntiqua"/>
          <w:sz w:val="18"/>
          <w:szCs w:val="18"/>
          <w:lang w:val="en-US"/>
        </w:rPr>
        <w:t xml:space="preserve"> accessibility or of any other nature to obtain</w:t>
      </w:r>
      <w:r w:rsidR="00D53336" w:rsidRPr="009F337B">
        <w:rPr>
          <w:rFonts w:cs="BookAntiqua"/>
          <w:sz w:val="18"/>
          <w:szCs w:val="18"/>
          <w:lang w:val="en-US"/>
        </w:rPr>
        <w:t>ing</w:t>
      </w:r>
      <w:r w:rsidRPr="009F337B">
        <w:rPr>
          <w:rFonts w:cs="BookAntiqua"/>
          <w:sz w:val="18"/>
          <w:szCs w:val="18"/>
          <w:lang w:val="en-US"/>
        </w:rPr>
        <w:t xml:space="preserve"> comprehensive treatment as provided for in this recommendation.</w:t>
      </w:r>
    </w:p>
    <w:p w14:paraId="20832397" w14:textId="77777777" w:rsidR="005B7B52" w:rsidRPr="009F337B" w:rsidRDefault="005B7B52" w:rsidP="00727E74">
      <w:pPr>
        <w:autoSpaceDE w:val="0"/>
        <w:autoSpaceDN w:val="0"/>
        <w:adjustRightInd w:val="0"/>
        <w:ind w:left="1701" w:right="720"/>
        <w:contextualSpacing/>
        <w:rPr>
          <w:noProof w:val="0"/>
          <w:sz w:val="18"/>
          <w:szCs w:val="18"/>
          <w:lang w:val="en-US"/>
        </w:rPr>
      </w:pPr>
    </w:p>
    <w:p w14:paraId="17B06193" w14:textId="3C8CF44A" w:rsidR="00727E74" w:rsidRPr="009F337B" w:rsidRDefault="005B7B52" w:rsidP="00727E74">
      <w:pPr>
        <w:suppressAutoHyphens/>
        <w:ind w:left="1701" w:right="720"/>
        <w:rPr>
          <w:sz w:val="18"/>
          <w:szCs w:val="18"/>
          <w:lang w:val="en-US"/>
        </w:rPr>
      </w:pPr>
      <w:r w:rsidRPr="009F337B">
        <w:rPr>
          <w:noProof w:val="0"/>
          <w:sz w:val="18"/>
          <w:szCs w:val="18"/>
          <w:lang w:val="en-US"/>
        </w:rPr>
        <w:t xml:space="preserve">3. </w:t>
      </w:r>
      <w:r w:rsidR="00991425" w:rsidRPr="009F337B">
        <w:rPr>
          <w:noProof w:val="0"/>
          <w:sz w:val="18"/>
          <w:szCs w:val="18"/>
          <w:lang w:val="en-US"/>
        </w:rPr>
        <w:tab/>
      </w:r>
      <w:r w:rsidR="00727E74" w:rsidRPr="009F337B">
        <w:rPr>
          <w:rFonts w:cs="BookAntiqua"/>
          <w:sz w:val="18"/>
          <w:szCs w:val="18"/>
          <w:lang w:val="en-US"/>
        </w:rPr>
        <w:t>Provide non-repetition mechanisms to include: (i) free, comprehensive and uninterrupted health care and treatment for the people with HIV/AIDS who are unable to afford this; (</w:t>
      </w:r>
      <w:r w:rsidR="00727E74" w:rsidRPr="009F337B">
        <w:rPr>
          <w:sz w:val="18"/>
          <w:szCs w:val="18"/>
          <w:lang w:val="en-US"/>
        </w:rPr>
        <w:t>ii) implementation of genuine and effective mechanisms for periodic monitoring and supervison of public hospitals in order to ensure that comprehensive health care is being provided to people living with HIV/AIDS, who cannot afford it</w:t>
      </w:r>
      <w:r w:rsidR="00934388" w:rsidRPr="009F337B">
        <w:rPr>
          <w:sz w:val="18"/>
          <w:szCs w:val="18"/>
          <w:lang w:val="en-US"/>
        </w:rPr>
        <w:t>,</w:t>
      </w:r>
      <w:r w:rsidR="00727E74" w:rsidRPr="009F337B">
        <w:rPr>
          <w:sz w:val="18"/>
          <w:szCs w:val="18"/>
          <w:lang w:val="en-US"/>
        </w:rPr>
        <w:t xml:space="preserve"> and </w:t>
      </w:r>
      <w:r w:rsidR="00934388" w:rsidRPr="009F337B">
        <w:rPr>
          <w:sz w:val="18"/>
          <w:szCs w:val="18"/>
          <w:lang w:val="en-US"/>
        </w:rPr>
        <w:t>(</w:t>
      </w:r>
      <w:r w:rsidR="00727E74" w:rsidRPr="009F337B">
        <w:rPr>
          <w:rFonts w:cs="BookAntiqua"/>
          <w:sz w:val="18"/>
          <w:szCs w:val="18"/>
          <w:lang w:val="en-US"/>
        </w:rPr>
        <w:t>iii) implemen</w:t>
      </w:r>
      <w:r w:rsidR="00934388" w:rsidRPr="009F337B">
        <w:rPr>
          <w:rFonts w:cs="BookAntiqua"/>
          <w:sz w:val="18"/>
          <w:szCs w:val="18"/>
          <w:lang w:val="en-US"/>
        </w:rPr>
        <w:t>tation of</w:t>
      </w:r>
      <w:r w:rsidR="00727E74" w:rsidRPr="009F337B">
        <w:rPr>
          <w:rFonts w:cs="BookAntiqua"/>
          <w:sz w:val="18"/>
          <w:szCs w:val="18"/>
          <w:lang w:val="en-US"/>
        </w:rPr>
        <w:t xml:space="preserve"> public hospital staff training programs to ensure that their duties are performed in a way that is co</w:t>
      </w:r>
      <w:r w:rsidR="00934388" w:rsidRPr="009F337B">
        <w:rPr>
          <w:rFonts w:cs="BookAntiqua"/>
          <w:sz w:val="18"/>
          <w:szCs w:val="18"/>
          <w:lang w:val="en-US"/>
        </w:rPr>
        <w:t>mpatible</w:t>
      </w:r>
      <w:r w:rsidR="00727E74" w:rsidRPr="009F337B">
        <w:rPr>
          <w:rFonts w:cs="BookAntiqua"/>
          <w:sz w:val="18"/>
          <w:szCs w:val="18"/>
          <w:lang w:val="en-US"/>
        </w:rPr>
        <w:t xml:space="preserve"> with</w:t>
      </w:r>
      <w:r w:rsidR="00D53336" w:rsidRPr="009F337B">
        <w:rPr>
          <w:rFonts w:cs="BookAntiqua"/>
          <w:sz w:val="18"/>
          <w:szCs w:val="18"/>
          <w:lang w:val="en-US"/>
        </w:rPr>
        <w:t xml:space="preserve"> the</w:t>
      </w:r>
      <w:r w:rsidR="00727E74" w:rsidRPr="009F337B">
        <w:rPr>
          <w:rFonts w:cs="BookAntiqua"/>
          <w:sz w:val="18"/>
          <w:szCs w:val="18"/>
          <w:lang w:val="en-US"/>
        </w:rPr>
        <w:t xml:space="preserve"> internationally recognized standards described in th</w:t>
      </w:r>
      <w:r w:rsidR="00D53336" w:rsidRPr="009F337B">
        <w:rPr>
          <w:rFonts w:cs="BookAntiqua"/>
          <w:sz w:val="18"/>
          <w:szCs w:val="18"/>
          <w:lang w:val="en-US"/>
        </w:rPr>
        <w:t>e</w:t>
      </w:r>
      <w:r w:rsidR="00727E74" w:rsidRPr="009F337B">
        <w:rPr>
          <w:rFonts w:cs="BookAntiqua"/>
          <w:sz w:val="18"/>
          <w:szCs w:val="18"/>
          <w:lang w:val="en-US"/>
        </w:rPr>
        <w:t xml:space="preserve"> report. </w:t>
      </w:r>
    </w:p>
    <w:p w14:paraId="41CE7E15" w14:textId="77777777" w:rsidR="00727E74" w:rsidRPr="009F337B" w:rsidRDefault="00727E74" w:rsidP="009F7070">
      <w:pPr>
        <w:autoSpaceDE w:val="0"/>
        <w:autoSpaceDN w:val="0"/>
        <w:adjustRightInd w:val="0"/>
        <w:ind w:left="1701" w:right="720"/>
        <w:contextualSpacing/>
        <w:rPr>
          <w:noProof w:val="0"/>
          <w:sz w:val="18"/>
          <w:szCs w:val="18"/>
          <w:lang w:val="en-US"/>
        </w:rPr>
      </w:pPr>
    </w:p>
    <w:p w14:paraId="2A93D1C2" w14:textId="2B2651F9" w:rsidR="009A4176" w:rsidRPr="009F337B" w:rsidRDefault="009A4176" w:rsidP="00593E37">
      <w:pPr>
        <w:numPr>
          <w:ilvl w:val="1"/>
          <w:numId w:val="2"/>
        </w:numPr>
        <w:ind w:left="709" w:right="-6" w:firstLine="0"/>
        <w:contextualSpacing/>
        <w:rPr>
          <w:noProof w:val="0"/>
          <w:szCs w:val="20"/>
          <w:lang w:val="en-US"/>
        </w:rPr>
      </w:pPr>
      <w:r w:rsidRPr="009F337B">
        <w:rPr>
          <w:i/>
          <w:noProof w:val="0"/>
          <w:szCs w:val="20"/>
          <w:lang w:val="en-US"/>
        </w:rPr>
        <w:t>Notifica</w:t>
      </w:r>
      <w:r w:rsidR="003C46A3" w:rsidRPr="009F337B">
        <w:rPr>
          <w:i/>
          <w:noProof w:val="0"/>
          <w:szCs w:val="20"/>
          <w:lang w:val="en-US"/>
        </w:rPr>
        <w:t xml:space="preserve">tion to the State. </w:t>
      </w:r>
      <w:r w:rsidR="003C46A3" w:rsidRPr="009F337B">
        <w:rPr>
          <w:noProof w:val="0"/>
          <w:lang w:val="en-US"/>
        </w:rPr>
        <w:t>The</w:t>
      </w:r>
      <w:r w:rsidRPr="009F337B">
        <w:rPr>
          <w:noProof w:val="0"/>
          <w:lang w:val="en-US"/>
        </w:rPr>
        <w:t xml:space="preserve"> </w:t>
      </w:r>
      <w:r w:rsidR="003C46A3" w:rsidRPr="009F337B">
        <w:rPr>
          <w:noProof w:val="0"/>
          <w:lang w:val="en-US"/>
        </w:rPr>
        <w:t>Merits Report</w:t>
      </w:r>
      <w:r w:rsidRPr="009F337B">
        <w:rPr>
          <w:noProof w:val="0"/>
          <w:lang w:val="en-US"/>
        </w:rPr>
        <w:t xml:space="preserve"> </w:t>
      </w:r>
      <w:r w:rsidR="003C46A3" w:rsidRPr="009F337B">
        <w:rPr>
          <w:noProof w:val="0"/>
          <w:lang w:val="en-US"/>
        </w:rPr>
        <w:t xml:space="preserve">was notified to the State on June 2, 2016, </w:t>
      </w:r>
      <w:r w:rsidR="000656ED" w:rsidRPr="009F337B">
        <w:rPr>
          <w:noProof w:val="0"/>
          <w:lang w:val="en-US"/>
        </w:rPr>
        <w:t xml:space="preserve">and it was granted two months to provide information on compliance with the recommendations. The State of </w:t>
      </w:r>
      <w:r w:rsidR="00921688" w:rsidRPr="009F337B">
        <w:rPr>
          <w:noProof w:val="0"/>
          <w:lang w:val="en-US"/>
        </w:rPr>
        <w:t>Guatemala present</w:t>
      </w:r>
      <w:r w:rsidR="000656ED" w:rsidRPr="009F337B">
        <w:rPr>
          <w:noProof w:val="0"/>
          <w:lang w:val="en-US"/>
        </w:rPr>
        <w:t xml:space="preserve">ed a brief in which it advised that meetings had been held with </w:t>
      </w:r>
      <w:r w:rsidR="003C46A3" w:rsidRPr="009F337B">
        <w:rPr>
          <w:noProof w:val="0"/>
          <w:lang w:val="en-US"/>
        </w:rPr>
        <w:t xml:space="preserve">the petitioners and </w:t>
      </w:r>
      <w:r w:rsidR="000656ED" w:rsidRPr="009F337B">
        <w:rPr>
          <w:noProof w:val="0"/>
          <w:lang w:val="en-US"/>
        </w:rPr>
        <w:t xml:space="preserve">asked for an extension of the time limit. The Commission granted an additional three months. Subsequently, the State presented a further report in which it referred to general measures taken for people living with HIV/AIDS in </w:t>
      </w:r>
      <w:r w:rsidR="00921688" w:rsidRPr="009F337B">
        <w:rPr>
          <w:noProof w:val="0"/>
          <w:lang w:val="en-US"/>
        </w:rPr>
        <w:t>Guatemala.</w:t>
      </w:r>
    </w:p>
    <w:p w14:paraId="03E2B8BA" w14:textId="77777777" w:rsidR="00921688" w:rsidRPr="009F337B" w:rsidRDefault="00921688" w:rsidP="009F7070">
      <w:pPr>
        <w:ind w:left="284" w:right="-6"/>
        <w:contextualSpacing/>
        <w:rPr>
          <w:noProof w:val="0"/>
          <w:szCs w:val="20"/>
          <w:lang w:val="en-US"/>
        </w:rPr>
      </w:pPr>
    </w:p>
    <w:p w14:paraId="2BD5625B" w14:textId="4AFDDC47" w:rsidR="009A4176" w:rsidRPr="009F337B" w:rsidRDefault="000656ED" w:rsidP="00593E37">
      <w:pPr>
        <w:numPr>
          <w:ilvl w:val="0"/>
          <w:numId w:val="1"/>
        </w:numPr>
        <w:ind w:left="0" w:right="-4" w:firstLine="0"/>
        <w:contextualSpacing/>
        <w:rPr>
          <w:noProof w:val="0"/>
          <w:szCs w:val="20"/>
          <w:lang w:val="en-US"/>
        </w:rPr>
      </w:pPr>
      <w:r w:rsidRPr="009F337B">
        <w:rPr>
          <w:i/>
          <w:noProof w:val="0"/>
          <w:szCs w:val="20"/>
          <w:lang w:val="en-US"/>
        </w:rPr>
        <w:t>Submission to</w:t>
      </w:r>
      <w:r w:rsidR="009A4176" w:rsidRPr="009F337B">
        <w:rPr>
          <w:i/>
          <w:noProof w:val="0"/>
          <w:szCs w:val="20"/>
          <w:lang w:val="en-US"/>
        </w:rPr>
        <w:t xml:space="preserve"> </w:t>
      </w:r>
      <w:r w:rsidR="00AE5F9E" w:rsidRPr="009F337B">
        <w:rPr>
          <w:i/>
          <w:noProof w:val="0"/>
          <w:szCs w:val="20"/>
          <w:lang w:val="en-US"/>
        </w:rPr>
        <w:t>the Court</w:t>
      </w:r>
      <w:r w:rsidR="009A4176" w:rsidRPr="009F337B">
        <w:rPr>
          <w:i/>
          <w:noProof w:val="0"/>
          <w:szCs w:val="20"/>
          <w:lang w:val="en-US"/>
        </w:rPr>
        <w:t xml:space="preserve">. </w:t>
      </w:r>
      <w:r w:rsidRPr="009F337B">
        <w:rPr>
          <w:noProof w:val="0"/>
          <w:lang w:val="en-US"/>
        </w:rPr>
        <w:t>On December 2,</w:t>
      </w:r>
      <w:r w:rsidR="00192B39" w:rsidRPr="009F337B">
        <w:rPr>
          <w:noProof w:val="0"/>
          <w:lang w:val="en-US"/>
        </w:rPr>
        <w:t xml:space="preserve"> 2016</w:t>
      </w:r>
      <w:r w:rsidRPr="009F337B">
        <w:rPr>
          <w:noProof w:val="0"/>
          <w:lang w:val="en-US"/>
        </w:rPr>
        <w:t>,</w:t>
      </w:r>
      <w:r w:rsidR="009A4176" w:rsidRPr="009F337B">
        <w:rPr>
          <w:noProof w:val="0"/>
          <w:lang w:val="en-US"/>
        </w:rPr>
        <w:t xml:space="preserve"> </w:t>
      </w:r>
      <w:r w:rsidR="00AE5F9E" w:rsidRPr="009F337B">
        <w:rPr>
          <w:noProof w:val="0"/>
          <w:lang w:val="en-US"/>
        </w:rPr>
        <w:t>the Commission</w:t>
      </w:r>
      <w:r w:rsidR="009A4176" w:rsidRPr="009F337B">
        <w:rPr>
          <w:noProof w:val="0"/>
          <w:lang w:val="en-US"/>
        </w:rPr>
        <w:t xml:space="preserve"> </w:t>
      </w:r>
      <w:r w:rsidRPr="009F337B">
        <w:rPr>
          <w:noProof w:val="0"/>
          <w:lang w:val="en-US"/>
        </w:rPr>
        <w:t xml:space="preserve">submitted all the facts and supposed human rights violations described in the Merits Report to the jurisdiction </w:t>
      </w:r>
      <w:r w:rsidR="00AE5F9E" w:rsidRPr="009F337B">
        <w:rPr>
          <w:rFonts w:eastAsia="Calibri" w:cs="Verdana"/>
          <w:noProof w:val="0"/>
          <w:szCs w:val="20"/>
          <w:lang w:val="en-US"/>
        </w:rPr>
        <w:t>of the Inter-American Court</w:t>
      </w:r>
      <w:r w:rsidR="009A4176" w:rsidRPr="009F337B">
        <w:rPr>
          <w:noProof w:val="0"/>
          <w:szCs w:val="20"/>
          <w:lang w:val="en-US"/>
        </w:rPr>
        <w:t xml:space="preserve">. </w:t>
      </w:r>
    </w:p>
    <w:p w14:paraId="342B0C09" w14:textId="77777777" w:rsidR="009A4176" w:rsidRPr="009F337B" w:rsidRDefault="009A4176" w:rsidP="009F7070">
      <w:pPr>
        <w:ind w:right="-4"/>
        <w:contextualSpacing/>
        <w:rPr>
          <w:noProof w:val="0"/>
          <w:szCs w:val="20"/>
          <w:lang w:val="en-US"/>
        </w:rPr>
      </w:pPr>
    </w:p>
    <w:p w14:paraId="581291B6" w14:textId="1DC0C941" w:rsidR="00FB1E38" w:rsidRPr="009F337B" w:rsidRDefault="000656ED" w:rsidP="00593E37">
      <w:pPr>
        <w:numPr>
          <w:ilvl w:val="0"/>
          <w:numId w:val="1"/>
        </w:numPr>
        <w:ind w:left="0" w:right="-4" w:firstLine="0"/>
        <w:contextualSpacing/>
        <w:rPr>
          <w:noProof w:val="0"/>
          <w:szCs w:val="20"/>
          <w:lang w:val="en-US"/>
        </w:rPr>
      </w:pPr>
      <w:r w:rsidRPr="009F337B">
        <w:rPr>
          <w:i/>
          <w:noProof w:val="0"/>
          <w:szCs w:val="20"/>
          <w:lang w:val="en-US"/>
        </w:rPr>
        <w:t>The</w:t>
      </w:r>
      <w:r w:rsidR="00AE5F9E" w:rsidRPr="009F337B">
        <w:rPr>
          <w:i/>
          <w:noProof w:val="0"/>
          <w:szCs w:val="20"/>
          <w:lang w:val="en-US"/>
        </w:rPr>
        <w:t xml:space="preserve"> Commission</w:t>
      </w:r>
      <w:r w:rsidRPr="009F337B">
        <w:rPr>
          <w:i/>
          <w:noProof w:val="0"/>
          <w:szCs w:val="20"/>
          <w:lang w:val="en-US"/>
        </w:rPr>
        <w:t>’s requests</w:t>
      </w:r>
      <w:r w:rsidR="009A4176" w:rsidRPr="009F337B">
        <w:rPr>
          <w:i/>
          <w:noProof w:val="0"/>
          <w:szCs w:val="20"/>
          <w:lang w:val="en-US"/>
        </w:rPr>
        <w:t xml:space="preserve">. </w:t>
      </w:r>
      <w:r w:rsidRPr="009F337B">
        <w:rPr>
          <w:noProof w:val="0"/>
          <w:szCs w:val="20"/>
          <w:lang w:val="en-US"/>
        </w:rPr>
        <w:t>Based on the foregoing</w:t>
      </w:r>
      <w:r w:rsidR="009A4176" w:rsidRPr="009F337B">
        <w:rPr>
          <w:noProof w:val="0"/>
          <w:szCs w:val="20"/>
          <w:lang w:val="en-US"/>
        </w:rPr>
        <w:t xml:space="preserve">, </w:t>
      </w:r>
      <w:r w:rsidR="00AE5F9E" w:rsidRPr="009F337B">
        <w:rPr>
          <w:noProof w:val="0"/>
          <w:szCs w:val="20"/>
          <w:lang w:val="en-US"/>
        </w:rPr>
        <w:t>the Commission</w:t>
      </w:r>
      <w:r w:rsidR="00921688" w:rsidRPr="009F337B">
        <w:rPr>
          <w:noProof w:val="0"/>
          <w:szCs w:val="20"/>
          <w:lang w:val="en-US"/>
        </w:rPr>
        <w:t xml:space="preserve"> </w:t>
      </w:r>
      <w:r w:rsidRPr="009F337B">
        <w:rPr>
          <w:noProof w:val="0"/>
          <w:szCs w:val="20"/>
          <w:lang w:val="en-US"/>
        </w:rPr>
        <w:t>asked</w:t>
      </w:r>
      <w:r w:rsidR="009A4176" w:rsidRPr="009F337B">
        <w:rPr>
          <w:noProof w:val="0"/>
          <w:szCs w:val="20"/>
          <w:lang w:val="en-US"/>
        </w:rPr>
        <w:t xml:space="preserve"> </w:t>
      </w:r>
      <w:r w:rsidR="00AE5F9E" w:rsidRPr="009F337B">
        <w:rPr>
          <w:noProof w:val="0"/>
          <w:szCs w:val="20"/>
          <w:lang w:val="en-US"/>
        </w:rPr>
        <w:t>the Court</w:t>
      </w:r>
      <w:r w:rsidR="009A4176" w:rsidRPr="009F337B">
        <w:rPr>
          <w:noProof w:val="0"/>
          <w:szCs w:val="20"/>
          <w:lang w:val="en-US"/>
        </w:rPr>
        <w:t xml:space="preserve"> </w:t>
      </w:r>
      <w:r w:rsidRPr="009F337B">
        <w:rPr>
          <w:noProof w:val="0"/>
          <w:szCs w:val="20"/>
          <w:lang w:val="en-US"/>
        </w:rPr>
        <w:t xml:space="preserve">to find and to declare the international responsibility of Guatemala for the violation of the rights indicated in the conclusions to the </w:t>
      </w:r>
      <w:r w:rsidR="003C46A3" w:rsidRPr="009F337B">
        <w:rPr>
          <w:noProof w:val="0"/>
          <w:szCs w:val="20"/>
          <w:lang w:val="en-US"/>
        </w:rPr>
        <w:t>Merits Report</w:t>
      </w:r>
      <w:r w:rsidR="009A4176" w:rsidRPr="009F337B">
        <w:rPr>
          <w:rFonts w:eastAsia="Calibri" w:cs="Arial"/>
          <w:bCs/>
          <w:noProof w:val="0"/>
          <w:szCs w:val="20"/>
          <w:lang w:val="en-US"/>
        </w:rPr>
        <w:t xml:space="preserve">. </w:t>
      </w:r>
      <w:r w:rsidRPr="009F337B">
        <w:rPr>
          <w:rFonts w:eastAsia="Calibri" w:cs="Arial"/>
          <w:bCs/>
          <w:noProof w:val="0"/>
          <w:szCs w:val="20"/>
          <w:lang w:val="en-US"/>
        </w:rPr>
        <w:t xml:space="preserve">It also asked the Court to order the Estate to comply with specific measures of reparation. </w:t>
      </w:r>
    </w:p>
    <w:p w14:paraId="03B3574B" w14:textId="77777777" w:rsidR="00FB1E38" w:rsidRPr="009F337B" w:rsidRDefault="00FB1E38" w:rsidP="009F7070">
      <w:pPr>
        <w:ind w:right="-4"/>
        <w:contextualSpacing/>
        <w:rPr>
          <w:noProof w:val="0"/>
          <w:szCs w:val="20"/>
          <w:lang w:val="en-US"/>
        </w:rPr>
      </w:pPr>
    </w:p>
    <w:p w14:paraId="39495B50" w14:textId="5F489265" w:rsidR="006761DC" w:rsidRPr="009F337B" w:rsidRDefault="006761DC" w:rsidP="009F7070">
      <w:pPr>
        <w:pStyle w:val="Ttulo1"/>
        <w:spacing w:before="0" w:after="0"/>
        <w:rPr>
          <w:lang w:val="en-US"/>
        </w:rPr>
      </w:pPr>
      <w:bookmarkStart w:id="10" w:name="_Toc359314415"/>
      <w:bookmarkStart w:id="11" w:name="_Toc361671572"/>
      <w:bookmarkStart w:id="12" w:name="_Toc361671992"/>
      <w:bookmarkStart w:id="13" w:name="_Toc361732789"/>
      <w:bookmarkStart w:id="14" w:name="_Toc361732832"/>
      <w:bookmarkStart w:id="15" w:name="_Toc362456863"/>
      <w:bookmarkStart w:id="16" w:name="_Toc365021392"/>
      <w:bookmarkStart w:id="17" w:name="_Toc369076778"/>
      <w:bookmarkStart w:id="18" w:name="_Toc369989362"/>
      <w:bookmarkStart w:id="19" w:name="_Toc369989449"/>
      <w:bookmarkStart w:id="20" w:name="_Toc369989730"/>
      <w:bookmarkStart w:id="21" w:name="_Toc438132270"/>
      <w:bookmarkStart w:id="22" w:name="_Toc311128156"/>
      <w:bookmarkStart w:id="23" w:name="_Toc311128353"/>
      <w:bookmarkStart w:id="24" w:name="_Toc486693352"/>
      <w:bookmarkStart w:id="25" w:name="_Toc486842768"/>
      <w:bookmarkStart w:id="26" w:name="_Toc486842906"/>
      <w:bookmarkStart w:id="27" w:name="_Toc508792631"/>
      <w:bookmarkStart w:id="28" w:name="_Toc510690626"/>
      <w:bookmarkStart w:id="29" w:name="_Toc527466463"/>
      <w:r w:rsidRPr="009F337B">
        <w:rPr>
          <w:lang w:val="en-US"/>
        </w:rPr>
        <w:t>II</w:t>
      </w:r>
      <w:r w:rsidR="001D1187" w:rsidRPr="009F337B">
        <w:rPr>
          <w:lang w:val="en-US"/>
        </w:rPr>
        <w:t>.</w:t>
      </w:r>
      <w:r w:rsidRPr="009F337B">
        <w:rPr>
          <w:color w:val="FFFFFF" w:themeColor="background1"/>
          <w:lang w:val="en-US"/>
        </w:rPr>
        <w:t>.</w:t>
      </w:r>
      <w:r w:rsidRPr="009F337B">
        <w:rPr>
          <w:lang w:val="en-US"/>
        </w:rPr>
        <w:br/>
      </w:r>
      <w:r w:rsidR="000656ED" w:rsidRPr="009F337B">
        <w:rPr>
          <w:lang w:val="en-US"/>
        </w:rPr>
        <w:t>PROCEEDINGS BEFORE THE COURT</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20A0053C" w14:textId="77777777" w:rsidR="009F7070" w:rsidRPr="009F337B" w:rsidRDefault="009F7070" w:rsidP="009F7070">
      <w:pPr>
        <w:rPr>
          <w:lang w:val="en-US" w:eastAsia="es-ES"/>
        </w:rPr>
      </w:pPr>
    </w:p>
    <w:p w14:paraId="4E40F0B1" w14:textId="51506090" w:rsidR="009B1CA2" w:rsidRPr="009F337B" w:rsidRDefault="009B1CA2" w:rsidP="00593E37">
      <w:pPr>
        <w:pStyle w:val="Estilo1"/>
        <w:numPr>
          <w:ilvl w:val="0"/>
          <w:numId w:val="1"/>
        </w:numPr>
        <w:tabs>
          <w:tab w:val="left" w:pos="0"/>
        </w:tabs>
        <w:spacing w:after="0"/>
        <w:ind w:left="0" w:right="-4" w:firstLine="0"/>
        <w:rPr>
          <w:szCs w:val="20"/>
          <w:lang w:val="en-US"/>
        </w:rPr>
      </w:pPr>
      <w:r w:rsidRPr="009F337B">
        <w:rPr>
          <w:szCs w:val="20"/>
          <w:lang w:val="en-US" w:eastAsia="es-ES"/>
        </w:rPr>
        <w:t>Notifica</w:t>
      </w:r>
      <w:r w:rsidR="007327F5" w:rsidRPr="009F337B">
        <w:rPr>
          <w:szCs w:val="20"/>
          <w:lang w:val="en-US" w:eastAsia="es-ES"/>
        </w:rPr>
        <w:t>tion to the State and the representatives</w:t>
      </w:r>
      <w:r w:rsidRPr="009F337B">
        <w:rPr>
          <w:szCs w:val="20"/>
          <w:lang w:val="en-US" w:eastAsia="es-ES"/>
        </w:rPr>
        <w:t xml:space="preserve">. </w:t>
      </w:r>
      <w:r w:rsidR="007327F5" w:rsidRPr="009F337B">
        <w:rPr>
          <w:i w:val="0"/>
          <w:szCs w:val="20"/>
          <w:lang w:val="en-US"/>
        </w:rPr>
        <w:t xml:space="preserve">The State </w:t>
      </w:r>
      <w:r w:rsidR="003C46A3" w:rsidRPr="009F337B">
        <w:rPr>
          <w:i w:val="0"/>
          <w:szCs w:val="20"/>
          <w:lang w:val="en-US"/>
        </w:rPr>
        <w:t>and</w:t>
      </w:r>
      <w:r w:rsidRPr="009F337B">
        <w:rPr>
          <w:i w:val="0"/>
          <w:szCs w:val="20"/>
          <w:lang w:val="en-US"/>
        </w:rPr>
        <w:t xml:space="preserve"> </w:t>
      </w:r>
      <w:r w:rsidR="007327F5" w:rsidRPr="009F337B">
        <w:rPr>
          <w:i w:val="0"/>
          <w:szCs w:val="20"/>
          <w:lang w:val="en-US"/>
        </w:rPr>
        <w:t>the representatives</w:t>
      </w:r>
      <w:r w:rsidRPr="009F337B">
        <w:rPr>
          <w:i w:val="0"/>
          <w:szCs w:val="20"/>
          <w:lang w:val="en-US"/>
        </w:rPr>
        <w:t xml:space="preserve"> </w:t>
      </w:r>
      <w:r w:rsidR="007327F5" w:rsidRPr="009F337B">
        <w:rPr>
          <w:i w:val="0"/>
          <w:szCs w:val="20"/>
          <w:lang w:val="en-US"/>
        </w:rPr>
        <w:t>of the</w:t>
      </w:r>
      <w:r w:rsidR="00D5565D" w:rsidRPr="009F337B">
        <w:rPr>
          <w:i w:val="0"/>
          <w:szCs w:val="20"/>
          <w:lang w:val="en-US"/>
        </w:rPr>
        <w:t xml:space="preserve"> </w:t>
      </w:r>
      <w:r w:rsidR="003C46A3" w:rsidRPr="009F337B">
        <w:rPr>
          <w:i w:val="0"/>
          <w:szCs w:val="20"/>
          <w:lang w:val="en-US"/>
        </w:rPr>
        <w:t>presumed victims</w:t>
      </w:r>
      <w:r w:rsidR="007327F5" w:rsidRPr="009F337B">
        <w:rPr>
          <w:i w:val="0"/>
          <w:szCs w:val="20"/>
          <w:lang w:val="en-US"/>
        </w:rPr>
        <w:t xml:space="preserve"> were notified that the case had been submitted on January</w:t>
      </w:r>
      <w:r w:rsidR="00E83E54" w:rsidRPr="009F337B">
        <w:rPr>
          <w:i w:val="0"/>
          <w:szCs w:val="20"/>
          <w:lang w:val="en-US"/>
        </w:rPr>
        <w:t xml:space="preserve"> 27</w:t>
      </w:r>
      <w:r w:rsidR="007327F5" w:rsidRPr="009F337B">
        <w:rPr>
          <w:i w:val="0"/>
          <w:szCs w:val="20"/>
          <w:lang w:val="en-US"/>
        </w:rPr>
        <w:t xml:space="preserve">, </w:t>
      </w:r>
      <w:r w:rsidR="00E83E54" w:rsidRPr="009F337B">
        <w:rPr>
          <w:i w:val="0"/>
          <w:szCs w:val="20"/>
          <w:lang w:val="en-US"/>
        </w:rPr>
        <w:t>2017</w:t>
      </w:r>
      <w:r w:rsidRPr="009F337B">
        <w:rPr>
          <w:i w:val="0"/>
          <w:szCs w:val="20"/>
          <w:lang w:val="en-US"/>
        </w:rPr>
        <w:t>.</w:t>
      </w:r>
    </w:p>
    <w:p w14:paraId="3EA14E65" w14:textId="77777777" w:rsidR="000415C0" w:rsidRPr="009F337B" w:rsidRDefault="000415C0" w:rsidP="000415C0">
      <w:pPr>
        <w:pStyle w:val="Estilo1"/>
        <w:tabs>
          <w:tab w:val="left" w:pos="0"/>
        </w:tabs>
        <w:spacing w:after="0"/>
        <w:ind w:left="0" w:right="-4" w:firstLine="0"/>
        <w:rPr>
          <w:szCs w:val="20"/>
          <w:lang w:val="en-US"/>
        </w:rPr>
      </w:pPr>
    </w:p>
    <w:p w14:paraId="2C5E8DF8" w14:textId="59F2D6AC" w:rsidR="009B1CA2" w:rsidRPr="009F337B" w:rsidRDefault="00934388" w:rsidP="00593E37">
      <w:pPr>
        <w:pStyle w:val="Estilo1"/>
        <w:numPr>
          <w:ilvl w:val="0"/>
          <w:numId w:val="1"/>
        </w:numPr>
        <w:tabs>
          <w:tab w:val="left" w:pos="0"/>
        </w:tabs>
        <w:spacing w:after="0"/>
        <w:ind w:left="0" w:right="-4" w:firstLine="0"/>
        <w:rPr>
          <w:szCs w:val="20"/>
          <w:lang w:val="en-US"/>
        </w:rPr>
      </w:pPr>
      <w:r w:rsidRPr="009F337B">
        <w:rPr>
          <w:szCs w:val="20"/>
          <w:lang w:val="en-US" w:eastAsia="es-ES"/>
        </w:rPr>
        <w:t>Brief with motions, pleadings</w:t>
      </w:r>
      <w:r w:rsidR="003C46A3" w:rsidRPr="009F337B">
        <w:rPr>
          <w:szCs w:val="20"/>
          <w:lang w:val="en-US" w:eastAsia="es-ES"/>
        </w:rPr>
        <w:t xml:space="preserve"> </w:t>
      </w:r>
      <w:r w:rsidR="007327F5" w:rsidRPr="009F337B">
        <w:rPr>
          <w:szCs w:val="20"/>
          <w:lang w:val="en-US" w:eastAsia="es-ES"/>
        </w:rPr>
        <w:t>and evidence</w:t>
      </w:r>
      <w:r w:rsidR="009B1CA2" w:rsidRPr="009F337B">
        <w:rPr>
          <w:szCs w:val="20"/>
          <w:lang w:val="en-US" w:eastAsia="es-ES"/>
        </w:rPr>
        <w:t xml:space="preserve">. </w:t>
      </w:r>
      <w:r w:rsidR="007327F5" w:rsidRPr="009F337B">
        <w:rPr>
          <w:i w:val="0"/>
          <w:szCs w:val="20"/>
          <w:lang w:val="en-US"/>
        </w:rPr>
        <w:t>On March 30,</w:t>
      </w:r>
      <w:r w:rsidR="002C4118" w:rsidRPr="009F337B">
        <w:rPr>
          <w:i w:val="0"/>
          <w:szCs w:val="20"/>
          <w:lang w:val="en-US"/>
        </w:rPr>
        <w:t xml:space="preserve"> 2017</w:t>
      </w:r>
      <w:r w:rsidR="007327F5" w:rsidRPr="009F337B">
        <w:rPr>
          <w:i w:val="0"/>
          <w:szCs w:val="20"/>
          <w:lang w:val="en-US"/>
        </w:rPr>
        <w:t>,</w:t>
      </w:r>
      <w:r w:rsidR="009B1CA2" w:rsidRPr="009F337B">
        <w:rPr>
          <w:i w:val="0"/>
          <w:szCs w:val="20"/>
          <w:lang w:val="en-US"/>
        </w:rPr>
        <w:t xml:space="preserve"> </w:t>
      </w:r>
      <w:r w:rsidR="00D55A40" w:rsidRPr="009F337B">
        <w:rPr>
          <w:i w:val="0"/>
          <w:szCs w:val="20"/>
          <w:lang w:val="en-US"/>
        </w:rPr>
        <w:t xml:space="preserve">Cristina Calderón, </w:t>
      </w:r>
      <w:r w:rsidR="007327F5" w:rsidRPr="009F337B">
        <w:rPr>
          <w:i w:val="0"/>
          <w:szCs w:val="20"/>
          <w:lang w:val="en-US"/>
        </w:rPr>
        <w:t>the</w:t>
      </w:r>
      <w:r w:rsidR="00D55A40" w:rsidRPr="009F337B">
        <w:rPr>
          <w:i w:val="0"/>
          <w:szCs w:val="20"/>
          <w:lang w:val="en-US"/>
        </w:rPr>
        <w:t xml:space="preserve"> </w:t>
      </w:r>
      <w:proofErr w:type="spellStart"/>
      <w:r w:rsidR="00D55A40" w:rsidRPr="009F337B">
        <w:rPr>
          <w:szCs w:val="20"/>
          <w:lang w:val="en-US"/>
        </w:rPr>
        <w:t>Asociación</w:t>
      </w:r>
      <w:proofErr w:type="spellEnd"/>
      <w:r w:rsidR="00D55A40" w:rsidRPr="009F337B">
        <w:rPr>
          <w:szCs w:val="20"/>
          <w:lang w:val="en-US"/>
        </w:rPr>
        <w:t xml:space="preserve"> de </w:t>
      </w:r>
      <w:proofErr w:type="spellStart"/>
      <w:r w:rsidR="00D55A40" w:rsidRPr="009F337B">
        <w:rPr>
          <w:szCs w:val="20"/>
          <w:lang w:val="en-US"/>
        </w:rPr>
        <w:t>Salud</w:t>
      </w:r>
      <w:proofErr w:type="spellEnd"/>
      <w:r w:rsidR="00D55A40" w:rsidRPr="009F337B">
        <w:rPr>
          <w:szCs w:val="20"/>
          <w:lang w:val="en-US"/>
        </w:rPr>
        <w:t xml:space="preserve"> Integral</w:t>
      </w:r>
      <w:r w:rsidR="00D55A40" w:rsidRPr="009F337B">
        <w:rPr>
          <w:i w:val="0"/>
          <w:szCs w:val="20"/>
          <w:lang w:val="en-US"/>
        </w:rPr>
        <w:t xml:space="preserve"> (ASI)</w:t>
      </w:r>
      <w:r w:rsidR="003C46A3" w:rsidRPr="009F337B">
        <w:rPr>
          <w:i w:val="0"/>
          <w:szCs w:val="20"/>
          <w:lang w:val="en-US"/>
        </w:rPr>
        <w:t xml:space="preserve"> and </w:t>
      </w:r>
      <w:r w:rsidR="007327F5" w:rsidRPr="009F337B">
        <w:rPr>
          <w:i w:val="0"/>
          <w:szCs w:val="20"/>
          <w:lang w:val="en-US"/>
        </w:rPr>
        <w:t xml:space="preserve">the </w:t>
      </w:r>
      <w:r w:rsidR="003C46A3" w:rsidRPr="009F337B">
        <w:rPr>
          <w:i w:val="0"/>
          <w:szCs w:val="20"/>
          <w:lang w:val="en-US"/>
        </w:rPr>
        <w:t>Center for Justice and International Law</w:t>
      </w:r>
      <w:r w:rsidR="007327F5" w:rsidRPr="009F337B">
        <w:rPr>
          <w:i w:val="0"/>
          <w:szCs w:val="20"/>
          <w:lang w:val="en-US"/>
        </w:rPr>
        <w:t xml:space="preserve"> </w:t>
      </w:r>
      <w:r w:rsidR="00D55A40" w:rsidRPr="009F337B">
        <w:rPr>
          <w:i w:val="0"/>
          <w:szCs w:val="20"/>
          <w:lang w:val="en-US"/>
        </w:rPr>
        <w:t>(CEJIL) (</w:t>
      </w:r>
      <w:r w:rsidR="00AE5F9E" w:rsidRPr="009F337B">
        <w:rPr>
          <w:i w:val="0"/>
          <w:szCs w:val="20"/>
          <w:lang w:val="en-US"/>
        </w:rPr>
        <w:t>hereinafter</w:t>
      </w:r>
      <w:r w:rsidR="00D55A40" w:rsidRPr="009F337B">
        <w:rPr>
          <w:i w:val="0"/>
          <w:szCs w:val="20"/>
          <w:lang w:val="en-US"/>
        </w:rPr>
        <w:t xml:space="preserve"> “</w:t>
      </w:r>
      <w:r w:rsidR="007327F5" w:rsidRPr="009F337B">
        <w:rPr>
          <w:i w:val="0"/>
          <w:szCs w:val="20"/>
          <w:lang w:val="en-US"/>
        </w:rPr>
        <w:t>the representatives</w:t>
      </w:r>
      <w:r w:rsidR="00D55A40" w:rsidRPr="009F337B">
        <w:rPr>
          <w:i w:val="0"/>
          <w:szCs w:val="20"/>
          <w:lang w:val="en-US"/>
        </w:rPr>
        <w:t>”)</w:t>
      </w:r>
      <w:r w:rsidR="009B1CA2" w:rsidRPr="009F337B">
        <w:rPr>
          <w:i w:val="0"/>
          <w:szCs w:val="20"/>
          <w:lang w:val="en-US"/>
        </w:rPr>
        <w:t xml:space="preserve"> present</w:t>
      </w:r>
      <w:r w:rsidR="007327F5" w:rsidRPr="009F337B">
        <w:rPr>
          <w:i w:val="0"/>
          <w:szCs w:val="20"/>
          <w:lang w:val="en-US"/>
        </w:rPr>
        <w:t xml:space="preserve">ed their brief with </w:t>
      </w:r>
      <w:r w:rsidRPr="009F337B">
        <w:rPr>
          <w:i w:val="0"/>
          <w:szCs w:val="20"/>
          <w:lang w:val="en-US"/>
        </w:rPr>
        <w:t>motions, pleadings</w:t>
      </w:r>
      <w:r w:rsidR="003C46A3" w:rsidRPr="009F337B">
        <w:rPr>
          <w:i w:val="0"/>
          <w:szCs w:val="20"/>
          <w:lang w:val="en-US"/>
        </w:rPr>
        <w:t xml:space="preserve"> </w:t>
      </w:r>
      <w:r w:rsidR="007327F5" w:rsidRPr="009F337B">
        <w:rPr>
          <w:i w:val="0"/>
          <w:szCs w:val="20"/>
          <w:lang w:val="en-US"/>
        </w:rPr>
        <w:t xml:space="preserve">and </w:t>
      </w:r>
      <w:r w:rsidR="007327F5" w:rsidRPr="009F337B">
        <w:rPr>
          <w:i w:val="0"/>
          <w:szCs w:val="20"/>
          <w:lang w:val="en-US"/>
        </w:rPr>
        <w:lastRenderedPageBreak/>
        <w:t>evidence</w:t>
      </w:r>
      <w:r w:rsidR="009B1CA2" w:rsidRPr="009F337B">
        <w:rPr>
          <w:i w:val="0"/>
          <w:szCs w:val="20"/>
          <w:lang w:val="en-US"/>
        </w:rPr>
        <w:t xml:space="preserve"> (</w:t>
      </w:r>
      <w:r w:rsidR="00AE5F9E" w:rsidRPr="009F337B">
        <w:rPr>
          <w:i w:val="0"/>
          <w:szCs w:val="20"/>
          <w:lang w:val="en-US"/>
        </w:rPr>
        <w:t>hereinafter</w:t>
      </w:r>
      <w:r w:rsidR="009B1CA2" w:rsidRPr="009F337B">
        <w:rPr>
          <w:i w:val="0"/>
          <w:szCs w:val="20"/>
          <w:lang w:val="en-US"/>
        </w:rPr>
        <w:t xml:space="preserve"> “</w:t>
      </w:r>
      <w:r w:rsidRPr="009F337B">
        <w:rPr>
          <w:i w:val="0"/>
          <w:szCs w:val="20"/>
          <w:lang w:val="en-US"/>
        </w:rPr>
        <w:t>motions and pleadings brief</w:t>
      </w:r>
      <w:r w:rsidR="009B1CA2" w:rsidRPr="009F337B">
        <w:rPr>
          <w:i w:val="0"/>
          <w:szCs w:val="20"/>
          <w:lang w:val="en-US"/>
        </w:rPr>
        <w:t xml:space="preserve">”), </w:t>
      </w:r>
      <w:r w:rsidR="007327F5" w:rsidRPr="009F337B">
        <w:rPr>
          <w:i w:val="0"/>
          <w:szCs w:val="20"/>
          <w:lang w:val="en-US"/>
        </w:rPr>
        <w:t xml:space="preserve">pursuant to </w:t>
      </w:r>
      <w:r w:rsidR="00AE5F9E" w:rsidRPr="009F337B">
        <w:rPr>
          <w:i w:val="0"/>
          <w:szCs w:val="20"/>
          <w:lang w:val="en-US"/>
        </w:rPr>
        <w:t>Articles</w:t>
      </w:r>
      <w:r w:rsidR="009B1CA2" w:rsidRPr="009F337B">
        <w:rPr>
          <w:i w:val="0"/>
          <w:szCs w:val="20"/>
          <w:lang w:val="en-US"/>
        </w:rPr>
        <w:t xml:space="preserve"> 25</w:t>
      </w:r>
      <w:r w:rsidR="003C46A3" w:rsidRPr="009F337B">
        <w:rPr>
          <w:i w:val="0"/>
          <w:szCs w:val="20"/>
          <w:lang w:val="en-US"/>
        </w:rPr>
        <w:t xml:space="preserve"> and </w:t>
      </w:r>
      <w:r w:rsidR="009B1CA2" w:rsidRPr="009F337B">
        <w:rPr>
          <w:i w:val="0"/>
          <w:szCs w:val="20"/>
          <w:lang w:val="en-US"/>
        </w:rPr>
        <w:t xml:space="preserve">40 </w:t>
      </w:r>
      <w:r w:rsidR="00AE5F9E" w:rsidRPr="009F337B">
        <w:rPr>
          <w:i w:val="0"/>
          <w:szCs w:val="20"/>
          <w:lang w:val="en-US"/>
        </w:rPr>
        <w:t xml:space="preserve">of the </w:t>
      </w:r>
      <w:r w:rsidR="007327F5" w:rsidRPr="009F337B">
        <w:rPr>
          <w:i w:val="0"/>
          <w:szCs w:val="20"/>
          <w:lang w:val="en-US"/>
        </w:rPr>
        <w:t xml:space="preserve">Court’s </w:t>
      </w:r>
      <w:r w:rsidR="00AE5F9E" w:rsidRPr="009F337B">
        <w:rPr>
          <w:i w:val="0"/>
          <w:szCs w:val="20"/>
          <w:lang w:val="en-US"/>
        </w:rPr>
        <w:t>Rules of Procedure</w:t>
      </w:r>
      <w:r w:rsidR="007B4398" w:rsidRPr="009F337B">
        <w:rPr>
          <w:i w:val="0"/>
          <w:szCs w:val="20"/>
          <w:lang w:val="en-US"/>
        </w:rPr>
        <w:t xml:space="preserve">. </w:t>
      </w:r>
      <w:r w:rsidR="007327F5" w:rsidRPr="009F337B">
        <w:rPr>
          <w:i w:val="0"/>
          <w:szCs w:val="20"/>
          <w:lang w:val="en-US"/>
        </w:rPr>
        <w:t>The representatives</w:t>
      </w:r>
      <w:r w:rsidR="009B1CA2" w:rsidRPr="009F337B">
        <w:rPr>
          <w:i w:val="0"/>
          <w:szCs w:val="20"/>
          <w:lang w:val="en-US"/>
        </w:rPr>
        <w:t xml:space="preserve"> </w:t>
      </w:r>
      <w:r w:rsidR="007327F5" w:rsidRPr="009F337B">
        <w:rPr>
          <w:i w:val="0"/>
          <w:szCs w:val="20"/>
          <w:lang w:val="en-US"/>
        </w:rPr>
        <w:t>agreed with the considerations of</w:t>
      </w:r>
      <w:r w:rsidR="009B1CA2" w:rsidRPr="009F337B">
        <w:rPr>
          <w:i w:val="0"/>
          <w:szCs w:val="20"/>
          <w:lang w:val="en-US"/>
        </w:rPr>
        <w:t xml:space="preserve"> </w:t>
      </w:r>
      <w:r w:rsidR="00AE5F9E" w:rsidRPr="009F337B">
        <w:rPr>
          <w:i w:val="0"/>
          <w:szCs w:val="20"/>
          <w:lang w:val="en-US"/>
        </w:rPr>
        <w:t>the Commission</w:t>
      </w:r>
      <w:r w:rsidR="003C46A3" w:rsidRPr="009F337B">
        <w:rPr>
          <w:i w:val="0"/>
          <w:szCs w:val="20"/>
          <w:lang w:val="en-US"/>
        </w:rPr>
        <w:t xml:space="preserve"> and </w:t>
      </w:r>
      <w:r w:rsidR="007327F5" w:rsidRPr="009F337B">
        <w:rPr>
          <w:i w:val="0"/>
          <w:szCs w:val="20"/>
          <w:lang w:val="en-US"/>
        </w:rPr>
        <w:t>added that</w:t>
      </w:r>
      <w:r w:rsidR="009B1CA2" w:rsidRPr="009F337B">
        <w:rPr>
          <w:i w:val="0"/>
          <w:szCs w:val="20"/>
          <w:lang w:val="en-US"/>
        </w:rPr>
        <w:t xml:space="preserve"> </w:t>
      </w:r>
      <w:r w:rsidR="003C46A3" w:rsidRPr="009F337B">
        <w:rPr>
          <w:i w:val="0"/>
          <w:szCs w:val="20"/>
          <w:lang w:val="en-US"/>
        </w:rPr>
        <w:t>the State</w:t>
      </w:r>
      <w:r w:rsidR="009B1CA2" w:rsidRPr="009F337B">
        <w:rPr>
          <w:i w:val="0"/>
          <w:szCs w:val="20"/>
          <w:lang w:val="en-US"/>
        </w:rPr>
        <w:t xml:space="preserve"> </w:t>
      </w:r>
      <w:r w:rsidR="007327F5" w:rsidRPr="009F337B">
        <w:rPr>
          <w:i w:val="0"/>
          <w:szCs w:val="20"/>
          <w:lang w:val="en-US"/>
        </w:rPr>
        <w:t>was also</w:t>
      </w:r>
      <w:r w:rsidR="009B1CA2" w:rsidRPr="009F337B">
        <w:rPr>
          <w:i w:val="0"/>
          <w:szCs w:val="20"/>
          <w:lang w:val="en-US"/>
        </w:rPr>
        <w:t xml:space="preserve"> respons</w:t>
      </w:r>
      <w:r w:rsidR="007327F5" w:rsidRPr="009F337B">
        <w:rPr>
          <w:i w:val="0"/>
          <w:szCs w:val="20"/>
          <w:lang w:val="en-US"/>
        </w:rPr>
        <w:t>i</w:t>
      </w:r>
      <w:r w:rsidR="009B1CA2" w:rsidRPr="009F337B">
        <w:rPr>
          <w:i w:val="0"/>
          <w:szCs w:val="20"/>
          <w:lang w:val="en-US"/>
        </w:rPr>
        <w:t xml:space="preserve">ble </w:t>
      </w:r>
      <w:r w:rsidR="007327F5" w:rsidRPr="009F337B">
        <w:rPr>
          <w:i w:val="0"/>
          <w:szCs w:val="20"/>
          <w:lang w:val="en-US"/>
        </w:rPr>
        <w:t xml:space="preserve">for violating the right to health in light of </w:t>
      </w:r>
      <w:r w:rsidR="003C46A3" w:rsidRPr="009F337B">
        <w:rPr>
          <w:i w:val="0"/>
          <w:szCs w:val="20"/>
          <w:lang w:val="en-US"/>
        </w:rPr>
        <w:t>Article</w:t>
      </w:r>
      <w:r w:rsidR="00475F55" w:rsidRPr="009F337B">
        <w:rPr>
          <w:i w:val="0"/>
          <w:szCs w:val="20"/>
          <w:lang w:val="en-US"/>
        </w:rPr>
        <w:t xml:space="preserve"> 26</w:t>
      </w:r>
      <w:r w:rsidR="003C46A3" w:rsidRPr="009F337B">
        <w:rPr>
          <w:i w:val="0"/>
          <w:szCs w:val="20"/>
          <w:lang w:val="en-US"/>
        </w:rPr>
        <w:t xml:space="preserve"> and </w:t>
      </w:r>
      <w:r w:rsidR="007327F5" w:rsidRPr="009F337B">
        <w:rPr>
          <w:i w:val="0"/>
          <w:szCs w:val="20"/>
          <w:lang w:val="en-US"/>
        </w:rPr>
        <w:t>in relation to</w:t>
      </w:r>
      <w:r w:rsidR="00475F55" w:rsidRPr="009F337B">
        <w:rPr>
          <w:i w:val="0"/>
          <w:szCs w:val="20"/>
          <w:lang w:val="en-US"/>
        </w:rPr>
        <w:t xml:space="preserve"> </w:t>
      </w:r>
      <w:r w:rsidR="00AE5F9E" w:rsidRPr="009F337B">
        <w:rPr>
          <w:i w:val="0"/>
          <w:szCs w:val="20"/>
          <w:lang w:val="en-US"/>
        </w:rPr>
        <w:t>Articles</w:t>
      </w:r>
      <w:r w:rsidR="003C46A3" w:rsidRPr="009F337B">
        <w:rPr>
          <w:i w:val="0"/>
          <w:szCs w:val="20"/>
          <w:lang w:val="en-US"/>
        </w:rPr>
        <w:t xml:space="preserve"> 1(1) and </w:t>
      </w:r>
      <w:r w:rsidR="00475F55" w:rsidRPr="009F337B">
        <w:rPr>
          <w:i w:val="0"/>
          <w:szCs w:val="20"/>
          <w:lang w:val="en-US"/>
        </w:rPr>
        <w:t>2</w:t>
      </w:r>
      <w:r w:rsidR="00AE5F9E" w:rsidRPr="009F337B">
        <w:rPr>
          <w:i w:val="0"/>
          <w:szCs w:val="20"/>
          <w:lang w:val="en-US"/>
        </w:rPr>
        <w:t xml:space="preserve"> of the Convention</w:t>
      </w:r>
      <w:r w:rsidR="00475F55" w:rsidRPr="009F337B">
        <w:rPr>
          <w:i w:val="0"/>
          <w:szCs w:val="20"/>
          <w:lang w:val="en-US"/>
        </w:rPr>
        <w:t xml:space="preserve">. </w:t>
      </w:r>
      <w:r w:rsidR="007327F5" w:rsidRPr="009F337B">
        <w:rPr>
          <w:i w:val="0"/>
          <w:szCs w:val="20"/>
          <w:lang w:val="en-US"/>
        </w:rPr>
        <w:t>In addition, the representatives</w:t>
      </w:r>
      <w:r w:rsidR="00475F55" w:rsidRPr="009F337B">
        <w:rPr>
          <w:i w:val="0"/>
          <w:szCs w:val="20"/>
          <w:lang w:val="en-US"/>
        </w:rPr>
        <w:t xml:space="preserve"> </w:t>
      </w:r>
      <w:r w:rsidR="007327F5" w:rsidRPr="009F337B">
        <w:rPr>
          <w:i w:val="0"/>
          <w:szCs w:val="20"/>
          <w:lang w:val="en-US"/>
        </w:rPr>
        <w:t xml:space="preserve">asked the Court to order the State to adopt </w:t>
      </w:r>
      <w:r w:rsidR="00D53336" w:rsidRPr="009F337B">
        <w:rPr>
          <w:i w:val="0"/>
          <w:szCs w:val="20"/>
          <w:lang w:val="en-US"/>
        </w:rPr>
        <w:t>other</w:t>
      </w:r>
      <w:r w:rsidR="007327F5" w:rsidRPr="009F337B">
        <w:rPr>
          <w:i w:val="0"/>
          <w:szCs w:val="20"/>
          <w:lang w:val="en-US"/>
        </w:rPr>
        <w:t xml:space="preserve"> measures of reparation and to reimburse certain costs and expenses. Lastly, the representatives</w:t>
      </w:r>
      <w:r w:rsidR="00475F55" w:rsidRPr="009F337B">
        <w:rPr>
          <w:i w:val="0"/>
          <w:szCs w:val="20"/>
          <w:lang w:val="en-US"/>
        </w:rPr>
        <w:t xml:space="preserve"> </w:t>
      </w:r>
      <w:r w:rsidR="007327F5" w:rsidRPr="009F337B">
        <w:rPr>
          <w:i w:val="0"/>
          <w:szCs w:val="20"/>
          <w:lang w:val="en-US"/>
        </w:rPr>
        <w:t>asked to access the Victims’ Legal Assistance Fund</w:t>
      </w:r>
      <w:r w:rsidR="00AE5F9E" w:rsidRPr="009F337B">
        <w:rPr>
          <w:i w:val="0"/>
          <w:szCs w:val="20"/>
          <w:lang w:val="en-US"/>
        </w:rPr>
        <w:t xml:space="preserve"> of the Inter-American Court</w:t>
      </w:r>
      <w:r w:rsidR="00475F55" w:rsidRPr="009F337B">
        <w:rPr>
          <w:i w:val="0"/>
          <w:szCs w:val="20"/>
          <w:lang w:val="en-US"/>
        </w:rPr>
        <w:t xml:space="preserve"> (</w:t>
      </w:r>
      <w:r w:rsidR="00AE5F9E" w:rsidRPr="009F337B">
        <w:rPr>
          <w:i w:val="0"/>
          <w:szCs w:val="20"/>
          <w:lang w:val="en-US"/>
        </w:rPr>
        <w:t>hereinafter</w:t>
      </w:r>
      <w:r w:rsidR="00475F55" w:rsidRPr="009F337B">
        <w:rPr>
          <w:i w:val="0"/>
          <w:szCs w:val="20"/>
          <w:lang w:val="en-US"/>
        </w:rPr>
        <w:t xml:space="preserve"> “</w:t>
      </w:r>
      <w:r w:rsidR="007327F5" w:rsidRPr="009F337B">
        <w:rPr>
          <w:i w:val="0"/>
          <w:szCs w:val="20"/>
          <w:lang w:val="en-US"/>
        </w:rPr>
        <w:t>the Legal Assistance Fund</w:t>
      </w:r>
      <w:r w:rsidR="00475F55" w:rsidRPr="009F337B">
        <w:rPr>
          <w:i w:val="0"/>
          <w:szCs w:val="20"/>
          <w:lang w:val="en-US"/>
        </w:rPr>
        <w:t>”)</w:t>
      </w:r>
      <w:r w:rsidR="00D55A40" w:rsidRPr="009F337B">
        <w:rPr>
          <w:i w:val="0"/>
          <w:szCs w:val="20"/>
          <w:lang w:val="en-US"/>
        </w:rPr>
        <w:t>.</w:t>
      </w:r>
    </w:p>
    <w:p w14:paraId="21D95B81" w14:textId="77777777" w:rsidR="00D55A40" w:rsidRPr="009F337B" w:rsidRDefault="00D55A40" w:rsidP="00D55A40">
      <w:pPr>
        <w:pStyle w:val="Estilo1"/>
        <w:tabs>
          <w:tab w:val="left" w:pos="0"/>
        </w:tabs>
        <w:spacing w:after="0"/>
        <w:ind w:left="0" w:right="-4" w:firstLine="0"/>
        <w:rPr>
          <w:i w:val="0"/>
          <w:szCs w:val="20"/>
          <w:lang w:val="en-US"/>
        </w:rPr>
      </w:pPr>
    </w:p>
    <w:p w14:paraId="42792A80" w14:textId="38FB22A8" w:rsidR="009B1CA2" w:rsidRPr="009F337B" w:rsidRDefault="007327F5" w:rsidP="00593E37">
      <w:pPr>
        <w:pStyle w:val="Estilo1"/>
        <w:numPr>
          <w:ilvl w:val="0"/>
          <w:numId w:val="1"/>
        </w:numPr>
        <w:tabs>
          <w:tab w:val="left" w:pos="0"/>
        </w:tabs>
        <w:spacing w:after="0"/>
        <w:ind w:left="0" w:right="-4" w:firstLine="0"/>
        <w:rPr>
          <w:szCs w:val="20"/>
          <w:lang w:val="en-US"/>
        </w:rPr>
      </w:pPr>
      <w:r w:rsidRPr="009F337B">
        <w:rPr>
          <w:rFonts w:eastAsia="Calibri"/>
          <w:bCs/>
          <w:szCs w:val="20"/>
          <w:lang w:val="en-US"/>
        </w:rPr>
        <w:t>Answering brief.</w:t>
      </w:r>
      <w:r w:rsidR="009B1CA2" w:rsidRPr="009F337B">
        <w:rPr>
          <w:rStyle w:val="Refdenotaalpie"/>
          <w:rFonts w:eastAsia="Calibri"/>
          <w:bCs/>
          <w:i w:val="0"/>
          <w:lang w:val="en-US"/>
        </w:rPr>
        <w:footnoteReference w:id="3"/>
      </w:r>
      <w:r w:rsidR="009B1CA2" w:rsidRPr="009F337B">
        <w:rPr>
          <w:rFonts w:eastAsia="Calibri"/>
          <w:bCs/>
          <w:szCs w:val="20"/>
          <w:lang w:val="en-US"/>
        </w:rPr>
        <w:t xml:space="preserve"> </w:t>
      </w:r>
      <w:r w:rsidRPr="009F337B">
        <w:rPr>
          <w:i w:val="0"/>
          <w:szCs w:val="20"/>
          <w:lang w:val="en-US"/>
        </w:rPr>
        <w:t>On July</w:t>
      </w:r>
      <w:r w:rsidR="009B1CA2" w:rsidRPr="009F337B">
        <w:rPr>
          <w:i w:val="0"/>
          <w:szCs w:val="20"/>
          <w:lang w:val="en-US"/>
        </w:rPr>
        <w:t xml:space="preserve"> </w:t>
      </w:r>
      <w:r w:rsidR="00995DD7" w:rsidRPr="009F337B">
        <w:rPr>
          <w:i w:val="0"/>
          <w:szCs w:val="20"/>
          <w:lang w:val="en-US"/>
        </w:rPr>
        <w:t>3</w:t>
      </w:r>
      <w:r w:rsidRPr="009F337B">
        <w:rPr>
          <w:i w:val="0"/>
          <w:szCs w:val="20"/>
          <w:lang w:val="en-US"/>
        </w:rPr>
        <w:t xml:space="preserve">, </w:t>
      </w:r>
      <w:r w:rsidR="00995DD7" w:rsidRPr="009F337B">
        <w:rPr>
          <w:i w:val="0"/>
          <w:szCs w:val="20"/>
          <w:lang w:val="en-US"/>
        </w:rPr>
        <w:t>2017</w:t>
      </w:r>
      <w:r w:rsidR="00436DD0" w:rsidRPr="009F337B">
        <w:rPr>
          <w:i w:val="0"/>
          <w:szCs w:val="20"/>
          <w:lang w:val="en-US"/>
        </w:rPr>
        <w:t>,</w:t>
      </w:r>
      <w:r w:rsidR="009B1CA2" w:rsidRPr="009F337B">
        <w:rPr>
          <w:i w:val="0"/>
          <w:szCs w:val="20"/>
          <w:lang w:val="en-US"/>
        </w:rPr>
        <w:t xml:space="preserve"> </w:t>
      </w:r>
      <w:r w:rsidR="003C46A3" w:rsidRPr="009F337B">
        <w:rPr>
          <w:i w:val="0"/>
          <w:szCs w:val="20"/>
          <w:lang w:val="en-US"/>
        </w:rPr>
        <w:t>the State</w:t>
      </w:r>
      <w:r w:rsidR="009B1CA2" w:rsidRPr="009F337B">
        <w:rPr>
          <w:i w:val="0"/>
          <w:szCs w:val="20"/>
          <w:lang w:val="en-US"/>
        </w:rPr>
        <w:t xml:space="preserve"> </w:t>
      </w:r>
      <w:r w:rsidR="007A7F3A" w:rsidRPr="009F337B">
        <w:rPr>
          <w:i w:val="0"/>
          <w:szCs w:val="20"/>
          <w:lang w:val="en-US"/>
        </w:rPr>
        <w:t xml:space="preserve">presented to the Court its brief filing a preliminary objection and answering the submission of the case and the </w:t>
      </w:r>
      <w:r w:rsidR="00934388" w:rsidRPr="009F337B">
        <w:rPr>
          <w:i w:val="0"/>
          <w:szCs w:val="20"/>
          <w:lang w:val="en-US"/>
        </w:rPr>
        <w:t>motions and pleadings brief</w:t>
      </w:r>
      <w:r w:rsidR="009B1CA2" w:rsidRPr="009F337B">
        <w:rPr>
          <w:i w:val="0"/>
          <w:szCs w:val="20"/>
          <w:lang w:val="en-US"/>
        </w:rPr>
        <w:t xml:space="preserve"> (</w:t>
      </w:r>
      <w:r w:rsidR="00AE5F9E" w:rsidRPr="009F337B">
        <w:rPr>
          <w:i w:val="0"/>
          <w:szCs w:val="20"/>
          <w:lang w:val="en-US"/>
        </w:rPr>
        <w:t>hereinafter</w:t>
      </w:r>
      <w:r w:rsidR="009B1CA2" w:rsidRPr="009F337B">
        <w:rPr>
          <w:i w:val="0"/>
          <w:szCs w:val="20"/>
          <w:lang w:val="en-US"/>
        </w:rPr>
        <w:t xml:space="preserve"> “</w:t>
      </w:r>
      <w:r w:rsidR="007A7F3A" w:rsidRPr="009F337B">
        <w:rPr>
          <w:i w:val="0"/>
          <w:szCs w:val="20"/>
          <w:lang w:val="en-US"/>
        </w:rPr>
        <w:t>answer</w:t>
      </w:r>
      <w:r w:rsidR="009B1CA2" w:rsidRPr="009F337B">
        <w:rPr>
          <w:i w:val="0"/>
          <w:szCs w:val="20"/>
          <w:lang w:val="en-US"/>
        </w:rPr>
        <w:t>” o</w:t>
      </w:r>
      <w:r w:rsidR="007A7F3A" w:rsidRPr="009F337B">
        <w:rPr>
          <w:i w:val="0"/>
          <w:szCs w:val="20"/>
          <w:lang w:val="en-US"/>
        </w:rPr>
        <w:t>r</w:t>
      </w:r>
      <w:r w:rsidR="009B1CA2" w:rsidRPr="009F337B">
        <w:rPr>
          <w:i w:val="0"/>
          <w:szCs w:val="20"/>
          <w:lang w:val="en-US"/>
        </w:rPr>
        <w:t xml:space="preserve"> “</w:t>
      </w:r>
      <w:r w:rsidR="007A7F3A" w:rsidRPr="009F337B">
        <w:rPr>
          <w:i w:val="0"/>
          <w:szCs w:val="20"/>
          <w:lang w:val="en-US"/>
        </w:rPr>
        <w:t>answering brief</w:t>
      </w:r>
      <w:r w:rsidR="009B1CA2" w:rsidRPr="009F337B">
        <w:rPr>
          <w:i w:val="0"/>
          <w:szCs w:val="20"/>
          <w:lang w:val="en-US"/>
        </w:rPr>
        <w:t xml:space="preserve">”), </w:t>
      </w:r>
      <w:r w:rsidR="007A7F3A" w:rsidRPr="009F337B">
        <w:rPr>
          <w:i w:val="0"/>
          <w:szCs w:val="20"/>
          <w:lang w:val="en-US"/>
        </w:rPr>
        <w:t>pursuant to</w:t>
      </w:r>
      <w:r w:rsidR="003C46A3" w:rsidRPr="009F337B">
        <w:rPr>
          <w:i w:val="0"/>
          <w:szCs w:val="20"/>
          <w:lang w:val="en-US"/>
        </w:rPr>
        <w:t xml:space="preserve"> Article</w:t>
      </w:r>
      <w:r w:rsidR="009B1CA2" w:rsidRPr="009F337B">
        <w:rPr>
          <w:i w:val="0"/>
          <w:szCs w:val="20"/>
          <w:lang w:val="en-US"/>
        </w:rPr>
        <w:t xml:space="preserve"> 41 </w:t>
      </w:r>
      <w:r w:rsidR="00AE5F9E" w:rsidRPr="009F337B">
        <w:rPr>
          <w:i w:val="0"/>
          <w:szCs w:val="20"/>
          <w:lang w:val="en-US"/>
        </w:rPr>
        <w:t xml:space="preserve">of the </w:t>
      </w:r>
      <w:r w:rsidR="007A7F3A" w:rsidRPr="009F337B">
        <w:rPr>
          <w:i w:val="0"/>
          <w:szCs w:val="20"/>
          <w:lang w:val="en-US"/>
        </w:rPr>
        <w:t xml:space="preserve">Court’s </w:t>
      </w:r>
      <w:r w:rsidR="00AE5F9E" w:rsidRPr="009F337B">
        <w:rPr>
          <w:i w:val="0"/>
          <w:szCs w:val="20"/>
          <w:lang w:val="en-US"/>
        </w:rPr>
        <w:t>Rules of Procedure</w:t>
      </w:r>
      <w:r w:rsidR="007A7F3A" w:rsidRPr="009F337B">
        <w:rPr>
          <w:i w:val="0"/>
          <w:szCs w:val="20"/>
          <w:lang w:val="en-US"/>
        </w:rPr>
        <w:t>. The State filed a preliminary objection based on failure to exhaust domestic remedies and contested the violations that had been alleged</w:t>
      </w:r>
      <w:r w:rsidR="009B1CA2" w:rsidRPr="009F337B">
        <w:rPr>
          <w:i w:val="0"/>
          <w:lang w:val="en-US"/>
        </w:rPr>
        <w:t>.</w:t>
      </w:r>
    </w:p>
    <w:p w14:paraId="395D6EB0" w14:textId="77777777" w:rsidR="00D55A40" w:rsidRPr="009F337B" w:rsidRDefault="00D55A40" w:rsidP="00D55A40">
      <w:pPr>
        <w:pStyle w:val="Estilo1"/>
        <w:tabs>
          <w:tab w:val="left" w:pos="0"/>
        </w:tabs>
        <w:spacing w:after="0"/>
        <w:ind w:left="0" w:right="-4" w:firstLine="0"/>
        <w:rPr>
          <w:i w:val="0"/>
          <w:szCs w:val="20"/>
          <w:lang w:val="en-US"/>
        </w:rPr>
      </w:pPr>
    </w:p>
    <w:p w14:paraId="2BA8FE21" w14:textId="585E15E7" w:rsidR="00D06499" w:rsidRPr="009F337B" w:rsidRDefault="007A7F3A" w:rsidP="00593E37">
      <w:pPr>
        <w:pStyle w:val="Estilo1"/>
        <w:numPr>
          <w:ilvl w:val="0"/>
          <w:numId w:val="1"/>
        </w:numPr>
        <w:tabs>
          <w:tab w:val="left" w:pos="0"/>
        </w:tabs>
        <w:spacing w:after="0"/>
        <w:ind w:left="0" w:right="-4" w:firstLine="0"/>
        <w:rPr>
          <w:szCs w:val="20"/>
          <w:lang w:val="en-US"/>
        </w:rPr>
      </w:pPr>
      <w:r w:rsidRPr="009F337B">
        <w:rPr>
          <w:rFonts w:eastAsia="Calibri"/>
          <w:bCs/>
          <w:szCs w:val="20"/>
          <w:lang w:val="en-US"/>
        </w:rPr>
        <w:t>Legal Assistance Fund</w:t>
      </w:r>
      <w:r w:rsidR="00D06499" w:rsidRPr="009F337B">
        <w:rPr>
          <w:rFonts w:eastAsia="Calibri"/>
          <w:bCs/>
          <w:szCs w:val="20"/>
          <w:lang w:val="en-US"/>
        </w:rPr>
        <w:t>.</w:t>
      </w:r>
      <w:r w:rsidR="00D06499" w:rsidRPr="009F337B">
        <w:rPr>
          <w:szCs w:val="20"/>
          <w:lang w:val="en-US"/>
        </w:rPr>
        <w:t xml:space="preserve"> </w:t>
      </w:r>
      <w:r w:rsidRPr="009F337B">
        <w:rPr>
          <w:rFonts w:eastAsia="Calibri"/>
          <w:bCs/>
          <w:i w:val="0"/>
          <w:szCs w:val="20"/>
          <w:lang w:val="en-US"/>
        </w:rPr>
        <w:t xml:space="preserve">In an order of July 24, </w:t>
      </w:r>
      <w:r w:rsidR="006226C4" w:rsidRPr="009F337B">
        <w:rPr>
          <w:rFonts w:eastAsia="Calibri"/>
          <w:bCs/>
          <w:i w:val="0"/>
          <w:szCs w:val="20"/>
          <w:lang w:val="en-US"/>
        </w:rPr>
        <w:t>2017</w:t>
      </w:r>
      <w:r w:rsidRPr="009F337B">
        <w:rPr>
          <w:rFonts w:eastAsia="Calibri"/>
          <w:bCs/>
          <w:i w:val="0"/>
          <w:szCs w:val="20"/>
          <w:lang w:val="en-US"/>
        </w:rPr>
        <w:t xml:space="preserve">, </w:t>
      </w:r>
      <w:r w:rsidR="00AE5F9E" w:rsidRPr="009F337B">
        <w:rPr>
          <w:rFonts w:eastAsia="Calibri"/>
          <w:bCs/>
          <w:i w:val="0"/>
          <w:szCs w:val="20"/>
          <w:lang w:val="en-US"/>
        </w:rPr>
        <w:t>the President of the Court</w:t>
      </w:r>
      <w:r w:rsidR="006226C4" w:rsidRPr="009F337B">
        <w:rPr>
          <w:rFonts w:eastAsia="Calibri"/>
          <w:bCs/>
          <w:i w:val="0"/>
          <w:szCs w:val="20"/>
          <w:lang w:val="en-US"/>
        </w:rPr>
        <w:t xml:space="preserve"> declar</w:t>
      </w:r>
      <w:r w:rsidRPr="009F337B">
        <w:rPr>
          <w:rFonts w:eastAsia="Calibri"/>
          <w:bCs/>
          <w:i w:val="0"/>
          <w:szCs w:val="20"/>
          <w:lang w:val="en-US"/>
        </w:rPr>
        <w:t xml:space="preserve">ed that the request for access to the Legal Assistance Fund presented by </w:t>
      </w:r>
      <w:r w:rsidR="006226C4" w:rsidRPr="009F337B">
        <w:rPr>
          <w:rFonts w:eastAsia="Calibri"/>
          <w:bCs/>
          <w:i w:val="0"/>
          <w:szCs w:val="20"/>
          <w:lang w:val="en-US"/>
        </w:rPr>
        <w:t xml:space="preserve"> </w:t>
      </w:r>
      <w:r w:rsidR="007327F5" w:rsidRPr="009F337B">
        <w:rPr>
          <w:rFonts w:eastAsia="Calibri"/>
          <w:bCs/>
          <w:i w:val="0"/>
          <w:szCs w:val="20"/>
          <w:lang w:val="en-US"/>
        </w:rPr>
        <w:t>the representatives</w:t>
      </w:r>
      <w:r w:rsidR="006226C4" w:rsidRPr="009F337B">
        <w:rPr>
          <w:rFonts w:eastAsia="Calibri"/>
          <w:bCs/>
          <w:i w:val="0"/>
          <w:szCs w:val="20"/>
          <w:lang w:val="en-US"/>
        </w:rPr>
        <w:t xml:space="preserve"> </w:t>
      </w:r>
      <w:r w:rsidRPr="009F337B">
        <w:rPr>
          <w:rFonts w:eastAsia="Calibri"/>
          <w:bCs/>
          <w:i w:val="0"/>
          <w:szCs w:val="20"/>
          <w:lang w:val="en-US"/>
        </w:rPr>
        <w:t>was admissible.</w:t>
      </w:r>
      <w:r w:rsidR="006226C4" w:rsidRPr="009F337B">
        <w:rPr>
          <w:rStyle w:val="Refdenotaalpie"/>
          <w:rFonts w:eastAsia="Calibri"/>
          <w:bCs/>
          <w:i w:val="0"/>
          <w:lang w:val="en-US"/>
        </w:rPr>
        <w:footnoteReference w:id="4"/>
      </w:r>
    </w:p>
    <w:p w14:paraId="1F86AF17" w14:textId="77777777" w:rsidR="00D55A40" w:rsidRPr="009F337B" w:rsidRDefault="00D55A40" w:rsidP="00D55A40">
      <w:pPr>
        <w:pStyle w:val="Estilo1"/>
        <w:tabs>
          <w:tab w:val="left" w:pos="0"/>
        </w:tabs>
        <w:spacing w:after="0"/>
        <w:ind w:left="0" w:right="-4" w:firstLine="0"/>
        <w:rPr>
          <w:i w:val="0"/>
          <w:szCs w:val="20"/>
          <w:lang w:val="en-US"/>
        </w:rPr>
      </w:pPr>
    </w:p>
    <w:p w14:paraId="3D604E50" w14:textId="638A6A9B" w:rsidR="00E83E54" w:rsidRPr="009F337B" w:rsidRDefault="00E83E54" w:rsidP="00593E37">
      <w:pPr>
        <w:pStyle w:val="Estilo1"/>
        <w:numPr>
          <w:ilvl w:val="0"/>
          <w:numId w:val="1"/>
        </w:numPr>
        <w:tabs>
          <w:tab w:val="left" w:pos="0"/>
        </w:tabs>
        <w:spacing w:after="0"/>
        <w:ind w:left="0" w:right="-4" w:firstLine="0"/>
        <w:rPr>
          <w:b/>
          <w:bCs/>
          <w:i w:val="0"/>
          <w:szCs w:val="20"/>
          <w:u w:val="single"/>
          <w:lang w:val="en-US"/>
        </w:rPr>
      </w:pPr>
      <w:r w:rsidRPr="009F337B">
        <w:rPr>
          <w:szCs w:val="20"/>
          <w:lang w:val="en-US"/>
        </w:rPr>
        <w:t>O</w:t>
      </w:r>
      <w:r w:rsidR="00A31FBB" w:rsidRPr="009F337B">
        <w:rPr>
          <w:szCs w:val="20"/>
          <w:lang w:val="en-US"/>
        </w:rPr>
        <w:t>bserva</w:t>
      </w:r>
      <w:r w:rsidR="007A7F3A" w:rsidRPr="009F337B">
        <w:rPr>
          <w:szCs w:val="20"/>
          <w:lang w:val="en-US"/>
        </w:rPr>
        <w:t>tions on</w:t>
      </w:r>
      <w:r w:rsidR="00A31FBB" w:rsidRPr="009F337B">
        <w:rPr>
          <w:szCs w:val="20"/>
          <w:lang w:val="en-US"/>
        </w:rPr>
        <w:t xml:space="preserve"> </w:t>
      </w:r>
      <w:r w:rsidR="007A7F3A" w:rsidRPr="009F337B">
        <w:rPr>
          <w:szCs w:val="20"/>
          <w:lang w:val="en-US"/>
        </w:rPr>
        <w:t>the preliminary objection</w:t>
      </w:r>
      <w:r w:rsidRPr="009F337B">
        <w:rPr>
          <w:szCs w:val="20"/>
          <w:lang w:val="en-US"/>
        </w:rPr>
        <w:t xml:space="preserve">. </w:t>
      </w:r>
      <w:r w:rsidR="007A7F3A" w:rsidRPr="009F337B">
        <w:rPr>
          <w:i w:val="0"/>
          <w:szCs w:val="20"/>
          <w:lang w:val="en-US"/>
        </w:rPr>
        <w:t>On September 20,</w:t>
      </w:r>
      <w:r w:rsidR="00E64224" w:rsidRPr="009F337B">
        <w:rPr>
          <w:i w:val="0"/>
          <w:szCs w:val="20"/>
          <w:lang w:val="en-US"/>
        </w:rPr>
        <w:t xml:space="preserve"> 2017</w:t>
      </w:r>
      <w:r w:rsidR="007A7F3A" w:rsidRPr="009F337B">
        <w:rPr>
          <w:i w:val="0"/>
          <w:szCs w:val="20"/>
          <w:lang w:val="en-US"/>
        </w:rPr>
        <w:t>,</w:t>
      </w:r>
      <w:r w:rsidRPr="009F337B">
        <w:rPr>
          <w:i w:val="0"/>
          <w:szCs w:val="20"/>
          <w:lang w:val="en-US"/>
        </w:rPr>
        <w:t xml:space="preserve"> </w:t>
      </w:r>
      <w:r w:rsidR="007327F5" w:rsidRPr="009F337B">
        <w:rPr>
          <w:i w:val="0"/>
          <w:szCs w:val="20"/>
          <w:lang w:val="en-US"/>
        </w:rPr>
        <w:t>the representatives</w:t>
      </w:r>
      <w:r w:rsidR="003C46A3" w:rsidRPr="009F337B">
        <w:rPr>
          <w:i w:val="0"/>
          <w:szCs w:val="20"/>
          <w:lang w:val="en-US"/>
        </w:rPr>
        <w:t xml:space="preserve"> and </w:t>
      </w:r>
      <w:r w:rsidR="00AE5F9E" w:rsidRPr="009F337B">
        <w:rPr>
          <w:i w:val="0"/>
          <w:szCs w:val="20"/>
          <w:lang w:val="en-US"/>
        </w:rPr>
        <w:t>the Inter-American Commission</w:t>
      </w:r>
      <w:r w:rsidRPr="009F337B">
        <w:rPr>
          <w:i w:val="0"/>
          <w:szCs w:val="20"/>
          <w:lang w:val="en-US"/>
        </w:rPr>
        <w:t xml:space="preserve"> pre</w:t>
      </w:r>
      <w:r w:rsidR="002E14F2" w:rsidRPr="009F337B">
        <w:rPr>
          <w:i w:val="0"/>
          <w:szCs w:val="20"/>
          <w:lang w:val="en-US"/>
        </w:rPr>
        <w:t>sent</w:t>
      </w:r>
      <w:r w:rsidR="007A7F3A" w:rsidRPr="009F337B">
        <w:rPr>
          <w:i w:val="0"/>
          <w:szCs w:val="20"/>
          <w:lang w:val="en-US"/>
        </w:rPr>
        <w:t>ed their observations on the preliminary objection</w:t>
      </w:r>
      <w:r w:rsidR="002E14F2" w:rsidRPr="009F337B">
        <w:rPr>
          <w:i w:val="0"/>
          <w:szCs w:val="20"/>
          <w:lang w:val="en-US"/>
        </w:rPr>
        <w:t xml:space="preserve"> </w:t>
      </w:r>
      <w:r w:rsidR="007A7F3A" w:rsidRPr="009F337B">
        <w:rPr>
          <w:i w:val="0"/>
          <w:szCs w:val="20"/>
          <w:lang w:val="en-US"/>
        </w:rPr>
        <w:t>filed by</w:t>
      </w:r>
      <w:r w:rsidR="007F07E3" w:rsidRPr="009F337B">
        <w:rPr>
          <w:i w:val="0"/>
          <w:szCs w:val="20"/>
          <w:lang w:val="en-US"/>
        </w:rPr>
        <w:t xml:space="preserve"> </w:t>
      </w:r>
      <w:r w:rsidR="003C46A3" w:rsidRPr="009F337B">
        <w:rPr>
          <w:i w:val="0"/>
          <w:szCs w:val="20"/>
          <w:lang w:val="en-US"/>
        </w:rPr>
        <w:t>the State</w:t>
      </w:r>
      <w:r w:rsidR="007F07E3" w:rsidRPr="009F337B">
        <w:rPr>
          <w:i w:val="0"/>
          <w:szCs w:val="20"/>
          <w:lang w:val="en-US"/>
        </w:rPr>
        <w:t>.</w:t>
      </w:r>
    </w:p>
    <w:p w14:paraId="567DCC3F" w14:textId="77777777" w:rsidR="00D55A40" w:rsidRPr="009F337B" w:rsidRDefault="00D55A40" w:rsidP="00D55A40">
      <w:pPr>
        <w:pStyle w:val="Estilo1"/>
        <w:tabs>
          <w:tab w:val="left" w:pos="0"/>
        </w:tabs>
        <w:spacing w:after="0"/>
        <w:ind w:left="0" w:right="-4" w:firstLine="0"/>
        <w:rPr>
          <w:bCs/>
          <w:i w:val="0"/>
          <w:szCs w:val="20"/>
          <w:u w:val="single"/>
          <w:lang w:val="en-US"/>
        </w:rPr>
      </w:pPr>
    </w:p>
    <w:p w14:paraId="32A9166D" w14:textId="48DF760E" w:rsidR="009B1CA2" w:rsidRPr="009F337B" w:rsidRDefault="009B1CA2" w:rsidP="00593E37">
      <w:pPr>
        <w:pStyle w:val="Estilo1"/>
        <w:numPr>
          <w:ilvl w:val="0"/>
          <w:numId w:val="1"/>
        </w:numPr>
        <w:tabs>
          <w:tab w:val="left" w:pos="0"/>
        </w:tabs>
        <w:spacing w:after="0"/>
        <w:ind w:left="0" w:right="-4" w:firstLine="0"/>
        <w:rPr>
          <w:i w:val="0"/>
          <w:szCs w:val="20"/>
          <w:lang w:val="en-US" w:eastAsia="es-ES"/>
        </w:rPr>
      </w:pPr>
      <w:r w:rsidRPr="009F337B">
        <w:rPr>
          <w:szCs w:val="20"/>
          <w:lang w:val="en-US" w:eastAsia="es-ES"/>
        </w:rPr>
        <w:t>Amici curiae.</w:t>
      </w:r>
      <w:r w:rsidR="007A7F3A" w:rsidRPr="009F337B">
        <w:rPr>
          <w:szCs w:val="20"/>
          <w:lang w:val="en-US" w:eastAsia="es-ES"/>
        </w:rPr>
        <w:t xml:space="preserve"> </w:t>
      </w:r>
      <w:r w:rsidR="007A7F3A" w:rsidRPr="009F337B">
        <w:rPr>
          <w:i w:val="0"/>
          <w:szCs w:val="20"/>
          <w:lang w:val="en-US" w:eastAsia="es-ES"/>
        </w:rPr>
        <w:t xml:space="preserve">The Court received three </w:t>
      </w:r>
      <w:r w:rsidRPr="009F337B">
        <w:rPr>
          <w:szCs w:val="20"/>
          <w:lang w:val="en-US" w:eastAsia="es-ES"/>
        </w:rPr>
        <w:t>amicus curiae</w:t>
      </w:r>
      <w:r w:rsidRPr="009F337B">
        <w:rPr>
          <w:i w:val="0"/>
          <w:szCs w:val="20"/>
          <w:lang w:val="en-US"/>
        </w:rPr>
        <w:t xml:space="preserve"> </w:t>
      </w:r>
      <w:r w:rsidR="007A7F3A" w:rsidRPr="009F337B">
        <w:rPr>
          <w:i w:val="0"/>
          <w:szCs w:val="20"/>
          <w:lang w:val="en-US"/>
        </w:rPr>
        <w:t>briefs presented by: (</w:t>
      </w:r>
      <w:r w:rsidRPr="009F337B">
        <w:rPr>
          <w:i w:val="0"/>
          <w:szCs w:val="20"/>
          <w:lang w:val="en-US" w:eastAsia="es-ES"/>
        </w:rPr>
        <w:t xml:space="preserve">1) </w:t>
      </w:r>
      <w:r w:rsidR="007A7F3A" w:rsidRPr="009F337B">
        <w:rPr>
          <w:i w:val="0"/>
          <w:szCs w:val="20"/>
          <w:lang w:val="en-US" w:eastAsia="es-ES"/>
        </w:rPr>
        <w:t>students of the Inter-American Human Rights Protection System</w:t>
      </w:r>
      <w:r w:rsidR="00D53336" w:rsidRPr="009F337B">
        <w:rPr>
          <w:i w:val="0"/>
          <w:szCs w:val="20"/>
          <w:lang w:val="en-US" w:eastAsia="es-ES"/>
        </w:rPr>
        <w:t xml:space="preserve"> Clinic</w:t>
      </w:r>
      <w:r w:rsidR="007A7F3A" w:rsidRPr="009F337B">
        <w:rPr>
          <w:i w:val="0"/>
          <w:szCs w:val="20"/>
          <w:lang w:val="en-US" w:eastAsia="es-ES"/>
        </w:rPr>
        <w:t xml:space="preserve"> at the</w:t>
      </w:r>
      <w:r w:rsidR="0054272D" w:rsidRPr="009F337B">
        <w:rPr>
          <w:i w:val="0"/>
          <w:szCs w:val="20"/>
          <w:lang w:val="en-US" w:eastAsia="es-ES"/>
        </w:rPr>
        <w:t xml:space="preserve"> Universidad Carlos III </w:t>
      </w:r>
      <w:r w:rsidR="007A7F3A" w:rsidRPr="009F337B">
        <w:rPr>
          <w:i w:val="0"/>
          <w:szCs w:val="20"/>
          <w:lang w:val="en-US" w:eastAsia="es-ES"/>
        </w:rPr>
        <w:t>of</w:t>
      </w:r>
      <w:r w:rsidR="0054272D" w:rsidRPr="009F337B">
        <w:rPr>
          <w:i w:val="0"/>
          <w:szCs w:val="20"/>
          <w:lang w:val="en-US" w:eastAsia="es-ES"/>
        </w:rPr>
        <w:t xml:space="preserve"> Madrid</w:t>
      </w:r>
      <w:r w:rsidR="007A7F3A" w:rsidRPr="009F337B">
        <w:rPr>
          <w:i w:val="0"/>
          <w:szCs w:val="20"/>
          <w:lang w:val="en-US" w:eastAsia="es-ES"/>
        </w:rPr>
        <w:t>;</w:t>
      </w:r>
      <w:r w:rsidR="00BB34F7" w:rsidRPr="009F337B">
        <w:rPr>
          <w:rStyle w:val="Refdenotaalpie"/>
          <w:i w:val="0"/>
          <w:lang w:val="en-US" w:eastAsia="es-ES"/>
        </w:rPr>
        <w:footnoteReference w:id="5"/>
      </w:r>
      <w:r w:rsidR="002222FF" w:rsidRPr="009F337B">
        <w:rPr>
          <w:i w:val="0"/>
          <w:szCs w:val="20"/>
          <w:lang w:val="en-US" w:eastAsia="es-ES"/>
        </w:rPr>
        <w:t xml:space="preserve"> </w:t>
      </w:r>
      <w:r w:rsidR="007A7F3A" w:rsidRPr="009F337B">
        <w:rPr>
          <w:i w:val="0"/>
          <w:szCs w:val="20"/>
          <w:lang w:val="en-US" w:eastAsia="es-ES"/>
        </w:rPr>
        <w:t>(</w:t>
      </w:r>
      <w:r w:rsidR="002222FF" w:rsidRPr="009F337B">
        <w:rPr>
          <w:i w:val="0"/>
          <w:szCs w:val="20"/>
          <w:lang w:val="en-US" w:eastAsia="es-ES"/>
        </w:rPr>
        <w:t xml:space="preserve">2) </w:t>
      </w:r>
      <w:r w:rsidR="007A7F3A" w:rsidRPr="009F337B">
        <w:rPr>
          <w:i w:val="0"/>
          <w:szCs w:val="20"/>
          <w:lang w:val="en-US" w:eastAsia="es-ES"/>
        </w:rPr>
        <w:t>the Human Rights</w:t>
      </w:r>
      <w:r w:rsidR="00FB1E38" w:rsidRPr="009F337B">
        <w:rPr>
          <w:i w:val="0"/>
          <w:szCs w:val="20"/>
          <w:lang w:val="en-US" w:eastAsia="es-ES"/>
        </w:rPr>
        <w:t xml:space="preserve"> </w:t>
      </w:r>
      <w:r w:rsidR="002222FF" w:rsidRPr="009F337B">
        <w:rPr>
          <w:i w:val="0"/>
          <w:szCs w:val="20"/>
          <w:lang w:val="en-US" w:eastAsia="es-ES"/>
        </w:rPr>
        <w:t>Cl</w:t>
      </w:r>
      <w:r w:rsidR="007A7F3A" w:rsidRPr="009F337B">
        <w:rPr>
          <w:i w:val="0"/>
          <w:szCs w:val="20"/>
          <w:lang w:val="en-US" w:eastAsia="es-ES"/>
        </w:rPr>
        <w:t>inic of</w:t>
      </w:r>
      <w:r w:rsidR="00934388" w:rsidRPr="009F337B">
        <w:rPr>
          <w:i w:val="0"/>
          <w:szCs w:val="20"/>
          <w:lang w:val="en-US" w:eastAsia="es-ES"/>
        </w:rPr>
        <w:t xml:space="preserve"> the School of</w:t>
      </w:r>
      <w:r w:rsidR="007A7F3A" w:rsidRPr="009F337B">
        <w:rPr>
          <w:i w:val="0"/>
          <w:szCs w:val="20"/>
          <w:lang w:val="en-US" w:eastAsia="es-ES"/>
        </w:rPr>
        <w:t xml:space="preserve"> Law and the Dell Medic</w:t>
      </w:r>
      <w:r w:rsidR="00934388" w:rsidRPr="009F337B">
        <w:rPr>
          <w:i w:val="0"/>
          <w:szCs w:val="20"/>
          <w:lang w:val="en-US" w:eastAsia="es-ES"/>
        </w:rPr>
        <w:t>al School</w:t>
      </w:r>
      <w:r w:rsidR="007A7F3A" w:rsidRPr="009F337B">
        <w:rPr>
          <w:i w:val="0"/>
          <w:szCs w:val="20"/>
          <w:lang w:val="en-US" w:eastAsia="es-ES"/>
        </w:rPr>
        <w:t xml:space="preserve"> at the University of </w:t>
      </w:r>
      <w:r w:rsidR="00FB1E38" w:rsidRPr="009F337B">
        <w:rPr>
          <w:i w:val="0"/>
          <w:szCs w:val="20"/>
          <w:lang w:val="en-US" w:eastAsia="es-ES"/>
        </w:rPr>
        <w:t xml:space="preserve">Texas </w:t>
      </w:r>
      <w:r w:rsidR="00934388" w:rsidRPr="009F337B">
        <w:rPr>
          <w:i w:val="0"/>
          <w:szCs w:val="20"/>
          <w:lang w:val="en-US" w:eastAsia="es-ES"/>
        </w:rPr>
        <w:t>at</w:t>
      </w:r>
      <w:r w:rsidR="002222FF" w:rsidRPr="009F337B">
        <w:rPr>
          <w:i w:val="0"/>
          <w:szCs w:val="20"/>
          <w:lang w:val="en-US" w:eastAsia="es-ES"/>
        </w:rPr>
        <w:t xml:space="preserve"> Austin</w:t>
      </w:r>
      <w:r w:rsidR="007A7F3A" w:rsidRPr="009F337B">
        <w:rPr>
          <w:i w:val="0"/>
          <w:szCs w:val="20"/>
          <w:lang w:val="en-US" w:eastAsia="es-ES"/>
        </w:rPr>
        <w:t>,</w:t>
      </w:r>
      <w:r w:rsidR="00BB34F7" w:rsidRPr="009F337B">
        <w:rPr>
          <w:rStyle w:val="Refdenotaalpie"/>
          <w:i w:val="0"/>
          <w:lang w:val="en-US" w:eastAsia="es-ES"/>
        </w:rPr>
        <w:footnoteReference w:id="6"/>
      </w:r>
      <w:r w:rsidR="003C46A3" w:rsidRPr="009F337B">
        <w:rPr>
          <w:i w:val="0"/>
          <w:szCs w:val="20"/>
          <w:lang w:val="en-US" w:eastAsia="es-ES"/>
        </w:rPr>
        <w:t xml:space="preserve"> and </w:t>
      </w:r>
      <w:r w:rsidR="007A7F3A" w:rsidRPr="009F337B">
        <w:rPr>
          <w:i w:val="0"/>
          <w:szCs w:val="20"/>
          <w:lang w:val="en-US" w:eastAsia="es-ES"/>
        </w:rPr>
        <w:t>(</w:t>
      </w:r>
      <w:r w:rsidR="00CB1036" w:rsidRPr="009F337B">
        <w:rPr>
          <w:i w:val="0"/>
          <w:szCs w:val="20"/>
          <w:lang w:val="en-US" w:eastAsia="es-ES"/>
        </w:rPr>
        <w:t xml:space="preserve">3) </w:t>
      </w:r>
      <w:r w:rsidR="007A7F3A" w:rsidRPr="009F337B">
        <w:rPr>
          <w:i w:val="0"/>
          <w:szCs w:val="20"/>
          <w:lang w:val="en-US" w:eastAsia="es-ES"/>
        </w:rPr>
        <w:t>the Center for Human Rights Studies at the</w:t>
      </w:r>
      <w:r w:rsidR="00CB1036" w:rsidRPr="009F337B">
        <w:rPr>
          <w:i w:val="0"/>
          <w:szCs w:val="20"/>
          <w:lang w:val="en-US" w:eastAsia="es-ES"/>
        </w:rPr>
        <w:t xml:space="preserve"> Universidad </w:t>
      </w:r>
      <w:proofErr w:type="spellStart"/>
      <w:r w:rsidR="00CB1036" w:rsidRPr="009F337B">
        <w:rPr>
          <w:i w:val="0"/>
          <w:szCs w:val="20"/>
          <w:lang w:val="en-US" w:eastAsia="es-ES"/>
        </w:rPr>
        <w:t>Autónoma</w:t>
      </w:r>
      <w:proofErr w:type="spellEnd"/>
      <w:r w:rsidR="00CB1036" w:rsidRPr="009F337B">
        <w:rPr>
          <w:i w:val="0"/>
          <w:szCs w:val="20"/>
          <w:lang w:val="en-US" w:eastAsia="es-ES"/>
        </w:rPr>
        <w:t xml:space="preserve"> de Yucatán</w:t>
      </w:r>
      <w:r w:rsidR="007A7F3A" w:rsidRPr="009F337B">
        <w:rPr>
          <w:i w:val="0"/>
          <w:szCs w:val="20"/>
          <w:lang w:val="en-US" w:eastAsia="es-ES"/>
        </w:rPr>
        <w:t>.</w:t>
      </w:r>
      <w:r w:rsidR="00BB34F7" w:rsidRPr="009F337B">
        <w:rPr>
          <w:rStyle w:val="Refdenotaalpie"/>
          <w:i w:val="0"/>
          <w:lang w:val="en-US" w:eastAsia="es-ES"/>
        </w:rPr>
        <w:footnoteReference w:id="7"/>
      </w:r>
    </w:p>
    <w:p w14:paraId="09288DAE" w14:textId="77777777" w:rsidR="00D55A40" w:rsidRPr="009F337B" w:rsidRDefault="00D55A40" w:rsidP="00D55A40">
      <w:pPr>
        <w:pStyle w:val="Estilo1"/>
        <w:tabs>
          <w:tab w:val="left" w:pos="0"/>
        </w:tabs>
        <w:spacing w:after="0"/>
        <w:ind w:left="0" w:right="-4" w:firstLine="0"/>
        <w:rPr>
          <w:i w:val="0"/>
          <w:szCs w:val="20"/>
          <w:lang w:val="en-US" w:eastAsia="es-ES"/>
        </w:rPr>
      </w:pPr>
    </w:p>
    <w:p w14:paraId="1BCE1264" w14:textId="424786CE" w:rsidR="009B1CA2" w:rsidRPr="009F337B" w:rsidRDefault="007A7F3A" w:rsidP="00593E37">
      <w:pPr>
        <w:pStyle w:val="Estilo1"/>
        <w:numPr>
          <w:ilvl w:val="0"/>
          <w:numId w:val="1"/>
        </w:numPr>
        <w:tabs>
          <w:tab w:val="left" w:pos="0"/>
        </w:tabs>
        <w:spacing w:after="0"/>
        <w:ind w:left="0" w:right="-4" w:firstLine="0"/>
        <w:rPr>
          <w:i w:val="0"/>
          <w:szCs w:val="20"/>
          <w:lang w:val="en-US" w:eastAsia="es-ES"/>
        </w:rPr>
      </w:pPr>
      <w:r w:rsidRPr="009F337B">
        <w:rPr>
          <w:szCs w:val="20"/>
          <w:lang w:val="en-US" w:eastAsia="es-ES"/>
        </w:rPr>
        <w:t>Public hearing.</w:t>
      </w:r>
      <w:r w:rsidR="009B1CA2" w:rsidRPr="009F337B">
        <w:rPr>
          <w:i w:val="0"/>
          <w:szCs w:val="20"/>
          <w:lang w:val="en-US" w:eastAsia="es-ES"/>
        </w:rPr>
        <w:t xml:space="preserve"> </w:t>
      </w:r>
      <w:r w:rsidRPr="009F337B">
        <w:rPr>
          <w:i w:val="0"/>
          <w:szCs w:val="20"/>
          <w:lang w:val="en-US" w:eastAsia="es-ES"/>
        </w:rPr>
        <w:t xml:space="preserve">In the order of February 8, </w:t>
      </w:r>
      <w:r w:rsidR="001D34D3" w:rsidRPr="009F337B">
        <w:rPr>
          <w:i w:val="0"/>
          <w:szCs w:val="20"/>
          <w:lang w:val="en-US" w:eastAsia="es-ES"/>
        </w:rPr>
        <w:t>2018</w:t>
      </w:r>
      <w:r w:rsidRPr="009F337B">
        <w:rPr>
          <w:i w:val="0"/>
          <w:szCs w:val="20"/>
          <w:lang w:val="en-US" w:eastAsia="es-ES"/>
        </w:rPr>
        <w:t>,</w:t>
      </w:r>
      <w:r w:rsidR="009B1CA2" w:rsidRPr="009F337B">
        <w:rPr>
          <w:rStyle w:val="Refdenotaalpie"/>
          <w:i w:val="0"/>
          <w:lang w:val="en-US" w:eastAsia="es-ES"/>
        </w:rPr>
        <w:footnoteReference w:id="8"/>
      </w:r>
      <w:r w:rsidR="009B1CA2" w:rsidRPr="009F337B">
        <w:rPr>
          <w:i w:val="0"/>
          <w:szCs w:val="20"/>
          <w:lang w:val="en-US" w:eastAsia="es-ES"/>
        </w:rPr>
        <w:t xml:space="preserve"> </w:t>
      </w:r>
      <w:r w:rsidR="00AE5F9E" w:rsidRPr="009F337B">
        <w:rPr>
          <w:i w:val="0"/>
          <w:szCs w:val="20"/>
          <w:lang w:val="en-US" w:eastAsia="es-ES"/>
        </w:rPr>
        <w:t>the President of the Court</w:t>
      </w:r>
      <w:r w:rsidR="009B1CA2" w:rsidRPr="009F337B">
        <w:rPr>
          <w:i w:val="0"/>
          <w:szCs w:val="20"/>
          <w:lang w:val="en-US" w:eastAsia="es-ES"/>
        </w:rPr>
        <w:t xml:space="preserve"> orde</w:t>
      </w:r>
      <w:r w:rsidRPr="009F337B">
        <w:rPr>
          <w:i w:val="0"/>
          <w:szCs w:val="20"/>
          <w:lang w:val="en-US" w:eastAsia="es-ES"/>
        </w:rPr>
        <w:t>red that testimony be received by affidavit from four</w:t>
      </w:r>
      <w:r w:rsidR="009B1CA2" w:rsidRPr="009F337B">
        <w:rPr>
          <w:i w:val="0"/>
          <w:szCs w:val="20"/>
          <w:lang w:val="en-US" w:eastAsia="es-ES"/>
        </w:rPr>
        <w:t xml:space="preserve"> </w:t>
      </w:r>
      <w:r w:rsidR="003C46A3" w:rsidRPr="009F337B">
        <w:rPr>
          <w:i w:val="0"/>
          <w:szCs w:val="20"/>
          <w:lang w:val="en-US" w:eastAsia="es-ES"/>
        </w:rPr>
        <w:t>presumed victims</w:t>
      </w:r>
      <w:r w:rsidR="009B1CA2" w:rsidRPr="009F337B">
        <w:rPr>
          <w:i w:val="0"/>
          <w:szCs w:val="20"/>
          <w:lang w:val="en-US" w:eastAsia="es-ES"/>
        </w:rPr>
        <w:t xml:space="preserve">, </w:t>
      </w:r>
      <w:r w:rsidRPr="009F337B">
        <w:rPr>
          <w:i w:val="0"/>
          <w:szCs w:val="20"/>
          <w:lang w:val="en-US" w:eastAsia="es-ES"/>
        </w:rPr>
        <w:t xml:space="preserve">two deponents providing information proposed by </w:t>
      </w:r>
      <w:r w:rsidR="007327F5" w:rsidRPr="009F337B">
        <w:rPr>
          <w:i w:val="0"/>
          <w:szCs w:val="20"/>
          <w:lang w:val="en-US" w:eastAsia="es-ES"/>
        </w:rPr>
        <w:t>the representatives</w:t>
      </w:r>
      <w:r w:rsidR="0061598B" w:rsidRPr="009F337B">
        <w:rPr>
          <w:i w:val="0"/>
          <w:szCs w:val="20"/>
          <w:lang w:val="en-US" w:eastAsia="es-ES"/>
        </w:rPr>
        <w:t>,</w:t>
      </w:r>
      <w:r w:rsidR="00293300" w:rsidRPr="009F337B">
        <w:rPr>
          <w:i w:val="0"/>
          <w:szCs w:val="20"/>
          <w:lang w:val="en-US" w:eastAsia="es-ES"/>
        </w:rPr>
        <w:t xml:space="preserve"> </w:t>
      </w:r>
      <w:r w:rsidRPr="009F337B">
        <w:rPr>
          <w:i w:val="0"/>
          <w:szCs w:val="20"/>
          <w:lang w:val="en-US" w:eastAsia="es-ES"/>
        </w:rPr>
        <w:t>two expert witnesses proposed by</w:t>
      </w:r>
      <w:r w:rsidR="009B1CA2" w:rsidRPr="009F337B">
        <w:rPr>
          <w:i w:val="0"/>
          <w:szCs w:val="20"/>
          <w:lang w:val="en-US" w:eastAsia="es-ES"/>
        </w:rPr>
        <w:t xml:space="preserve"> </w:t>
      </w:r>
      <w:r w:rsidR="007327F5" w:rsidRPr="009F337B">
        <w:rPr>
          <w:i w:val="0"/>
          <w:szCs w:val="20"/>
          <w:lang w:val="en-US" w:eastAsia="es-ES"/>
        </w:rPr>
        <w:t>the representatives</w:t>
      </w:r>
      <w:r w:rsidR="00A31FBB" w:rsidRPr="009F337B">
        <w:rPr>
          <w:i w:val="0"/>
          <w:szCs w:val="20"/>
          <w:lang w:val="en-US" w:eastAsia="es-ES"/>
        </w:rPr>
        <w:t>,</w:t>
      </w:r>
      <w:r w:rsidR="003C46A3" w:rsidRPr="009F337B">
        <w:rPr>
          <w:i w:val="0"/>
          <w:szCs w:val="20"/>
          <w:lang w:val="en-US" w:eastAsia="es-ES"/>
        </w:rPr>
        <w:t xml:space="preserve"> and </w:t>
      </w:r>
      <w:r w:rsidRPr="009F337B">
        <w:rPr>
          <w:i w:val="0"/>
          <w:szCs w:val="20"/>
          <w:lang w:val="en-US" w:eastAsia="es-ES"/>
        </w:rPr>
        <w:t xml:space="preserve">one expert witness proposed by </w:t>
      </w:r>
      <w:r w:rsidR="00AE5F9E" w:rsidRPr="009F337B">
        <w:rPr>
          <w:i w:val="0"/>
          <w:szCs w:val="20"/>
          <w:lang w:val="en-US" w:eastAsia="es-ES"/>
        </w:rPr>
        <w:t>the Commission</w:t>
      </w:r>
      <w:r w:rsidR="009B1CA2" w:rsidRPr="009F337B">
        <w:rPr>
          <w:i w:val="0"/>
          <w:szCs w:val="20"/>
          <w:lang w:val="en-US" w:eastAsia="es-ES"/>
        </w:rPr>
        <w:t xml:space="preserve">. </w:t>
      </w:r>
      <w:r w:rsidRPr="009F337B">
        <w:rPr>
          <w:i w:val="0"/>
          <w:szCs w:val="20"/>
          <w:lang w:val="en-US" w:eastAsia="es-ES"/>
        </w:rPr>
        <w:t>In addition, in the order</w:t>
      </w:r>
      <w:r w:rsidR="009B1CA2" w:rsidRPr="009F337B">
        <w:rPr>
          <w:i w:val="0"/>
          <w:szCs w:val="20"/>
          <w:lang w:val="en-US" w:eastAsia="es-ES"/>
        </w:rPr>
        <w:t xml:space="preserve"> </w:t>
      </w:r>
      <w:r w:rsidR="00AE5F9E" w:rsidRPr="009F337B">
        <w:rPr>
          <w:i w:val="0"/>
          <w:szCs w:val="20"/>
          <w:lang w:val="en-US" w:eastAsia="es-ES"/>
        </w:rPr>
        <w:t>the President</w:t>
      </w:r>
      <w:r w:rsidR="009B1CA2" w:rsidRPr="009F337B">
        <w:rPr>
          <w:i w:val="0"/>
          <w:szCs w:val="20"/>
          <w:lang w:val="en-US" w:eastAsia="es-ES"/>
        </w:rPr>
        <w:t xml:space="preserve"> </w:t>
      </w:r>
      <w:r w:rsidRPr="009F337B">
        <w:rPr>
          <w:i w:val="0"/>
          <w:szCs w:val="20"/>
          <w:lang w:val="en-US" w:eastAsia="es-ES"/>
        </w:rPr>
        <w:t xml:space="preserve">summoned the parties and </w:t>
      </w:r>
      <w:r w:rsidR="00AE5F9E" w:rsidRPr="009F337B">
        <w:rPr>
          <w:i w:val="0"/>
          <w:szCs w:val="20"/>
          <w:lang w:val="en-US" w:eastAsia="es-ES"/>
        </w:rPr>
        <w:t>the Commission</w:t>
      </w:r>
      <w:r w:rsidR="009B1CA2" w:rsidRPr="009F337B">
        <w:rPr>
          <w:i w:val="0"/>
          <w:szCs w:val="20"/>
          <w:lang w:val="en-US" w:eastAsia="es-ES"/>
        </w:rPr>
        <w:t xml:space="preserve"> </w:t>
      </w:r>
      <w:r w:rsidRPr="009F337B">
        <w:rPr>
          <w:i w:val="0"/>
          <w:szCs w:val="20"/>
          <w:lang w:val="en-US" w:eastAsia="es-ES"/>
        </w:rPr>
        <w:t>to a public hearing that was held during the Court’s 122</w:t>
      </w:r>
      <w:r w:rsidRPr="009F337B">
        <w:rPr>
          <w:i w:val="0"/>
          <w:szCs w:val="20"/>
          <w:vertAlign w:val="superscript"/>
          <w:lang w:val="en-US" w:eastAsia="es-ES"/>
        </w:rPr>
        <w:t>nd</w:t>
      </w:r>
      <w:r w:rsidRPr="009F337B">
        <w:rPr>
          <w:i w:val="0"/>
          <w:szCs w:val="20"/>
          <w:lang w:val="en-US" w:eastAsia="es-ES"/>
        </w:rPr>
        <w:t xml:space="preserve"> regular session which took place at its seat.</w:t>
      </w:r>
      <w:r w:rsidR="009B1CA2" w:rsidRPr="009F337B">
        <w:rPr>
          <w:rStyle w:val="Refdenotaalpie"/>
          <w:i w:val="0"/>
          <w:lang w:val="en-US"/>
        </w:rPr>
        <w:footnoteReference w:id="9"/>
      </w:r>
      <w:r w:rsidRPr="009F337B">
        <w:rPr>
          <w:i w:val="0"/>
          <w:szCs w:val="20"/>
          <w:lang w:val="en-US" w:eastAsia="es-ES"/>
        </w:rPr>
        <w:t xml:space="preserve"> During the hearing, the Court </w:t>
      </w:r>
      <w:r w:rsidR="0080307D" w:rsidRPr="009F337B">
        <w:rPr>
          <w:i w:val="0"/>
          <w:szCs w:val="20"/>
          <w:lang w:val="en-US" w:eastAsia="es-ES"/>
        </w:rPr>
        <w:t>received</w:t>
      </w:r>
      <w:r w:rsidRPr="009F337B">
        <w:rPr>
          <w:i w:val="0"/>
          <w:szCs w:val="20"/>
          <w:lang w:val="en-US" w:eastAsia="es-ES"/>
        </w:rPr>
        <w:t xml:space="preserve"> the statements of two</w:t>
      </w:r>
      <w:r w:rsidR="009B1CA2" w:rsidRPr="009F337B">
        <w:rPr>
          <w:i w:val="0"/>
          <w:szCs w:val="20"/>
          <w:lang w:val="en-US" w:eastAsia="es-ES"/>
        </w:rPr>
        <w:t xml:space="preserve"> </w:t>
      </w:r>
      <w:r w:rsidR="003C46A3" w:rsidRPr="009F337B">
        <w:rPr>
          <w:i w:val="0"/>
          <w:szCs w:val="20"/>
          <w:lang w:val="en-US" w:eastAsia="es-ES"/>
        </w:rPr>
        <w:t xml:space="preserve">presumed victims and </w:t>
      </w:r>
      <w:r w:rsidRPr="009F337B">
        <w:rPr>
          <w:i w:val="0"/>
          <w:szCs w:val="20"/>
          <w:lang w:val="en-US" w:eastAsia="es-ES"/>
        </w:rPr>
        <w:t xml:space="preserve">one expert witness proposed by </w:t>
      </w:r>
      <w:r w:rsidR="007327F5" w:rsidRPr="009F337B">
        <w:rPr>
          <w:i w:val="0"/>
          <w:szCs w:val="20"/>
          <w:lang w:val="en-US" w:eastAsia="es-ES"/>
        </w:rPr>
        <w:t>the representatives</w:t>
      </w:r>
      <w:r w:rsidR="009B1CA2" w:rsidRPr="009F337B">
        <w:rPr>
          <w:i w:val="0"/>
          <w:szCs w:val="20"/>
          <w:lang w:val="en-US" w:eastAsia="es-ES"/>
        </w:rPr>
        <w:t>, as</w:t>
      </w:r>
      <w:r w:rsidRPr="009F337B">
        <w:rPr>
          <w:i w:val="0"/>
          <w:szCs w:val="20"/>
          <w:lang w:val="en-US" w:eastAsia="es-ES"/>
        </w:rPr>
        <w:t xml:space="preserve"> well as the final oral observations and arguments </w:t>
      </w:r>
      <w:r w:rsidR="00AE5F9E" w:rsidRPr="009F337B">
        <w:rPr>
          <w:i w:val="0"/>
          <w:szCs w:val="20"/>
          <w:lang w:val="en-US" w:eastAsia="es-ES"/>
        </w:rPr>
        <w:t>of the Commission</w:t>
      </w:r>
      <w:r w:rsidR="009B1CA2" w:rsidRPr="009F337B">
        <w:rPr>
          <w:i w:val="0"/>
          <w:szCs w:val="20"/>
          <w:lang w:val="en-US" w:eastAsia="es-ES"/>
        </w:rPr>
        <w:t xml:space="preserve">, </w:t>
      </w:r>
      <w:r w:rsidR="007C58D0" w:rsidRPr="009F337B">
        <w:rPr>
          <w:i w:val="0"/>
          <w:szCs w:val="20"/>
          <w:lang w:val="en-US" w:eastAsia="es-ES"/>
        </w:rPr>
        <w:t xml:space="preserve">and </w:t>
      </w:r>
      <w:r w:rsidR="007327F5" w:rsidRPr="009F337B">
        <w:rPr>
          <w:i w:val="0"/>
          <w:szCs w:val="20"/>
          <w:lang w:val="en-US" w:eastAsia="es-ES"/>
        </w:rPr>
        <w:t>the representatives</w:t>
      </w:r>
      <w:r w:rsidR="003C46A3" w:rsidRPr="009F337B">
        <w:rPr>
          <w:i w:val="0"/>
          <w:szCs w:val="20"/>
          <w:lang w:val="en-US" w:eastAsia="es-ES"/>
        </w:rPr>
        <w:t xml:space="preserve"> and the State</w:t>
      </w:r>
      <w:r w:rsidR="009B1CA2" w:rsidRPr="009F337B">
        <w:rPr>
          <w:i w:val="0"/>
          <w:szCs w:val="20"/>
          <w:lang w:val="en-US" w:eastAsia="es-ES"/>
        </w:rPr>
        <w:t>, respectiv</w:t>
      </w:r>
      <w:r w:rsidRPr="009F337B">
        <w:rPr>
          <w:i w:val="0"/>
          <w:szCs w:val="20"/>
          <w:lang w:val="en-US" w:eastAsia="es-ES"/>
        </w:rPr>
        <w:t>ely</w:t>
      </w:r>
      <w:r w:rsidR="009B1CA2" w:rsidRPr="009F337B">
        <w:rPr>
          <w:i w:val="0"/>
          <w:szCs w:val="20"/>
          <w:lang w:val="en-US" w:eastAsia="es-ES"/>
        </w:rPr>
        <w:t>.</w:t>
      </w:r>
    </w:p>
    <w:p w14:paraId="373CCA1F" w14:textId="77777777" w:rsidR="00D55A40" w:rsidRPr="009F337B" w:rsidRDefault="00D55A40" w:rsidP="00D55A40">
      <w:pPr>
        <w:pStyle w:val="Estilo1"/>
        <w:tabs>
          <w:tab w:val="left" w:pos="0"/>
        </w:tabs>
        <w:spacing w:after="0"/>
        <w:ind w:left="0" w:right="-4" w:firstLine="0"/>
        <w:rPr>
          <w:i w:val="0"/>
          <w:szCs w:val="20"/>
          <w:lang w:val="en-US" w:eastAsia="es-ES"/>
        </w:rPr>
      </w:pPr>
    </w:p>
    <w:p w14:paraId="4BA4420C" w14:textId="195D1185" w:rsidR="009B1CA2" w:rsidRPr="009F337B" w:rsidRDefault="007A7F3A" w:rsidP="00593E37">
      <w:pPr>
        <w:pStyle w:val="Estilo1"/>
        <w:numPr>
          <w:ilvl w:val="0"/>
          <w:numId w:val="1"/>
        </w:numPr>
        <w:tabs>
          <w:tab w:val="left" w:pos="0"/>
        </w:tabs>
        <w:spacing w:after="0"/>
        <w:ind w:left="0" w:right="-4" w:firstLine="0"/>
        <w:rPr>
          <w:i w:val="0"/>
          <w:szCs w:val="20"/>
          <w:lang w:val="en-US" w:eastAsia="es-ES"/>
        </w:rPr>
      </w:pPr>
      <w:r w:rsidRPr="009F337B">
        <w:rPr>
          <w:rFonts w:cs="Arial"/>
          <w:szCs w:val="20"/>
          <w:lang w:val="en-US" w:eastAsia="es-ES"/>
        </w:rPr>
        <w:t xml:space="preserve">Final written arguments and observations. </w:t>
      </w:r>
      <w:r w:rsidRPr="009F337B">
        <w:rPr>
          <w:rFonts w:cs="Verdana"/>
          <w:i w:val="0"/>
          <w:szCs w:val="20"/>
          <w:lang w:val="en-US" w:eastAsia="es-ES"/>
        </w:rPr>
        <w:t>On April 9,</w:t>
      </w:r>
      <w:r w:rsidR="000B3CDB" w:rsidRPr="009F337B">
        <w:rPr>
          <w:rFonts w:cs="Verdana"/>
          <w:i w:val="0"/>
          <w:szCs w:val="20"/>
          <w:lang w:val="en-US" w:eastAsia="es-ES"/>
        </w:rPr>
        <w:t xml:space="preserve"> 2018</w:t>
      </w:r>
      <w:r w:rsidRPr="009F337B">
        <w:rPr>
          <w:rFonts w:cs="Verdana"/>
          <w:i w:val="0"/>
          <w:szCs w:val="20"/>
          <w:lang w:val="en-US" w:eastAsia="es-ES"/>
        </w:rPr>
        <w:t>,</w:t>
      </w:r>
      <w:r w:rsidR="009B1CA2" w:rsidRPr="009F337B">
        <w:rPr>
          <w:rFonts w:cs="Verdana"/>
          <w:i w:val="0"/>
          <w:szCs w:val="20"/>
          <w:lang w:val="en-US" w:eastAsia="es-ES"/>
        </w:rPr>
        <w:t xml:space="preserve"> </w:t>
      </w:r>
      <w:r w:rsidR="007327F5" w:rsidRPr="009F337B">
        <w:rPr>
          <w:rFonts w:cs="Verdana"/>
          <w:i w:val="0"/>
          <w:szCs w:val="20"/>
          <w:lang w:val="en-US" w:eastAsia="es-ES"/>
        </w:rPr>
        <w:t>the representatives</w:t>
      </w:r>
      <w:r w:rsidR="003C46A3" w:rsidRPr="009F337B">
        <w:rPr>
          <w:rFonts w:cs="Verdana"/>
          <w:i w:val="0"/>
          <w:szCs w:val="20"/>
          <w:lang w:val="en-US" w:eastAsia="es-ES"/>
        </w:rPr>
        <w:t xml:space="preserve"> and the State</w:t>
      </w:r>
      <w:r w:rsidR="009B1CA2" w:rsidRPr="009F337B">
        <w:rPr>
          <w:rFonts w:cs="Verdana"/>
          <w:i w:val="0"/>
          <w:szCs w:val="20"/>
          <w:lang w:val="en-US" w:eastAsia="es-ES"/>
        </w:rPr>
        <w:t xml:space="preserve"> present</w:t>
      </w:r>
      <w:r w:rsidRPr="009F337B">
        <w:rPr>
          <w:rFonts w:cs="Verdana"/>
          <w:i w:val="0"/>
          <w:szCs w:val="20"/>
          <w:lang w:val="en-US" w:eastAsia="es-ES"/>
        </w:rPr>
        <w:t xml:space="preserve">ed their respective final written arguments and </w:t>
      </w:r>
      <w:r w:rsidR="007C58D0" w:rsidRPr="009F337B">
        <w:rPr>
          <w:rFonts w:cs="Verdana"/>
          <w:i w:val="0"/>
          <w:szCs w:val="20"/>
          <w:lang w:val="en-US" w:eastAsia="es-ES"/>
        </w:rPr>
        <w:t>various</w:t>
      </w:r>
      <w:r w:rsidRPr="009F337B">
        <w:rPr>
          <w:rFonts w:cs="Verdana"/>
          <w:i w:val="0"/>
          <w:szCs w:val="20"/>
          <w:lang w:val="en-US" w:eastAsia="es-ES"/>
        </w:rPr>
        <w:t xml:space="preserve"> annexes, </w:t>
      </w:r>
      <w:r w:rsidR="003C46A3" w:rsidRPr="009F337B">
        <w:rPr>
          <w:rFonts w:cs="Verdana"/>
          <w:i w:val="0"/>
          <w:szCs w:val="20"/>
          <w:lang w:val="en-US" w:eastAsia="es-ES"/>
        </w:rPr>
        <w:t xml:space="preserve">and </w:t>
      </w:r>
      <w:r w:rsidR="00AE5F9E" w:rsidRPr="009F337B">
        <w:rPr>
          <w:rFonts w:cs="Verdana"/>
          <w:i w:val="0"/>
          <w:szCs w:val="20"/>
          <w:lang w:val="en-US" w:eastAsia="es-ES"/>
        </w:rPr>
        <w:t>the Inter-American Commission</w:t>
      </w:r>
      <w:r w:rsidR="009B1CA2" w:rsidRPr="009F337B">
        <w:rPr>
          <w:rFonts w:cs="Verdana"/>
          <w:i w:val="0"/>
          <w:szCs w:val="20"/>
          <w:lang w:val="en-US" w:eastAsia="es-ES"/>
        </w:rPr>
        <w:t xml:space="preserve"> </w:t>
      </w:r>
      <w:r w:rsidRPr="009F337B">
        <w:rPr>
          <w:rFonts w:cs="Verdana"/>
          <w:i w:val="0"/>
          <w:szCs w:val="20"/>
          <w:lang w:val="en-US" w:eastAsia="es-ES"/>
        </w:rPr>
        <w:t>forwarded its final written observations.</w:t>
      </w:r>
    </w:p>
    <w:p w14:paraId="38F56E4F" w14:textId="77777777" w:rsidR="00D55A40" w:rsidRPr="009F337B" w:rsidRDefault="00D55A40" w:rsidP="00D55A40">
      <w:pPr>
        <w:pStyle w:val="Estilo1"/>
        <w:tabs>
          <w:tab w:val="left" w:pos="0"/>
        </w:tabs>
        <w:spacing w:after="0"/>
        <w:ind w:left="0" w:right="-4" w:firstLine="0"/>
        <w:rPr>
          <w:i w:val="0"/>
          <w:szCs w:val="20"/>
          <w:lang w:val="en-US" w:eastAsia="es-ES"/>
        </w:rPr>
      </w:pPr>
    </w:p>
    <w:p w14:paraId="78D94A31" w14:textId="4AA191FC" w:rsidR="007F07E3" w:rsidRPr="009F337B" w:rsidRDefault="006A1A6F" w:rsidP="00593E37">
      <w:pPr>
        <w:pStyle w:val="Estilo1"/>
        <w:numPr>
          <w:ilvl w:val="0"/>
          <w:numId w:val="1"/>
        </w:numPr>
        <w:tabs>
          <w:tab w:val="left" w:pos="0"/>
        </w:tabs>
        <w:spacing w:after="0"/>
        <w:ind w:left="0" w:right="-4" w:firstLine="0"/>
        <w:rPr>
          <w:i w:val="0"/>
          <w:szCs w:val="20"/>
          <w:lang w:val="en-US" w:eastAsia="es-ES"/>
        </w:rPr>
      </w:pPr>
      <w:r w:rsidRPr="009F337B">
        <w:rPr>
          <w:iCs/>
          <w:lang w:val="en-US"/>
        </w:rPr>
        <w:t>Supervening facts</w:t>
      </w:r>
      <w:r w:rsidR="003978B2" w:rsidRPr="009F337B">
        <w:rPr>
          <w:lang w:val="en-US"/>
        </w:rPr>
        <w:t xml:space="preserve">. </w:t>
      </w:r>
      <w:r w:rsidRPr="009F337B">
        <w:rPr>
          <w:i w:val="0"/>
          <w:lang w:val="en-US"/>
        </w:rPr>
        <w:t>On March 2,</w:t>
      </w:r>
      <w:r w:rsidR="003978B2" w:rsidRPr="009F337B">
        <w:rPr>
          <w:i w:val="0"/>
          <w:lang w:val="en-US"/>
        </w:rPr>
        <w:t xml:space="preserve"> 2018, </w:t>
      </w:r>
      <w:r w:rsidR="007327F5" w:rsidRPr="009F337B">
        <w:rPr>
          <w:i w:val="0"/>
          <w:lang w:val="en-US"/>
        </w:rPr>
        <w:t>the representatives</w:t>
      </w:r>
      <w:r w:rsidR="003978B2" w:rsidRPr="009F337B">
        <w:rPr>
          <w:i w:val="0"/>
          <w:lang w:val="en-US"/>
        </w:rPr>
        <w:t xml:space="preserve"> present</w:t>
      </w:r>
      <w:r w:rsidRPr="009F337B">
        <w:rPr>
          <w:i w:val="0"/>
          <w:lang w:val="en-US"/>
        </w:rPr>
        <w:t xml:space="preserve">ed information and documentation on facts that had allegedly occurred following the presentation of the brief with </w:t>
      </w:r>
      <w:r w:rsidR="00934388" w:rsidRPr="009F337B">
        <w:rPr>
          <w:i w:val="0"/>
          <w:lang w:val="en-US"/>
        </w:rPr>
        <w:t>motions, pleadings</w:t>
      </w:r>
      <w:r w:rsidR="003C46A3" w:rsidRPr="009F337B">
        <w:rPr>
          <w:i w:val="0"/>
          <w:lang w:val="en-US"/>
        </w:rPr>
        <w:t xml:space="preserve"> </w:t>
      </w:r>
      <w:r w:rsidR="007327F5" w:rsidRPr="009F337B">
        <w:rPr>
          <w:i w:val="0"/>
          <w:lang w:val="en-US"/>
        </w:rPr>
        <w:t>and evidence</w:t>
      </w:r>
      <w:r w:rsidR="00E50366" w:rsidRPr="009F337B">
        <w:rPr>
          <w:i w:val="0"/>
          <w:lang w:val="en-US"/>
        </w:rPr>
        <w:t>.</w:t>
      </w:r>
      <w:r w:rsidR="00FB1E38" w:rsidRPr="009F337B">
        <w:rPr>
          <w:i w:val="0"/>
          <w:lang w:val="en-US"/>
        </w:rPr>
        <w:t xml:space="preserve"> </w:t>
      </w:r>
      <w:r w:rsidR="00AE5F9E" w:rsidRPr="009F337B">
        <w:rPr>
          <w:i w:val="0"/>
          <w:lang w:val="en-US"/>
        </w:rPr>
        <w:t>The Commission</w:t>
      </w:r>
      <w:r w:rsidR="003C46A3" w:rsidRPr="009F337B">
        <w:rPr>
          <w:i w:val="0"/>
          <w:lang w:val="en-US"/>
        </w:rPr>
        <w:t xml:space="preserve"> and the State</w:t>
      </w:r>
      <w:r w:rsidR="00FB1E38" w:rsidRPr="009F337B">
        <w:rPr>
          <w:i w:val="0"/>
          <w:lang w:val="en-US"/>
        </w:rPr>
        <w:t xml:space="preserve"> </w:t>
      </w:r>
      <w:r w:rsidRPr="009F337B">
        <w:rPr>
          <w:i w:val="0"/>
          <w:lang w:val="en-US"/>
        </w:rPr>
        <w:t>did not present information in this regard.</w:t>
      </w:r>
    </w:p>
    <w:p w14:paraId="547F0D97" w14:textId="77777777" w:rsidR="00D55A40" w:rsidRPr="009F337B" w:rsidRDefault="00D55A40" w:rsidP="00D55A40">
      <w:pPr>
        <w:pStyle w:val="Estilo1"/>
        <w:tabs>
          <w:tab w:val="left" w:pos="0"/>
        </w:tabs>
        <w:spacing w:after="0"/>
        <w:ind w:left="0" w:right="-4" w:firstLine="0"/>
        <w:rPr>
          <w:i w:val="0"/>
          <w:szCs w:val="20"/>
          <w:lang w:val="en-US" w:eastAsia="es-ES"/>
        </w:rPr>
      </w:pPr>
    </w:p>
    <w:p w14:paraId="0F840CFE" w14:textId="60E04BE5" w:rsidR="00D55A40" w:rsidRPr="009F337B" w:rsidRDefault="006A1A6F" w:rsidP="00593E37">
      <w:pPr>
        <w:pStyle w:val="Estilo1"/>
        <w:numPr>
          <w:ilvl w:val="0"/>
          <w:numId w:val="1"/>
        </w:numPr>
        <w:tabs>
          <w:tab w:val="left" w:pos="0"/>
        </w:tabs>
        <w:spacing w:after="0"/>
        <w:ind w:left="0" w:right="-4" w:firstLine="0"/>
        <w:rPr>
          <w:i w:val="0"/>
          <w:szCs w:val="20"/>
          <w:lang w:val="en-US" w:eastAsia="es-ES"/>
        </w:rPr>
      </w:pPr>
      <w:r w:rsidRPr="009F337B">
        <w:rPr>
          <w:iCs/>
          <w:lang w:val="en-US"/>
        </w:rPr>
        <w:t>Helpful evidence</w:t>
      </w:r>
      <w:r w:rsidR="003978B2" w:rsidRPr="009F337B">
        <w:rPr>
          <w:lang w:val="en-US"/>
        </w:rPr>
        <w:t xml:space="preserve">. </w:t>
      </w:r>
      <w:r w:rsidRPr="009F337B">
        <w:rPr>
          <w:i w:val="0"/>
          <w:lang w:val="en-US"/>
        </w:rPr>
        <w:t>On June 28,</w:t>
      </w:r>
      <w:r w:rsidR="003978B2" w:rsidRPr="009F337B">
        <w:rPr>
          <w:i w:val="0"/>
          <w:lang w:val="en-US"/>
        </w:rPr>
        <w:t xml:space="preserve"> 2018</w:t>
      </w:r>
      <w:r w:rsidRPr="009F337B">
        <w:rPr>
          <w:i w:val="0"/>
          <w:lang w:val="en-US"/>
        </w:rPr>
        <w:t xml:space="preserve">, </w:t>
      </w:r>
      <w:r w:rsidR="007327F5" w:rsidRPr="009F337B">
        <w:rPr>
          <w:i w:val="0"/>
          <w:lang w:val="en-US"/>
        </w:rPr>
        <w:t>the representatives</w:t>
      </w:r>
      <w:r w:rsidR="003978B2" w:rsidRPr="009F337B">
        <w:rPr>
          <w:i w:val="0"/>
          <w:lang w:val="en-US"/>
        </w:rPr>
        <w:t xml:space="preserve"> </w:t>
      </w:r>
      <w:r w:rsidRPr="009F337B">
        <w:rPr>
          <w:i w:val="0"/>
          <w:lang w:val="en-US"/>
        </w:rPr>
        <w:t xml:space="preserve">were asked to provide helpful evidence. On July 31, 2018, </w:t>
      </w:r>
      <w:r w:rsidR="007327F5" w:rsidRPr="009F337B">
        <w:rPr>
          <w:i w:val="0"/>
          <w:lang w:val="en-US"/>
        </w:rPr>
        <w:t>the representatives</w:t>
      </w:r>
      <w:r w:rsidR="003978B2" w:rsidRPr="009F337B">
        <w:rPr>
          <w:i w:val="0"/>
          <w:lang w:val="en-US"/>
        </w:rPr>
        <w:t xml:space="preserve"> </w:t>
      </w:r>
      <w:r w:rsidRPr="009F337B">
        <w:rPr>
          <w:i w:val="0"/>
          <w:lang w:val="en-US"/>
        </w:rPr>
        <w:t xml:space="preserve">forwarded the information requested and, on the same date, the Court asked the State to provide specific information related to the evidence that the representatives had been asked to provide. On August 14, 2018, the State requested an extension of the time limit to send the information requested, and this was granted by the Court. On August 21, 2018, the State provided a final answer to the Court’s request. </w:t>
      </w:r>
    </w:p>
    <w:p w14:paraId="75013267" w14:textId="2F2CE13C" w:rsidR="001F42BC" w:rsidRPr="009F337B" w:rsidRDefault="001F42BC" w:rsidP="00D55A40">
      <w:pPr>
        <w:pStyle w:val="Estilo1"/>
        <w:tabs>
          <w:tab w:val="left" w:pos="0"/>
        </w:tabs>
        <w:spacing w:after="0"/>
        <w:ind w:left="0" w:right="-4" w:firstLine="0"/>
        <w:rPr>
          <w:i w:val="0"/>
          <w:szCs w:val="20"/>
          <w:lang w:val="en-US" w:eastAsia="es-ES"/>
        </w:rPr>
      </w:pPr>
    </w:p>
    <w:p w14:paraId="77869747" w14:textId="73C582A7" w:rsidR="009B1CA2" w:rsidRPr="009F337B" w:rsidRDefault="009B1CA2" w:rsidP="00593E37">
      <w:pPr>
        <w:pStyle w:val="Estilo1"/>
        <w:numPr>
          <w:ilvl w:val="0"/>
          <w:numId w:val="1"/>
        </w:numPr>
        <w:tabs>
          <w:tab w:val="left" w:pos="0"/>
        </w:tabs>
        <w:spacing w:after="0"/>
        <w:ind w:left="0" w:right="-4" w:firstLine="0"/>
        <w:rPr>
          <w:rFonts w:cs="Verdana"/>
          <w:i w:val="0"/>
          <w:szCs w:val="20"/>
          <w:lang w:val="en-US" w:eastAsia="es-ES"/>
        </w:rPr>
      </w:pPr>
      <w:r w:rsidRPr="009F337B">
        <w:rPr>
          <w:szCs w:val="20"/>
          <w:lang w:val="en-US" w:eastAsia="es-CR"/>
        </w:rPr>
        <w:t>Delibera</w:t>
      </w:r>
      <w:r w:rsidR="006A1A6F" w:rsidRPr="009F337B">
        <w:rPr>
          <w:szCs w:val="20"/>
          <w:lang w:val="en-US" w:eastAsia="es-CR"/>
        </w:rPr>
        <w:t>tio</w:t>
      </w:r>
      <w:r w:rsidRPr="009F337B">
        <w:rPr>
          <w:szCs w:val="20"/>
          <w:lang w:val="en-US" w:eastAsia="es-CR"/>
        </w:rPr>
        <w:t xml:space="preserve">n </w:t>
      </w:r>
      <w:r w:rsidR="006A1A6F" w:rsidRPr="009F337B">
        <w:rPr>
          <w:szCs w:val="20"/>
          <w:lang w:val="en-US" w:eastAsia="es-CR"/>
        </w:rPr>
        <w:t>of the case</w:t>
      </w:r>
      <w:r w:rsidRPr="009F337B">
        <w:rPr>
          <w:szCs w:val="20"/>
          <w:lang w:val="en-US" w:eastAsia="es-CR"/>
        </w:rPr>
        <w:t xml:space="preserve">. </w:t>
      </w:r>
      <w:r w:rsidR="00AE5F9E" w:rsidRPr="009F337B">
        <w:rPr>
          <w:i w:val="0"/>
          <w:lang w:val="en-US" w:eastAsia="es-CR"/>
        </w:rPr>
        <w:t>The Court</w:t>
      </w:r>
      <w:r w:rsidRPr="009F337B">
        <w:rPr>
          <w:i w:val="0"/>
          <w:lang w:val="en-US" w:eastAsia="es-CR"/>
        </w:rPr>
        <w:t xml:space="preserve"> </w:t>
      </w:r>
      <w:r w:rsidR="006A1A6F" w:rsidRPr="009F337B">
        <w:rPr>
          <w:i w:val="0"/>
          <w:lang w:val="en-US" w:eastAsia="es-CR"/>
        </w:rPr>
        <w:t xml:space="preserve">began deliberating this judgment on August 22, </w:t>
      </w:r>
      <w:r w:rsidRPr="009F337B">
        <w:rPr>
          <w:i w:val="0"/>
          <w:lang w:val="en-US" w:eastAsia="es-CR"/>
        </w:rPr>
        <w:t>2018</w:t>
      </w:r>
      <w:r w:rsidRPr="009F337B">
        <w:rPr>
          <w:i w:val="0"/>
          <w:szCs w:val="20"/>
          <w:lang w:val="en-US" w:eastAsia="es-CR"/>
        </w:rPr>
        <w:t>.</w:t>
      </w:r>
    </w:p>
    <w:p w14:paraId="7BB4FEAF" w14:textId="77777777" w:rsidR="004B7E67" w:rsidRPr="009F337B" w:rsidRDefault="004B7E67" w:rsidP="004B7E67">
      <w:pPr>
        <w:pStyle w:val="Estilo1"/>
        <w:tabs>
          <w:tab w:val="left" w:pos="0"/>
        </w:tabs>
        <w:spacing w:after="0"/>
        <w:ind w:left="0" w:right="-4" w:firstLine="0"/>
        <w:rPr>
          <w:rFonts w:cs="Verdana"/>
          <w:i w:val="0"/>
          <w:szCs w:val="20"/>
          <w:lang w:val="en-US" w:eastAsia="es-ES"/>
        </w:rPr>
      </w:pPr>
    </w:p>
    <w:p w14:paraId="01668598" w14:textId="3217C5EA" w:rsidR="00F162A7" w:rsidRPr="009F337B" w:rsidRDefault="00F162A7" w:rsidP="009F7070">
      <w:pPr>
        <w:pStyle w:val="Ttulo1"/>
        <w:spacing w:before="0" w:after="0"/>
        <w:rPr>
          <w:lang w:val="en-US"/>
        </w:rPr>
      </w:pPr>
      <w:bookmarkStart w:id="30" w:name="_Toc486693353"/>
      <w:bookmarkStart w:id="31" w:name="_Toc486842769"/>
      <w:bookmarkStart w:id="32" w:name="_Toc486842907"/>
      <w:bookmarkStart w:id="33" w:name="_Toc508792632"/>
      <w:bookmarkStart w:id="34" w:name="_Toc510690627"/>
      <w:bookmarkStart w:id="35" w:name="_Toc527466464"/>
      <w:r w:rsidRPr="009F337B">
        <w:rPr>
          <w:lang w:val="en-US"/>
        </w:rPr>
        <w:t>III</w:t>
      </w:r>
      <w:r w:rsidR="001D1187" w:rsidRPr="009F337B">
        <w:rPr>
          <w:lang w:val="en-US"/>
        </w:rPr>
        <w:t>.</w:t>
      </w:r>
      <w:r w:rsidRPr="009F337B">
        <w:rPr>
          <w:color w:val="FFFFFF" w:themeColor="background1"/>
          <w:lang w:val="en-US"/>
        </w:rPr>
        <w:t>.</w:t>
      </w:r>
      <w:r w:rsidRPr="009F337B">
        <w:rPr>
          <w:lang w:val="en-US"/>
        </w:rPr>
        <w:br/>
      </w:r>
      <w:r w:rsidR="00A00EE5" w:rsidRPr="009F337B">
        <w:rPr>
          <w:lang w:val="en-US"/>
        </w:rPr>
        <w:t>JURISDICTION</w:t>
      </w:r>
      <w:bookmarkEnd w:id="30"/>
      <w:bookmarkEnd w:id="31"/>
      <w:bookmarkEnd w:id="32"/>
      <w:bookmarkEnd w:id="33"/>
      <w:bookmarkEnd w:id="34"/>
      <w:bookmarkEnd w:id="35"/>
    </w:p>
    <w:p w14:paraId="753A92B8" w14:textId="77777777" w:rsidR="00091D29" w:rsidRPr="009F337B" w:rsidRDefault="00091D29" w:rsidP="00091D29">
      <w:pPr>
        <w:rPr>
          <w:lang w:val="en-US" w:eastAsia="es-ES"/>
        </w:rPr>
      </w:pPr>
    </w:p>
    <w:p w14:paraId="551FC300" w14:textId="706B0F5A" w:rsidR="009C20FF" w:rsidRPr="009F337B" w:rsidRDefault="00AE5F9E" w:rsidP="00593E37">
      <w:pPr>
        <w:widowControl w:val="0"/>
        <w:numPr>
          <w:ilvl w:val="0"/>
          <w:numId w:val="1"/>
        </w:numPr>
        <w:tabs>
          <w:tab w:val="left" w:pos="567"/>
        </w:tabs>
        <w:adjustRightInd w:val="0"/>
        <w:ind w:left="0" w:right="4" w:firstLine="0"/>
        <w:rPr>
          <w:rFonts w:eastAsia="Calibri" w:cs="Verdana"/>
          <w:szCs w:val="20"/>
          <w:lang w:val="en-US"/>
        </w:rPr>
      </w:pPr>
      <w:r w:rsidRPr="009F337B">
        <w:rPr>
          <w:rFonts w:eastAsia="Calibri" w:cs="Verdana"/>
          <w:szCs w:val="20"/>
          <w:lang w:val="en-US"/>
        </w:rPr>
        <w:t>The Inter-American Court</w:t>
      </w:r>
      <w:r w:rsidR="009C20FF" w:rsidRPr="009F337B">
        <w:rPr>
          <w:rFonts w:eastAsia="Calibri" w:cs="Verdana"/>
          <w:szCs w:val="20"/>
          <w:lang w:val="en-US"/>
        </w:rPr>
        <w:t xml:space="preserve"> </w:t>
      </w:r>
      <w:r w:rsidR="00A00EE5" w:rsidRPr="009F337B">
        <w:rPr>
          <w:rFonts w:eastAsia="Calibri" w:cs="Verdana"/>
          <w:szCs w:val="20"/>
          <w:lang w:val="en-US"/>
        </w:rPr>
        <w:t xml:space="preserve">has jurisdiction to hear this case </w:t>
      </w:r>
      <w:r w:rsidR="007C58D0" w:rsidRPr="009F337B">
        <w:rPr>
          <w:rFonts w:eastAsia="Calibri" w:cs="Verdana"/>
          <w:szCs w:val="20"/>
          <w:lang w:val="en-US"/>
        </w:rPr>
        <w:t>pursuant to</w:t>
      </w:r>
      <w:r w:rsidR="00A00EE5" w:rsidRPr="009F337B">
        <w:rPr>
          <w:rFonts w:eastAsia="Calibri" w:cs="Verdana"/>
          <w:szCs w:val="20"/>
          <w:lang w:val="en-US"/>
        </w:rPr>
        <w:t xml:space="preserve"> </w:t>
      </w:r>
      <w:r w:rsidR="003C46A3" w:rsidRPr="009F337B">
        <w:rPr>
          <w:rFonts w:eastAsia="Calibri" w:cs="Verdana"/>
          <w:szCs w:val="20"/>
          <w:lang w:val="en-US"/>
        </w:rPr>
        <w:t>Article</w:t>
      </w:r>
      <w:r w:rsidR="009C20FF" w:rsidRPr="009F337B">
        <w:rPr>
          <w:rFonts w:eastAsia="Calibri" w:cs="Verdana"/>
          <w:szCs w:val="20"/>
          <w:lang w:val="en-US"/>
        </w:rPr>
        <w:t xml:space="preserve"> </w:t>
      </w:r>
      <w:r w:rsidRPr="009F337B">
        <w:rPr>
          <w:rFonts w:eastAsia="Calibri" w:cs="Verdana"/>
          <w:szCs w:val="20"/>
          <w:lang w:val="en-US"/>
        </w:rPr>
        <w:t>62(3)</w:t>
      </w:r>
      <w:r w:rsidR="002A056D" w:rsidRPr="009F337B">
        <w:rPr>
          <w:rStyle w:val="Refdenotaalpie"/>
          <w:rFonts w:eastAsia="Calibri"/>
          <w:lang w:val="en-US"/>
        </w:rPr>
        <w:footnoteReference w:id="10"/>
      </w:r>
      <w:r w:rsidRPr="009F337B">
        <w:rPr>
          <w:rFonts w:eastAsia="Calibri" w:cs="Verdana"/>
          <w:szCs w:val="20"/>
          <w:lang w:val="en-US"/>
        </w:rPr>
        <w:t xml:space="preserve"> </w:t>
      </w:r>
      <w:r w:rsidRPr="009F337B">
        <w:rPr>
          <w:rFonts w:eastAsia="Calibri" w:cs="Verdana"/>
          <w:szCs w:val="20"/>
          <w:lang w:val="en-US"/>
        </w:rPr>
        <w:lastRenderedPageBreak/>
        <w:t>of the American Convention</w:t>
      </w:r>
      <w:r w:rsidR="009C20FF" w:rsidRPr="009F337B">
        <w:rPr>
          <w:rFonts w:eastAsia="Calibri" w:cs="Verdana"/>
          <w:szCs w:val="20"/>
          <w:lang w:val="en-US"/>
        </w:rPr>
        <w:t xml:space="preserve">, </w:t>
      </w:r>
      <w:r w:rsidR="00A00EE5" w:rsidRPr="009F337B">
        <w:rPr>
          <w:rFonts w:eastAsia="Calibri" w:cs="Verdana"/>
          <w:szCs w:val="20"/>
          <w:lang w:val="en-US"/>
        </w:rPr>
        <w:t xml:space="preserve">because </w:t>
      </w:r>
      <w:r w:rsidR="009C20FF" w:rsidRPr="009F337B">
        <w:rPr>
          <w:rFonts w:eastAsia="Calibri" w:cs="Verdana"/>
          <w:szCs w:val="20"/>
          <w:lang w:val="en-US"/>
        </w:rPr>
        <w:t xml:space="preserve">Guatemala </w:t>
      </w:r>
      <w:r w:rsidR="00A00EE5" w:rsidRPr="009F337B">
        <w:rPr>
          <w:rFonts w:eastAsia="Calibri" w:cs="Verdana"/>
          <w:szCs w:val="20"/>
          <w:lang w:val="en-US"/>
        </w:rPr>
        <w:t xml:space="preserve">has been a State Party to </w:t>
      </w:r>
      <w:r w:rsidRPr="009F337B">
        <w:rPr>
          <w:rFonts w:eastAsia="Calibri" w:cs="Verdana"/>
          <w:szCs w:val="20"/>
          <w:lang w:val="en-US"/>
        </w:rPr>
        <w:t>the American Convention</w:t>
      </w:r>
      <w:r w:rsidR="009C20FF" w:rsidRPr="009F337B">
        <w:rPr>
          <w:rFonts w:eastAsia="Calibri" w:cs="Verdana"/>
          <w:szCs w:val="20"/>
          <w:lang w:val="en-US"/>
        </w:rPr>
        <w:t xml:space="preserve"> </w:t>
      </w:r>
      <w:r w:rsidR="00A00EE5" w:rsidRPr="009F337B">
        <w:rPr>
          <w:rFonts w:eastAsia="Calibri" w:cs="Verdana"/>
          <w:szCs w:val="20"/>
          <w:lang w:val="en-US"/>
        </w:rPr>
        <w:t>since May</w:t>
      </w:r>
      <w:r w:rsidR="007C58D0" w:rsidRPr="009F337B">
        <w:rPr>
          <w:rFonts w:eastAsia="Calibri" w:cs="Verdana"/>
          <w:szCs w:val="20"/>
          <w:lang w:val="en-US"/>
        </w:rPr>
        <w:t xml:space="preserve"> </w:t>
      </w:r>
      <w:r w:rsidR="00A00EE5" w:rsidRPr="009F337B">
        <w:rPr>
          <w:rFonts w:eastAsia="Calibri" w:cs="Verdana"/>
          <w:szCs w:val="20"/>
          <w:lang w:val="en-US"/>
        </w:rPr>
        <w:t xml:space="preserve">25, 1978, and accepted the contentious jurisdiction of the Court on March 9, </w:t>
      </w:r>
      <w:r w:rsidR="009C20FF" w:rsidRPr="009F337B">
        <w:rPr>
          <w:rFonts w:eastAsia="Calibri" w:cs="Verdana"/>
          <w:szCs w:val="20"/>
          <w:lang w:val="en-US"/>
        </w:rPr>
        <w:t>1987</w:t>
      </w:r>
      <w:r w:rsidR="00E50A20" w:rsidRPr="009F337B">
        <w:rPr>
          <w:rFonts w:eastAsia="Calibri" w:cs="Verdana"/>
          <w:szCs w:val="20"/>
          <w:lang w:val="en-US"/>
        </w:rPr>
        <w:t>.</w:t>
      </w:r>
    </w:p>
    <w:p w14:paraId="073E7E26" w14:textId="77777777" w:rsidR="00091D29" w:rsidRPr="009F337B" w:rsidRDefault="00091D29" w:rsidP="00091D29">
      <w:pPr>
        <w:widowControl w:val="0"/>
        <w:tabs>
          <w:tab w:val="left" w:pos="567"/>
        </w:tabs>
        <w:adjustRightInd w:val="0"/>
        <w:ind w:right="4"/>
        <w:rPr>
          <w:rFonts w:eastAsia="Calibri" w:cs="Verdana"/>
          <w:szCs w:val="20"/>
          <w:lang w:val="en-US"/>
        </w:rPr>
      </w:pPr>
    </w:p>
    <w:p w14:paraId="2113F5C8" w14:textId="2140DF5A" w:rsidR="009455ED" w:rsidRPr="009F337B" w:rsidRDefault="009455ED" w:rsidP="009F7070">
      <w:pPr>
        <w:pStyle w:val="Ttulo1"/>
        <w:spacing w:before="0" w:after="0"/>
        <w:rPr>
          <w:lang w:val="en-US"/>
        </w:rPr>
      </w:pPr>
      <w:bookmarkStart w:id="36" w:name="_Toc501211894"/>
      <w:bookmarkStart w:id="37" w:name="_Toc527466465"/>
      <w:r w:rsidRPr="009F337B">
        <w:rPr>
          <w:lang w:val="en-US"/>
        </w:rPr>
        <w:t>IV</w:t>
      </w:r>
      <w:r w:rsidR="001D1187" w:rsidRPr="009F337B">
        <w:rPr>
          <w:lang w:val="en-US"/>
        </w:rPr>
        <w:t>.</w:t>
      </w:r>
      <w:r w:rsidRPr="009F337B">
        <w:rPr>
          <w:lang w:val="en-US"/>
        </w:rPr>
        <w:br/>
      </w:r>
      <w:r w:rsidR="007A7F3A" w:rsidRPr="009F337B">
        <w:rPr>
          <w:lang w:val="en-US"/>
        </w:rPr>
        <w:t>PRELIMINARY OBJECTION</w:t>
      </w:r>
      <w:bookmarkEnd w:id="36"/>
      <w:bookmarkEnd w:id="37"/>
    </w:p>
    <w:p w14:paraId="5CBE56CD" w14:textId="77777777" w:rsidR="00860796" w:rsidRPr="009F337B" w:rsidRDefault="00860796" w:rsidP="00860796">
      <w:pPr>
        <w:rPr>
          <w:lang w:val="en-US" w:eastAsia="es-ES"/>
        </w:rPr>
      </w:pPr>
    </w:p>
    <w:p w14:paraId="15C8BAC6" w14:textId="4ADC7295" w:rsidR="009455ED" w:rsidRPr="009F337B" w:rsidRDefault="00A00EE5" w:rsidP="009F7070">
      <w:pPr>
        <w:pStyle w:val="Ttulo2"/>
        <w:spacing w:before="0" w:after="0"/>
        <w:rPr>
          <w:lang w:val="en-US"/>
        </w:rPr>
      </w:pPr>
      <w:r w:rsidRPr="009F337B">
        <w:rPr>
          <w:lang w:val="en-US"/>
        </w:rPr>
        <w:t>Objection based on failure to exhaust domestic remedies</w:t>
      </w:r>
    </w:p>
    <w:p w14:paraId="36A4DC53" w14:textId="77777777" w:rsidR="00860796" w:rsidRPr="009F337B" w:rsidRDefault="00860796" w:rsidP="00860796">
      <w:pPr>
        <w:rPr>
          <w:lang w:val="en-US"/>
        </w:rPr>
      </w:pPr>
    </w:p>
    <w:p w14:paraId="54A3DEAB" w14:textId="7281618C" w:rsidR="009455ED" w:rsidRPr="009F337B" w:rsidRDefault="00EC1C6C" w:rsidP="009F7070">
      <w:pPr>
        <w:pStyle w:val="Ttulo3"/>
        <w:spacing w:before="0"/>
        <w:rPr>
          <w:lang w:val="en-US"/>
        </w:rPr>
      </w:pPr>
      <w:bookmarkStart w:id="38" w:name="_Toc501211896"/>
      <w:r w:rsidRPr="009F337B">
        <w:rPr>
          <w:lang w:val="en-US"/>
        </w:rPr>
        <w:tab/>
      </w:r>
      <w:bookmarkStart w:id="39" w:name="_Toc527466467"/>
      <w:r w:rsidR="009455ED" w:rsidRPr="009F337B">
        <w:rPr>
          <w:lang w:val="en-US"/>
        </w:rPr>
        <w:t>A.1</w:t>
      </w:r>
      <w:r w:rsidR="001D1187" w:rsidRPr="009F337B">
        <w:rPr>
          <w:lang w:val="en-US"/>
        </w:rPr>
        <w:t>.</w:t>
      </w:r>
      <w:r w:rsidR="009455ED" w:rsidRPr="009F337B">
        <w:rPr>
          <w:lang w:val="en-US"/>
        </w:rPr>
        <w:t xml:space="preserve"> </w:t>
      </w:r>
      <w:r w:rsidR="009455ED" w:rsidRPr="009F337B">
        <w:rPr>
          <w:lang w:val="en-US"/>
        </w:rPr>
        <w:tab/>
      </w:r>
      <w:bookmarkEnd w:id="38"/>
      <w:r w:rsidR="00A00EE5" w:rsidRPr="009F337B">
        <w:rPr>
          <w:lang w:val="en-US"/>
        </w:rPr>
        <w:t>Arguments of the parties and observations</w:t>
      </w:r>
      <w:r w:rsidR="00AE5F9E" w:rsidRPr="009F337B">
        <w:rPr>
          <w:lang w:val="en-US"/>
        </w:rPr>
        <w:t xml:space="preserve"> of the Commission</w:t>
      </w:r>
      <w:bookmarkEnd w:id="39"/>
    </w:p>
    <w:p w14:paraId="48CEB3F6" w14:textId="77777777" w:rsidR="00860796" w:rsidRPr="009F337B" w:rsidRDefault="00860796" w:rsidP="00860796">
      <w:pPr>
        <w:rPr>
          <w:lang w:val="en-US"/>
        </w:rPr>
      </w:pPr>
    </w:p>
    <w:p w14:paraId="2DA2322B" w14:textId="3B63337C" w:rsidR="00101969" w:rsidRPr="009F337B" w:rsidRDefault="00A00EE5" w:rsidP="00593E37">
      <w:pPr>
        <w:widowControl w:val="0"/>
        <w:numPr>
          <w:ilvl w:val="0"/>
          <w:numId w:val="1"/>
        </w:numPr>
        <w:tabs>
          <w:tab w:val="left" w:pos="567"/>
        </w:tabs>
        <w:adjustRightInd w:val="0"/>
        <w:ind w:left="0" w:right="4" w:firstLine="0"/>
        <w:rPr>
          <w:rFonts w:eastAsia="Calibri" w:cs="Verdana"/>
          <w:szCs w:val="20"/>
          <w:lang w:val="en-US"/>
        </w:rPr>
      </w:pPr>
      <w:r w:rsidRPr="009F337B">
        <w:rPr>
          <w:rFonts w:eastAsia="Calibri" w:cs="Verdana"/>
          <w:szCs w:val="20"/>
          <w:lang w:val="en-US"/>
        </w:rPr>
        <w:t>The</w:t>
      </w:r>
      <w:r w:rsidR="009455ED" w:rsidRPr="009F337B">
        <w:rPr>
          <w:rFonts w:eastAsia="Calibri" w:cs="Verdana"/>
          <w:szCs w:val="20"/>
          <w:lang w:val="en-US"/>
        </w:rPr>
        <w:t xml:space="preserve"> </w:t>
      </w:r>
      <w:r w:rsidRPr="009F337B">
        <w:rPr>
          <w:rFonts w:eastAsia="Calibri" w:cs="Verdana"/>
          <w:b/>
          <w:i/>
          <w:szCs w:val="20"/>
          <w:lang w:val="en-US"/>
        </w:rPr>
        <w:t>State</w:t>
      </w:r>
      <w:r w:rsidR="009455ED" w:rsidRPr="009F337B">
        <w:rPr>
          <w:rFonts w:eastAsia="Calibri" w:cs="Verdana"/>
          <w:szCs w:val="20"/>
          <w:lang w:val="en-US"/>
        </w:rPr>
        <w:t xml:space="preserve"> a</w:t>
      </w:r>
      <w:r w:rsidRPr="009F337B">
        <w:rPr>
          <w:rFonts w:eastAsia="Calibri" w:cs="Verdana"/>
          <w:szCs w:val="20"/>
          <w:lang w:val="en-US"/>
        </w:rPr>
        <w:t xml:space="preserve">rgued that the </w:t>
      </w:r>
      <w:r w:rsidR="003C46A3" w:rsidRPr="009F337B">
        <w:rPr>
          <w:rFonts w:eastAsia="Calibri" w:cs="Verdana"/>
          <w:szCs w:val="20"/>
          <w:lang w:val="en-US"/>
        </w:rPr>
        <w:t>presumed victims</w:t>
      </w:r>
      <w:r w:rsidR="009455ED" w:rsidRPr="009F337B">
        <w:rPr>
          <w:rFonts w:eastAsia="Calibri" w:cs="Verdana"/>
          <w:szCs w:val="20"/>
          <w:lang w:val="en-US"/>
        </w:rPr>
        <w:t xml:space="preserve"> </w:t>
      </w:r>
      <w:r w:rsidRPr="009F337B">
        <w:rPr>
          <w:rFonts w:eastAsia="Calibri" w:cs="Verdana"/>
          <w:szCs w:val="20"/>
          <w:lang w:val="en-US"/>
        </w:rPr>
        <w:t xml:space="preserve">had not filed or exhausted domestic remedies and, therefore, the Court should abstain from hearing the case pursuant to </w:t>
      </w:r>
      <w:r w:rsidR="003C46A3" w:rsidRPr="009F337B">
        <w:rPr>
          <w:rFonts w:eastAsia="Calibri" w:cs="Verdana"/>
          <w:szCs w:val="20"/>
          <w:lang w:val="en-US"/>
        </w:rPr>
        <w:t>Article</w:t>
      </w:r>
      <w:r w:rsidR="009455ED" w:rsidRPr="009F337B">
        <w:rPr>
          <w:rFonts w:eastAsia="Calibri" w:cs="Verdana"/>
          <w:szCs w:val="20"/>
          <w:lang w:val="en-US"/>
        </w:rPr>
        <w:t xml:space="preserve"> 46</w:t>
      </w:r>
      <w:r w:rsidR="00AE5F9E" w:rsidRPr="009F337B">
        <w:rPr>
          <w:rFonts w:eastAsia="Calibri" w:cs="Verdana"/>
          <w:szCs w:val="20"/>
          <w:lang w:val="en-US"/>
        </w:rPr>
        <w:t xml:space="preserve"> of the American Convention</w:t>
      </w:r>
      <w:r w:rsidR="009455ED" w:rsidRPr="009F337B">
        <w:rPr>
          <w:rFonts w:eastAsia="Calibri" w:cs="Verdana"/>
          <w:szCs w:val="20"/>
          <w:lang w:val="en-US"/>
        </w:rPr>
        <w:t xml:space="preserve">. </w:t>
      </w:r>
      <w:r w:rsidRPr="009F337B">
        <w:rPr>
          <w:rFonts w:eastAsia="Calibri" w:cs="Verdana"/>
          <w:szCs w:val="20"/>
          <w:lang w:val="en-US"/>
        </w:rPr>
        <w:t xml:space="preserve">In this regard, it asserted that </w:t>
      </w:r>
      <w:r w:rsidR="007327F5" w:rsidRPr="009F337B">
        <w:rPr>
          <w:rFonts w:eastAsia="Calibri" w:cs="Verdana"/>
          <w:szCs w:val="20"/>
          <w:lang w:val="en-US"/>
        </w:rPr>
        <w:t>the representatives</w:t>
      </w:r>
      <w:r w:rsidR="009455ED" w:rsidRPr="009F337B">
        <w:rPr>
          <w:rFonts w:eastAsia="Calibri" w:cs="Verdana"/>
          <w:szCs w:val="20"/>
          <w:lang w:val="en-US"/>
        </w:rPr>
        <w:t xml:space="preserve"> </w:t>
      </w:r>
      <w:r w:rsidRPr="009F337B">
        <w:rPr>
          <w:rFonts w:eastAsia="Calibri" w:cs="Verdana"/>
          <w:szCs w:val="20"/>
          <w:lang w:val="en-US"/>
        </w:rPr>
        <w:t xml:space="preserve">had not availed themselves of </w:t>
      </w:r>
      <w:r w:rsidR="00AE5F9E" w:rsidRPr="009F337B">
        <w:rPr>
          <w:rFonts w:eastAsia="Calibri" w:cs="Verdana"/>
          <w:szCs w:val="20"/>
          <w:lang w:val="en-US"/>
        </w:rPr>
        <w:t>Articles</w:t>
      </w:r>
      <w:r w:rsidR="009455ED" w:rsidRPr="009F337B">
        <w:rPr>
          <w:rFonts w:eastAsia="Calibri" w:cs="Verdana"/>
          <w:szCs w:val="20"/>
          <w:lang w:val="en-US"/>
        </w:rPr>
        <w:t xml:space="preserve"> 70</w:t>
      </w:r>
      <w:r w:rsidR="003C46A3" w:rsidRPr="009F337B">
        <w:rPr>
          <w:rFonts w:eastAsia="Calibri" w:cs="Verdana"/>
          <w:szCs w:val="20"/>
          <w:lang w:val="en-US"/>
        </w:rPr>
        <w:t xml:space="preserve"> and </w:t>
      </w:r>
      <w:r w:rsidR="009455ED" w:rsidRPr="009F337B">
        <w:rPr>
          <w:rFonts w:eastAsia="Calibri" w:cs="Verdana"/>
          <w:szCs w:val="20"/>
          <w:lang w:val="en-US"/>
        </w:rPr>
        <w:t>71</w:t>
      </w:r>
      <w:r w:rsidRPr="009F337B">
        <w:rPr>
          <w:rFonts w:eastAsia="Calibri" w:cs="Verdana"/>
          <w:szCs w:val="20"/>
          <w:lang w:val="en-US"/>
        </w:rPr>
        <w:t xml:space="preserve"> of the Law on Amparo</w:t>
      </w:r>
      <w:r w:rsidR="003222C3" w:rsidRPr="009F337B">
        <w:rPr>
          <w:rFonts w:eastAsia="Calibri" w:cs="Verdana"/>
          <w:szCs w:val="20"/>
          <w:lang w:val="en-US"/>
        </w:rPr>
        <w:t xml:space="preserve">, </w:t>
      </w:r>
      <w:r w:rsidR="00597C53" w:rsidRPr="009F337B">
        <w:rPr>
          <w:rFonts w:eastAsia="Calibri" w:cs="Verdana"/>
          <w:szCs w:val="20"/>
          <w:lang w:val="en-US"/>
        </w:rPr>
        <w:t>H</w:t>
      </w:r>
      <w:r w:rsidRPr="009F337B">
        <w:rPr>
          <w:rFonts w:eastAsia="Calibri" w:cs="Verdana"/>
          <w:szCs w:val="20"/>
          <w:lang w:val="en-US"/>
        </w:rPr>
        <w:t>abeas Corpus and Constitutionality. Consequently, the State alleged that the case was inadmissible, because at the time of the facts</w:t>
      </w:r>
      <w:r w:rsidR="007C58D0" w:rsidRPr="009F337B">
        <w:rPr>
          <w:rFonts w:eastAsia="Calibri" w:cs="Verdana"/>
          <w:szCs w:val="20"/>
          <w:lang w:val="en-US"/>
        </w:rPr>
        <w:t>,</w:t>
      </w:r>
      <w:r w:rsidRPr="009F337B">
        <w:rPr>
          <w:rFonts w:eastAsia="Calibri" w:cs="Verdana"/>
          <w:szCs w:val="20"/>
          <w:lang w:val="en-US"/>
        </w:rPr>
        <w:t xml:space="preserve"> procedural remedies existed that autorized the presumed</w:t>
      </w:r>
      <w:r w:rsidR="003C46A3" w:rsidRPr="009F337B">
        <w:rPr>
          <w:rFonts w:eastAsia="Calibri" w:cs="Verdana"/>
          <w:szCs w:val="20"/>
          <w:lang w:val="en-US"/>
        </w:rPr>
        <w:t xml:space="preserve"> victims</w:t>
      </w:r>
      <w:r w:rsidR="009455ED" w:rsidRPr="009F337B">
        <w:rPr>
          <w:rFonts w:eastAsia="Calibri" w:cs="Verdana"/>
          <w:szCs w:val="20"/>
          <w:lang w:val="en-US"/>
        </w:rPr>
        <w:t xml:space="preserve"> </w:t>
      </w:r>
      <w:r w:rsidRPr="009F337B">
        <w:rPr>
          <w:rFonts w:eastAsia="Calibri" w:cs="Verdana"/>
          <w:szCs w:val="20"/>
          <w:lang w:val="en-US"/>
        </w:rPr>
        <w:t>to appea</w:t>
      </w:r>
      <w:r w:rsidR="007C58D0" w:rsidRPr="009F337B">
        <w:rPr>
          <w:rFonts w:eastAsia="Calibri" w:cs="Verdana"/>
          <w:szCs w:val="20"/>
          <w:lang w:val="en-US"/>
        </w:rPr>
        <w:t>l</w:t>
      </w:r>
      <w:r w:rsidRPr="009F337B">
        <w:rPr>
          <w:rFonts w:eastAsia="Calibri" w:cs="Verdana"/>
          <w:szCs w:val="20"/>
          <w:lang w:val="en-US"/>
        </w:rPr>
        <w:t xml:space="preserve"> for clarification or expansion of the amparo decision.</w:t>
      </w:r>
    </w:p>
    <w:p w14:paraId="6A336AFC" w14:textId="77777777" w:rsidR="003222C3" w:rsidRPr="009F337B" w:rsidRDefault="003222C3" w:rsidP="003222C3">
      <w:pPr>
        <w:widowControl w:val="0"/>
        <w:tabs>
          <w:tab w:val="left" w:pos="567"/>
        </w:tabs>
        <w:adjustRightInd w:val="0"/>
        <w:ind w:right="4"/>
        <w:rPr>
          <w:rFonts w:eastAsia="Calibri" w:cs="Verdana"/>
          <w:szCs w:val="20"/>
          <w:lang w:val="en-US"/>
        </w:rPr>
      </w:pPr>
    </w:p>
    <w:p w14:paraId="426B729D" w14:textId="751473ED" w:rsidR="00101969" w:rsidRPr="009F337B" w:rsidRDefault="00AE5F9E" w:rsidP="00593E37">
      <w:pPr>
        <w:widowControl w:val="0"/>
        <w:numPr>
          <w:ilvl w:val="0"/>
          <w:numId w:val="1"/>
        </w:numPr>
        <w:tabs>
          <w:tab w:val="left" w:pos="567"/>
        </w:tabs>
        <w:adjustRightInd w:val="0"/>
        <w:ind w:left="0" w:right="4" w:firstLine="0"/>
        <w:rPr>
          <w:rFonts w:eastAsia="Calibri" w:cs="Verdana"/>
          <w:szCs w:val="20"/>
          <w:lang w:val="en-US"/>
        </w:rPr>
      </w:pPr>
      <w:r w:rsidRPr="009F337B">
        <w:rPr>
          <w:lang w:val="en-US"/>
        </w:rPr>
        <w:t xml:space="preserve">The </w:t>
      </w:r>
      <w:r w:rsidRPr="009F337B">
        <w:rPr>
          <w:b/>
          <w:i/>
          <w:lang w:val="en-US"/>
        </w:rPr>
        <w:t>Commission</w:t>
      </w:r>
      <w:r w:rsidR="009455ED" w:rsidRPr="009F337B">
        <w:rPr>
          <w:b/>
          <w:i/>
          <w:lang w:val="en-US"/>
        </w:rPr>
        <w:t xml:space="preserve"> </w:t>
      </w:r>
      <w:r w:rsidR="00597C53" w:rsidRPr="009F337B">
        <w:rPr>
          <w:lang w:val="en-US"/>
        </w:rPr>
        <w:t>affirmed that</w:t>
      </w:r>
      <w:r w:rsidR="009455ED" w:rsidRPr="009F337B">
        <w:rPr>
          <w:lang w:val="en-US"/>
        </w:rPr>
        <w:t xml:space="preserve"> </w:t>
      </w:r>
      <w:r w:rsidR="003C46A3" w:rsidRPr="009F337B">
        <w:rPr>
          <w:lang w:val="en-US"/>
        </w:rPr>
        <w:t>the State</w:t>
      </w:r>
      <w:r w:rsidR="009455ED" w:rsidRPr="009F337B">
        <w:rPr>
          <w:lang w:val="en-US"/>
        </w:rPr>
        <w:t xml:space="preserve"> </w:t>
      </w:r>
      <w:r w:rsidR="00597C53" w:rsidRPr="009F337B">
        <w:rPr>
          <w:lang w:val="en-US"/>
        </w:rPr>
        <w:t xml:space="preserve">had not filed </w:t>
      </w:r>
      <w:r w:rsidR="007A7F3A" w:rsidRPr="009F337B">
        <w:rPr>
          <w:lang w:val="en-US"/>
        </w:rPr>
        <w:t>the preliminary objection</w:t>
      </w:r>
      <w:r w:rsidR="009455ED" w:rsidRPr="009F337B">
        <w:rPr>
          <w:lang w:val="en-US"/>
        </w:rPr>
        <w:t xml:space="preserve"> </w:t>
      </w:r>
      <w:r w:rsidR="00597C53" w:rsidRPr="009F337B">
        <w:rPr>
          <w:lang w:val="en-US"/>
        </w:rPr>
        <w:t>at the proper procedural moment, because</w:t>
      </w:r>
      <w:r w:rsidR="00597C53" w:rsidRPr="009F337B">
        <w:rPr>
          <w:rFonts w:eastAsia="Calibri" w:cs="Verdana"/>
          <w:szCs w:val="20"/>
          <w:lang w:val="en-US"/>
        </w:rPr>
        <w:t xml:space="preserve"> it had merely urged </w:t>
      </w:r>
      <w:r w:rsidR="00A00EE5" w:rsidRPr="009F337B">
        <w:rPr>
          <w:lang w:val="en-US"/>
        </w:rPr>
        <w:t>the presumed</w:t>
      </w:r>
      <w:r w:rsidR="003C46A3" w:rsidRPr="009F337B">
        <w:rPr>
          <w:lang w:val="en-US"/>
        </w:rPr>
        <w:t xml:space="preserve"> victims</w:t>
      </w:r>
      <w:r w:rsidR="009455ED" w:rsidRPr="009F337B">
        <w:rPr>
          <w:lang w:val="en-US"/>
        </w:rPr>
        <w:t xml:space="preserve"> </w:t>
      </w:r>
      <w:r w:rsidR="00597C53" w:rsidRPr="009F337B">
        <w:rPr>
          <w:lang w:val="en-US"/>
        </w:rPr>
        <w:t xml:space="preserve">to continue using the remedies that existed in the domestic jurisdiction, without indicating which remedies should be exhausted. Consequently, it alleged that the objection was not filed </w:t>
      </w:r>
      <w:r w:rsidR="00473F70" w:rsidRPr="009F337B">
        <w:rPr>
          <w:lang w:val="en-US"/>
        </w:rPr>
        <w:t xml:space="preserve">as required by the Convention and, therefore, was inadmissible. Furthermore, the Commission alleged that the State had not provided evidence </w:t>
      </w:r>
      <w:r w:rsidR="007C58D0" w:rsidRPr="009F337B">
        <w:rPr>
          <w:lang w:val="en-US"/>
        </w:rPr>
        <w:t>as to</w:t>
      </w:r>
      <w:r w:rsidR="00473F70" w:rsidRPr="009F337B">
        <w:rPr>
          <w:lang w:val="en-US"/>
        </w:rPr>
        <w:t xml:space="preserve"> the pertinence and effectiveness of the request for clarification or expansion of the amparo </w:t>
      </w:r>
      <w:r w:rsidR="007C58D0" w:rsidRPr="009F337B">
        <w:rPr>
          <w:lang w:val="en-US"/>
        </w:rPr>
        <w:t>and, thus,</w:t>
      </w:r>
      <w:r w:rsidR="00473F70" w:rsidRPr="009F337B">
        <w:rPr>
          <w:lang w:val="en-US"/>
        </w:rPr>
        <w:t xml:space="preserve"> the objection was substantially inadmissible</w:t>
      </w:r>
      <w:r w:rsidR="00CE398D" w:rsidRPr="009F337B">
        <w:rPr>
          <w:lang w:val="en-US"/>
        </w:rPr>
        <w:t>.</w:t>
      </w:r>
    </w:p>
    <w:p w14:paraId="6668E0E6" w14:textId="77777777" w:rsidR="003222C3" w:rsidRPr="009F337B" w:rsidRDefault="003222C3" w:rsidP="003222C3">
      <w:pPr>
        <w:widowControl w:val="0"/>
        <w:tabs>
          <w:tab w:val="left" w:pos="567"/>
        </w:tabs>
        <w:adjustRightInd w:val="0"/>
        <w:ind w:right="4"/>
        <w:rPr>
          <w:rFonts w:eastAsia="Calibri" w:cs="Verdana"/>
          <w:szCs w:val="20"/>
          <w:lang w:val="en-US"/>
        </w:rPr>
      </w:pPr>
    </w:p>
    <w:p w14:paraId="321A4DD2" w14:textId="40355AB4" w:rsidR="001D1187" w:rsidRPr="009F337B" w:rsidRDefault="007327F5" w:rsidP="00593E37">
      <w:pPr>
        <w:widowControl w:val="0"/>
        <w:numPr>
          <w:ilvl w:val="0"/>
          <w:numId w:val="1"/>
        </w:numPr>
        <w:tabs>
          <w:tab w:val="left" w:pos="567"/>
        </w:tabs>
        <w:adjustRightInd w:val="0"/>
        <w:ind w:left="0" w:right="4" w:firstLine="0"/>
        <w:rPr>
          <w:rFonts w:eastAsia="Calibri" w:cs="Verdana"/>
          <w:szCs w:val="20"/>
          <w:lang w:val="en-US"/>
        </w:rPr>
      </w:pPr>
      <w:r w:rsidRPr="009F337B">
        <w:rPr>
          <w:lang w:val="en-US"/>
        </w:rPr>
        <w:t xml:space="preserve">The </w:t>
      </w:r>
      <w:r w:rsidRPr="009F337B">
        <w:rPr>
          <w:b/>
          <w:i/>
          <w:lang w:val="en-US"/>
        </w:rPr>
        <w:t>representatives</w:t>
      </w:r>
      <w:r w:rsidR="00473F70" w:rsidRPr="009F337B">
        <w:rPr>
          <w:b/>
          <w:i/>
          <w:lang w:val="en-US"/>
        </w:rPr>
        <w:t xml:space="preserve"> </w:t>
      </w:r>
      <w:r w:rsidR="00473F70" w:rsidRPr="009F337B">
        <w:rPr>
          <w:lang w:val="en-US"/>
        </w:rPr>
        <w:t>affirmed that</w:t>
      </w:r>
      <w:r w:rsidR="009455ED" w:rsidRPr="009F337B">
        <w:rPr>
          <w:rFonts w:eastAsia="Calibri" w:cs="Verdana"/>
          <w:bCs/>
          <w:iCs/>
          <w:szCs w:val="20"/>
          <w:lang w:val="en-US" w:eastAsia="es-CR"/>
        </w:rPr>
        <w:t xml:space="preserve"> </w:t>
      </w:r>
      <w:r w:rsidR="007A7F3A" w:rsidRPr="009F337B">
        <w:rPr>
          <w:rFonts w:eastAsia="Calibri" w:cs="Verdana"/>
          <w:bCs/>
          <w:iCs/>
          <w:szCs w:val="20"/>
          <w:lang w:val="en-US" w:eastAsia="es-CR"/>
        </w:rPr>
        <w:t>the preliminary objection</w:t>
      </w:r>
      <w:r w:rsidR="009455ED" w:rsidRPr="009F337B">
        <w:rPr>
          <w:rFonts w:eastAsia="Calibri" w:cs="Verdana"/>
          <w:bCs/>
          <w:iCs/>
          <w:szCs w:val="20"/>
          <w:lang w:val="en-US" w:eastAsia="es-CR"/>
        </w:rPr>
        <w:t xml:space="preserve"> </w:t>
      </w:r>
      <w:r w:rsidR="00473F70" w:rsidRPr="009F337B">
        <w:rPr>
          <w:rFonts w:eastAsia="Calibri" w:cs="Verdana"/>
          <w:bCs/>
          <w:iCs/>
          <w:szCs w:val="20"/>
          <w:lang w:val="en-US" w:eastAsia="es-CR"/>
        </w:rPr>
        <w:t>filed by</w:t>
      </w:r>
      <w:r w:rsidR="009455ED" w:rsidRPr="009F337B">
        <w:rPr>
          <w:rFonts w:eastAsia="Calibri" w:cs="Verdana"/>
          <w:bCs/>
          <w:iCs/>
          <w:szCs w:val="20"/>
          <w:lang w:val="en-US" w:eastAsia="es-CR"/>
        </w:rPr>
        <w:t xml:space="preserve"> </w:t>
      </w:r>
      <w:r w:rsidR="003C46A3" w:rsidRPr="009F337B">
        <w:rPr>
          <w:rFonts w:eastAsia="Calibri" w:cs="Verdana"/>
          <w:bCs/>
          <w:iCs/>
          <w:szCs w:val="20"/>
          <w:lang w:val="en-US" w:eastAsia="es-CR"/>
        </w:rPr>
        <w:t>the State</w:t>
      </w:r>
      <w:r w:rsidR="009455ED" w:rsidRPr="009F337B">
        <w:rPr>
          <w:rFonts w:eastAsia="Calibri" w:cs="Verdana"/>
          <w:bCs/>
          <w:iCs/>
          <w:szCs w:val="20"/>
          <w:lang w:val="en-US" w:eastAsia="es-CR"/>
        </w:rPr>
        <w:t xml:space="preserve"> </w:t>
      </w:r>
      <w:r w:rsidR="00473F70" w:rsidRPr="009F337B">
        <w:rPr>
          <w:rFonts w:eastAsia="Calibri" w:cs="Verdana"/>
          <w:bCs/>
          <w:iCs/>
          <w:szCs w:val="20"/>
          <w:lang w:val="en-US" w:eastAsia="es-CR"/>
        </w:rPr>
        <w:t xml:space="preserve">did not </w:t>
      </w:r>
      <w:r w:rsidR="007C58D0" w:rsidRPr="009F337B">
        <w:rPr>
          <w:rFonts w:eastAsia="Calibri" w:cs="Verdana"/>
          <w:bCs/>
          <w:iCs/>
          <w:szCs w:val="20"/>
          <w:lang w:val="en-US" w:eastAsia="es-CR"/>
        </w:rPr>
        <w:t>fulfill</w:t>
      </w:r>
      <w:r w:rsidR="00473F70" w:rsidRPr="009F337B">
        <w:rPr>
          <w:rFonts w:eastAsia="Calibri" w:cs="Verdana"/>
          <w:bCs/>
          <w:iCs/>
          <w:szCs w:val="20"/>
          <w:lang w:val="en-US" w:eastAsia="es-CR"/>
        </w:rPr>
        <w:t xml:space="preserve"> eit</w:t>
      </w:r>
      <w:r w:rsidR="007C58D0" w:rsidRPr="009F337B">
        <w:rPr>
          <w:rFonts w:eastAsia="Calibri" w:cs="Verdana"/>
          <w:bCs/>
          <w:iCs/>
          <w:szCs w:val="20"/>
          <w:lang w:val="en-US" w:eastAsia="es-CR"/>
        </w:rPr>
        <w:t>h</w:t>
      </w:r>
      <w:r w:rsidR="00473F70" w:rsidRPr="009F337B">
        <w:rPr>
          <w:rFonts w:eastAsia="Calibri" w:cs="Verdana"/>
          <w:bCs/>
          <w:iCs/>
          <w:szCs w:val="20"/>
          <w:lang w:val="en-US" w:eastAsia="es-CR"/>
        </w:rPr>
        <w:t xml:space="preserve">er the formal or the </w:t>
      </w:r>
      <w:r w:rsidR="007C58D0" w:rsidRPr="009F337B">
        <w:rPr>
          <w:rFonts w:eastAsia="Calibri" w:cs="Verdana"/>
          <w:bCs/>
          <w:iCs/>
          <w:szCs w:val="20"/>
          <w:lang w:val="en-US" w:eastAsia="es-CR"/>
        </w:rPr>
        <w:t>substantial</w:t>
      </w:r>
      <w:r w:rsidR="00473F70" w:rsidRPr="009F337B">
        <w:rPr>
          <w:rFonts w:eastAsia="Calibri" w:cs="Verdana"/>
          <w:bCs/>
          <w:iCs/>
          <w:szCs w:val="20"/>
          <w:lang w:val="en-US" w:eastAsia="es-CR"/>
        </w:rPr>
        <w:t xml:space="preserve"> aspects established by the Convention and the Court’s </w:t>
      </w:r>
      <w:r w:rsidR="007C58D0" w:rsidRPr="009F337B">
        <w:rPr>
          <w:rFonts w:eastAsia="Calibri" w:cs="Verdana"/>
          <w:bCs/>
          <w:iCs/>
          <w:szCs w:val="20"/>
          <w:lang w:val="en-US" w:eastAsia="es-CR"/>
        </w:rPr>
        <w:t>case law</w:t>
      </w:r>
      <w:r w:rsidR="00473F70" w:rsidRPr="009F337B">
        <w:rPr>
          <w:rFonts w:eastAsia="Calibri" w:cs="Verdana"/>
          <w:bCs/>
          <w:iCs/>
          <w:szCs w:val="20"/>
          <w:lang w:val="en-US" w:eastAsia="es-CR"/>
        </w:rPr>
        <w:t xml:space="preserve">. Regarding the formal aspect, they argued that the objection was not filed at the proper procedural moment – that is, at the time of the Commission’s decision on admissibility. Regarding the </w:t>
      </w:r>
      <w:r w:rsidR="007C58D0" w:rsidRPr="009F337B">
        <w:rPr>
          <w:rFonts w:eastAsia="Calibri" w:cs="Verdana"/>
          <w:bCs/>
          <w:iCs/>
          <w:szCs w:val="20"/>
          <w:lang w:val="en-US" w:eastAsia="es-CR"/>
        </w:rPr>
        <w:t>substantial</w:t>
      </w:r>
      <w:r w:rsidR="00473F70" w:rsidRPr="009F337B">
        <w:rPr>
          <w:rFonts w:eastAsia="Calibri" w:cs="Verdana"/>
          <w:bCs/>
          <w:iCs/>
          <w:szCs w:val="20"/>
          <w:lang w:val="en-US" w:eastAsia="es-CR"/>
        </w:rPr>
        <w:t xml:space="preserve"> aspect, they indicated that the State</w:t>
      </w:r>
      <w:r w:rsidR="007C58D0" w:rsidRPr="009F337B">
        <w:rPr>
          <w:rFonts w:eastAsia="Calibri" w:cs="Verdana"/>
          <w:bCs/>
          <w:iCs/>
          <w:szCs w:val="20"/>
          <w:lang w:val="en-US" w:eastAsia="es-CR"/>
        </w:rPr>
        <w:t xml:space="preserve"> had</w:t>
      </w:r>
      <w:r w:rsidR="00473F70" w:rsidRPr="009F337B">
        <w:rPr>
          <w:rFonts w:eastAsia="Calibri" w:cs="Verdana"/>
          <w:bCs/>
          <w:iCs/>
          <w:szCs w:val="20"/>
          <w:lang w:val="en-US" w:eastAsia="es-CR"/>
        </w:rPr>
        <w:t xml:space="preserve"> failed to prove that the </w:t>
      </w:r>
      <w:r w:rsidR="007C58D0" w:rsidRPr="009F337B">
        <w:rPr>
          <w:rFonts w:eastAsia="Calibri" w:cs="Verdana"/>
          <w:bCs/>
          <w:iCs/>
          <w:szCs w:val="20"/>
          <w:lang w:val="en-US" w:eastAsia="es-CR"/>
        </w:rPr>
        <w:t xml:space="preserve">available </w:t>
      </w:r>
      <w:r w:rsidR="00473F70" w:rsidRPr="009F337B">
        <w:rPr>
          <w:rFonts w:eastAsia="Calibri" w:cs="Verdana"/>
          <w:bCs/>
          <w:iCs/>
          <w:szCs w:val="20"/>
          <w:lang w:val="en-US" w:eastAsia="es-CR"/>
        </w:rPr>
        <w:t>remedies were adequate, appropriate and effective. Consequently, they asked the Court to reject</w:t>
      </w:r>
      <w:r w:rsidR="00473F70" w:rsidRPr="009F337B">
        <w:rPr>
          <w:rFonts w:eastAsia="Calibri" w:cs="Verdana"/>
          <w:szCs w:val="20"/>
          <w:lang w:val="en-US"/>
        </w:rPr>
        <w:t xml:space="preserve"> </w:t>
      </w:r>
      <w:r w:rsidR="007A7F3A" w:rsidRPr="009F337B">
        <w:rPr>
          <w:lang w:val="en-US"/>
        </w:rPr>
        <w:t>the preliminary objection</w:t>
      </w:r>
      <w:r w:rsidR="003222C3" w:rsidRPr="009F337B">
        <w:rPr>
          <w:lang w:val="en-US"/>
        </w:rPr>
        <w:t xml:space="preserve"> </w:t>
      </w:r>
      <w:r w:rsidR="00473F70" w:rsidRPr="009F337B">
        <w:rPr>
          <w:lang w:val="en-US"/>
        </w:rPr>
        <w:t>filed by</w:t>
      </w:r>
      <w:r w:rsidR="003222C3" w:rsidRPr="009F337B">
        <w:rPr>
          <w:lang w:val="en-US"/>
        </w:rPr>
        <w:t xml:space="preserve"> </w:t>
      </w:r>
      <w:r w:rsidR="003C46A3" w:rsidRPr="009F337B">
        <w:rPr>
          <w:lang w:val="en-US"/>
        </w:rPr>
        <w:t>the State</w:t>
      </w:r>
      <w:r w:rsidR="009455ED" w:rsidRPr="009F337B">
        <w:rPr>
          <w:lang w:val="en-US"/>
        </w:rPr>
        <w:t>.</w:t>
      </w:r>
      <w:bookmarkStart w:id="40" w:name="_Toc501211897"/>
    </w:p>
    <w:p w14:paraId="0CCD2D6B" w14:textId="77777777" w:rsidR="003222C3" w:rsidRPr="009F337B" w:rsidRDefault="003222C3" w:rsidP="003222C3">
      <w:pPr>
        <w:widowControl w:val="0"/>
        <w:tabs>
          <w:tab w:val="left" w:pos="567"/>
        </w:tabs>
        <w:adjustRightInd w:val="0"/>
        <w:ind w:right="4"/>
        <w:rPr>
          <w:rFonts w:eastAsia="Calibri" w:cs="Verdana"/>
          <w:szCs w:val="20"/>
          <w:lang w:val="en-US"/>
        </w:rPr>
      </w:pPr>
    </w:p>
    <w:p w14:paraId="70F8CF32" w14:textId="7867A3E5" w:rsidR="009455ED" w:rsidRPr="009F337B" w:rsidRDefault="001D1187" w:rsidP="009F7070">
      <w:pPr>
        <w:pStyle w:val="Ttulo3"/>
        <w:spacing w:before="0"/>
        <w:rPr>
          <w:lang w:val="en-US"/>
        </w:rPr>
      </w:pPr>
      <w:r w:rsidRPr="009F337B">
        <w:rPr>
          <w:lang w:val="en-US"/>
        </w:rPr>
        <w:tab/>
      </w:r>
      <w:bookmarkStart w:id="41" w:name="_Toc527466468"/>
      <w:r w:rsidR="009455ED" w:rsidRPr="009F337B">
        <w:rPr>
          <w:lang w:val="en-US"/>
        </w:rPr>
        <w:t>A.2</w:t>
      </w:r>
      <w:r w:rsidRPr="009F337B">
        <w:rPr>
          <w:lang w:val="en-US"/>
        </w:rPr>
        <w:t>.</w:t>
      </w:r>
      <w:r w:rsidR="009455ED" w:rsidRPr="009F337B">
        <w:rPr>
          <w:lang w:val="en-US"/>
        </w:rPr>
        <w:t xml:space="preserve"> </w:t>
      </w:r>
      <w:r w:rsidR="009455ED" w:rsidRPr="009F337B">
        <w:rPr>
          <w:lang w:val="en-US"/>
        </w:rPr>
        <w:tab/>
      </w:r>
      <w:r w:rsidR="00473F70" w:rsidRPr="009F337B">
        <w:rPr>
          <w:lang w:val="en-US"/>
        </w:rPr>
        <w:t>Considerations</w:t>
      </w:r>
      <w:r w:rsidR="00AE5F9E" w:rsidRPr="009F337B">
        <w:rPr>
          <w:lang w:val="en-US"/>
        </w:rPr>
        <w:t xml:space="preserve"> of the Court</w:t>
      </w:r>
      <w:bookmarkEnd w:id="40"/>
      <w:bookmarkEnd w:id="41"/>
    </w:p>
    <w:p w14:paraId="189817EB" w14:textId="77777777" w:rsidR="003222C3" w:rsidRPr="009F337B" w:rsidRDefault="003222C3" w:rsidP="003222C3">
      <w:pPr>
        <w:rPr>
          <w:lang w:val="en-US"/>
        </w:rPr>
      </w:pPr>
    </w:p>
    <w:p w14:paraId="5A9E1212" w14:textId="6EC79D74" w:rsidR="00BB34F7" w:rsidRPr="009F337B" w:rsidRDefault="00AE5F9E" w:rsidP="00593E37">
      <w:pPr>
        <w:widowControl w:val="0"/>
        <w:numPr>
          <w:ilvl w:val="0"/>
          <w:numId w:val="1"/>
        </w:numPr>
        <w:tabs>
          <w:tab w:val="left" w:pos="567"/>
        </w:tabs>
        <w:adjustRightInd w:val="0"/>
        <w:ind w:left="0" w:right="4" w:firstLine="0"/>
        <w:rPr>
          <w:rFonts w:eastAsia="Calibri" w:cs="Verdana"/>
          <w:szCs w:val="20"/>
          <w:lang w:val="en-US"/>
        </w:rPr>
      </w:pPr>
      <w:r w:rsidRPr="009F337B">
        <w:rPr>
          <w:szCs w:val="20"/>
          <w:lang w:val="en-US"/>
        </w:rPr>
        <w:t>Article</w:t>
      </w:r>
      <w:r w:rsidR="009455ED" w:rsidRPr="009F337B">
        <w:rPr>
          <w:szCs w:val="20"/>
          <w:lang w:val="en-US"/>
        </w:rPr>
        <w:t xml:space="preserve"> </w:t>
      </w:r>
      <w:r w:rsidR="00473F70" w:rsidRPr="009F337B">
        <w:rPr>
          <w:szCs w:val="20"/>
          <w:lang w:val="en-US"/>
        </w:rPr>
        <w:t>46(1)(a)</w:t>
      </w:r>
      <w:r w:rsidRPr="009F337B">
        <w:rPr>
          <w:szCs w:val="20"/>
          <w:lang w:val="en-US"/>
        </w:rPr>
        <w:t xml:space="preserve"> of the Convention</w:t>
      </w:r>
      <w:r w:rsidR="009455ED" w:rsidRPr="009F337B">
        <w:rPr>
          <w:szCs w:val="20"/>
          <w:lang w:val="en-US"/>
        </w:rPr>
        <w:t xml:space="preserve"> </w:t>
      </w:r>
      <w:r w:rsidR="00473F70" w:rsidRPr="009F337B">
        <w:rPr>
          <w:szCs w:val="20"/>
          <w:lang w:val="en-US"/>
        </w:rPr>
        <w:t xml:space="preserve">establishes that, </w:t>
      </w:r>
      <w:r w:rsidR="008F201B" w:rsidRPr="009F337B">
        <w:rPr>
          <w:szCs w:val="20"/>
          <w:lang w:val="en-US"/>
        </w:rPr>
        <w:t xml:space="preserve">for ädmission by the Commission of a petition or communication lodged in accordance with Articles 44 or 45, </w:t>
      </w:r>
      <w:r w:rsidR="00A062AC" w:rsidRPr="009F337B">
        <w:rPr>
          <w:szCs w:val="20"/>
          <w:lang w:val="en-US"/>
        </w:rPr>
        <w:t>“</w:t>
      </w:r>
      <w:r w:rsidR="008F201B" w:rsidRPr="009F337B">
        <w:rPr>
          <w:szCs w:val="20"/>
          <w:lang w:val="en-US"/>
        </w:rPr>
        <w:t>it is necessary that  the remedies under domestic law have been pursued and exhausted in accordance with generally recognized principles of international law</w:t>
      </w:r>
      <w:r w:rsidR="00A062AC" w:rsidRPr="009F337B">
        <w:rPr>
          <w:szCs w:val="20"/>
          <w:lang w:val="en-US"/>
        </w:rPr>
        <w:t>.”</w:t>
      </w:r>
      <w:r w:rsidR="009455ED" w:rsidRPr="009F337B">
        <w:rPr>
          <w:rStyle w:val="Refdenotaalpie"/>
          <w:bCs/>
          <w:iCs/>
          <w:lang w:val="en-US"/>
        </w:rPr>
        <w:footnoteReference w:id="11"/>
      </w:r>
    </w:p>
    <w:p w14:paraId="6A66FF0A" w14:textId="77777777" w:rsidR="003222C3" w:rsidRPr="009F337B" w:rsidRDefault="003222C3" w:rsidP="003222C3">
      <w:pPr>
        <w:widowControl w:val="0"/>
        <w:tabs>
          <w:tab w:val="left" w:pos="567"/>
        </w:tabs>
        <w:adjustRightInd w:val="0"/>
        <w:ind w:right="4"/>
        <w:rPr>
          <w:rFonts w:eastAsia="Calibri" w:cs="Verdana"/>
          <w:szCs w:val="20"/>
          <w:lang w:val="en-US"/>
        </w:rPr>
      </w:pPr>
    </w:p>
    <w:p w14:paraId="1597D413" w14:textId="0775AE8A" w:rsidR="00BB34F7" w:rsidRPr="009F337B" w:rsidRDefault="00A062AC" w:rsidP="00593E37">
      <w:pPr>
        <w:widowControl w:val="0"/>
        <w:numPr>
          <w:ilvl w:val="0"/>
          <w:numId w:val="1"/>
        </w:numPr>
        <w:tabs>
          <w:tab w:val="left" w:pos="567"/>
        </w:tabs>
        <w:adjustRightInd w:val="0"/>
        <w:ind w:left="0" w:right="4" w:firstLine="0"/>
        <w:rPr>
          <w:rFonts w:eastAsia="Calibri" w:cs="Verdana"/>
          <w:szCs w:val="20"/>
          <w:lang w:val="en-US"/>
        </w:rPr>
      </w:pPr>
      <w:r w:rsidRPr="009F337B">
        <w:rPr>
          <w:szCs w:val="20"/>
          <w:lang w:val="en-US" w:eastAsia="es-ES"/>
        </w:rPr>
        <w:t>The Court has developed standards to analyze an objection based on presumed failure to comply with the requirement of exhaustion of domestic remedies. First, it has interpreted the objection as a means of defense available to the State and, as such, the State may waive it either expressly or tacitly. Second, th</w:t>
      </w:r>
      <w:r w:rsidR="007C58D0" w:rsidRPr="009F337B">
        <w:rPr>
          <w:szCs w:val="20"/>
          <w:lang w:val="en-US" w:eastAsia="es-ES"/>
        </w:rPr>
        <w:t>e</w:t>
      </w:r>
      <w:r w:rsidRPr="009F337B">
        <w:rPr>
          <w:szCs w:val="20"/>
          <w:lang w:val="en-US" w:eastAsia="es-ES"/>
        </w:rPr>
        <w:t xml:space="preserve"> object</w:t>
      </w:r>
      <w:r w:rsidR="007C58D0" w:rsidRPr="009F337B">
        <w:rPr>
          <w:szCs w:val="20"/>
          <w:lang w:val="en-US" w:eastAsia="es-ES"/>
        </w:rPr>
        <w:t>ion</w:t>
      </w:r>
      <w:r w:rsidRPr="009F337B">
        <w:rPr>
          <w:szCs w:val="20"/>
          <w:lang w:val="en-US" w:eastAsia="es-ES"/>
        </w:rPr>
        <w:t xml:space="preserve"> must be filed at the </w:t>
      </w:r>
      <w:r w:rsidR="007C58D0" w:rsidRPr="009F337B">
        <w:rPr>
          <w:szCs w:val="20"/>
          <w:lang w:val="en-US" w:eastAsia="es-ES"/>
        </w:rPr>
        <w:t>proper</w:t>
      </w:r>
      <w:r w:rsidRPr="009F337B">
        <w:rPr>
          <w:szCs w:val="20"/>
          <w:lang w:val="en-US" w:eastAsia="es-ES"/>
        </w:rPr>
        <w:t xml:space="preserve"> </w:t>
      </w:r>
      <w:r w:rsidRPr="009F337B">
        <w:rPr>
          <w:szCs w:val="20"/>
          <w:lang w:val="en-US" w:eastAsia="es-ES"/>
        </w:rPr>
        <w:lastRenderedPageBreak/>
        <w:t xml:space="preserve">moment for the State to be able to exercise its right to defense. Third, the Court has </w:t>
      </w:r>
      <w:r w:rsidR="007C58D0" w:rsidRPr="009F337B">
        <w:rPr>
          <w:szCs w:val="20"/>
          <w:lang w:val="en-US" w:eastAsia="es-ES"/>
        </w:rPr>
        <w:t>maintained</w:t>
      </w:r>
      <w:r w:rsidRPr="009F337B">
        <w:rPr>
          <w:szCs w:val="20"/>
          <w:lang w:val="en-US" w:eastAsia="es-ES"/>
        </w:rPr>
        <w:t xml:space="preserve"> that the State that files this objection must specify the domestic remedies that </w:t>
      </w:r>
      <w:r w:rsidR="00542AB5">
        <w:rPr>
          <w:szCs w:val="20"/>
          <w:lang w:val="en-US" w:eastAsia="es-ES"/>
        </w:rPr>
        <w:t>remained to be</w:t>
      </w:r>
      <w:r w:rsidRPr="009F337B">
        <w:rPr>
          <w:szCs w:val="20"/>
          <w:lang w:val="en-US" w:eastAsia="es-ES"/>
        </w:rPr>
        <w:t xml:space="preserve"> exhausted, and prove that those remedies were available and effective.</w:t>
      </w:r>
      <w:r w:rsidR="009455ED" w:rsidRPr="009F337B">
        <w:rPr>
          <w:vertAlign w:val="superscript"/>
          <w:lang w:val="en-US"/>
        </w:rPr>
        <w:footnoteReference w:id="12"/>
      </w:r>
    </w:p>
    <w:p w14:paraId="79844567" w14:textId="77777777" w:rsidR="00BB34F7" w:rsidRPr="009F337B" w:rsidRDefault="00BB34F7" w:rsidP="00A062AC">
      <w:pPr>
        <w:tabs>
          <w:tab w:val="left" w:pos="567"/>
        </w:tabs>
        <w:rPr>
          <w:rFonts w:eastAsia="Calibri" w:cs="Verdana"/>
          <w:szCs w:val="20"/>
          <w:lang w:val="en-US"/>
        </w:rPr>
      </w:pPr>
    </w:p>
    <w:p w14:paraId="5A0A87DC" w14:textId="43AD5CCC" w:rsidR="00BB34F7" w:rsidRPr="009F337B" w:rsidRDefault="00A062AC" w:rsidP="00593E37">
      <w:pPr>
        <w:pStyle w:val="Prrafodelista"/>
        <w:numPr>
          <w:ilvl w:val="0"/>
          <w:numId w:val="1"/>
        </w:numPr>
        <w:tabs>
          <w:tab w:val="left" w:pos="567"/>
        </w:tabs>
        <w:ind w:left="0" w:firstLine="0"/>
        <w:rPr>
          <w:rFonts w:eastAsia="Calibri" w:cs="Verdana"/>
          <w:szCs w:val="20"/>
          <w:lang w:val="en-US"/>
        </w:rPr>
      </w:pPr>
      <w:r w:rsidRPr="009F337B">
        <w:rPr>
          <w:lang w:val="en-US"/>
        </w:rPr>
        <w:t xml:space="preserve">In this regard, the Court notes that the State, in its communication of June 18, 2004, responding to the petition lodged by </w:t>
      </w:r>
      <w:r w:rsidR="007327F5" w:rsidRPr="009F337B">
        <w:rPr>
          <w:lang w:val="en-US"/>
        </w:rPr>
        <w:t>the representatives</w:t>
      </w:r>
      <w:r w:rsidR="009455ED" w:rsidRPr="009F337B">
        <w:rPr>
          <w:lang w:val="en-US"/>
        </w:rPr>
        <w:t xml:space="preserve"> </w:t>
      </w:r>
      <w:r w:rsidRPr="009F337B">
        <w:rPr>
          <w:lang w:val="en-US"/>
        </w:rPr>
        <w:t>before</w:t>
      </w:r>
      <w:r w:rsidR="009455ED" w:rsidRPr="009F337B">
        <w:rPr>
          <w:lang w:val="en-US"/>
        </w:rPr>
        <w:t xml:space="preserve"> </w:t>
      </w:r>
      <w:r w:rsidR="00AE5F9E" w:rsidRPr="009F337B">
        <w:rPr>
          <w:lang w:val="en-US"/>
        </w:rPr>
        <w:t>the Inter-American Commission</w:t>
      </w:r>
      <w:r w:rsidR="009455ED" w:rsidRPr="009F337B">
        <w:rPr>
          <w:lang w:val="en-US"/>
        </w:rPr>
        <w:t xml:space="preserve">, </w:t>
      </w:r>
      <w:r w:rsidRPr="009F337B">
        <w:rPr>
          <w:lang w:val="en-US"/>
        </w:rPr>
        <w:t>urged</w:t>
      </w:r>
      <w:r w:rsidR="009455ED" w:rsidRPr="009F337B">
        <w:rPr>
          <w:lang w:val="en-US"/>
        </w:rPr>
        <w:t xml:space="preserve"> </w:t>
      </w:r>
      <w:r w:rsidR="00A00EE5" w:rsidRPr="009F337B">
        <w:rPr>
          <w:lang w:val="en-US"/>
        </w:rPr>
        <w:t>the presumed</w:t>
      </w:r>
      <w:r w:rsidR="003C46A3" w:rsidRPr="009F337B">
        <w:rPr>
          <w:lang w:val="en-US"/>
        </w:rPr>
        <w:t xml:space="preserve"> victims</w:t>
      </w:r>
      <w:r w:rsidR="009455ED" w:rsidRPr="009F337B">
        <w:rPr>
          <w:lang w:val="en-US"/>
        </w:rPr>
        <w:t xml:space="preserve"> “</w:t>
      </w:r>
      <w:r w:rsidRPr="009F337B">
        <w:rPr>
          <w:lang w:val="en-US"/>
        </w:rPr>
        <w:t xml:space="preserve">to </w:t>
      </w:r>
      <w:r w:rsidR="009455ED" w:rsidRPr="009F337B">
        <w:rPr>
          <w:lang w:val="en-US"/>
        </w:rPr>
        <w:t>continu</w:t>
      </w:r>
      <w:r w:rsidRPr="009F337B">
        <w:rPr>
          <w:lang w:val="en-US"/>
        </w:rPr>
        <w:t>e availing themselves of the existing legal and political remedies in the domestic jurisdiction</w:t>
      </w:r>
      <w:r w:rsidR="00934388" w:rsidRPr="009F337B">
        <w:rPr>
          <w:lang w:val="en-US"/>
        </w:rPr>
        <w:t xml:space="preserve"> until they had exhausted them.</w:t>
      </w:r>
      <w:r w:rsidR="009455ED" w:rsidRPr="009F337B">
        <w:rPr>
          <w:lang w:val="en-US"/>
        </w:rPr>
        <w:t>”</w:t>
      </w:r>
      <w:r w:rsidR="00610ED3" w:rsidRPr="009F337B">
        <w:rPr>
          <w:rStyle w:val="Refdenotaalpie"/>
          <w:lang w:val="en-US"/>
        </w:rPr>
        <w:footnoteReference w:id="13"/>
      </w:r>
      <w:r w:rsidR="009455ED" w:rsidRPr="009F337B">
        <w:rPr>
          <w:lang w:val="en-US"/>
        </w:rPr>
        <w:t xml:space="preserve"> </w:t>
      </w:r>
      <w:r w:rsidR="00934388" w:rsidRPr="009F337B">
        <w:rPr>
          <w:lang w:val="en-US"/>
        </w:rPr>
        <w:t>The Court also note</w:t>
      </w:r>
      <w:r w:rsidR="005548B9" w:rsidRPr="009F337B">
        <w:rPr>
          <w:lang w:val="en-US"/>
        </w:rPr>
        <w:t>s</w:t>
      </w:r>
      <w:r w:rsidR="00934388" w:rsidRPr="009F337B">
        <w:rPr>
          <w:lang w:val="en-US"/>
        </w:rPr>
        <w:t xml:space="preserve"> that the State had not given any other indication of the remedies that should be exhausted up until its answering brief of July 3, </w:t>
      </w:r>
      <w:r w:rsidR="009455ED" w:rsidRPr="009F337B">
        <w:rPr>
          <w:lang w:val="en-US"/>
        </w:rPr>
        <w:t>2017</w:t>
      </w:r>
      <w:r w:rsidR="00934388" w:rsidRPr="009F337B">
        <w:rPr>
          <w:lang w:val="en-US"/>
        </w:rPr>
        <w:t xml:space="preserve">; in other words, </w:t>
      </w:r>
      <w:r w:rsidR="005548B9" w:rsidRPr="009F337B">
        <w:rPr>
          <w:lang w:val="en-US"/>
        </w:rPr>
        <w:t>at</w:t>
      </w:r>
      <w:r w:rsidR="00934388" w:rsidRPr="009F337B">
        <w:rPr>
          <w:lang w:val="en-US"/>
        </w:rPr>
        <w:t xml:space="preserve"> the procedural stage before th</w:t>
      </w:r>
      <w:r w:rsidR="005548B9" w:rsidRPr="009F337B">
        <w:rPr>
          <w:lang w:val="en-US"/>
        </w:rPr>
        <w:t>e</w:t>
      </w:r>
      <w:r w:rsidR="00934388" w:rsidRPr="009F337B">
        <w:rPr>
          <w:lang w:val="en-US"/>
        </w:rPr>
        <w:t xml:space="preserve"> Court. </w:t>
      </w:r>
      <w:r w:rsidR="005548B9" w:rsidRPr="009F337B">
        <w:rPr>
          <w:lang w:val="en-US"/>
        </w:rPr>
        <w:t>In</w:t>
      </w:r>
      <w:r w:rsidR="00934388" w:rsidRPr="009F337B">
        <w:rPr>
          <w:lang w:val="en-US"/>
        </w:rPr>
        <w:t xml:space="preserve"> that brief, the State advised that </w:t>
      </w:r>
      <w:r w:rsidR="00A00EE5" w:rsidRPr="009F337B">
        <w:rPr>
          <w:lang w:val="en-US"/>
        </w:rPr>
        <w:t>the presumed</w:t>
      </w:r>
      <w:r w:rsidR="003C46A3" w:rsidRPr="009F337B">
        <w:rPr>
          <w:lang w:val="en-US"/>
        </w:rPr>
        <w:t xml:space="preserve"> victims</w:t>
      </w:r>
      <w:r w:rsidR="009455ED" w:rsidRPr="009F337B">
        <w:rPr>
          <w:lang w:val="en-US"/>
        </w:rPr>
        <w:t xml:space="preserve"> “</w:t>
      </w:r>
      <w:r w:rsidR="00934388" w:rsidRPr="009F337B">
        <w:rPr>
          <w:lang w:val="en-US"/>
        </w:rPr>
        <w:t xml:space="preserve">had not availed themselves of </w:t>
      </w:r>
      <w:r w:rsidR="00AE5F9E" w:rsidRPr="009F337B">
        <w:rPr>
          <w:lang w:val="en-US"/>
        </w:rPr>
        <w:t>Articles</w:t>
      </w:r>
      <w:r w:rsidR="009455ED" w:rsidRPr="009F337B">
        <w:rPr>
          <w:lang w:val="en-US"/>
        </w:rPr>
        <w:t xml:space="preserve"> 70</w:t>
      </w:r>
      <w:r w:rsidR="003C46A3" w:rsidRPr="009F337B">
        <w:rPr>
          <w:lang w:val="en-US"/>
        </w:rPr>
        <w:t xml:space="preserve"> and </w:t>
      </w:r>
      <w:r w:rsidR="009455ED" w:rsidRPr="009F337B">
        <w:rPr>
          <w:lang w:val="en-US"/>
        </w:rPr>
        <w:t xml:space="preserve">71 </w:t>
      </w:r>
      <w:r w:rsidR="00934388" w:rsidRPr="009F337B">
        <w:rPr>
          <w:lang w:val="en-US"/>
        </w:rPr>
        <w:t xml:space="preserve">in Chapter Nine </w:t>
      </w:r>
      <w:r w:rsidR="005548B9" w:rsidRPr="009F337B">
        <w:rPr>
          <w:lang w:val="en-US"/>
        </w:rPr>
        <w:t>of the Law on</w:t>
      </w:r>
      <w:r w:rsidR="005548B9" w:rsidRPr="009F337B">
        <w:rPr>
          <w:rFonts w:eastAsia="Calibri" w:cs="Verdana"/>
          <w:szCs w:val="20"/>
          <w:lang w:val="en-US"/>
        </w:rPr>
        <w:t xml:space="preserve"> Amparo, Habeas Corpus and Constitutionality</w:t>
      </w:r>
      <w:r w:rsidR="005548B9" w:rsidRPr="009F337B">
        <w:rPr>
          <w:lang w:val="en-US"/>
        </w:rPr>
        <w:t xml:space="preserve"> relating to</w:t>
      </w:r>
      <w:r w:rsidR="00934388" w:rsidRPr="009F337B">
        <w:rPr>
          <w:lang w:val="en-US"/>
        </w:rPr>
        <w:t xml:space="preserve"> </w:t>
      </w:r>
      <w:r w:rsidR="005548B9" w:rsidRPr="009F337B">
        <w:rPr>
          <w:lang w:val="en-US"/>
        </w:rPr>
        <w:t>c</w:t>
      </w:r>
      <w:r w:rsidR="00934388" w:rsidRPr="009F337B">
        <w:rPr>
          <w:lang w:val="en-US"/>
        </w:rPr>
        <w:t xml:space="preserve">larification and </w:t>
      </w:r>
      <w:r w:rsidR="005548B9" w:rsidRPr="009F337B">
        <w:rPr>
          <w:lang w:val="en-US"/>
        </w:rPr>
        <w:t>e</w:t>
      </w:r>
      <w:r w:rsidR="00934388" w:rsidRPr="009F337B">
        <w:rPr>
          <w:lang w:val="en-US"/>
        </w:rPr>
        <w:t>xpansion</w:t>
      </w:r>
      <w:r w:rsidR="00934388" w:rsidRPr="009F337B">
        <w:rPr>
          <w:rFonts w:eastAsia="Calibri" w:cs="Verdana"/>
          <w:szCs w:val="20"/>
          <w:lang w:val="en-US"/>
        </w:rPr>
        <w:t>.</w:t>
      </w:r>
      <w:r w:rsidR="00565A66" w:rsidRPr="009F337B">
        <w:rPr>
          <w:lang w:val="en-US"/>
        </w:rPr>
        <w:t>”</w:t>
      </w:r>
    </w:p>
    <w:p w14:paraId="7922D23E" w14:textId="77777777" w:rsidR="00BB34F7" w:rsidRPr="009F337B" w:rsidRDefault="00BB34F7" w:rsidP="009F7070">
      <w:pPr>
        <w:rPr>
          <w:szCs w:val="20"/>
          <w:lang w:val="en-US"/>
        </w:rPr>
      </w:pPr>
    </w:p>
    <w:p w14:paraId="0F89B2F6" w14:textId="42F634E1" w:rsidR="00BB34F7" w:rsidRPr="009F337B" w:rsidRDefault="00934388" w:rsidP="00593E37">
      <w:pPr>
        <w:pStyle w:val="Prrafodelista"/>
        <w:numPr>
          <w:ilvl w:val="0"/>
          <w:numId w:val="1"/>
        </w:numPr>
        <w:ind w:left="0" w:firstLine="0"/>
        <w:rPr>
          <w:rFonts w:eastAsia="Calibri" w:cs="Verdana"/>
          <w:szCs w:val="20"/>
          <w:lang w:val="en-US"/>
        </w:rPr>
      </w:pPr>
      <w:r w:rsidRPr="009F337B">
        <w:rPr>
          <w:szCs w:val="20"/>
          <w:lang w:val="en-US"/>
        </w:rPr>
        <w:t>In this regard, the Court notes that</w:t>
      </w:r>
      <w:r w:rsidR="005548B9" w:rsidRPr="009F337B">
        <w:rPr>
          <w:szCs w:val="20"/>
          <w:lang w:val="en-US"/>
        </w:rPr>
        <w:t>,</w:t>
      </w:r>
      <w:r w:rsidRPr="009F337B">
        <w:rPr>
          <w:szCs w:val="20"/>
          <w:lang w:val="en-US"/>
        </w:rPr>
        <w:t xml:space="preserve"> even though the State indicated, during the admissibility stage before the Commission, that the petitioners should continue making use of the legal and political remedies which existed in the domestic jurisdiction, this was a general indication that did not mention the remedies that had not been exhausted or their effectiveness. The Court recalls that it was not until </w:t>
      </w:r>
      <w:r w:rsidR="005548B9" w:rsidRPr="009F337B">
        <w:rPr>
          <w:szCs w:val="20"/>
          <w:lang w:val="en-US"/>
        </w:rPr>
        <w:t>its</w:t>
      </w:r>
      <w:r w:rsidRPr="009F337B">
        <w:rPr>
          <w:szCs w:val="20"/>
          <w:lang w:val="en-US"/>
        </w:rPr>
        <w:t xml:space="preserve"> answering brief that the State, for the first time, </w:t>
      </w:r>
      <w:r w:rsidR="00B034BA">
        <w:rPr>
          <w:szCs w:val="20"/>
          <w:lang w:val="en-US"/>
        </w:rPr>
        <w:t xml:space="preserve">indicated </w:t>
      </w:r>
      <w:r w:rsidRPr="009F337B">
        <w:rPr>
          <w:szCs w:val="20"/>
          <w:lang w:val="en-US"/>
        </w:rPr>
        <w:t xml:space="preserve">the remedies that the presumed victims should </w:t>
      </w:r>
      <w:r w:rsidR="005548B9" w:rsidRPr="009F337B">
        <w:rPr>
          <w:szCs w:val="20"/>
          <w:lang w:val="en-US"/>
        </w:rPr>
        <w:t xml:space="preserve">have </w:t>
      </w:r>
      <w:r w:rsidRPr="009F337B">
        <w:rPr>
          <w:szCs w:val="20"/>
          <w:lang w:val="en-US"/>
        </w:rPr>
        <w:t>exhaust</w:t>
      </w:r>
      <w:r w:rsidR="005548B9" w:rsidRPr="009F337B">
        <w:rPr>
          <w:szCs w:val="20"/>
          <w:lang w:val="en-US"/>
        </w:rPr>
        <w:t>ed</w:t>
      </w:r>
      <w:r w:rsidRPr="009F337B">
        <w:rPr>
          <w:szCs w:val="20"/>
          <w:lang w:val="en-US"/>
        </w:rPr>
        <w:t xml:space="preserve"> before having recourse to the international jurisdiction. </w:t>
      </w:r>
      <w:r w:rsidR="005548B9" w:rsidRPr="009F337B">
        <w:rPr>
          <w:szCs w:val="20"/>
          <w:lang w:val="en-US"/>
        </w:rPr>
        <w:t>Accordingly</w:t>
      </w:r>
      <w:r w:rsidRPr="009F337B">
        <w:rPr>
          <w:szCs w:val="20"/>
          <w:lang w:val="en-US"/>
        </w:rPr>
        <w:t>, the Court considers that</w:t>
      </w:r>
      <w:r w:rsidR="005548B9" w:rsidRPr="009F337B">
        <w:rPr>
          <w:szCs w:val="20"/>
          <w:lang w:val="en-US"/>
        </w:rPr>
        <w:t>,</w:t>
      </w:r>
      <w:r w:rsidRPr="009F337B">
        <w:rPr>
          <w:szCs w:val="20"/>
          <w:lang w:val="en-US"/>
        </w:rPr>
        <w:t xml:space="preserve"> at no time during the admissibility stage, which is the proper procedural moment for filing an o</w:t>
      </w:r>
      <w:r w:rsidR="00A00EE5" w:rsidRPr="009F337B">
        <w:rPr>
          <w:szCs w:val="20"/>
          <w:lang w:val="en-US"/>
        </w:rPr>
        <w:t>bjection based on failure to exhaust domestic remedies</w:t>
      </w:r>
      <w:r w:rsidR="009455ED" w:rsidRPr="009F337B">
        <w:rPr>
          <w:szCs w:val="20"/>
          <w:lang w:val="en-US"/>
        </w:rPr>
        <w:t xml:space="preserve">, </w:t>
      </w:r>
      <w:r w:rsidRPr="009F337B">
        <w:rPr>
          <w:szCs w:val="20"/>
          <w:lang w:val="en-US"/>
        </w:rPr>
        <w:t xml:space="preserve">had </w:t>
      </w:r>
      <w:r w:rsidR="003C46A3" w:rsidRPr="009F337B">
        <w:rPr>
          <w:szCs w:val="20"/>
          <w:lang w:val="en-US"/>
        </w:rPr>
        <w:t>the State</w:t>
      </w:r>
      <w:r w:rsidRPr="009F337B">
        <w:rPr>
          <w:szCs w:val="20"/>
          <w:lang w:val="en-US"/>
        </w:rPr>
        <w:t xml:space="preserve"> clearly cited which remedies should be exhausted or proved their effectiveness, as required by </w:t>
      </w:r>
      <w:r w:rsidR="003C46A3" w:rsidRPr="009F337B">
        <w:rPr>
          <w:szCs w:val="20"/>
          <w:lang w:val="en-US"/>
        </w:rPr>
        <w:t>Article</w:t>
      </w:r>
      <w:r w:rsidR="00101969" w:rsidRPr="009F337B">
        <w:rPr>
          <w:szCs w:val="20"/>
          <w:lang w:val="en-US"/>
        </w:rPr>
        <w:t xml:space="preserve"> 46</w:t>
      </w:r>
      <w:r w:rsidRPr="009F337B">
        <w:rPr>
          <w:szCs w:val="20"/>
          <w:lang w:val="en-US"/>
        </w:rPr>
        <w:t>(1)</w:t>
      </w:r>
      <w:r w:rsidR="00AE5F9E" w:rsidRPr="009F337B">
        <w:rPr>
          <w:szCs w:val="20"/>
          <w:lang w:val="en-US"/>
        </w:rPr>
        <w:t xml:space="preserve"> of the Convention</w:t>
      </w:r>
      <w:r w:rsidR="00101969" w:rsidRPr="009F337B">
        <w:rPr>
          <w:szCs w:val="20"/>
          <w:lang w:val="en-US"/>
        </w:rPr>
        <w:t>.</w:t>
      </w:r>
    </w:p>
    <w:p w14:paraId="02AD6FC8" w14:textId="77777777" w:rsidR="00BB34F7" w:rsidRPr="009F337B" w:rsidRDefault="00BB34F7" w:rsidP="009F7070">
      <w:pPr>
        <w:rPr>
          <w:szCs w:val="20"/>
          <w:lang w:val="en-US"/>
        </w:rPr>
      </w:pPr>
    </w:p>
    <w:p w14:paraId="4C2FF4EE" w14:textId="307A997F" w:rsidR="009455ED" w:rsidRPr="009F337B" w:rsidRDefault="00F86990" w:rsidP="00593E37">
      <w:pPr>
        <w:pStyle w:val="Prrafodelista"/>
        <w:numPr>
          <w:ilvl w:val="0"/>
          <w:numId w:val="1"/>
        </w:numPr>
        <w:ind w:left="0" w:firstLine="0"/>
        <w:rPr>
          <w:rFonts w:eastAsia="Calibri" w:cs="Verdana"/>
          <w:szCs w:val="20"/>
          <w:lang w:val="en-US"/>
        </w:rPr>
      </w:pPr>
      <w:r w:rsidRPr="009F337B">
        <w:rPr>
          <w:szCs w:val="20"/>
          <w:lang w:val="en-US"/>
        </w:rPr>
        <w:t xml:space="preserve">Consequently, </w:t>
      </w:r>
      <w:r w:rsidR="00AE5F9E" w:rsidRPr="009F337B">
        <w:rPr>
          <w:szCs w:val="20"/>
          <w:lang w:val="en-US"/>
        </w:rPr>
        <w:t>the Court</w:t>
      </w:r>
      <w:r w:rsidR="009455ED" w:rsidRPr="009F337B">
        <w:rPr>
          <w:szCs w:val="20"/>
          <w:lang w:val="en-US"/>
        </w:rPr>
        <w:t xml:space="preserve"> consider</w:t>
      </w:r>
      <w:r w:rsidRPr="009F337B">
        <w:rPr>
          <w:szCs w:val="20"/>
          <w:lang w:val="en-US"/>
        </w:rPr>
        <w:t xml:space="preserve">s that </w:t>
      </w:r>
      <w:r w:rsidR="007A7F3A" w:rsidRPr="009F337B">
        <w:rPr>
          <w:szCs w:val="20"/>
          <w:lang w:val="en-US"/>
        </w:rPr>
        <w:t>the preliminary objection</w:t>
      </w:r>
      <w:r w:rsidR="009455ED" w:rsidRPr="009F337B">
        <w:rPr>
          <w:szCs w:val="20"/>
          <w:lang w:val="en-US"/>
        </w:rPr>
        <w:t xml:space="preserve"> </w:t>
      </w:r>
      <w:r w:rsidRPr="009F337B">
        <w:rPr>
          <w:szCs w:val="20"/>
          <w:lang w:val="en-US"/>
        </w:rPr>
        <w:t>of failure to exhaust domestic remedies filed by Guatemala is inadmissible, due to its belated submission</w:t>
      </w:r>
      <w:r w:rsidR="009455ED" w:rsidRPr="009F337B">
        <w:rPr>
          <w:szCs w:val="20"/>
          <w:lang w:val="en-US"/>
        </w:rPr>
        <w:t>.</w:t>
      </w:r>
    </w:p>
    <w:p w14:paraId="6A5F75A0" w14:textId="77777777" w:rsidR="00F86990" w:rsidRPr="009F337B" w:rsidRDefault="00F86990" w:rsidP="00F86990">
      <w:pPr>
        <w:pStyle w:val="Prrafodelista"/>
        <w:ind w:left="0"/>
        <w:rPr>
          <w:rFonts w:eastAsia="Calibri" w:cs="Verdana"/>
          <w:szCs w:val="20"/>
          <w:lang w:val="en-US"/>
        </w:rPr>
      </w:pPr>
    </w:p>
    <w:p w14:paraId="66D42AD8" w14:textId="7F9DD02F" w:rsidR="009455ED" w:rsidRPr="009F337B" w:rsidRDefault="009455ED" w:rsidP="009F7070">
      <w:pPr>
        <w:pStyle w:val="Ttulo1"/>
        <w:spacing w:before="0" w:after="0"/>
        <w:rPr>
          <w:lang w:val="en-US"/>
        </w:rPr>
      </w:pPr>
      <w:bookmarkStart w:id="42" w:name="_Toc527466469"/>
      <w:r w:rsidRPr="009F337B">
        <w:rPr>
          <w:lang w:val="en-US"/>
        </w:rPr>
        <w:t>V</w:t>
      </w:r>
      <w:r w:rsidR="001D1187" w:rsidRPr="009F337B">
        <w:rPr>
          <w:lang w:val="en-US"/>
        </w:rPr>
        <w:t>.</w:t>
      </w:r>
      <w:r w:rsidRPr="009F337B">
        <w:rPr>
          <w:lang w:val="en-US"/>
        </w:rPr>
        <w:br/>
      </w:r>
      <w:r w:rsidR="00F86990" w:rsidRPr="009F337B">
        <w:rPr>
          <w:lang w:val="en-US"/>
        </w:rPr>
        <w:t>PRIOR CONSIDERATION</w:t>
      </w:r>
      <w:bookmarkEnd w:id="42"/>
    </w:p>
    <w:p w14:paraId="0C23BAA0" w14:textId="77777777" w:rsidR="00565A66" w:rsidRPr="009F337B" w:rsidRDefault="00565A66" w:rsidP="00565A66">
      <w:pPr>
        <w:rPr>
          <w:lang w:val="en-US" w:eastAsia="es-ES"/>
        </w:rPr>
      </w:pPr>
    </w:p>
    <w:p w14:paraId="747C9F3F" w14:textId="45ECE8F2" w:rsidR="009455ED" w:rsidRPr="009F337B" w:rsidRDefault="00F86990" w:rsidP="00593E37">
      <w:pPr>
        <w:pStyle w:val="Ttulo2"/>
        <w:numPr>
          <w:ilvl w:val="0"/>
          <w:numId w:val="7"/>
        </w:numPr>
        <w:spacing w:before="0" w:after="0"/>
        <w:rPr>
          <w:lang w:val="en-US"/>
        </w:rPr>
      </w:pPr>
      <w:r w:rsidRPr="009F337B">
        <w:rPr>
          <w:lang w:val="en-US"/>
        </w:rPr>
        <w:t>Determination of the presumed victims in this case</w:t>
      </w:r>
    </w:p>
    <w:p w14:paraId="69D1A844" w14:textId="77777777" w:rsidR="00565A66" w:rsidRPr="009F337B" w:rsidRDefault="00565A66" w:rsidP="00565A66">
      <w:pPr>
        <w:rPr>
          <w:lang w:val="en-US"/>
        </w:rPr>
      </w:pPr>
    </w:p>
    <w:p w14:paraId="6BF61A9C" w14:textId="0EDE872F" w:rsidR="009455ED" w:rsidRPr="009F337B" w:rsidRDefault="00C87515" w:rsidP="009F7070">
      <w:pPr>
        <w:pStyle w:val="Ttulo3"/>
        <w:spacing w:before="0"/>
        <w:rPr>
          <w:b w:val="0"/>
          <w:i w:val="0"/>
          <w:lang w:val="en-US"/>
        </w:rPr>
      </w:pPr>
      <w:r w:rsidRPr="009F337B">
        <w:rPr>
          <w:lang w:val="en-US"/>
        </w:rPr>
        <w:tab/>
      </w:r>
      <w:bookmarkStart w:id="43" w:name="_Toc527466471"/>
      <w:r w:rsidR="009455ED" w:rsidRPr="009F337B">
        <w:rPr>
          <w:lang w:val="en-US"/>
        </w:rPr>
        <w:t>A.1</w:t>
      </w:r>
      <w:r w:rsidR="001D1187" w:rsidRPr="009F337B">
        <w:rPr>
          <w:lang w:val="en-US"/>
        </w:rPr>
        <w:t>.</w:t>
      </w:r>
      <w:r w:rsidR="009455ED" w:rsidRPr="009F337B">
        <w:rPr>
          <w:lang w:val="en-US"/>
        </w:rPr>
        <w:t xml:space="preserve"> </w:t>
      </w:r>
      <w:r w:rsidR="009455ED" w:rsidRPr="009F337B">
        <w:rPr>
          <w:lang w:val="en-US"/>
        </w:rPr>
        <w:tab/>
      </w:r>
      <w:r w:rsidR="00A00EE5" w:rsidRPr="009F337B">
        <w:rPr>
          <w:lang w:val="en-US"/>
        </w:rPr>
        <w:t>Arguments of the parties and observations</w:t>
      </w:r>
      <w:r w:rsidR="00AE5F9E" w:rsidRPr="009F337B">
        <w:rPr>
          <w:lang w:val="en-US"/>
        </w:rPr>
        <w:t xml:space="preserve"> of the Commission</w:t>
      </w:r>
      <w:bookmarkEnd w:id="43"/>
    </w:p>
    <w:p w14:paraId="6C4F13FC" w14:textId="77777777" w:rsidR="00BB34F7" w:rsidRPr="009F337B" w:rsidRDefault="00BB34F7" w:rsidP="009F7070">
      <w:pPr>
        <w:pStyle w:val="Prrafodelista"/>
        <w:ind w:left="0"/>
        <w:rPr>
          <w:rFonts w:eastAsia="Calibri" w:cs="Verdana"/>
          <w:szCs w:val="20"/>
          <w:lang w:val="en-US"/>
        </w:rPr>
      </w:pPr>
    </w:p>
    <w:p w14:paraId="009F1D9B" w14:textId="4B0C91BE" w:rsidR="00080A1E" w:rsidRPr="009F337B" w:rsidRDefault="007327F5" w:rsidP="00593E37">
      <w:pPr>
        <w:pStyle w:val="Prrafodelista"/>
        <w:numPr>
          <w:ilvl w:val="0"/>
          <w:numId w:val="1"/>
        </w:numPr>
        <w:ind w:left="0" w:firstLine="0"/>
        <w:rPr>
          <w:lang w:val="en-US"/>
        </w:rPr>
      </w:pPr>
      <w:r w:rsidRPr="009F337B">
        <w:rPr>
          <w:lang w:val="en-US"/>
        </w:rPr>
        <w:t xml:space="preserve">The </w:t>
      </w:r>
      <w:r w:rsidRPr="009F337B">
        <w:rPr>
          <w:b/>
          <w:i/>
          <w:lang w:val="en-US"/>
        </w:rPr>
        <w:t>representatives</w:t>
      </w:r>
      <w:r w:rsidR="007E6B9B" w:rsidRPr="009F337B">
        <w:rPr>
          <w:lang w:val="en-US"/>
        </w:rPr>
        <w:t xml:space="preserve"> </w:t>
      </w:r>
      <w:r w:rsidR="00080A1E" w:rsidRPr="009F337B">
        <w:rPr>
          <w:lang w:val="en-US"/>
        </w:rPr>
        <w:t>indicated that</w:t>
      </w:r>
      <w:r w:rsidR="007E6B9B" w:rsidRPr="009F337B">
        <w:rPr>
          <w:lang w:val="en-US"/>
        </w:rPr>
        <w:t xml:space="preserve"> Roberto Gómez García, L.A.L., María Elena Morales</w:t>
      </w:r>
      <w:r w:rsidR="00EC402C" w:rsidRPr="009F337B">
        <w:rPr>
          <w:lang w:val="en-US"/>
        </w:rPr>
        <w:t xml:space="preserve"> Villafuerte</w:t>
      </w:r>
      <w:r w:rsidR="007E6B9B" w:rsidRPr="009F337B">
        <w:rPr>
          <w:lang w:val="en-US"/>
        </w:rPr>
        <w:t xml:space="preserve">, Heidi Mariela Lucas </w:t>
      </w:r>
      <w:proofErr w:type="spellStart"/>
      <w:r w:rsidR="007E6B9B" w:rsidRPr="009F337B">
        <w:rPr>
          <w:lang w:val="en-US"/>
        </w:rPr>
        <w:t>Gonzáles</w:t>
      </w:r>
      <w:proofErr w:type="spellEnd"/>
      <w:r w:rsidR="003C46A3" w:rsidRPr="009F337B">
        <w:rPr>
          <w:lang w:val="en-US"/>
        </w:rPr>
        <w:t xml:space="preserve"> and </w:t>
      </w:r>
      <w:r w:rsidR="007E6B9B" w:rsidRPr="009F337B">
        <w:rPr>
          <w:lang w:val="en-US"/>
        </w:rPr>
        <w:t xml:space="preserve">Marvin </w:t>
      </w:r>
      <w:proofErr w:type="spellStart"/>
      <w:r w:rsidR="007E6B9B" w:rsidRPr="009F337B">
        <w:rPr>
          <w:lang w:val="en-US"/>
        </w:rPr>
        <w:t>Josué</w:t>
      </w:r>
      <w:proofErr w:type="spellEnd"/>
      <w:r w:rsidR="007E6B9B" w:rsidRPr="009F337B">
        <w:rPr>
          <w:lang w:val="en-US"/>
        </w:rPr>
        <w:t xml:space="preserve"> Lucas González, inclu</w:t>
      </w:r>
      <w:r w:rsidR="00080A1E" w:rsidRPr="009F337B">
        <w:rPr>
          <w:lang w:val="en-US"/>
        </w:rPr>
        <w:t>ded as next of kin of the victims by</w:t>
      </w:r>
      <w:r w:rsidR="007E6B9B" w:rsidRPr="009F337B">
        <w:rPr>
          <w:lang w:val="en-US"/>
        </w:rPr>
        <w:t xml:space="preserve"> </w:t>
      </w:r>
      <w:r w:rsidR="00AE5F9E" w:rsidRPr="009F337B">
        <w:rPr>
          <w:lang w:val="en-US"/>
        </w:rPr>
        <w:t>the Commission</w:t>
      </w:r>
      <w:r w:rsidR="007E6B9B" w:rsidRPr="009F337B">
        <w:rPr>
          <w:lang w:val="en-US"/>
        </w:rPr>
        <w:t xml:space="preserve"> </w:t>
      </w:r>
      <w:r w:rsidR="00080A1E" w:rsidRPr="009F337B">
        <w:rPr>
          <w:lang w:val="en-US"/>
        </w:rPr>
        <w:t>in its</w:t>
      </w:r>
      <w:r w:rsidR="007E6B9B" w:rsidRPr="009F337B">
        <w:rPr>
          <w:lang w:val="en-US"/>
        </w:rPr>
        <w:t xml:space="preserve"> </w:t>
      </w:r>
      <w:r w:rsidR="003C46A3" w:rsidRPr="009F337B">
        <w:rPr>
          <w:lang w:val="en-US"/>
        </w:rPr>
        <w:t>Merits Report</w:t>
      </w:r>
      <w:r w:rsidR="007E6B9B" w:rsidRPr="009F337B">
        <w:rPr>
          <w:lang w:val="en-US"/>
        </w:rPr>
        <w:t xml:space="preserve">, </w:t>
      </w:r>
      <w:r w:rsidR="00080A1E" w:rsidRPr="009F337B">
        <w:rPr>
          <w:lang w:val="en-US"/>
        </w:rPr>
        <w:t>are also people living with HIV</w:t>
      </w:r>
      <w:r w:rsidR="007E6B9B" w:rsidRPr="009F337B">
        <w:rPr>
          <w:lang w:val="en-US"/>
        </w:rPr>
        <w:t xml:space="preserve"> </w:t>
      </w:r>
      <w:r w:rsidR="00080A1E" w:rsidRPr="009F337B">
        <w:rPr>
          <w:lang w:val="en-US"/>
        </w:rPr>
        <w:t>who have endured the same violations described throughout the litigation and, therefore, should be considered direct victims who have not received comprehensive care as</w:t>
      </w:r>
    </w:p>
    <w:p w14:paraId="78D5DF71" w14:textId="08F87265" w:rsidR="007E6B9B" w:rsidRPr="009F337B" w:rsidRDefault="00080A1E" w:rsidP="00080A1E">
      <w:pPr>
        <w:pStyle w:val="Prrafodelista"/>
        <w:ind w:left="0"/>
        <w:rPr>
          <w:lang w:val="en-US"/>
        </w:rPr>
      </w:pPr>
      <w:r w:rsidRPr="009F337B">
        <w:rPr>
          <w:lang w:val="en-US"/>
        </w:rPr>
        <w:t>people living with HIV</w:t>
      </w:r>
      <w:r w:rsidR="007E6B9B" w:rsidRPr="009F337B">
        <w:rPr>
          <w:lang w:val="en-US"/>
        </w:rPr>
        <w:t xml:space="preserve">. </w:t>
      </w:r>
      <w:r w:rsidR="005548B9" w:rsidRPr="009F337B">
        <w:rPr>
          <w:lang w:val="en-US"/>
        </w:rPr>
        <w:t>They also</w:t>
      </w:r>
      <w:r w:rsidRPr="009F337B">
        <w:rPr>
          <w:lang w:val="en-US"/>
        </w:rPr>
        <w:t xml:space="preserve"> argued that that </w:t>
      </w:r>
      <w:r w:rsidR="007E6B9B" w:rsidRPr="009F337B">
        <w:rPr>
          <w:lang w:val="en-US"/>
        </w:rPr>
        <w:t xml:space="preserve">Katherine </w:t>
      </w:r>
      <w:proofErr w:type="spellStart"/>
      <w:r w:rsidR="007E6B9B" w:rsidRPr="009F337B">
        <w:rPr>
          <w:lang w:val="en-US"/>
        </w:rPr>
        <w:t>Girón</w:t>
      </w:r>
      <w:proofErr w:type="spellEnd"/>
      <w:r w:rsidR="007E6B9B" w:rsidRPr="009F337B">
        <w:rPr>
          <w:lang w:val="en-US"/>
        </w:rPr>
        <w:t xml:space="preserve"> Zepeda </w:t>
      </w:r>
      <w:r w:rsidRPr="009F337B">
        <w:rPr>
          <w:lang w:val="en-US"/>
        </w:rPr>
        <w:t>should</w:t>
      </w:r>
      <w:r w:rsidR="005548B9" w:rsidRPr="009F337B">
        <w:rPr>
          <w:lang w:val="en-US"/>
        </w:rPr>
        <w:t xml:space="preserve"> possibly</w:t>
      </w:r>
      <w:r w:rsidRPr="009F337B">
        <w:rPr>
          <w:lang w:val="en-US"/>
        </w:rPr>
        <w:t xml:space="preserve"> be considered a victim in this case by application </w:t>
      </w:r>
      <w:r w:rsidR="003C46A3" w:rsidRPr="009F337B">
        <w:rPr>
          <w:lang w:val="en-US"/>
        </w:rPr>
        <w:t>of Article</w:t>
      </w:r>
      <w:r w:rsidR="007E6B9B" w:rsidRPr="009F337B">
        <w:rPr>
          <w:lang w:val="en-US"/>
        </w:rPr>
        <w:t xml:space="preserve"> 35</w:t>
      </w:r>
      <w:r w:rsidRPr="009F337B">
        <w:rPr>
          <w:lang w:val="en-US"/>
        </w:rPr>
        <w:t>(</w:t>
      </w:r>
      <w:r w:rsidR="007E6B9B" w:rsidRPr="009F337B">
        <w:rPr>
          <w:lang w:val="en-US"/>
        </w:rPr>
        <w:t>2</w:t>
      </w:r>
      <w:r w:rsidRPr="009F337B">
        <w:rPr>
          <w:lang w:val="en-US"/>
        </w:rPr>
        <w:t>)</w:t>
      </w:r>
      <w:r w:rsidR="007E6B9B" w:rsidRPr="009F337B">
        <w:rPr>
          <w:lang w:val="en-US"/>
        </w:rPr>
        <w:t xml:space="preserve"> </w:t>
      </w:r>
      <w:r w:rsidR="00AE5F9E" w:rsidRPr="009F337B">
        <w:rPr>
          <w:lang w:val="en-US"/>
        </w:rPr>
        <w:t>of the Rules of Procedure</w:t>
      </w:r>
      <w:r w:rsidR="007E6B9B" w:rsidRPr="009F337B">
        <w:rPr>
          <w:lang w:val="en-US"/>
        </w:rPr>
        <w:t xml:space="preserve">, </w:t>
      </w:r>
      <w:r w:rsidRPr="009F337B">
        <w:rPr>
          <w:lang w:val="en-US"/>
        </w:rPr>
        <w:t>because this is a collective case insofar as it relates to 49 presumed victims who have not received comprehensive ca</w:t>
      </w:r>
      <w:r w:rsidR="005548B9" w:rsidRPr="009F337B">
        <w:rPr>
          <w:lang w:val="en-US"/>
        </w:rPr>
        <w:t>re and</w:t>
      </w:r>
      <w:r w:rsidRPr="009F337B">
        <w:rPr>
          <w:lang w:val="en-US"/>
        </w:rPr>
        <w:t xml:space="preserve"> who are in a vulnerable situation, and that Ms. </w:t>
      </w:r>
      <w:proofErr w:type="spellStart"/>
      <w:r w:rsidR="007E6B9B" w:rsidRPr="009F337B">
        <w:rPr>
          <w:lang w:val="en-US"/>
        </w:rPr>
        <w:t>Girón</w:t>
      </w:r>
      <w:proofErr w:type="spellEnd"/>
      <w:r w:rsidR="007E6B9B" w:rsidRPr="009F337B">
        <w:rPr>
          <w:lang w:val="en-US"/>
        </w:rPr>
        <w:t xml:space="preserve"> Zepeda </w:t>
      </w:r>
      <w:r w:rsidRPr="009F337B">
        <w:rPr>
          <w:lang w:val="en-US"/>
        </w:rPr>
        <w:t xml:space="preserve">became infected with HIV because the </w:t>
      </w:r>
      <w:r w:rsidR="005548B9" w:rsidRPr="009F337B">
        <w:rPr>
          <w:lang w:val="en-US"/>
        </w:rPr>
        <w:t>failure to provide</w:t>
      </w:r>
      <w:r w:rsidRPr="009F337B">
        <w:rPr>
          <w:lang w:val="en-US"/>
        </w:rPr>
        <w:t xml:space="preserve"> adequate medical care </w:t>
      </w:r>
      <w:r w:rsidR="005548B9" w:rsidRPr="009F337B">
        <w:rPr>
          <w:lang w:val="en-US"/>
        </w:rPr>
        <w:t>to</w:t>
      </w:r>
      <w:r w:rsidRPr="009F337B">
        <w:rPr>
          <w:lang w:val="en-US"/>
        </w:rPr>
        <w:t xml:space="preserve"> her moth</w:t>
      </w:r>
      <w:r w:rsidR="005548B9" w:rsidRPr="009F337B">
        <w:rPr>
          <w:lang w:val="en-US"/>
        </w:rPr>
        <w:t>er</w:t>
      </w:r>
      <w:r w:rsidRPr="009F337B">
        <w:rPr>
          <w:lang w:val="en-US"/>
        </w:rPr>
        <w:t xml:space="preserve"> led to her infection. </w:t>
      </w:r>
    </w:p>
    <w:p w14:paraId="3282FDA7" w14:textId="77777777" w:rsidR="007E6B9B" w:rsidRPr="009F337B" w:rsidRDefault="007E6B9B" w:rsidP="009F7070">
      <w:pPr>
        <w:pStyle w:val="Prrafodelista"/>
        <w:ind w:left="0"/>
        <w:rPr>
          <w:rFonts w:eastAsia="Calibri" w:cs="Verdana"/>
          <w:szCs w:val="20"/>
          <w:lang w:val="en-US"/>
        </w:rPr>
      </w:pPr>
    </w:p>
    <w:p w14:paraId="478BBFDC" w14:textId="4A84195A" w:rsidR="00F94751" w:rsidRPr="009F337B" w:rsidRDefault="00AE5F9E" w:rsidP="00593E37">
      <w:pPr>
        <w:pStyle w:val="Prrafodelista"/>
        <w:numPr>
          <w:ilvl w:val="0"/>
          <w:numId w:val="1"/>
        </w:numPr>
        <w:ind w:left="0" w:firstLine="0"/>
        <w:rPr>
          <w:rFonts w:eastAsia="Calibri" w:cs="Verdana"/>
          <w:szCs w:val="20"/>
          <w:lang w:val="en-US"/>
        </w:rPr>
      </w:pPr>
      <w:r w:rsidRPr="009F337B">
        <w:rPr>
          <w:szCs w:val="20"/>
          <w:lang w:val="en-US"/>
        </w:rPr>
        <w:t xml:space="preserve">The </w:t>
      </w:r>
      <w:r w:rsidRPr="009F337B">
        <w:rPr>
          <w:b/>
          <w:i/>
          <w:szCs w:val="20"/>
          <w:lang w:val="en-US"/>
        </w:rPr>
        <w:t>Commission</w:t>
      </w:r>
      <w:r w:rsidR="009455ED" w:rsidRPr="009F337B">
        <w:rPr>
          <w:szCs w:val="20"/>
          <w:lang w:val="en-US"/>
        </w:rPr>
        <w:t xml:space="preserve"> </w:t>
      </w:r>
      <w:r w:rsidR="00F94751" w:rsidRPr="009F337B">
        <w:rPr>
          <w:szCs w:val="20"/>
          <w:lang w:val="en-US"/>
        </w:rPr>
        <w:t>stated during the public hearing that information that ha</w:t>
      </w:r>
      <w:r w:rsidR="005548B9" w:rsidRPr="009F337B">
        <w:rPr>
          <w:szCs w:val="20"/>
          <w:lang w:val="en-US"/>
        </w:rPr>
        <w:t>d</w:t>
      </w:r>
      <w:r w:rsidR="00F94751" w:rsidRPr="009F337B">
        <w:rPr>
          <w:szCs w:val="20"/>
          <w:lang w:val="en-US"/>
        </w:rPr>
        <w:t xml:space="preserve"> </w:t>
      </w:r>
      <w:r w:rsidR="005548B9" w:rsidRPr="009F337B">
        <w:rPr>
          <w:szCs w:val="20"/>
          <w:lang w:val="en-US"/>
        </w:rPr>
        <w:t>come to light</w:t>
      </w:r>
      <w:r w:rsidR="00F94751" w:rsidRPr="009F337B">
        <w:rPr>
          <w:szCs w:val="20"/>
          <w:lang w:val="en-US"/>
        </w:rPr>
        <w:t xml:space="preserve"> during th</w:t>
      </w:r>
      <w:r w:rsidR="005548B9" w:rsidRPr="009F337B">
        <w:rPr>
          <w:szCs w:val="20"/>
          <w:lang w:val="en-US"/>
        </w:rPr>
        <w:t>e</w:t>
      </w:r>
      <w:r w:rsidR="00F94751" w:rsidRPr="009F337B">
        <w:rPr>
          <w:szCs w:val="20"/>
          <w:lang w:val="en-US"/>
        </w:rPr>
        <w:t xml:space="preserve"> case could justify the application of </w:t>
      </w:r>
      <w:r w:rsidR="003C46A3" w:rsidRPr="009F337B">
        <w:rPr>
          <w:szCs w:val="20"/>
          <w:lang w:val="en-US"/>
        </w:rPr>
        <w:t>Article</w:t>
      </w:r>
      <w:r w:rsidR="009455ED" w:rsidRPr="009F337B">
        <w:rPr>
          <w:szCs w:val="20"/>
          <w:lang w:val="en-US"/>
        </w:rPr>
        <w:t xml:space="preserve"> 35</w:t>
      </w:r>
      <w:r w:rsidR="00F94751" w:rsidRPr="009F337B">
        <w:rPr>
          <w:szCs w:val="20"/>
          <w:lang w:val="en-US"/>
        </w:rPr>
        <w:t>(2)</w:t>
      </w:r>
      <w:r w:rsidR="009455ED" w:rsidRPr="009F337B">
        <w:rPr>
          <w:szCs w:val="20"/>
          <w:lang w:val="en-US"/>
        </w:rPr>
        <w:t xml:space="preserve"> </w:t>
      </w:r>
      <w:r w:rsidRPr="009F337B">
        <w:rPr>
          <w:szCs w:val="20"/>
          <w:lang w:val="en-US"/>
        </w:rPr>
        <w:t>of the Rules of Procedure</w:t>
      </w:r>
      <w:r w:rsidR="009455ED" w:rsidRPr="009F337B">
        <w:rPr>
          <w:szCs w:val="20"/>
          <w:lang w:val="en-US"/>
        </w:rPr>
        <w:t xml:space="preserve"> </w:t>
      </w:r>
      <w:r w:rsidR="00F94751" w:rsidRPr="009F337B">
        <w:rPr>
          <w:szCs w:val="20"/>
          <w:lang w:val="en-US"/>
        </w:rPr>
        <w:t xml:space="preserve">as regards the necessary flexibility to individualize the victims </w:t>
      </w:r>
      <w:r w:rsidR="005548B9" w:rsidRPr="009F337B">
        <w:rPr>
          <w:szCs w:val="20"/>
          <w:lang w:val="en-US"/>
        </w:rPr>
        <w:t>and, thus,</w:t>
      </w:r>
      <w:r w:rsidR="00F94751" w:rsidRPr="009F337B">
        <w:rPr>
          <w:szCs w:val="20"/>
          <w:lang w:val="en-US"/>
        </w:rPr>
        <w:t xml:space="preserve"> </w:t>
      </w:r>
      <w:r w:rsidR="00033426" w:rsidRPr="009F337B">
        <w:rPr>
          <w:szCs w:val="20"/>
          <w:lang w:val="en-US"/>
        </w:rPr>
        <w:t xml:space="preserve">some victims identified as next of kin in the Merits Report should be considered direct victims. The </w:t>
      </w:r>
      <w:r w:rsidR="00033426" w:rsidRPr="009F337B">
        <w:rPr>
          <w:b/>
          <w:i/>
          <w:szCs w:val="20"/>
          <w:lang w:val="en-US"/>
        </w:rPr>
        <w:t xml:space="preserve">State </w:t>
      </w:r>
      <w:r w:rsidR="00033426" w:rsidRPr="009F337B">
        <w:rPr>
          <w:szCs w:val="20"/>
          <w:lang w:val="en-US"/>
        </w:rPr>
        <w:t xml:space="preserve">did not refer </w:t>
      </w:r>
      <w:r w:rsidR="005548B9" w:rsidRPr="009F337B">
        <w:rPr>
          <w:szCs w:val="20"/>
          <w:lang w:val="en-US"/>
        </w:rPr>
        <w:t xml:space="preserve">to </w:t>
      </w:r>
      <w:r w:rsidR="00033426" w:rsidRPr="009F337B">
        <w:rPr>
          <w:szCs w:val="20"/>
          <w:lang w:val="en-US"/>
        </w:rPr>
        <w:t>either of th</w:t>
      </w:r>
      <w:r w:rsidR="005548B9" w:rsidRPr="009F337B">
        <w:rPr>
          <w:szCs w:val="20"/>
          <w:lang w:val="en-US"/>
        </w:rPr>
        <w:t>ese</w:t>
      </w:r>
      <w:r w:rsidR="00033426" w:rsidRPr="009F337B">
        <w:rPr>
          <w:szCs w:val="20"/>
          <w:lang w:val="en-US"/>
        </w:rPr>
        <w:t xml:space="preserve"> requests.</w:t>
      </w:r>
    </w:p>
    <w:p w14:paraId="39B3F6EE" w14:textId="77777777" w:rsidR="00F947B1" w:rsidRPr="009F337B" w:rsidRDefault="00F947B1" w:rsidP="009F7070">
      <w:pPr>
        <w:pStyle w:val="Prrafodelista"/>
        <w:ind w:left="0"/>
        <w:rPr>
          <w:rFonts w:eastAsia="Calibri" w:cs="Verdana"/>
          <w:szCs w:val="20"/>
          <w:lang w:val="en-US"/>
        </w:rPr>
      </w:pPr>
    </w:p>
    <w:p w14:paraId="43B18011" w14:textId="2AD50C1A" w:rsidR="00F441D1" w:rsidRPr="009F337B" w:rsidRDefault="008E3B9C" w:rsidP="009F7070">
      <w:pPr>
        <w:pStyle w:val="Ttulo3"/>
        <w:spacing w:before="0"/>
        <w:rPr>
          <w:b w:val="0"/>
          <w:i w:val="0"/>
          <w:lang w:val="en-US"/>
        </w:rPr>
      </w:pPr>
      <w:r w:rsidRPr="009F337B">
        <w:rPr>
          <w:lang w:val="en-US"/>
        </w:rPr>
        <w:tab/>
      </w:r>
      <w:bookmarkStart w:id="44" w:name="_Toc527466472"/>
      <w:r w:rsidR="009455ED" w:rsidRPr="009F337B">
        <w:rPr>
          <w:lang w:val="en-US"/>
        </w:rPr>
        <w:t>A.2</w:t>
      </w:r>
      <w:r w:rsidR="001D1187" w:rsidRPr="009F337B">
        <w:rPr>
          <w:lang w:val="en-US"/>
        </w:rPr>
        <w:t>.</w:t>
      </w:r>
      <w:r w:rsidR="009455ED" w:rsidRPr="009F337B">
        <w:rPr>
          <w:lang w:val="en-US"/>
        </w:rPr>
        <w:t xml:space="preserve"> </w:t>
      </w:r>
      <w:r w:rsidR="009455ED" w:rsidRPr="009F337B">
        <w:rPr>
          <w:lang w:val="en-US"/>
        </w:rPr>
        <w:tab/>
      </w:r>
      <w:r w:rsidR="00473F70" w:rsidRPr="009F337B">
        <w:rPr>
          <w:lang w:val="en-US"/>
        </w:rPr>
        <w:t>Considerations</w:t>
      </w:r>
      <w:r w:rsidR="00AE5F9E" w:rsidRPr="009F337B">
        <w:rPr>
          <w:lang w:val="en-US"/>
        </w:rPr>
        <w:t xml:space="preserve"> of the Court</w:t>
      </w:r>
      <w:bookmarkEnd w:id="44"/>
    </w:p>
    <w:p w14:paraId="6BCF0BCD" w14:textId="77777777" w:rsidR="00F441D1" w:rsidRPr="009F337B" w:rsidRDefault="00F441D1" w:rsidP="009F7070">
      <w:pPr>
        <w:rPr>
          <w:lang w:val="en-US"/>
        </w:rPr>
      </w:pPr>
    </w:p>
    <w:p w14:paraId="0BCA9267" w14:textId="1A1F83BD" w:rsidR="00F947B1" w:rsidRPr="009F337B" w:rsidRDefault="00AE5F9E" w:rsidP="00593E37">
      <w:pPr>
        <w:pStyle w:val="Prrafodelista"/>
        <w:numPr>
          <w:ilvl w:val="0"/>
          <w:numId w:val="1"/>
        </w:numPr>
        <w:ind w:left="0" w:firstLine="0"/>
        <w:rPr>
          <w:rFonts w:eastAsia="Calibri" w:cs="Verdana"/>
          <w:szCs w:val="20"/>
          <w:lang w:val="en-US"/>
        </w:rPr>
      </w:pPr>
      <w:r w:rsidRPr="009F337B">
        <w:rPr>
          <w:lang w:val="en-US"/>
        </w:rPr>
        <w:t>The Court</w:t>
      </w:r>
      <w:r w:rsidR="009455ED" w:rsidRPr="009F337B">
        <w:rPr>
          <w:lang w:val="en-US"/>
        </w:rPr>
        <w:t xml:space="preserve"> rec</w:t>
      </w:r>
      <w:r w:rsidR="00EC5132" w:rsidRPr="009F337B">
        <w:rPr>
          <w:lang w:val="en-US"/>
        </w:rPr>
        <w:t xml:space="preserve">alls that, according to its case law and pursuant to </w:t>
      </w:r>
      <w:r w:rsidRPr="009F337B">
        <w:rPr>
          <w:lang w:val="en-US"/>
        </w:rPr>
        <w:t>Article</w:t>
      </w:r>
      <w:r w:rsidR="009455ED" w:rsidRPr="009F337B">
        <w:rPr>
          <w:lang w:val="en-US"/>
        </w:rPr>
        <w:t xml:space="preserve"> 50</w:t>
      </w:r>
      <w:r w:rsidRPr="009F337B">
        <w:rPr>
          <w:lang w:val="en-US"/>
        </w:rPr>
        <w:t xml:space="preserve"> of the Convention</w:t>
      </w:r>
      <w:r w:rsidR="003C46A3" w:rsidRPr="009F337B">
        <w:rPr>
          <w:lang w:val="en-US"/>
        </w:rPr>
        <w:t xml:space="preserve"> and Article</w:t>
      </w:r>
      <w:r w:rsidR="009455ED" w:rsidRPr="009F337B">
        <w:rPr>
          <w:lang w:val="en-US"/>
        </w:rPr>
        <w:t xml:space="preserve"> </w:t>
      </w:r>
      <w:r w:rsidR="00EC5132" w:rsidRPr="009F337B">
        <w:rPr>
          <w:lang w:val="en-US"/>
        </w:rPr>
        <w:t>35(1)</w:t>
      </w:r>
      <w:r w:rsidR="009455ED" w:rsidRPr="009F337B">
        <w:rPr>
          <w:lang w:val="en-US"/>
        </w:rPr>
        <w:t xml:space="preserve"> </w:t>
      </w:r>
      <w:r w:rsidRPr="009F337B">
        <w:rPr>
          <w:lang w:val="en-US"/>
        </w:rPr>
        <w:t xml:space="preserve">of the </w:t>
      </w:r>
      <w:r w:rsidR="00EC5132" w:rsidRPr="009F337B">
        <w:rPr>
          <w:lang w:val="en-US"/>
        </w:rPr>
        <w:t xml:space="preserve">Court’s </w:t>
      </w:r>
      <w:r w:rsidRPr="009F337B">
        <w:rPr>
          <w:lang w:val="en-US"/>
        </w:rPr>
        <w:t>Rules of Procedure</w:t>
      </w:r>
      <w:r w:rsidR="009455ED" w:rsidRPr="009F337B">
        <w:rPr>
          <w:lang w:val="en-US"/>
        </w:rPr>
        <w:t xml:space="preserve">, </w:t>
      </w:r>
      <w:r w:rsidR="00EC5132" w:rsidRPr="009F337B">
        <w:rPr>
          <w:lang w:val="en-US"/>
        </w:rPr>
        <w:t xml:space="preserve">it is </w:t>
      </w:r>
      <w:r w:rsidR="00B034BA">
        <w:rPr>
          <w:lang w:val="en-US"/>
        </w:rPr>
        <w:t>for</w:t>
      </w:r>
      <w:r w:rsidR="009455ED" w:rsidRPr="009F337B">
        <w:rPr>
          <w:lang w:val="en-US"/>
        </w:rPr>
        <w:t xml:space="preserve"> </w:t>
      </w:r>
      <w:r w:rsidRPr="009F337B">
        <w:rPr>
          <w:lang w:val="en-US"/>
        </w:rPr>
        <w:t>the Commission</w:t>
      </w:r>
      <w:r w:rsidR="00A131D4" w:rsidRPr="009F337B">
        <w:rPr>
          <w:lang w:val="en-US"/>
        </w:rPr>
        <w:t>,</w:t>
      </w:r>
      <w:r w:rsidR="003C46A3" w:rsidRPr="009F337B">
        <w:rPr>
          <w:lang w:val="en-US"/>
        </w:rPr>
        <w:t xml:space="preserve"> and </w:t>
      </w:r>
      <w:r w:rsidR="009455ED" w:rsidRPr="009F337B">
        <w:rPr>
          <w:lang w:val="en-US"/>
        </w:rPr>
        <w:t>no</w:t>
      </w:r>
      <w:r w:rsidR="00EC5132" w:rsidRPr="009F337B">
        <w:rPr>
          <w:lang w:val="en-US"/>
        </w:rPr>
        <w:t>t th</w:t>
      </w:r>
      <w:r w:rsidR="00D96C31" w:rsidRPr="009F337B">
        <w:rPr>
          <w:lang w:val="en-US"/>
        </w:rPr>
        <w:t>e</w:t>
      </w:r>
      <w:r w:rsidR="00EC5132" w:rsidRPr="009F337B">
        <w:rPr>
          <w:lang w:val="en-US"/>
        </w:rPr>
        <w:t xml:space="preserve"> Court, to identify </w:t>
      </w:r>
      <w:r w:rsidR="00A00EE5" w:rsidRPr="009F337B">
        <w:rPr>
          <w:lang w:val="en-US"/>
        </w:rPr>
        <w:t>the presumed</w:t>
      </w:r>
      <w:r w:rsidR="003C46A3" w:rsidRPr="009F337B">
        <w:rPr>
          <w:lang w:val="en-US"/>
        </w:rPr>
        <w:t xml:space="preserve"> victims</w:t>
      </w:r>
      <w:r w:rsidR="009455ED" w:rsidRPr="009F337B">
        <w:rPr>
          <w:lang w:val="en-US"/>
        </w:rPr>
        <w:t xml:space="preserve"> </w:t>
      </w:r>
      <w:r w:rsidR="00EC5132" w:rsidRPr="009F337B">
        <w:rPr>
          <w:lang w:val="en-US"/>
        </w:rPr>
        <w:t>in a case before th</w:t>
      </w:r>
      <w:r w:rsidR="00D96C31" w:rsidRPr="009F337B">
        <w:rPr>
          <w:lang w:val="en-US"/>
        </w:rPr>
        <w:t>e</w:t>
      </w:r>
      <w:r w:rsidR="00EC5132" w:rsidRPr="009F337B">
        <w:rPr>
          <w:lang w:val="en-US"/>
        </w:rPr>
        <w:t xml:space="preserve"> Court precisely and at the proper procedural moment.</w:t>
      </w:r>
      <w:r w:rsidR="009455ED" w:rsidRPr="009F337B">
        <w:rPr>
          <w:vertAlign w:val="superscript"/>
          <w:lang w:val="en-US"/>
        </w:rPr>
        <w:footnoteReference w:id="14"/>
      </w:r>
      <w:r w:rsidR="00EC5132" w:rsidRPr="009F337B">
        <w:rPr>
          <w:lang w:val="en-US"/>
        </w:rPr>
        <w:t xml:space="preserve"> Legal certainty requires, as a general rule, that all </w:t>
      </w:r>
      <w:r w:rsidR="00A00EE5" w:rsidRPr="009F337B">
        <w:rPr>
          <w:lang w:val="en-US"/>
        </w:rPr>
        <w:t>the presumed</w:t>
      </w:r>
      <w:r w:rsidR="003C46A3" w:rsidRPr="009F337B">
        <w:rPr>
          <w:lang w:val="en-US"/>
        </w:rPr>
        <w:t xml:space="preserve"> victims</w:t>
      </w:r>
      <w:r w:rsidR="009455ED" w:rsidRPr="009F337B">
        <w:rPr>
          <w:lang w:val="en-US"/>
        </w:rPr>
        <w:t xml:space="preserve"> </w:t>
      </w:r>
      <w:r w:rsidR="00EC5132" w:rsidRPr="009F337B">
        <w:rPr>
          <w:lang w:val="en-US"/>
        </w:rPr>
        <w:t>are duly identified in the Merits Report, and it is not possible to add new presumed victims during subsequent stages without this prejudicing the defendant State</w:t>
      </w:r>
      <w:r w:rsidR="00D96C31" w:rsidRPr="009F337B">
        <w:rPr>
          <w:lang w:val="en-US"/>
        </w:rPr>
        <w:t>’s right to defend itself</w:t>
      </w:r>
      <w:r w:rsidR="00EC5132" w:rsidRPr="009F337B">
        <w:rPr>
          <w:lang w:val="en-US"/>
        </w:rPr>
        <w:t>.</w:t>
      </w:r>
      <w:r w:rsidR="009455ED" w:rsidRPr="009F337B">
        <w:rPr>
          <w:vertAlign w:val="superscript"/>
          <w:lang w:val="en-US"/>
        </w:rPr>
        <w:footnoteReference w:id="15"/>
      </w:r>
      <w:r w:rsidR="009455ED" w:rsidRPr="009F337B">
        <w:rPr>
          <w:lang w:val="en-US"/>
        </w:rPr>
        <w:t xml:space="preserve"> </w:t>
      </w:r>
      <w:r w:rsidR="00EC5132" w:rsidRPr="009F337B">
        <w:rPr>
          <w:lang w:val="en-US"/>
        </w:rPr>
        <w:t>The</w:t>
      </w:r>
      <w:r w:rsidR="009455ED" w:rsidRPr="009F337B">
        <w:rPr>
          <w:lang w:val="en-US"/>
        </w:rPr>
        <w:t xml:space="preserve"> </w:t>
      </w:r>
      <w:r w:rsidRPr="009F337B">
        <w:rPr>
          <w:lang w:val="en-US"/>
        </w:rPr>
        <w:t>Rules of Procedure</w:t>
      </w:r>
      <w:r w:rsidR="009455ED" w:rsidRPr="009F337B">
        <w:rPr>
          <w:lang w:val="en-US"/>
        </w:rPr>
        <w:t xml:space="preserve"> </w:t>
      </w:r>
      <w:r w:rsidR="00EC5132" w:rsidRPr="009F337B">
        <w:rPr>
          <w:lang w:val="en-US"/>
        </w:rPr>
        <w:t xml:space="preserve">establish the exception to this rule in </w:t>
      </w:r>
      <w:r w:rsidRPr="009F337B">
        <w:rPr>
          <w:lang w:val="en-US"/>
        </w:rPr>
        <w:t>Article</w:t>
      </w:r>
      <w:r w:rsidR="009455ED" w:rsidRPr="009F337B">
        <w:rPr>
          <w:lang w:val="en-US"/>
        </w:rPr>
        <w:t xml:space="preserve"> </w:t>
      </w:r>
      <w:r w:rsidR="00EC5132" w:rsidRPr="009F337B">
        <w:rPr>
          <w:lang w:val="en-US"/>
        </w:rPr>
        <w:t>35(2)</w:t>
      </w:r>
      <w:r w:rsidR="009455ED" w:rsidRPr="009F337B">
        <w:rPr>
          <w:lang w:val="en-US"/>
        </w:rPr>
        <w:t xml:space="preserve">, </w:t>
      </w:r>
      <w:r w:rsidR="00EC5132" w:rsidRPr="009F337B">
        <w:rPr>
          <w:lang w:val="en-US"/>
        </w:rPr>
        <w:t>by stipulating that “</w:t>
      </w:r>
      <w:r w:rsidR="00EC5132" w:rsidRPr="009F337B">
        <w:rPr>
          <w:szCs w:val="20"/>
          <w:lang w:val="en-US"/>
        </w:rPr>
        <w:t>[w]hen it has not been possible to identify one or more of the alleged victims who figure in the facts of the case because it concerns massive or collective violations, the Court shall decide whether to consider those individuals as victims.</w:t>
      </w:r>
      <w:r w:rsidR="009455ED" w:rsidRPr="009F337B">
        <w:rPr>
          <w:lang w:val="en-US"/>
        </w:rPr>
        <w:t>”</w:t>
      </w:r>
      <w:r w:rsidR="009455ED" w:rsidRPr="009F337B">
        <w:rPr>
          <w:rFonts w:cs="Arial"/>
          <w:vertAlign w:val="superscript"/>
          <w:lang w:val="en-US"/>
        </w:rPr>
        <w:footnoteReference w:id="16"/>
      </w:r>
    </w:p>
    <w:p w14:paraId="61D6A181" w14:textId="77777777" w:rsidR="00F947B1" w:rsidRPr="009F337B" w:rsidRDefault="00F947B1" w:rsidP="009F7070">
      <w:pPr>
        <w:pStyle w:val="Prrafodelista"/>
        <w:ind w:left="0"/>
        <w:rPr>
          <w:rFonts w:eastAsia="Calibri" w:cs="Verdana"/>
          <w:szCs w:val="20"/>
          <w:lang w:val="en-US"/>
        </w:rPr>
      </w:pPr>
    </w:p>
    <w:p w14:paraId="4F0F8C1F" w14:textId="252809AC" w:rsidR="00F947B1" w:rsidRPr="009F337B" w:rsidRDefault="00AE5F9E" w:rsidP="00593E37">
      <w:pPr>
        <w:pStyle w:val="Prrafodelista"/>
        <w:numPr>
          <w:ilvl w:val="0"/>
          <w:numId w:val="1"/>
        </w:numPr>
        <w:ind w:left="0" w:firstLine="0"/>
        <w:rPr>
          <w:rFonts w:eastAsia="Calibri" w:cs="Verdana"/>
          <w:szCs w:val="20"/>
          <w:lang w:val="en-US"/>
        </w:rPr>
      </w:pPr>
      <w:bookmarkStart w:id="45" w:name="_Hlk5184291"/>
      <w:r w:rsidRPr="009F337B">
        <w:rPr>
          <w:rFonts w:eastAsia="Verdana"/>
          <w:lang w:val="en-US"/>
        </w:rPr>
        <w:t>The Court</w:t>
      </w:r>
      <w:r w:rsidR="009455ED" w:rsidRPr="009F337B">
        <w:rPr>
          <w:rFonts w:eastAsia="Verdana"/>
          <w:lang w:val="en-US"/>
        </w:rPr>
        <w:t xml:space="preserve"> rec</w:t>
      </w:r>
      <w:r w:rsidR="00815A0B" w:rsidRPr="009F337B">
        <w:rPr>
          <w:rFonts w:eastAsia="Verdana"/>
          <w:lang w:val="en-US"/>
        </w:rPr>
        <w:t xml:space="preserve">alls that it has evaluated the application </w:t>
      </w:r>
      <w:r w:rsidR="003C46A3" w:rsidRPr="009F337B">
        <w:rPr>
          <w:lang w:val="en-US"/>
        </w:rPr>
        <w:t>of Article</w:t>
      </w:r>
      <w:r w:rsidR="009455ED" w:rsidRPr="009F337B">
        <w:rPr>
          <w:lang w:val="en-US"/>
        </w:rPr>
        <w:t xml:space="preserve"> </w:t>
      </w:r>
      <w:r w:rsidR="00EC5132" w:rsidRPr="009F337B">
        <w:rPr>
          <w:lang w:val="en-US"/>
        </w:rPr>
        <w:t>35(2)</w:t>
      </w:r>
      <w:r w:rsidR="009455ED" w:rsidRPr="009F337B">
        <w:rPr>
          <w:lang w:val="en-US"/>
        </w:rPr>
        <w:t xml:space="preserve"> </w:t>
      </w:r>
      <w:r w:rsidRPr="009F337B">
        <w:rPr>
          <w:lang w:val="en-US"/>
        </w:rPr>
        <w:t>of the Rules of Procedure</w:t>
      </w:r>
      <w:r w:rsidR="009455ED" w:rsidRPr="009F337B">
        <w:rPr>
          <w:lang w:val="en-US"/>
        </w:rPr>
        <w:t xml:space="preserve"> </w:t>
      </w:r>
      <w:bookmarkEnd w:id="45"/>
      <w:r w:rsidR="00815A0B" w:rsidRPr="009F337B">
        <w:rPr>
          <w:lang w:val="en-US"/>
        </w:rPr>
        <w:t>on the basis of the particular characteristics of each case,</w:t>
      </w:r>
      <w:r w:rsidR="009455ED" w:rsidRPr="009F337B">
        <w:rPr>
          <w:vertAlign w:val="superscript"/>
          <w:lang w:val="en-US"/>
        </w:rPr>
        <w:footnoteReference w:id="17"/>
      </w:r>
      <w:r w:rsidR="00815A0B" w:rsidRPr="009F337B">
        <w:rPr>
          <w:lang w:val="en-US"/>
        </w:rPr>
        <w:t xml:space="preserve"> and has applied it in massive or collective cases when difficulties exist</w:t>
      </w:r>
      <w:r w:rsidR="00B034BA">
        <w:rPr>
          <w:lang w:val="en-US"/>
        </w:rPr>
        <w:t>ed</w:t>
      </w:r>
      <w:r w:rsidR="00815A0B" w:rsidRPr="009F337B">
        <w:rPr>
          <w:lang w:val="en-US"/>
        </w:rPr>
        <w:t xml:space="preserve"> to identify or contact all </w:t>
      </w:r>
      <w:r w:rsidR="00A00EE5" w:rsidRPr="009F337B">
        <w:rPr>
          <w:lang w:val="en-US"/>
        </w:rPr>
        <w:t>the presumed</w:t>
      </w:r>
      <w:r w:rsidR="003C46A3" w:rsidRPr="009F337B">
        <w:rPr>
          <w:lang w:val="en-US"/>
        </w:rPr>
        <w:t xml:space="preserve"> victims</w:t>
      </w:r>
      <w:r w:rsidR="00815A0B" w:rsidRPr="009F337B">
        <w:rPr>
          <w:lang w:val="en-US"/>
        </w:rPr>
        <w:t>; for example, owing to the presence of an armed conflict</w:t>
      </w:r>
      <w:r w:rsidR="00D96C31" w:rsidRPr="009F337B">
        <w:rPr>
          <w:lang w:val="en-US"/>
        </w:rPr>
        <w:t xml:space="preserve"> or</w:t>
      </w:r>
      <w:r w:rsidR="00815A0B" w:rsidRPr="009F337B">
        <w:rPr>
          <w:lang w:val="en-US"/>
        </w:rPr>
        <w:t xml:space="preserve"> displacement, </w:t>
      </w:r>
      <w:r w:rsidR="00D96C31" w:rsidRPr="009F337B">
        <w:rPr>
          <w:lang w:val="en-US"/>
        </w:rPr>
        <w:t xml:space="preserve">or </w:t>
      </w:r>
      <w:r w:rsidR="00815A0B" w:rsidRPr="009F337B">
        <w:rPr>
          <w:lang w:val="en-US"/>
        </w:rPr>
        <w:t>when the bodies of the presumed victims have been reduced to ashes</w:t>
      </w:r>
      <w:r w:rsidR="00B034BA">
        <w:rPr>
          <w:lang w:val="en-US"/>
        </w:rPr>
        <w:t>,</w:t>
      </w:r>
      <w:r w:rsidR="00815A0B" w:rsidRPr="009F337B">
        <w:rPr>
          <w:lang w:val="en-US"/>
        </w:rPr>
        <w:t xml:space="preserve"> or in cases in which whole families have been disappeared, so that there is no one who can speak for them. The Court has also taken in</w:t>
      </w:r>
      <w:r w:rsidR="00D96C31" w:rsidRPr="009F337B">
        <w:rPr>
          <w:lang w:val="en-US"/>
        </w:rPr>
        <w:t>to</w:t>
      </w:r>
      <w:r w:rsidR="00815A0B" w:rsidRPr="009F337B">
        <w:rPr>
          <w:lang w:val="en-US"/>
        </w:rPr>
        <w:t xml:space="preserve"> account </w:t>
      </w:r>
      <w:r w:rsidR="00D96C31" w:rsidRPr="009F337B">
        <w:rPr>
          <w:lang w:val="en-US"/>
        </w:rPr>
        <w:t>difficulties in</w:t>
      </w:r>
      <w:r w:rsidR="00815A0B" w:rsidRPr="009F337B">
        <w:rPr>
          <w:lang w:val="en-US"/>
        </w:rPr>
        <w:t xml:space="preserve"> access</w:t>
      </w:r>
      <w:r w:rsidR="00D96C31" w:rsidRPr="009F337B">
        <w:rPr>
          <w:lang w:val="en-US"/>
        </w:rPr>
        <w:t>ing</w:t>
      </w:r>
      <w:r w:rsidR="00815A0B" w:rsidRPr="009F337B">
        <w:rPr>
          <w:lang w:val="en-US"/>
        </w:rPr>
        <w:t xml:space="preserve"> the area where the facts occurred, the absence of records regarding the inhabitants of the place, and the passage of time, as well as specific characteristics of</w:t>
      </w:r>
      <w:r w:rsidR="00815A0B" w:rsidRPr="009F337B">
        <w:rPr>
          <w:rFonts w:eastAsia="Calibri" w:cs="Verdana"/>
          <w:szCs w:val="20"/>
          <w:lang w:val="en-US"/>
        </w:rPr>
        <w:t xml:space="preserve"> </w:t>
      </w:r>
      <w:r w:rsidR="00A00EE5" w:rsidRPr="009F337B">
        <w:rPr>
          <w:lang w:val="en-US"/>
        </w:rPr>
        <w:t>the presumed</w:t>
      </w:r>
      <w:r w:rsidR="003C46A3" w:rsidRPr="009F337B">
        <w:rPr>
          <w:lang w:val="en-US"/>
        </w:rPr>
        <w:t xml:space="preserve"> victims</w:t>
      </w:r>
      <w:r w:rsidR="009455ED" w:rsidRPr="009F337B">
        <w:rPr>
          <w:lang w:val="en-US"/>
        </w:rPr>
        <w:t xml:space="preserve"> </w:t>
      </w:r>
      <w:r w:rsidR="00815A0B" w:rsidRPr="009F337B">
        <w:rPr>
          <w:lang w:val="en-US"/>
        </w:rPr>
        <w:t>in the case; for example, when they are members of family clans with similar first and last names, or in the case of migrants</w:t>
      </w:r>
      <w:r w:rsidR="009455ED" w:rsidRPr="009F337B">
        <w:rPr>
          <w:lang w:val="en-US"/>
        </w:rPr>
        <w:t xml:space="preserve">. </w:t>
      </w:r>
      <w:r w:rsidR="00815A0B" w:rsidRPr="009F337B">
        <w:rPr>
          <w:lang w:val="en-US"/>
        </w:rPr>
        <w:t>It has also considered the conduct of the State</w:t>
      </w:r>
      <w:r w:rsidR="00B034BA">
        <w:rPr>
          <w:lang w:val="en-US"/>
        </w:rPr>
        <w:t xml:space="preserve">; </w:t>
      </w:r>
      <w:r w:rsidR="00815A0B" w:rsidRPr="009F337B">
        <w:rPr>
          <w:lang w:val="en-US"/>
        </w:rPr>
        <w:t xml:space="preserve">for example, when it is argued that the failure to investigate contributed to the incomplete identification of </w:t>
      </w:r>
      <w:r w:rsidR="00A00EE5" w:rsidRPr="009F337B">
        <w:rPr>
          <w:lang w:val="en-US"/>
        </w:rPr>
        <w:t>the presumed</w:t>
      </w:r>
      <w:r w:rsidR="003C46A3" w:rsidRPr="009F337B">
        <w:rPr>
          <w:lang w:val="en-US"/>
        </w:rPr>
        <w:t xml:space="preserve"> victims</w:t>
      </w:r>
      <w:r w:rsidR="009455ED" w:rsidRPr="009F337B">
        <w:rPr>
          <w:lang w:val="en-US"/>
        </w:rPr>
        <w:t>,</w:t>
      </w:r>
      <w:r w:rsidR="003C46A3" w:rsidRPr="009F337B">
        <w:rPr>
          <w:lang w:val="en-US"/>
        </w:rPr>
        <w:t xml:space="preserve"> and </w:t>
      </w:r>
      <w:r w:rsidR="00815A0B" w:rsidRPr="009F337B">
        <w:rPr>
          <w:lang w:val="en-US"/>
        </w:rPr>
        <w:t xml:space="preserve">in </w:t>
      </w:r>
      <w:r w:rsidR="00D96C31" w:rsidRPr="009F337B">
        <w:rPr>
          <w:lang w:val="en-US"/>
        </w:rPr>
        <w:t>one</w:t>
      </w:r>
      <w:r w:rsidR="00815A0B" w:rsidRPr="009F337B">
        <w:rPr>
          <w:lang w:val="en-US"/>
        </w:rPr>
        <w:t xml:space="preserve"> case of slavery.</w:t>
      </w:r>
    </w:p>
    <w:p w14:paraId="45F81415" w14:textId="77777777" w:rsidR="00D96C31" w:rsidRPr="009F337B" w:rsidRDefault="00D96C31" w:rsidP="00D96C31">
      <w:pPr>
        <w:pStyle w:val="Prrafodelista"/>
        <w:ind w:left="0"/>
        <w:rPr>
          <w:rFonts w:eastAsia="Calibri" w:cs="Verdana"/>
          <w:szCs w:val="20"/>
          <w:lang w:val="en-US"/>
        </w:rPr>
      </w:pPr>
    </w:p>
    <w:p w14:paraId="022359C3" w14:textId="247ECEC5" w:rsidR="00170768" w:rsidRPr="009F337B" w:rsidRDefault="00170768" w:rsidP="00593E37">
      <w:pPr>
        <w:pStyle w:val="Prrafodelista"/>
        <w:numPr>
          <w:ilvl w:val="0"/>
          <w:numId w:val="1"/>
        </w:numPr>
        <w:ind w:left="0" w:firstLine="0"/>
        <w:rPr>
          <w:rFonts w:eastAsia="Calibri" w:cs="Verdana"/>
          <w:szCs w:val="20"/>
          <w:lang w:val="en-US"/>
        </w:rPr>
      </w:pPr>
      <w:r w:rsidRPr="009F337B">
        <w:rPr>
          <w:lang w:val="en-US"/>
        </w:rPr>
        <w:t>In th</w:t>
      </w:r>
      <w:r w:rsidR="00D96C31" w:rsidRPr="009F337B">
        <w:rPr>
          <w:lang w:val="en-US"/>
        </w:rPr>
        <w:t>e instant</w:t>
      </w:r>
      <w:r w:rsidRPr="009F337B">
        <w:rPr>
          <w:lang w:val="en-US"/>
        </w:rPr>
        <w:t xml:space="preserve"> case, the Court notes that</w:t>
      </w:r>
      <w:r w:rsidR="00D96C31" w:rsidRPr="009F337B">
        <w:rPr>
          <w:lang w:val="en-US"/>
        </w:rPr>
        <w:t>, in its Merits Report,</w:t>
      </w:r>
      <w:r w:rsidRPr="009F337B">
        <w:rPr>
          <w:lang w:val="en-US"/>
        </w:rPr>
        <w:t xml:space="preserve"> the Commission did not include </w:t>
      </w:r>
      <w:r w:rsidR="009455ED" w:rsidRPr="009F337B">
        <w:rPr>
          <w:lang w:val="en-US"/>
        </w:rPr>
        <w:t>Roberto Gómez García, L.A.L., María Elena Morales</w:t>
      </w:r>
      <w:r w:rsidR="00EC402C" w:rsidRPr="009F337B">
        <w:rPr>
          <w:lang w:val="en-US"/>
        </w:rPr>
        <w:t xml:space="preserve"> Villafuerte</w:t>
      </w:r>
      <w:r w:rsidR="007E6B9B" w:rsidRPr="009F337B">
        <w:rPr>
          <w:lang w:val="en-US"/>
        </w:rPr>
        <w:t xml:space="preserve">, Heidi Mariela </w:t>
      </w:r>
      <w:r w:rsidR="007E6B9B" w:rsidRPr="009F337B">
        <w:rPr>
          <w:lang w:val="en-US"/>
        </w:rPr>
        <w:lastRenderedPageBreak/>
        <w:t xml:space="preserve">Lucas </w:t>
      </w:r>
      <w:proofErr w:type="spellStart"/>
      <w:r w:rsidR="007E6B9B" w:rsidRPr="009F337B">
        <w:rPr>
          <w:lang w:val="en-US"/>
        </w:rPr>
        <w:t>Gonzáles</w:t>
      </w:r>
      <w:proofErr w:type="spellEnd"/>
      <w:r w:rsidR="003C46A3" w:rsidRPr="009F337B">
        <w:rPr>
          <w:lang w:val="en-US"/>
        </w:rPr>
        <w:t xml:space="preserve"> and </w:t>
      </w:r>
      <w:r w:rsidR="009455ED" w:rsidRPr="009F337B">
        <w:rPr>
          <w:lang w:val="en-US"/>
        </w:rPr>
        <w:t xml:space="preserve">Marvin </w:t>
      </w:r>
      <w:proofErr w:type="spellStart"/>
      <w:r w:rsidR="009455ED" w:rsidRPr="009F337B">
        <w:rPr>
          <w:lang w:val="en-US"/>
        </w:rPr>
        <w:t>Josué</w:t>
      </w:r>
      <w:proofErr w:type="spellEnd"/>
      <w:r w:rsidR="009455ED" w:rsidRPr="009F337B">
        <w:rPr>
          <w:lang w:val="en-US"/>
        </w:rPr>
        <w:t xml:space="preserve"> Lucas González</w:t>
      </w:r>
      <w:r w:rsidRPr="009F337B">
        <w:rPr>
          <w:lang w:val="en-US"/>
        </w:rPr>
        <w:t xml:space="preserve"> as direct victims</w:t>
      </w:r>
      <w:r w:rsidR="009455ED" w:rsidRPr="009F337B">
        <w:rPr>
          <w:lang w:val="en-US"/>
        </w:rPr>
        <w:t xml:space="preserve">, </w:t>
      </w:r>
      <w:r w:rsidRPr="009F337B">
        <w:rPr>
          <w:lang w:val="en-US"/>
        </w:rPr>
        <w:t>but rather as next of kin of the</w:t>
      </w:r>
      <w:r w:rsidR="00A00EE5" w:rsidRPr="009F337B">
        <w:rPr>
          <w:lang w:val="en-US"/>
        </w:rPr>
        <w:t xml:space="preserve"> presumed</w:t>
      </w:r>
      <w:r w:rsidR="003C46A3" w:rsidRPr="009F337B">
        <w:rPr>
          <w:lang w:val="en-US"/>
        </w:rPr>
        <w:t xml:space="preserve"> victims</w:t>
      </w:r>
      <w:r w:rsidR="009455ED" w:rsidRPr="009F337B">
        <w:rPr>
          <w:lang w:val="en-US"/>
        </w:rPr>
        <w:t xml:space="preserve">. </w:t>
      </w:r>
      <w:r w:rsidRPr="009F337B">
        <w:rPr>
          <w:lang w:val="en-US"/>
        </w:rPr>
        <w:t>In addition, t</w:t>
      </w:r>
      <w:r w:rsidR="00AE5F9E" w:rsidRPr="009F337B">
        <w:rPr>
          <w:lang w:val="en-US"/>
        </w:rPr>
        <w:t>he Court</w:t>
      </w:r>
      <w:r w:rsidR="009455ED" w:rsidRPr="009F337B">
        <w:rPr>
          <w:lang w:val="en-US"/>
        </w:rPr>
        <w:t xml:space="preserve"> </w:t>
      </w:r>
      <w:r w:rsidRPr="009F337B">
        <w:rPr>
          <w:lang w:val="en-US"/>
        </w:rPr>
        <w:t>notes that the facts described by</w:t>
      </w:r>
      <w:r w:rsidR="009455ED" w:rsidRPr="009F337B">
        <w:rPr>
          <w:lang w:val="en-US"/>
        </w:rPr>
        <w:t xml:space="preserve"> </w:t>
      </w:r>
      <w:r w:rsidR="00AE5F9E" w:rsidRPr="009F337B">
        <w:rPr>
          <w:lang w:val="en-US"/>
        </w:rPr>
        <w:t>the Commission</w:t>
      </w:r>
      <w:r w:rsidR="009455ED" w:rsidRPr="009F337B">
        <w:rPr>
          <w:lang w:val="en-US"/>
        </w:rPr>
        <w:t xml:space="preserve"> </w:t>
      </w:r>
      <w:r w:rsidRPr="009F337B">
        <w:rPr>
          <w:lang w:val="en-US"/>
        </w:rPr>
        <w:t>in its</w:t>
      </w:r>
      <w:r w:rsidR="009455ED" w:rsidRPr="009F337B">
        <w:rPr>
          <w:lang w:val="en-US"/>
        </w:rPr>
        <w:t xml:space="preserve"> </w:t>
      </w:r>
      <w:r w:rsidR="003C46A3" w:rsidRPr="009F337B">
        <w:rPr>
          <w:lang w:val="en-US"/>
        </w:rPr>
        <w:t>Merits Report</w:t>
      </w:r>
      <w:r w:rsidRPr="009F337B">
        <w:rPr>
          <w:lang w:val="en-US"/>
        </w:rPr>
        <w:t xml:space="preserve"> make no reference to the health situation of the next of kin of </w:t>
      </w:r>
      <w:r w:rsidR="00A00EE5" w:rsidRPr="009F337B">
        <w:rPr>
          <w:lang w:val="en-US"/>
        </w:rPr>
        <w:t>the presumed</w:t>
      </w:r>
      <w:r w:rsidR="003C46A3" w:rsidRPr="009F337B">
        <w:rPr>
          <w:lang w:val="en-US"/>
        </w:rPr>
        <w:t xml:space="preserve"> victims</w:t>
      </w:r>
      <w:r w:rsidR="009455ED" w:rsidRPr="009F337B">
        <w:rPr>
          <w:lang w:val="en-US"/>
        </w:rPr>
        <w:t xml:space="preserve">, </w:t>
      </w:r>
      <w:r w:rsidRPr="009F337B">
        <w:rPr>
          <w:lang w:val="en-US"/>
        </w:rPr>
        <w:t>or to the medical care they may have received or failed to receive, but rather refers</w:t>
      </w:r>
      <w:r w:rsidR="00D96C31" w:rsidRPr="009F337B">
        <w:rPr>
          <w:lang w:val="en-US"/>
        </w:rPr>
        <w:t>,</w:t>
      </w:r>
      <w:r w:rsidRPr="009F337B">
        <w:rPr>
          <w:lang w:val="en-US"/>
        </w:rPr>
        <w:t xml:space="preserve"> in general</w:t>
      </w:r>
      <w:r w:rsidR="00D96C31" w:rsidRPr="009F337B">
        <w:rPr>
          <w:lang w:val="en-US"/>
        </w:rPr>
        <w:t>,</w:t>
      </w:r>
      <w:r w:rsidRPr="009F337B">
        <w:rPr>
          <w:lang w:val="en-US"/>
        </w:rPr>
        <w:t xml:space="preserve"> to the violations of their mental and moral integrity allegedly suffered by the next of kin and/or circle of those closes</w:t>
      </w:r>
      <w:r w:rsidR="00D96C31" w:rsidRPr="009F337B">
        <w:rPr>
          <w:lang w:val="en-US"/>
        </w:rPr>
        <w:t>t</w:t>
      </w:r>
      <w:r w:rsidRPr="009F337B">
        <w:rPr>
          <w:lang w:val="en-US"/>
        </w:rPr>
        <w:t xml:space="preserve"> to the direct presumed victims. In this regard, </w:t>
      </w:r>
      <w:r w:rsidR="00AE5F9E" w:rsidRPr="009F337B">
        <w:rPr>
          <w:lang w:val="en-US"/>
        </w:rPr>
        <w:t>the Court</w:t>
      </w:r>
      <w:r w:rsidR="009455ED" w:rsidRPr="009F337B">
        <w:rPr>
          <w:lang w:val="en-US"/>
        </w:rPr>
        <w:t xml:space="preserve"> consider</w:t>
      </w:r>
      <w:r w:rsidRPr="009F337B">
        <w:rPr>
          <w:lang w:val="en-US"/>
        </w:rPr>
        <w:t>s that, based on</w:t>
      </w:r>
      <w:r w:rsidR="003C46A3" w:rsidRPr="009F337B">
        <w:rPr>
          <w:lang w:val="en-US"/>
        </w:rPr>
        <w:t xml:space="preserve"> Article</w:t>
      </w:r>
      <w:r w:rsidR="009455ED" w:rsidRPr="009F337B">
        <w:rPr>
          <w:lang w:val="en-US"/>
        </w:rPr>
        <w:t xml:space="preserve"> </w:t>
      </w:r>
      <w:r w:rsidR="00EC5132" w:rsidRPr="009F337B">
        <w:rPr>
          <w:lang w:val="en-US"/>
        </w:rPr>
        <w:t>35(1)</w:t>
      </w:r>
      <w:r w:rsidR="009455ED" w:rsidRPr="009F337B">
        <w:rPr>
          <w:lang w:val="en-US"/>
        </w:rPr>
        <w:t xml:space="preserve"> </w:t>
      </w:r>
      <w:r w:rsidR="00AE5F9E" w:rsidRPr="009F337B">
        <w:rPr>
          <w:lang w:val="en-US"/>
        </w:rPr>
        <w:t>of the Rules of Procedure</w:t>
      </w:r>
      <w:r w:rsidR="009455ED" w:rsidRPr="009F337B">
        <w:rPr>
          <w:lang w:val="en-US"/>
        </w:rPr>
        <w:t>,</w:t>
      </w:r>
      <w:r w:rsidR="003C46A3" w:rsidRPr="009F337B">
        <w:rPr>
          <w:lang w:val="en-US"/>
        </w:rPr>
        <w:t xml:space="preserve"> and </w:t>
      </w:r>
      <w:r w:rsidRPr="009F337B">
        <w:rPr>
          <w:lang w:val="en-US"/>
        </w:rPr>
        <w:t>in order to safeguard the procedural balance between the parties and the State’s right to defend itself, which includes the State’s right to express its opinion, at the appropriate procedural moment, on alleged violations of the rights of the presumed victims and on the facts that underlie these violations, the representatives’ request to include the</w:t>
      </w:r>
      <w:r w:rsidR="00D96C31" w:rsidRPr="009F337B">
        <w:rPr>
          <w:lang w:val="en-US"/>
        </w:rPr>
        <w:t xml:space="preserve"> said</w:t>
      </w:r>
      <w:r w:rsidRPr="009F337B">
        <w:rPr>
          <w:lang w:val="en-US"/>
        </w:rPr>
        <w:t xml:space="preserve"> next of kin of the presumed victims as direct victims is inadmissible.</w:t>
      </w:r>
    </w:p>
    <w:p w14:paraId="769056D7" w14:textId="77777777" w:rsidR="00F947B1" w:rsidRPr="009F337B" w:rsidRDefault="00F947B1" w:rsidP="009F7070">
      <w:pPr>
        <w:pStyle w:val="Prrafodelista"/>
        <w:ind w:left="0"/>
        <w:rPr>
          <w:rFonts w:eastAsia="Calibri" w:cs="Verdana"/>
          <w:szCs w:val="20"/>
          <w:lang w:val="en-US"/>
        </w:rPr>
      </w:pPr>
    </w:p>
    <w:p w14:paraId="2347C801" w14:textId="19D583EC" w:rsidR="00292057" w:rsidRPr="009F337B" w:rsidRDefault="00292057" w:rsidP="00593E37">
      <w:pPr>
        <w:pStyle w:val="Prrafodelista"/>
        <w:numPr>
          <w:ilvl w:val="0"/>
          <w:numId w:val="1"/>
        </w:numPr>
        <w:ind w:left="0" w:firstLine="0"/>
        <w:rPr>
          <w:rFonts w:eastAsia="Calibri" w:cs="Verdana"/>
          <w:szCs w:val="20"/>
          <w:lang w:val="en-US"/>
        </w:rPr>
      </w:pPr>
      <w:r w:rsidRPr="009F337B">
        <w:rPr>
          <w:lang w:val="en-US"/>
        </w:rPr>
        <w:t>Furthermore</w:t>
      </w:r>
      <w:r w:rsidR="00170768" w:rsidRPr="009F337B">
        <w:rPr>
          <w:lang w:val="en-US"/>
        </w:rPr>
        <w:t xml:space="preserve">, the Court considers that the fact that this case relates to alleged violations of the rights of 49 individuals does not signify that it is a case of massive or collective violations in the terms </w:t>
      </w:r>
      <w:r w:rsidR="003C46A3" w:rsidRPr="009F337B">
        <w:rPr>
          <w:lang w:val="en-US"/>
        </w:rPr>
        <w:t>of Article</w:t>
      </w:r>
      <w:r w:rsidR="009455ED" w:rsidRPr="009F337B">
        <w:rPr>
          <w:lang w:val="en-US"/>
        </w:rPr>
        <w:t xml:space="preserve"> </w:t>
      </w:r>
      <w:r w:rsidR="00EC5132" w:rsidRPr="009F337B">
        <w:rPr>
          <w:lang w:val="en-US"/>
        </w:rPr>
        <w:t>35(2)</w:t>
      </w:r>
      <w:r w:rsidR="009455ED" w:rsidRPr="009F337B">
        <w:rPr>
          <w:lang w:val="en-US"/>
        </w:rPr>
        <w:t xml:space="preserve"> </w:t>
      </w:r>
      <w:r w:rsidR="00AE5F9E" w:rsidRPr="009F337B">
        <w:rPr>
          <w:lang w:val="en-US"/>
        </w:rPr>
        <w:t>of the Rules of Procedure</w:t>
      </w:r>
      <w:r w:rsidR="009455ED" w:rsidRPr="009F337B">
        <w:rPr>
          <w:lang w:val="en-US"/>
        </w:rPr>
        <w:t xml:space="preserve">, </w:t>
      </w:r>
      <w:r w:rsidR="00170768" w:rsidRPr="009F337B">
        <w:rPr>
          <w:lang w:val="en-US"/>
        </w:rPr>
        <w:t>and d</w:t>
      </w:r>
      <w:r w:rsidR="00D96C31" w:rsidRPr="009F337B">
        <w:rPr>
          <w:lang w:val="en-US"/>
        </w:rPr>
        <w:t>id</w:t>
      </w:r>
      <w:r w:rsidR="00170768" w:rsidRPr="009F337B">
        <w:rPr>
          <w:lang w:val="en-US"/>
        </w:rPr>
        <w:t xml:space="preserve"> not exempt </w:t>
      </w:r>
      <w:r w:rsidR="007327F5" w:rsidRPr="009F337B">
        <w:rPr>
          <w:lang w:val="en-US"/>
        </w:rPr>
        <w:t>the representatives</w:t>
      </w:r>
      <w:r w:rsidR="009455ED" w:rsidRPr="009F337B">
        <w:rPr>
          <w:lang w:val="en-US"/>
        </w:rPr>
        <w:t xml:space="preserve"> </w:t>
      </w:r>
      <w:r w:rsidR="00170768" w:rsidRPr="009F337B">
        <w:rPr>
          <w:lang w:val="en-US"/>
        </w:rPr>
        <w:t>from identifying</w:t>
      </w:r>
      <w:r w:rsidR="009455ED" w:rsidRPr="009F337B">
        <w:rPr>
          <w:lang w:val="en-US"/>
        </w:rPr>
        <w:t xml:space="preserve"> </w:t>
      </w:r>
      <w:r w:rsidR="00A00EE5" w:rsidRPr="009F337B">
        <w:rPr>
          <w:lang w:val="en-US"/>
        </w:rPr>
        <w:t>the presumed</w:t>
      </w:r>
      <w:r w:rsidR="003C46A3" w:rsidRPr="009F337B">
        <w:rPr>
          <w:lang w:val="en-US"/>
        </w:rPr>
        <w:t xml:space="preserve"> victims</w:t>
      </w:r>
      <w:r w:rsidR="009455ED" w:rsidRPr="009F337B">
        <w:rPr>
          <w:lang w:val="en-US"/>
        </w:rPr>
        <w:t xml:space="preserve"> </w:t>
      </w:r>
      <w:r w:rsidR="00170768" w:rsidRPr="009F337B">
        <w:rPr>
          <w:lang w:val="en-US"/>
        </w:rPr>
        <w:t>at the appropriate procedural mome</w:t>
      </w:r>
      <w:r w:rsidRPr="009F337B">
        <w:rPr>
          <w:lang w:val="en-US"/>
        </w:rPr>
        <w:t>n</w:t>
      </w:r>
      <w:r w:rsidR="00170768" w:rsidRPr="009F337B">
        <w:rPr>
          <w:lang w:val="en-US"/>
        </w:rPr>
        <w:t>t. The Court notes that</w:t>
      </w:r>
      <w:r w:rsidR="000904DA" w:rsidRPr="009F337B">
        <w:rPr>
          <w:lang w:val="en-US"/>
        </w:rPr>
        <w:t xml:space="preserve">, since </w:t>
      </w:r>
      <w:r w:rsidR="009455ED" w:rsidRPr="009F337B">
        <w:rPr>
          <w:lang w:val="en-US"/>
        </w:rPr>
        <w:t xml:space="preserve">Katherine Alejandra </w:t>
      </w:r>
      <w:proofErr w:type="spellStart"/>
      <w:r w:rsidR="009455ED" w:rsidRPr="009F337B">
        <w:rPr>
          <w:lang w:val="en-US"/>
        </w:rPr>
        <w:t>Girón</w:t>
      </w:r>
      <w:proofErr w:type="spellEnd"/>
      <w:r w:rsidR="009455ED" w:rsidRPr="009F337B">
        <w:rPr>
          <w:lang w:val="en-US"/>
        </w:rPr>
        <w:t xml:space="preserve"> Zepeda </w:t>
      </w:r>
      <w:r w:rsidR="00170768" w:rsidRPr="009F337B">
        <w:rPr>
          <w:lang w:val="en-US"/>
        </w:rPr>
        <w:t>was diagnosed with HIV in 2001</w:t>
      </w:r>
      <w:r w:rsidR="000904DA" w:rsidRPr="009F337B">
        <w:rPr>
          <w:lang w:val="en-US"/>
        </w:rPr>
        <w:t xml:space="preserve">, </w:t>
      </w:r>
      <w:r w:rsidRPr="009F337B">
        <w:rPr>
          <w:lang w:val="en-US"/>
        </w:rPr>
        <w:t xml:space="preserve">the representatives </w:t>
      </w:r>
      <w:r w:rsidR="000904DA" w:rsidRPr="009F337B">
        <w:rPr>
          <w:lang w:val="en-US"/>
        </w:rPr>
        <w:t xml:space="preserve">had </w:t>
      </w:r>
      <w:r w:rsidRPr="009F337B">
        <w:rPr>
          <w:lang w:val="en-US"/>
        </w:rPr>
        <w:t xml:space="preserve">ample time to collect the information related to her condition and present this to the Commission. Moreover, there is no evidence of any material or practical difficulties of such magnitude that they could have prevented the representatives from identifying Ms. </w:t>
      </w:r>
      <w:proofErr w:type="spellStart"/>
      <w:r w:rsidRPr="009F337B">
        <w:rPr>
          <w:lang w:val="en-US"/>
        </w:rPr>
        <w:t>Girón</w:t>
      </w:r>
      <w:proofErr w:type="spellEnd"/>
      <w:r w:rsidRPr="009F337B">
        <w:rPr>
          <w:lang w:val="en-US"/>
        </w:rPr>
        <w:t xml:space="preserve"> Zepeda as a presumed victim in the case. In this regard, the Court considers that, even in the hypothesis that a presumed victim is in a vulnerable situation, it is for the representatives to prove to the Court how this condition prevent</w:t>
      </w:r>
      <w:r w:rsidR="000904DA" w:rsidRPr="009F337B">
        <w:rPr>
          <w:lang w:val="en-US"/>
        </w:rPr>
        <w:t>ed</w:t>
      </w:r>
      <w:r w:rsidRPr="009F337B">
        <w:rPr>
          <w:lang w:val="en-US"/>
        </w:rPr>
        <w:t xml:space="preserve"> the identification of a presumed victim, a situation that did not occur in this case. Consequently, the representatives’ request to include Ms. </w:t>
      </w:r>
      <w:proofErr w:type="spellStart"/>
      <w:r w:rsidRPr="009F337B">
        <w:rPr>
          <w:lang w:val="en-US"/>
        </w:rPr>
        <w:t>Girón</w:t>
      </w:r>
      <w:proofErr w:type="spellEnd"/>
      <w:r w:rsidRPr="009F337B">
        <w:rPr>
          <w:lang w:val="en-US"/>
        </w:rPr>
        <w:t xml:space="preserve"> Zepeda as a presumed victim in the case is inadmissible.</w:t>
      </w:r>
    </w:p>
    <w:p w14:paraId="719E321F" w14:textId="77777777" w:rsidR="007E6B9B" w:rsidRPr="009F337B" w:rsidRDefault="007E6B9B" w:rsidP="007E6B9B">
      <w:pPr>
        <w:pStyle w:val="Prrafodelista"/>
        <w:ind w:left="0"/>
        <w:rPr>
          <w:rFonts w:eastAsia="Calibri" w:cs="Verdana"/>
          <w:szCs w:val="20"/>
          <w:lang w:val="en-US"/>
        </w:rPr>
      </w:pPr>
    </w:p>
    <w:p w14:paraId="00F272AC" w14:textId="14562355" w:rsidR="00F162A7" w:rsidRPr="009F337B" w:rsidRDefault="00F162A7" w:rsidP="009F7070">
      <w:pPr>
        <w:pStyle w:val="Ttulo1"/>
        <w:spacing w:before="0" w:after="0"/>
        <w:rPr>
          <w:lang w:val="en-US"/>
        </w:rPr>
      </w:pPr>
      <w:bookmarkStart w:id="46" w:name="_Toc486693357"/>
      <w:bookmarkStart w:id="47" w:name="_Toc486842773"/>
      <w:bookmarkStart w:id="48" w:name="_Toc486842911"/>
      <w:bookmarkStart w:id="49" w:name="_Toc508792634"/>
      <w:bookmarkStart w:id="50" w:name="_Toc510690629"/>
      <w:bookmarkStart w:id="51" w:name="_Toc527466473"/>
      <w:r w:rsidRPr="009F337B">
        <w:rPr>
          <w:lang w:val="en-US"/>
        </w:rPr>
        <w:t>V</w:t>
      </w:r>
      <w:r w:rsidR="001E65B3" w:rsidRPr="009F337B">
        <w:rPr>
          <w:lang w:val="en-US"/>
        </w:rPr>
        <w:t>I</w:t>
      </w:r>
      <w:r w:rsidR="001D1187" w:rsidRPr="009F337B">
        <w:rPr>
          <w:lang w:val="en-US"/>
        </w:rPr>
        <w:t>.</w:t>
      </w:r>
      <w:r w:rsidRPr="009F337B">
        <w:rPr>
          <w:color w:val="FFFFFF" w:themeColor="background1"/>
          <w:lang w:val="en-US"/>
        </w:rPr>
        <w:t>.</w:t>
      </w:r>
      <w:r w:rsidRPr="009F337B">
        <w:rPr>
          <w:lang w:val="en-US"/>
        </w:rPr>
        <w:br/>
      </w:r>
      <w:r w:rsidR="00292057" w:rsidRPr="009F337B">
        <w:rPr>
          <w:lang w:val="en-US"/>
        </w:rPr>
        <w:t>EVIDENCE</w:t>
      </w:r>
      <w:bookmarkEnd w:id="46"/>
      <w:bookmarkEnd w:id="47"/>
      <w:bookmarkEnd w:id="48"/>
      <w:bookmarkEnd w:id="49"/>
      <w:bookmarkEnd w:id="50"/>
      <w:bookmarkEnd w:id="51"/>
    </w:p>
    <w:p w14:paraId="10C318B5" w14:textId="77777777" w:rsidR="007E6B9B" w:rsidRPr="009F337B" w:rsidRDefault="007E6B9B" w:rsidP="007E6B9B">
      <w:pPr>
        <w:rPr>
          <w:lang w:val="en-US" w:eastAsia="es-ES"/>
        </w:rPr>
      </w:pPr>
    </w:p>
    <w:p w14:paraId="76710129" w14:textId="304DC283" w:rsidR="001E7869" w:rsidRPr="009F337B" w:rsidRDefault="00292057" w:rsidP="00593E37">
      <w:pPr>
        <w:pStyle w:val="Ttulo2"/>
        <w:numPr>
          <w:ilvl w:val="0"/>
          <w:numId w:val="8"/>
        </w:numPr>
        <w:spacing w:before="0" w:after="0"/>
        <w:rPr>
          <w:lang w:val="en-US"/>
        </w:rPr>
      </w:pPr>
      <w:r w:rsidRPr="009F337B">
        <w:rPr>
          <w:lang w:val="en-US"/>
        </w:rPr>
        <w:t>Admissibility of the documentary evidence</w:t>
      </w:r>
    </w:p>
    <w:p w14:paraId="143912B3" w14:textId="77777777" w:rsidR="007E6B9B" w:rsidRPr="009F337B" w:rsidRDefault="007E6B9B" w:rsidP="007E6B9B">
      <w:pPr>
        <w:rPr>
          <w:lang w:val="en-US"/>
        </w:rPr>
      </w:pPr>
    </w:p>
    <w:p w14:paraId="39E16CFC" w14:textId="00365484" w:rsidR="001E7869" w:rsidRPr="009F337B" w:rsidRDefault="00292057" w:rsidP="00593E37">
      <w:pPr>
        <w:pStyle w:val="Prrafodelista"/>
        <w:numPr>
          <w:ilvl w:val="0"/>
          <w:numId w:val="1"/>
        </w:numPr>
        <w:ind w:left="0" w:firstLine="0"/>
        <w:rPr>
          <w:lang w:val="en-US"/>
        </w:rPr>
      </w:pPr>
      <w:bookmarkStart w:id="52" w:name="_Toc486693358"/>
      <w:bookmarkStart w:id="53" w:name="_Toc486842774"/>
      <w:bookmarkStart w:id="54" w:name="_Toc486842912"/>
      <w:bookmarkStart w:id="55" w:name="_Toc508792635"/>
      <w:bookmarkStart w:id="56" w:name="_Toc510690630"/>
      <w:r w:rsidRPr="009F337B">
        <w:rPr>
          <w:lang w:val="en-US"/>
        </w:rPr>
        <w:t xml:space="preserve">The Court received diverse documents presented as evidence by </w:t>
      </w:r>
      <w:r w:rsidR="00AE5F9E" w:rsidRPr="009F337B">
        <w:rPr>
          <w:lang w:val="en-US"/>
        </w:rPr>
        <w:t>the Commission</w:t>
      </w:r>
      <w:r w:rsidR="001E7869" w:rsidRPr="009F337B">
        <w:rPr>
          <w:lang w:val="en-US"/>
        </w:rPr>
        <w:t xml:space="preserve">, </w:t>
      </w:r>
      <w:r w:rsidR="007327F5" w:rsidRPr="009F337B">
        <w:rPr>
          <w:lang w:val="en-US"/>
        </w:rPr>
        <w:t>the representatives</w:t>
      </w:r>
      <w:r w:rsidR="003C46A3" w:rsidRPr="009F337B">
        <w:rPr>
          <w:lang w:val="en-US"/>
        </w:rPr>
        <w:t xml:space="preserve"> and the State</w:t>
      </w:r>
      <w:r w:rsidR="008C74DF" w:rsidRPr="009F337B">
        <w:rPr>
          <w:lang w:val="en-US"/>
        </w:rPr>
        <w:t>,</w:t>
      </w:r>
      <w:r w:rsidR="001E7869" w:rsidRPr="009F337B">
        <w:rPr>
          <w:lang w:val="en-US"/>
        </w:rPr>
        <w:t xml:space="preserve"> o</w:t>
      </w:r>
      <w:r w:rsidRPr="009F337B">
        <w:rPr>
          <w:lang w:val="en-US"/>
        </w:rPr>
        <w:t xml:space="preserve">r requested as helpful evidence by </w:t>
      </w:r>
      <w:r w:rsidR="00AE5F9E" w:rsidRPr="009F337B">
        <w:rPr>
          <w:lang w:val="en-US"/>
        </w:rPr>
        <w:t>the Court</w:t>
      </w:r>
      <w:r w:rsidR="001E7869" w:rsidRPr="009F337B">
        <w:rPr>
          <w:lang w:val="en-US"/>
        </w:rPr>
        <w:t xml:space="preserve"> </w:t>
      </w:r>
      <w:r w:rsidRPr="009F337B">
        <w:rPr>
          <w:lang w:val="en-US"/>
        </w:rPr>
        <w:t>or its</w:t>
      </w:r>
      <w:r w:rsidR="001E7869" w:rsidRPr="009F337B">
        <w:rPr>
          <w:lang w:val="en-US"/>
        </w:rPr>
        <w:t xml:space="preserve"> Presiden</w:t>
      </w:r>
      <w:r w:rsidRPr="009F337B">
        <w:rPr>
          <w:lang w:val="en-US"/>
        </w:rPr>
        <w:t xml:space="preserve">t and, as in other cases, it admits those that were presented at the appropriate procedural moment </w:t>
      </w:r>
      <w:r w:rsidR="001E7869" w:rsidRPr="009F337B">
        <w:rPr>
          <w:lang w:val="en-US"/>
        </w:rPr>
        <w:t>(</w:t>
      </w:r>
      <w:r w:rsidR="00AE5F9E" w:rsidRPr="009F337B">
        <w:rPr>
          <w:lang w:val="en-US"/>
        </w:rPr>
        <w:t>Article</w:t>
      </w:r>
      <w:r w:rsidR="001E7869" w:rsidRPr="009F337B">
        <w:rPr>
          <w:lang w:val="en-US"/>
        </w:rPr>
        <w:t xml:space="preserve"> 57 </w:t>
      </w:r>
      <w:r w:rsidR="00AE5F9E" w:rsidRPr="009F337B">
        <w:rPr>
          <w:lang w:val="en-US"/>
        </w:rPr>
        <w:t>of the Rules of Procedure</w:t>
      </w:r>
      <w:r w:rsidR="001E7869" w:rsidRPr="009F337B">
        <w:rPr>
          <w:lang w:val="en-US"/>
        </w:rPr>
        <w:t>)</w:t>
      </w:r>
      <w:r w:rsidR="001E7869" w:rsidRPr="009F337B">
        <w:rPr>
          <w:rStyle w:val="Refdenotaalpie"/>
          <w:lang w:val="en-US"/>
        </w:rPr>
        <w:footnoteReference w:id="18"/>
      </w:r>
      <w:r w:rsidR="003C46A3" w:rsidRPr="009F337B">
        <w:rPr>
          <w:lang w:val="en-US"/>
        </w:rPr>
        <w:t xml:space="preserve"> and </w:t>
      </w:r>
      <w:r w:rsidRPr="009F337B">
        <w:rPr>
          <w:lang w:val="en-US"/>
        </w:rPr>
        <w:t xml:space="preserve">the admissibility of which was neither contested </w:t>
      </w:r>
      <w:r w:rsidR="000904DA" w:rsidRPr="009F337B">
        <w:rPr>
          <w:lang w:val="en-US"/>
        </w:rPr>
        <w:t>nor</w:t>
      </w:r>
      <w:r w:rsidRPr="009F337B">
        <w:rPr>
          <w:lang w:val="en-US"/>
        </w:rPr>
        <w:t xml:space="preserve"> disputed.</w:t>
      </w:r>
      <w:r w:rsidR="001E7869" w:rsidRPr="009F337B">
        <w:rPr>
          <w:rStyle w:val="Refdenotaalpie"/>
          <w:lang w:val="en-US"/>
        </w:rPr>
        <w:footnoteReference w:id="19"/>
      </w:r>
    </w:p>
    <w:p w14:paraId="4CDAAC03" w14:textId="77777777" w:rsidR="001E7869" w:rsidRPr="009F337B" w:rsidRDefault="001E7869" w:rsidP="003C2AC6">
      <w:pPr>
        <w:pStyle w:val="PrrafodeSentencia"/>
        <w:rPr>
          <w:lang w:val="en-US"/>
        </w:rPr>
      </w:pPr>
    </w:p>
    <w:p w14:paraId="08B468C6" w14:textId="19F43A1A" w:rsidR="00CC6A68" w:rsidRPr="009F337B" w:rsidRDefault="007327F5" w:rsidP="00593E37">
      <w:pPr>
        <w:pStyle w:val="Prrafodelista"/>
        <w:numPr>
          <w:ilvl w:val="0"/>
          <w:numId w:val="1"/>
        </w:numPr>
        <w:ind w:left="0" w:firstLine="0"/>
        <w:rPr>
          <w:lang w:val="en-US"/>
        </w:rPr>
      </w:pPr>
      <w:r w:rsidRPr="009F337B">
        <w:rPr>
          <w:lang w:val="en-US"/>
        </w:rPr>
        <w:lastRenderedPageBreak/>
        <w:t>The representatives</w:t>
      </w:r>
      <w:r w:rsidR="001E7869" w:rsidRPr="009F337B">
        <w:rPr>
          <w:lang w:val="en-US"/>
        </w:rPr>
        <w:t xml:space="preserve"> </w:t>
      </w:r>
      <w:r w:rsidR="00292057" w:rsidRPr="009F337B">
        <w:rPr>
          <w:lang w:val="en-US"/>
        </w:rPr>
        <w:t>asked</w:t>
      </w:r>
      <w:r w:rsidR="001E7869" w:rsidRPr="009F337B">
        <w:rPr>
          <w:lang w:val="en-US"/>
        </w:rPr>
        <w:t xml:space="preserve"> </w:t>
      </w:r>
      <w:r w:rsidR="00AE5F9E" w:rsidRPr="009F337B">
        <w:rPr>
          <w:lang w:val="en-US"/>
        </w:rPr>
        <w:t>the Court</w:t>
      </w:r>
      <w:r w:rsidR="001E7869" w:rsidRPr="009F337B">
        <w:rPr>
          <w:lang w:val="en-US"/>
        </w:rPr>
        <w:t xml:space="preserve"> </w:t>
      </w:r>
      <w:r w:rsidR="00292057" w:rsidRPr="009F337B">
        <w:rPr>
          <w:lang w:val="en-US"/>
        </w:rPr>
        <w:t xml:space="preserve">to reject annexes </w:t>
      </w:r>
      <w:r w:rsidR="001E7869" w:rsidRPr="009F337B">
        <w:rPr>
          <w:lang w:val="en-US"/>
        </w:rPr>
        <w:t>3, 4,</w:t>
      </w:r>
      <w:r w:rsidR="00CC6A68" w:rsidRPr="009F337B">
        <w:rPr>
          <w:lang w:val="en-US"/>
        </w:rPr>
        <w:t xml:space="preserve"> </w:t>
      </w:r>
      <w:r w:rsidR="001E7869" w:rsidRPr="009F337B">
        <w:rPr>
          <w:lang w:val="en-US"/>
        </w:rPr>
        <w:t>7</w:t>
      </w:r>
      <w:r w:rsidR="003C46A3" w:rsidRPr="009F337B">
        <w:rPr>
          <w:lang w:val="en-US"/>
        </w:rPr>
        <w:t xml:space="preserve"> and </w:t>
      </w:r>
      <w:r w:rsidR="001E7869" w:rsidRPr="009F337B">
        <w:rPr>
          <w:lang w:val="en-US"/>
        </w:rPr>
        <w:t xml:space="preserve">10 </w:t>
      </w:r>
      <w:r w:rsidR="00292057" w:rsidRPr="009F337B">
        <w:rPr>
          <w:lang w:val="en-US"/>
        </w:rPr>
        <w:t xml:space="preserve">attached to </w:t>
      </w:r>
      <w:r w:rsidR="000904DA" w:rsidRPr="009F337B">
        <w:rPr>
          <w:lang w:val="en-US"/>
        </w:rPr>
        <w:t>the State’s</w:t>
      </w:r>
      <w:r w:rsidR="00292057" w:rsidRPr="009F337B">
        <w:rPr>
          <w:lang w:val="en-US"/>
        </w:rPr>
        <w:t xml:space="preserve"> final written arguments.</w:t>
      </w:r>
      <w:r w:rsidR="00385DF7" w:rsidRPr="009F337B">
        <w:rPr>
          <w:rStyle w:val="Refdenotaalpie"/>
          <w:lang w:val="en-US"/>
        </w:rPr>
        <w:footnoteReference w:id="20"/>
      </w:r>
      <w:r w:rsidR="00292057" w:rsidRPr="009F337B">
        <w:rPr>
          <w:lang w:val="en-US"/>
        </w:rPr>
        <w:t xml:space="preserve"> In this regard, the Court notes that annex 10 </w:t>
      </w:r>
      <w:r w:rsidR="00CC6A68" w:rsidRPr="009F337B">
        <w:rPr>
          <w:lang w:val="en-US"/>
        </w:rPr>
        <w:t>had been s</w:t>
      </w:r>
      <w:r w:rsidR="00991018" w:rsidRPr="009F337B">
        <w:rPr>
          <w:lang w:val="en-US"/>
        </w:rPr>
        <w:t>ubmitted</w:t>
      </w:r>
      <w:r w:rsidR="00CC6A68" w:rsidRPr="009F337B">
        <w:rPr>
          <w:lang w:val="en-US"/>
        </w:rPr>
        <w:t xml:space="preserve"> previously as annex 1 to the answering brief, so tha</w:t>
      </w:r>
      <w:r w:rsidR="00991018" w:rsidRPr="009F337B">
        <w:rPr>
          <w:lang w:val="en-US"/>
        </w:rPr>
        <w:t>t</w:t>
      </w:r>
      <w:r w:rsidR="00CC6A68" w:rsidRPr="009F337B">
        <w:rPr>
          <w:lang w:val="en-US"/>
        </w:rPr>
        <w:t xml:space="preserve"> both documents are part of the evidence in this case. Regarding annexes 3, 4 an</w:t>
      </w:r>
      <w:r w:rsidR="000904DA" w:rsidRPr="009F337B">
        <w:rPr>
          <w:lang w:val="en-US"/>
        </w:rPr>
        <w:t>d</w:t>
      </w:r>
      <w:r w:rsidR="00CC6A68" w:rsidRPr="009F337B">
        <w:rPr>
          <w:lang w:val="en-US"/>
        </w:rPr>
        <w:t xml:space="preserve"> 7 presented by the State</w:t>
      </w:r>
      <w:r w:rsidR="00991018" w:rsidRPr="009F337B">
        <w:rPr>
          <w:lang w:val="en-US"/>
        </w:rPr>
        <w:t xml:space="preserve"> and</w:t>
      </w:r>
      <w:r w:rsidR="00CC6A68" w:rsidRPr="009F337B">
        <w:rPr>
          <w:lang w:val="en-US"/>
        </w:rPr>
        <w:t xml:space="preserve"> contested by the representatives, the Court notes that they contain pertinent information that is also useful to decide th</w:t>
      </w:r>
      <w:r w:rsidR="000904DA" w:rsidRPr="009F337B">
        <w:rPr>
          <w:lang w:val="en-US"/>
        </w:rPr>
        <w:t>e</w:t>
      </w:r>
      <w:r w:rsidR="00CC6A68" w:rsidRPr="009F337B">
        <w:rPr>
          <w:lang w:val="en-US"/>
        </w:rPr>
        <w:t xml:space="preserve"> case. </w:t>
      </w:r>
      <w:r w:rsidR="000904DA" w:rsidRPr="009F337B">
        <w:rPr>
          <w:lang w:val="en-US"/>
        </w:rPr>
        <w:t>Accordingl</w:t>
      </w:r>
      <w:r w:rsidR="00CC6A68" w:rsidRPr="009F337B">
        <w:rPr>
          <w:lang w:val="en-US"/>
        </w:rPr>
        <w:t>y, the Court admits annexes 3, 4, 7 and 10.</w:t>
      </w:r>
    </w:p>
    <w:p w14:paraId="44B0451F" w14:textId="77777777" w:rsidR="00B27D31" w:rsidRPr="009F337B" w:rsidRDefault="00B27D31" w:rsidP="003C2AC6">
      <w:pPr>
        <w:pStyle w:val="PrrafodeSentencia"/>
        <w:rPr>
          <w:lang w:val="en-US"/>
        </w:rPr>
      </w:pPr>
    </w:p>
    <w:p w14:paraId="7025DF9D" w14:textId="20A2C0F2" w:rsidR="00462A40" w:rsidRPr="009F337B" w:rsidRDefault="00CC6A68" w:rsidP="00593E37">
      <w:pPr>
        <w:pStyle w:val="Ttulo2"/>
        <w:numPr>
          <w:ilvl w:val="0"/>
          <w:numId w:val="8"/>
        </w:numPr>
        <w:spacing w:before="0" w:after="0"/>
        <w:rPr>
          <w:lang w:val="en-US"/>
        </w:rPr>
      </w:pPr>
      <w:r w:rsidRPr="009F337B">
        <w:rPr>
          <w:lang w:val="en-US"/>
        </w:rPr>
        <w:t>Admissibility of the testimonial and expert evidence</w:t>
      </w:r>
      <w:bookmarkEnd w:id="52"/>
      <w:bookmarkEnd w:id="53"/>
      <w:bookmarkEnd w:id="54"/>
      <w:bookmarkEnd w:id="55"/>
      <w:bookmarkEnd w:id="56"/>
    </w:p>
    <w:p w14:paraId="3F3CD8B0" w14:textId="77777777" w:rsidR="00B27D31" w:rsidRPr="009F337B" w:rsidRDefault="00B27D31" w:rsidP="00B27D31">
      <w:pPr>
        <w:rPr>
          <w:lang w:val="en-US"/>
        </w:rPr>
      </w:pPr>
    </w:p>
    <w:p w14:paraId="437734E7" w14:textId="6C9A6EC2" w:rsidR="00002C47" w:rsidRPr="009F337B" w:rsidRDefault="00AE5F9E" w:rsidP="00593E37">
      <w:pPr>
        <w:pStyle w:val="Prrafodelista"/>
        <w:numPr>
          <w:ilvl w:val="0"/>
          <w:numId w:val="1"/>
        </w:numPr>
        <w:ind w:left="0" w:firstLine="0"/>
        <w:rPr>
          <w:lang w:val="en-US"/>
        </w:rPr>
      </w:pPr>
      <w:r w:rsidRPr="009F337B">
        <w:rPr>
          <w:lang w:val="en-US"/>
        </w:rPr>
        <w:t>The Court</w:t>
      </w:r>
      <w:r w:rsidR="00CF361F" w:rsidRPr="009F337B">
        <w:rPr>
          <w:lang w:val="en-US"/>
        </w:rPr>
        <w:t xml:space="preserve"> rec</w:t>
      </w:r>
      <w:r w:rsidR="00CC6A68" w:rsidRPr="009F337B">
        <w:rPr>
          <w:lang w:val="en-US"/>
        </w:rPr>
        <w:t>eived affidavits prepared by expert witness</w:t>
      </w:r>
      <w:r w:rsidR="00A131D4" w:rsidRPr="009F337B">
        <w:rPr>
          <w:szCs w:val="16"/>
          <w:lang w:val="en-US"/>
        </w:rPr>
        <w:t xml:space="preserve"> </w:t>
      </w:r>
      <w:proofErr w:type="spellStart"/>
      <w:r w:rsidR="00A131D4" w:rsidRPr="009F337B">
        <w:rPr>
          <w:szCs w:val="16"/>
          <w:lang w:val="en-US"/>
        </w:rPr>
        <w:t>Óscar</w:t>
      </w:r>
      <w:proofErr w:type="spellEnd"/>
      <w:r w:rsidR="00A131D4" w:rsidRPr="009F337B">
        <w:rPr>
          <w:szCs w:val="16"/>
          <w:lang w:val="en-US"/>
        </w:rPr>
        <w:t xml:space="preserve"> A. Cabrera, </w:t>
      </w:r>
      <w:r w:rsidR="00CC6A68" w:rsidRPr="009F337B">
        <w:rPr>
          <w:szCs w:val="16"/>
          <w:lang w:val="en-US"/>
        </w:rPr>
        <w:t>and</w:t>
      </w:r>
      <w:r w:rsidR="003B3DE3" w:rsidRPr="009F337B">
        <w:rPr>
          <w:szCs w:val="16"/>
          <w:lang w:val="en-US"/>
        </w:rPr>
        <w:t xml:space="preserve"> </w:t>
      </w:r>
      <w:r w:rsidR="00A00EE5" w:rsidRPr="009F337B">
        <w:rPr>
          <w:szCs w:val="16"/>
          <w:lang w:val="en-US"/>
        </w:rPr>
        <w:t>presumed</w:t>
      </w:r>
      <w:r w:rsidR="003C46A3" w:rsidRPr="009F337B">
        <w:rPr>
          <w:szCs w:val="16"/>
          <w:lang w:val="en-US"/>
        </w:rPr>
        <w:t xml:space="preserve"> victims</w:t>
      </w:r>
      <w:r w:rsidR="003B3DE3" w:rsidRPr="009F337B">
        <w:rPr>
          <w:szCs w:val="16"/>
          <w:lang w:val="en-US"/>
        </w:rPr>
        <w:t xml:space="preserve"> </w:t>
      </w:r>
      <w:r w:rsidR="00A131D4" w:rsidRPr="009F337B">
        <w:rPr>
          <w:szCs w:val="16"/>
          <w:lang w:val="en-US"/>
        </w:rPr>
        <w:t xml:space="preserve">Sandra Lisbeth Zepeda Herrera, Francisco Sop </w:t>
      </w:r>
      <w:proofErr w:type="spellStart"/>
      <w:r w:rsidR="00A131D4" w:rsidRPr="009F337B">
        <w:rPr>
          <w:szCs w:val="16"/>
          <w:lang w:val="en-US"/>
        </w:rPr>
        <w:t>Qu</w:t>
      </w:r>
      <w:r w:rsidR="00B24375" w:rsidRPr="009F337B">
        <w:rPr>
          <w:szCs w:val="16"/>
          <w:lang w:val="en-US"/>
        </w:rPr>
        <w:t>iej</w:t>
      </w:r>
      <w:proofErr w:type="spellEnd"/>
      <w:r w:rsidR="00B24375" w:rsidRPr="009F337B">
        <w:rPr>
          <w:szCs w:val="16"/>
          <w:lang w:val="en-US"/>
        </w:rPr>
        <w:t xml:space="preserve">, Dora Marina Martínez </w:t>
      </w:r>
      <w:proofErr w:type="spellStart"/>
      <w:r w:rsidR="00B24375" w:rsidRPr="009F337B">
        <w:rPr>
          <w:szCs w:val="16"/>
          <w:lang w:val="en-US"/>
        </w:rPr>
        <w:t>Sofoij</w:t>
      </w:r>
      <w:r w:rsidR="00A131D4" w:rsidRPr="009F337B">
        <w:rPr>
          <w:szCs w:val="16"/>
          <w:lang w:val="en-US"/>
        </w:rPr>
        <w:t>a</w:t>
      </w:r>
      <w:proofErr w:type="spellEnd"/>
      <w:r w:rsidR="00A131D4" w:rsidRPr="009F337B">
        <w:rPr>
          <w:szCs w:val="16"/>
          <w:lang w:val="en-US"/>
        </w:rPr>
        <w:t xml:space="preserve">, Carlos Fernando </w:t>
      </w:r>
      <w:proofErr w:type="spellStart"/>
      <w:r w:rsidR="00A131D4" w:rsidRPr="009F337B">
        <w:rPr>
          <w:szCs w:val="16"/>
          <w:lang w:val="en-US"/>
        </w:rPr>
        <w:t>Coc</w:t>
      </w:r>
      <w:proofErr w:type="spellEnd"/>
      <w:r w:rsidR="00A131D4" w:rsidRPr="009F337B">
        <w:rPr>
          <w:szCs w:val="16"/>
          <w:lang w:val="en-US"/>
        </w:rPr>
        <w:t xml:space="preserve"> </w:t>
      </w:r>
      <w:proofErr w:type="spellStart"/>
      <w:r w:rsidR="00A131D4" w:rsidRPr="009F337B">
        <w:rPr>
          <w:szCs w:val="16"/>
          <w:lang w:val="en-US"/>
        </w:rPr>
        <w:t>Chajón</w:t>
      </w:r>
      <w:proofErr w:type="spellEnd"/>
      <w:r w:rsidR="00A131D4" w:rsidRPr="009F337B">
        <w:rPr>
          <w:szCs w:val="16"/>
          <w:lang w:val="en-US"/>
        </w:rPr>
        <w:t xml:space="preserve">, Luis Alberto Hernández Estrada, María Magdalena </w:t>
      </w:r>
      <w:proofErr w:type="spellStart"/>
      <w:r w:rsidR="00A131D4" w:rsidRPr="009F337B">
        <w:rPr>
          <w:szCs w:val="16"/>
          <w:lang w:val="en-US"/>
        </w:rPr>
        <w:t>Rodas</w:t>
      </w:r>
      <w:proofErr w:type="spellEnd"/>
      <w:r w:rsidR="00A131D4" w:rsidRPr="009F337B">
        <w:rPr>
          <w:szCs w:val="16"/>
          <w:lang w:val="en-US"/>
        </w:rPr>
        <w:t xml:space="preserve"> Mérida</w:t>
      </w:r>
      <w:r w:rsidR="00A131D4" w:rsidRPr="009F337B">
        <w:rPr>
          <w:rFonts w:cs="Arial Narrow"/>
          <w:szCs w:val="16"/>
          <w:lang w:val="en-US"/>
        </w:rPr>
        <w:t xml:space="preserve">, Luis Rolando </w:t>
      </w:r>
      <w:proofErr w:type="spellStart"/>
      <w:r w:rsidR="00A131D4" w:rsidRPr="009F337B">
        <w:rPr>
          <w:rFonts w:cs="Arial Narrow"/>
          <w:szCs w:val="16"/>
          <w:lang w:val="en-US"/>
        </w:rPr>
        <w:t>Cusc</w:t>
      </w:r>
      <w:r w:rsidR="00EC402C" w:rsidRPr="009F337B">
        <w:rPr>
          <w:rFonts w:cs="Arial Narrow"/>
          <w:szCs w:val="16"/>
          <w:lang w:val="en-US"/>
        </w:rPr>
        <w:t>u</w:t>
      </w:r>
      <w:r w:rsidR="00A131D4" w:rsidRPr="009F337B">
        <w:rPr>
          <w:rFonts w:cs="Arial Narrow"/>
          <w:szCs w:val="16"/>
          <w:lang w:val="en-US"/>
        </w:rPr>
        <w:t>l</w:t>
      </w:r>
      <w:proofErr w:type="spellEnd"/>
      <w:r w:rsidR="00A131D4" w:rsidRPr="009F337B">
        <w:rPr>
          <w:rFonts w:cs="Arial Narrow"/>
          <w:szCs w:val="16"/>
          <w:lang w:val="en-US"/>
        </w:rPr>
        <w:t xml:space="preserve"> </w:t>
      </w:r>
      <w:proofErr w:type="spellStart"/>
      <w:r w:rsidR="00A131D4" w:rsidRPr="009F337B">
        <w:rPr>
          <w:rFonts w:cs="Arial Narrow"/>
          <w:szCs w:val="16"/>
          <w:lang w:val="en-US"/>
        </w:rPr>
        <w:t>Pivaral</w:t>
      </w:r>
      <w:proofErr w:type="spellEnd"/>
      <w:r w:rsidR="00A131D4" w:rsidRPr="009F337B">
        <w:rPr>
          <w:rFonts w:cs="Arial Narrow"/>
          <w:szCs w:val="16"/>
          <w:lang w:val="en-US"/>
        </w:rPr>
        <w:t xml:space="preserve">, </w:t>
      </w:r>
      <w:proofErr w:type="spellStart"/>
      <w:r w:rsidR="00A131D4" w:rsidRPr="009F337B">
        <w:rPr>
          <w:rFonts w:cs="Arial Narrow"/>
          <w:szCs w:val="16"/>
          <w:lang w:val="en-US"/>
        </w:rPr>
        <w:t>Rocío</w:t>
      </w:r>
      <w:proofErr w:type="spellEnd"/>
      <w:r w:rsidR="00A131D4" w:rsidRPr="009F337B">
        <w:rPr>
          <w:rFonts w:cs="Arial Narrow"/>
          <w:szCs w:val="16"/>
          <w:lang w:val="en-US"/>
        </w:rPr>
        <w:t xml:space="preserve"> </w:t>
      </w:r>
      <w:proofErr w:type="spellStart"/>
      <w:r w:rsidR="00A131D4" w:rsidRPr="009F337B">
        <w:rPr>
          <w:rFonts w:cs="Arial Narrow"/>
          <w:szCs w:val="16"/>
          <w:lang w:val="en-US"/>
        </w:rPr>
        <w:t>Samayoa</w:t>
      </w:r>
      <w:proofErr w:type="spellEnd"/>
      <w:r w:rsidR="00A131D4" w:rsidRPr="009F337B">
        <w:rPr>
          <w:rFonts w:cs="Arial Narrow"/>
          <w:szCs w:val="16"/>
          <w:lang w:val="en-US"/>
        </w:rPr>
        <w:t xml:space="preserve"> Bran</w:t>
      </w:r>
      <w:r w:rsidR="003C46A3" w:rsidRPr="009F337B">
        <w:rPr>
          <w:rFonts w:cs="Arial Narrow"/>
          <w:szCs w:val="16"/>
          <w:lang w:val="en-US"/>
        </w:rPr>
        <w:t xml:space="preserve"> and </w:t>
      </w:r>
      <w:r w:rsidR="00A131D4" w:rsidRPr="009F337B">
        <w:rPr>
          <w:rFonts w:cs="Arial Narrow"/>
          <w:szCs w:val="16"/>
          <w:lang w:val="en-US"/>
        </w:rPr>
        <w:t>Olga Alicia Paz</w:t>
      </w:r>
      <w:r w:rsidR="00F8006A" w:rsidRPr="009F337B">
        <w:rPr>
          <w:rFonts w:cs="Arial Narrow"/>
          <w:szCs w:val="16"/>
          <w:lang w:val="en-US"/>
        </w:rPr>
        <w:t xml:space="preserve"> Bailey</w:t>
      </w:r>
      <w:r w:rsidR="00CF361F" w:rsidRPr="009F337B">
        <w:rPr>
          <w:lang w:val="en-US"/>
        </w:rPr>
        <w:t xml:space="preserve">. </w:t>
      </w:r>
      <w:r w:rsidR="00CC6A68" w:rsidRPr="009F337B">
        <w:rPr>
          <w:lang w:val="en-US"/>
        </w:rPr>
        <w:t xml:space="preserve">Regarding the evidence provided during the public hearing, the Court received the statements of </w:t>
      </w:r>
      <w:r w:rsidR="00A00EE5" w:rsidRPr="009F337B">
        <w:rPr>
          <w:szCs w:val="20"/>
          <w:lang w:val="en-US"/>
        </w:rPr>
        <w:t>presumed</w:t>
      </w:r>
      <w:r w:rsidR="003C46A3" w:rsidRPr="009F337B">
        <w:rPr>
          <w:szCs w:val="20"/>
          <w:lang w:val="en-US"/>
        </w:rPr>
        <w:t xml:space="preserve"> victims</w:t>
      </w:r>
      <w:r w:rsidR="00BC47AB" w:rsidRPr="009F337B">
        <w:rPr>
          <w:szCs w:val="20"/>
          <w:lang w:val="en-US"/>
        </w:rPr>
        <w:t xml:space="preserve"> </w:t>
      </w:r>
      <w:r w:rsidR="00EC402C" w:rsidRPr="009F337B">
        <w:rPr>
          <w:lang w:val="en-US"/>
        </w:rPr>
        <w:t xml:space="preserve">Zoila Marina Pérez </w:t>
      </w:r>
      <w:proofErr w:type="spellStart"/>
      <w:r w:rsidR="00EC402C" w:rsidRPr="009F337B">
        <w:rPr>
          <w:lang w:val="en-US"/>
        </w:rPr>
        <w:t>Ruí</w:t>
      </w:r>
      <w:r w:rsidR="00BC47AB" w:rsidRPr="009F337B">
        <w:rPr>
          <w:lang w:val="en-US"/>
        </w:rPr>
        <w:t>z</w:t>
      </w:r>
      <w:proofErr w:type="spellEnd"/>
      <w:r w:rsidR="003C46A3" w:rsidRPr="009F337B">
        <w:rPr>
          <w:szCs w:val="20"/>
          <w:lang w:val="en-US"/>
        </w:rPr>
        <w:t xml:space="preserve"> and </w:t>
      </w:r>
      <w:r w:rsidR="00BC47AB" w:rsidRPr="009F337B">
        <w:rPr>
          <w:szCs w:val="20"/>
          <w:lang w:val="en-US"/>
        </w:rPr>
        <w:t>F</w:t>
      </w:r>
      <w:r w:rsidR="00EC402C" w:rsidRPr="009F337B">
        <w:rPr>
          <w:szCs w:val="20"/>
          <w:lang w:val="en-US"/>
        </w:rPr>
        <w:t>e</w:t>
      </w:r>
      <w:r w:rsidR="00BC47AB" w:rsidRPr="009F337B">
        <w:rPr>
          <w:szCs w:val="20"/>
          <w:lang w:val="en-US"/>
        </w:rPr>
        <w:t>lix de Jesús Cabrera</w:t>
      </w:r>
      <w:r w:rsidR="00EC402C" w:rsidRPr="009F337B">
        <w:rPr>
          <w:szCs w:val="20"/>
          <w:lang w:val="en-US"/>
        </w:rPr>
        <w:t xml:space="preserve"> Morales</w:t>
      </w:r>
      <w:r w:rsidR="003B3DE3" w:rsidRPr="009F337B">
        <w:rPr>
          <w:szCs w:val="20"/>
          <w:lang w:val="en-US"/>
        </w:rPr>
        <w:t>, a</w:t>
      </w:r>
      <w:r w:rsidR="00CC6A68" w:rsidRPr="009F337B">
        <w:rPr>
          <w:szCs w:val="20"/>
          <w:lang w:val="en-US"/>
        </w:rPr>
        <w:t xml:space="preserve">nd also the expert opinion of </w:t>
      </w:r>
      <w:r w:rsidR="00BC47AB" w:rsidRPr="009F337B">
        <w:rPr>
          <w:rFonts w:cs="Arial"/>
          <w:iCs/>
          <w:szCs w:val="20"/>
          <w:lang w:val="en-US"/>
        </w:rPr>
        <w:t>Ricardo Boza Cordero</w:t>
      </w:r>
      <w:r w:rsidR="00CC6A68" w:rsidRPr="009F337B">
        <w:rPr>
          <w:rFonts w:cs="Arial"/>
          <w:iCs/>
          <w:szCs w:val="20"/>
          <w:lang w:val="en-US"/>
        </w:rPr>
        <w:t>.</w:t>
      </w:r>
      <w:r w:rsidR="00385DF7" w:rsidRPr="009F337B">
        <w:rPr>
          <w:rStyle w:val="Refdenotaalpie"/>
          <w:lang w:val="en-US"/>
        </w:rPr>
        <w:footnoteReference w:id="21"/>
      </w:r>
      <w:r w:rsidR="00CC6A68" w:rsidRPr="009F337B">
        <w:rPr>
          <w:lang w:val="en-US"/>
        </w:rPr>
        <w:t xml:space="preserve"> In this regard, the Court finds it pertinent to admit the statements of the </w:t>
      </w:r>
      <w:r w:rsidR="00A00EE5" w:rsidRPr="009F337B">
        <w:rPr>
          <w:lang w:val="en-US"/>
        </w:rPr>
        <w:t>presumed</w:t>
      </w:r>
      <w:r w:rsidR="003C46A3" w:rsidRPr="009F337B">
        <w:rPr>
          <w:lang w:val="en-US"/>
        </w:rPr>
        <w:t xml:space="preserve"> victims and </w:t>
      </w:r>
      <w:r w:rsidR="00CC6A68" w:rsidRPr="009F337B">
        <w:rPr>
          <w:lang w:val="en-US"/>
        </w:rPr>
        <w:t xml:space="preserve">the expert opinions provided during the public hearing and by affidavit, </w:t>
      </w:r>
      <w:r w:rsidR="0081271B" w:rsidRPr="009F337B">
        <w:rPr>
          <w:lang w:val="en-US"/>
        </w:rPr>
        <w:t>insofar as</w:t>
      </w:r>
      <w:r w:rsidR="00CC6A68" w:rsidRPr="009F337B">
        <w:rPr>
          <w:lang w:val="en-US"/>
        </w:rPr>
        <w:t xml:space="preserve"> they are in keeping with the purpose defined by the President in the order requiring them and the object and purpose of this case</w:t>
      </w:r>
      <w:r w:rsidR="003B3DE3" w:rsidRPr="009F337B">
        <w:rPr>
          <w:lang w:val="en-US"/>
        </w:rPr>
        <w:t>.</w:t>
      </w:r>
    </w:p>
    <w:p w14:paraId="04AE6A10" w14:textId="77777777" w:rsidR="000A2830" w:rsidRPr="009F337B" w:rsidRDefault="000A2830" w:rsidP="000A2830">
      <w:pPr>
        <w:pStyle w:val="Prrafodelista"/>
        <w:ind w:left="0"/>
        <w:rPr>
          <w:lang w:val="en-US"/>
        </w:rPr>
      </w:pPr>
    </w:p>
    <w:p w14:paraId="13CA3ACE" w14:textId="1C1327D0" w:rsidR="00F46845" w:rsidRPr="009F337B" w:rsidRDefault="00F46845" w:rsidP="00F8006A">
      <w:pPr>
        <w:pStyle w:val="Ttulo1"/>
        <w:spacing w:before="0" w:after="0"/>
        <w:rPr>
          <w:lang w:val="en-US"/>
        </w:rPr>
      </w:pPr>
      <w:bookmarkStart w:id="57" w:name="_Toc501211920"/>
      <w:bookmarkStart w:id="58" w:name="_Toc527466476"/>
      <w:bookmarkStart w:id="59" w:name="_Toc438132294"/>
      <w:bookmarkStart w:id="60" w:name="_Toc442082547"/>
      <w:r w:rsidRPr="009F337B">
        <w:rPr>
          <w:lang w:val="en-US"/>
        </w:rPr>
        <w:t>VII</w:t>
      </w:r>
      <w:r w:rsidR="001D1187" w:rsidRPr="009F337B">
        <w:rPr>
          <w:lang w:val="en-US"/>
        </w:rPr>
        <w:t>.</w:t>
      </w:r>
      <w:r w:rsidRPr="009F337B">
        <w:rPr>
          <w:lang w:val="en-US"/>
        </w:rPr>
        <w:br/>
      </w:r>
      <w:r w:rsidR="00CC6A68" w:rsidRPr="009F337B">
        <w:rPr>
          <w:lang w:val="en-US"/>
        </w:rPr>
        <w:t>FACTS</w:t>
      </w:r>
      <w:bookmarkEnd w:id="57"/>
      <w:bookmarkEnd w:id="58"/>
    </w:p>
    <w:p w14:paraId="033B238B" w14:textId="77777777" w:rsidR="00F8006A" w:rsidRPr="009F337B" w:rsidRDefault="00F8006A" w:rsidP="00F8006A">
      <w:pPr>
        <w:rPr>
          <w:lang w:val="en-US" w:eastAsia="es-ES"/>
        </w:rPr>
      </w:pPr>
    </w:p>
    <w:p w14:paraId="6C0C4337" w14:textId="7C3DA24F" w:rsidR="007569A4" w:rsidRPr="009F337B" w:rsidRDefault="00CC6A68" w:rsidP="00593E37">
      <w:pPr>
        <w:pStyle w:val="Estilo1"/>
        <w:numPr>
          <w:ilvl w:val="0"/>
          <w:numId w:val="1"/>
        </w:numPr>
        <w:tabs>
          <w:tab w:val="left" w:pos="709"/>
          <w:tab w:val="left" w:pos="1134"/>
        </w:tabs>
        <w:spacing w:after="0"/>
        <w:ind w:left="0" w:right="-4" w:firstLine="0"/>
        <w:rPr>
          <w:i w:val="0"/>
          <w:szCs w:val="20"/>
          <w:lang w:val="en-US"/>
        </w:rPr>
      </w:pPr>
      <w:r w:rsidRPr="009F337B">
        <w:rPr>
          <w:i w:val="0"/>
          <w:szCs w:val="20"/>
          <w:lang w:val="en-US"/>
        </w:rPr>
        <w:t xml:space="preserve">This case refers to 34 individuals who are currently living with </w:t>
      </w:r>
      <w:r w:rsidR="00CA11F6" w:rsidRPr="009F337B">
        <w:rPr>
          <w:i w:val="0"/>
          <w:szCs w:val="20"/>
          <w:lang w:val="en-US"/>
        </w:rPr>
        <w:t xml:space="preserve">the </w:t>
      </w:r>
      <w:r w:rsidR="00CA11F6" w:rsidRPr="009F337B">
        <w:rPr>
          <w:rStyle w:val="alsocalled"/>
          <w:i w:val="0"/>
          <w:lang w:val="en-US"/>
        </w:rPr>
        <w:t>human immunodeficiency virus</w:t>
      </w:r>
      <w:r w:rsidR="00CA11F6" w:rsidRPr="009F337B">
        <w:rPr>
          <w:i w:val="0"/>
          <w:szCs w:val="20"/>
          <w:lang w:val="en-US"/>
        </w:rPr>
        <w:t xml:space="preserve"> </w:t>
      </w:r>
      <w:r w:rsidR="00360A94" w:rsidRPr="009F337B">
        <w:rPr>
          <w:i w:val="0"/>
          <w:szCs w:val="20"/>
          <w:lang w:val="en-US"/>
        </w:rPr>
        <w:t>(</w:t>
      </w:r>
      <w:r w:rsidR="00AE5F9E" w:rsidRPr="009F337B">
        <w:rPr>
          <w:i w:val="0"/>
          <w:szCs w:val="20"/>
          <w:lang w:val="en-US"/>
        </w:rPr>
        <w:t>hereinafter</w:t>
      </w:r>
      <w:r w:rsidR="0081271B" w:rsidRPr="009F337B">
        <w:rPr>
          <w:i w:val="0"/>
          <w:szCs w:val="20"/>
          <w:lang w:val="en-US"/>
        </w:rPr>
        <w:t xml:space="preserve"> also</w:t>
      </w:r>
      <w:r w:rsidR="00360A94" w:rsidRPr="009F337B">
        <w:rPr>
          <w:i w:val="0"/>
          <w:szCs w:val="20"/>
          <w:lang w:val="en-US"/>
        </w:rPr>
        <w:t xml:space="preserve"> “</w:t>
      </w:r>
      <w:r w:rsidR="00CA11F6" w:rsidRPr="009F337B">
        <w:rPr>
          <w:i w:val="0"/>
          <w:szCs w:val="20"/>
          <w:lang w:val="en-US"/>
        </w:rPr>
        <w:t>HIV</w:t>
      </w:r>
      <w:r w:rsidR="00360A94" w:rsidRPr="009F337B">
        <w:rPr>
          <w:i w:val="0"/>
          <w:szCs w:val="20"/>
          <w:lang w:val="en-US"/>
        </w:rPr>
        <w:t>”)</w:t>
      </w:r>
      <w:r w:rsidR="00071964" w:rsidRPr="009F337B">
        <w:rPr>
          <w:i w:val="0"/>
          <w:szCs w:val="20"/>
          <w:lang w:val="en-US"/>
        </w:rPr>
        <w:t xml:space="preserve"> </w:t>
      </w:r>
      <w:r w:rsidR="00CA11F6" w:rsidRPr="009F337B">
        <w:rPr>
          <w:i w:val="0"/>
          <w:szCs w:val="20"/>
          <w:lang w:val="en-US"/>
        </w:rPr>
        <w:t>i</w:t>
      </w:r>
      <w:r w:rsidR="007569A4" w:rsidRPr="009F337B">
        <w:rPr>
          <w:i w:val="0"/>
          <w:szCs w:val="20"/>
          <w:lang w:val="en-US"/>
        </w:rPr>
        <w:t>n Guatemala, 1</w:t>
      </w:r>
      <w:r w:rsidR="0081271B" w:rsidRPr="009F337B">
        <w:rPr>
          <w:i w:val="0"/>
          <w:szCs w:val="20"/>
          <w:lang w:val="en-US"/>
        </w:rPr>
        <w:t>5 individuals</w:t>
      </w:r>
      <w:r w:rsidR="007569A4" w:rsidRPr="009F337B">
        <w:rPr>
          <w:i w:val="0"/>
          <w:szCs w:val="20"/>
          <w:lang w:val="en-US"/>
        </w:rPr>
        <w:t xml:space="preserve"> </w:t>
      </w:r>
      <w:r w:rsidR="00CA11F6" w:rsidRPr="009F337B">
        <w:rPr>
          <w:i w:val="0"/>
          <w:szCs w:val="20"/>
          <w:lang w:val="en-US"/>
        </w:rPr>
        <w:t>who lived with this condition but who are now deceased, and their next of kin.</w:t>
      </w:r>
      <w:r w:rsidR="007569A4" w:rsidRPr="009F337B">
        <w:rPr>
          <w:rFonts w:cs="Verdana"/>
          <w:i w:val="0"/>
          <w:szCs w:val="20"/>
          <w:vertAlign w:val="superscript"/>
          <w:lang w:val="en-US"/>
        </w:rPr>
        <w:footnoteReference w:id="22"/>
      </w:r>
      <w:r w:rsidR="00CA11F6" w:rsidRPr="009F337B">
        <w:rPr>
          <w:i w:val="0"/>
          <w:szCs w:val="20"/>
          <w:lang w:val="en-US"/>
        </w:rPr>
        <w:t xml:space="preserve"> The violations alleg</w:t>
      </w:r>
      <w:r w:rsidR="0081271B" w:rsidRPr="009F337B">
        <w:rPr>
          <w:i w:val="0"/>
          <w:szCs w:val="20"/>
          <w:lang w:val="en-US"/>
        </w:rPr>
        <w:t>e</w:t>
      </w:r>
      <w:r w:rsidR="00CA11F6" w:rsidRPr="009F337B">
        <w:rPr>
          <w:i w:val="0"/>
          <w:szCs w:val="20"/>
          <w:lang w:val="en-US"/>
        </w:rPr>
        <w:t xml:space="preserve">d by </w:t>
      </w:r>
      <w:r w:rsidR="007569A4" w:rsidRPr="009F337B">
        <w:rPr>
          <w:i w:val="0"/>
          <w:szCs w:val="20"/>
          <w:lang w:val="en-US"/>
        </w:rPr>
        <w:t xml:space="preserve"> </w:t>
      </w:r>
      <w:r w:rsidR="00AE5F9E" w:rsidRPr="009F337B">
        <w:rPr>
          <w:i w:val="0"/>
          <w:szCs w:val="20"/>
          <w:lang w:val="en-US"/>
        </w:rPr>
        <w:t>the Commission</w:t>
      </w:r>
      <w:r w:rsidR="007569A4" w:rsidRPr="009F337B">
        <w:rPr>
          <w:i w:val="0"/>
          <w:szCs w:val="20"/>
          <w:lang w:val="en-US"/>
        </w:rPr>
        <w:t xml:space="preserve"> </w:t>
      </w:r>
      <w:r w:rsidR="00CA11F6" w:rsidRPr="009F337B">
        <w:rPr>
          <w:i w:val="0"/>
          <w:szCs w:val="20"/>
          <w:lang w:val="en-US"/>
        </w:rPr>
        <w:t>in its</w:t>
      </w:r>
      <w:r w:rsidR="007569A4" w:rsidRPr="009F337B">
        <w:rPr>
          <w:i w:val="0"/>
          <w:szCs w:val="20"/>
          <w:lang w:val="en-US"/>
        </w:rPr>
        <w:t xml:space="preserve"> </w:t>
      </w:r>
      <w:r w:rsidR="003C46A3" w:rsidRPr="009F337B">
        <w:rPr>
          <w:i w:val="0"/>
          <w:szCs w:val="20"/>
          <w:lang w:val="en-US"/>
        </w:rPr>
        <w:t>Merits Report</w:t>
      </w:r>
      <w:r w:rsidR="007569A4" w:rsidRPr="009F337B">
        <w:rPr>
          <w:i w:val="0"/>
          <w:szCs w:val="20"/>
          <w:lang w:val="en-US"/>
        </w:rPr>
        <w:t xml:space="preserve"> oc</w:t>
      </w:r>
      <w:r w:rsidR="00CA11F6" w:rsidRPr="009F337B">
        <w:rPr>
          <w:i w:val="0"/>
          <w:szCs w:val="20"/>
          <w:lang w:val="en-US"/>
        </w:rPr>
        <w:t xml:space="preserve">curred owing to the total absence of medical care for this group of </w:t>
      </w:r>
      <w:r w:rsidR="0081271B" w:rsidRPr="009F337B">
        <w:rPr>
          <w:i w:val="0"/>
          <w:szCs w:val="20"/>
          <w:lang w:val="en-US"/>
        </w:rPr>
        <w:t>people</w:t>
      </w:r>
      <w:r w:rsidR="00CA11F6" w:rsidRPr="009F337B">
        <w:rPr>
          <w:i w:val="0"/>
          <w:szCs w:val="20"/>
          <w:lang w:val="en-US"/>
        </w:rPr>
        <w:t xml:space="preserve"> prior to 2006-2007, to the deficient medical care they received following those years, and to the lack of judicial protection. In this section, the main facts of the case will be described in the following order: (a) the HIV/AIDS situation</w:t>
      </w:r>
      <w:r w:rsidR="0009063B" w:rsidRPr="009F337B">
        <w:rPr>
          <w:i w:val="0"/>
          <w:szCs w:val="20"/>
          <w:lang w:val="en-US"/>
        </w:rPr>
        <w:t xml:space="preserve"> </w:t>
      </w:r>
      <w:r w:rsidR="00CA11F6" w:rsidRPr="009F337B">
        <w:rPr>
          <w:i w:val="0"/>
          <w:szCs w:val="20"/>
          <w:lang w:val="en-US"/>
        </w:rPr>
        <w:t>i</w:t>
      </w:r>
      <w:r w:rsidR="0009063B" w:rsidRPr="009F337B">
        <w:rPr>
          <w:i w:val="0"/>
          <w:szCs w:val="20"/>
          <w:lang w:val="en-US"/>
        </w:rPr>
        <w:t>n Guatemala</w:t>
      </w:r>
      <w:r w:rsidR="00CA11F6" w:rsidRPr="009F337B">
        <w:rPr>
          <w:i w:val="0"/>
          <w:szCs w:val="20"/>
          <w:lang w:val="en-US"/>
        </w:rPr>
        <w:t>;</w:t>
      </w:r>
      <w:r w:rsidR="007569A4" w:rsidRPr="009F337B">
        <w:rPr>
          <w:i w:val="0"/>
          <w:szCs w:val="20"/>
          <w:lang w:val="en-US"/>
        </w:rPr>
        <w:t xml:space="preserve"> </w:t>
      </w:r>
      <w:r w:rsidR="00CA11F6" w:rsidRPr="009F337B">
        <w:rPr>
          <w:i w:val="0"/>
          <w:szCs w:val="20"/>
          <w:lang w:val="en-US"/>
        </w:rPr>
        <w:t>(</w:t>
      </w:r>
      <w:r w:rsidR="007569A4" w:rsidRPr="009F337B">
        <w:rPr>
          <w:i w:val="0"/>
          <w:szCs w:val="20"/>
          <w:lang w:val="en-US"/>
        </w:rPr>
        <w:t xml:space="preserve">b) </w:t>
      </w:r>
      <w:r w:rsidR="00CA11F6" w:rsidRPr="009F337B">
        <w:rPr>
          <w:i w:val="0"/>
          <w:szCs w:val="20"/>
          <w:lang w:val="en-US"/>
        </w:rPr>
        <w:t>the individualization</w:t>
      </w:r>
      <w:r w:rsidRPr="009F337B">
        <w:rPr>
          <w:i w:val="0"/>
          <w:szCs w:val="20"/>
          <w:lang w:val="en-US"/>
        </w:rPr>
        <w:t xml:space="preserve"> of the </w:t>
      </w:r>
      <w:r w:rsidR="00A00EE5" w:rsidRPr="009F337B">
        <w:rPr>
          <w:i w:val="0"/>
          <w:szCs w:val="20"/>
          <w:lang w:val="en-US"/>
        </w:rPr>
        <w:t>presumed</w:t>
      </w:r>
      <w:r w:rsidR="003C46A3" w:rsidRPr="009F337B">
        <w:rPr>
          <w:i w:val="0"/>
          <w:szCs w:val="20"/>
          <w:lang w:val="en-US"/>
        </w:rPr>
        <w:t xml:space="preserve"> victims and </w:t>
      </w:r>
      <w:r w:rsidR="00CA11F6" w:rsidRPr="009F337B">
        <w:rPr>
          <w:i w:val="0"/>
          <w:szCs w:val="20"/>
          <w:lang w:val="en-US"/>
        </w:rPr>
        <w:t>their next of kin</w:t>
      </w:r>
      <w:r w:rsidR="0009063B" w:rsidRPr="009F337B">
        <w:rPr>
          <w:i w:val="0"/>
          <w:szCs w:val="20"/>
          <w:lang w:val="en-US"/>
        </w:rPr>
        <w:t>,</w:t>
      </w:r>
      <w:r w:rsidR="003C46A3" w:rsidRPr="009F337B">
        <w:rPr>
          <w:i w:val="0"/>
          <w:szCs w:val="20"/>
          <w:lang w:val="en-US"/>
        </w:rPr>
        <w:t xml:space="preserve"> and </w:t>
      </w:r>
      <w:r w:rsidR="00CA11F6" w:rsidRPr="009F337B">
        <w:rPr>
          <w:i w:val="0"/>
          <w:szCs w:val="20"/>
          <w:lang w:val="en-US"/>
        </w:rPr>
        <w:t>(</w:t>
      </w:r>
      <w:r w:rsidR="007569A4" w:rsidRPr="009F337B">
        <w:rPr>
          <w:i w:val="0"/>
          <w:szCs w:val="20"/>
          <w:lang w:val="en-US"/>
        </w:rPr>
        <w:t xml:space="preserve">c) </w:t>
      </w:r>
      <w:r w:rsidR="00CA11F6" w:rsidRPr="009F337B">
        <w:rPr>
          <w:i w:val="0"/>
          <w:szCs w:val="20"/>
          <w:lang w:val="en-US"/>
        </w:rPr>
        <w:t xml:space="preserve">the remedies and actions filed by </w:t>
      </w:r>
      <w:r w:rsidR="00A00EE5" w:rsidRPr="009F337B">
        <w:rPr>
          <w:i w:val="0"/>
          <w:szCs w:val="20"/>
          <w:lang w:val="en-US"/>
        </w:rPr>
        <w:t>the presumed</w:t>
      </w:r>
      <w:r w:rsidR="003C46A3" w:rsidRPr="009F337B">
        <w:rPr>
          <w:i w:val="0"/>
          <w:szCs w:val="20"/>
          <w:lang w:val="en-US"/>
        </w:rPr>
        <w:t xml:space="preserve"> victims</w:t>
      </w:r>
      <w:r w:rsidR="007569A4" w:rsidRPr="009F337B">
        <w:rPr>
          <w:i w:val="0"/>
          <w:szCs w:val="20"/>
          <w:lang w:val="en-US"/>
        </w:rPr>
        <w:t>.</w:t>
      </w:r>
    </w:p>
    <w:p w14:paraId="4CB42049" w14:textId="77777777" w:rsidR="00F8006A" w:rsidRPr="009F337B" w:rsidRDefault="00F8006A" w:rsidP="00F8006A">
      <w:pPr>
        <w:pStyle w:val="Estilo1"/>
        <w:tabs>
          <w:tab w:val="left" w:pos="709"/>
          <w:tab w:val="left" w:pos="1134"/>
        </w:tabs>
        <w:spacing w:after="0"/>
        <w:ind w:left="0" w:right="-4" w:firstLine="0"/>
        <w:rPr>
          <w:i w:val="0"/>
          <w:szCs w:val="20"/>
          <w:lang w:val="en-US"/>
        </w:rPr>
      </w:pPr>
    </w:p>
    <w:p w14:paraId="5D4079EA" w14:textId="14B6E5A4" w:rsidR="00A42545" w:rsidRPr="009F337B" w:rsidRDefault="00CA11F6" w:rsidP="00593E37">
      <w:pPr>
        <w:pStyle w:val="Ttulo2"/>
        <w:numPr>
          <w:ilvl w:val="0"/>
          <w:numId w:val="9"/>
        </w:numPr>
        <w:spacing w:before="0" w:after="0"/>
        <w:rPr>
          <w:lang w:val="en-US"/>
        </w:rPr>
      </w:pPr>
      <w:bookmarkStart w:id="61" w:name="_Toc527466477"/>
      <w:r w:rsidRPr="009F337B">
        <w:rPr>
          <w:lang w:val="en-US"/>
        </w:rPr>
        <w:t>The HIV/AIDS situation in</w:t>
      </w:r>
      <w:r w:rsidR="00F46845" w:rsidRPr="009F337B">
        <w:rPr>
          <w:lang w:val="en-US"/>
        </w:rPr>
        <w:t xml:space="preserve"> Guatemala</w:t>
      </w:r>
      <w:bookmarkEnd w:id="61"/>
    </w:p>
    <w:p w14:paraId="4F6CB8B4" w14:textId="77777777" w:rsidR="00F8006A" w:rsidRPr="009F337B" w:rsidRDefault="00F8006A" w:rsidP="00F8006A">
      <w:pPr>
        <w:rPr>
          <w:lang w:val="en-US"/>
        </w:rPr>
      </w:pPr>
    </w:p>
    <w:p w14:paraId="69307944" w14:textId="193ACA2B" w:rsidR="00F46845" w:rsidRPr="009F337B" w:rsidRDefault="00A42545" w:rsidP="00F8006A">
      <w:pPr>
        <w:pStyle w:val="Ttulo3"/>
        <w:spacing w:before="0"/>
        <w:rPr>
          <w:lang w:val="en-US"/>
        </w:rPr>
      </w:pPr>
      <w:r w:rsidRPr="009F337B">
        <w:rPr>
          <w:rFonts w:eastAsia="Times New Roman"/>
          <w:bCs/>
          <w:lang w:val="en-US" w:eastAsia="x-none"/>
        </w:rPr>
        <w:tab/>
      </w:r>
      <w:bookmarkStart w:id="62" w:name="_Toc527466478"/>
      <w:r w:rsidR="00F46845" w:rsidRPr="009F337B">
        <w:rPr>
          <w:lang w:val="en-US"/>
        </w:rPr>
        <w:t xml:space="preserve">A.1. </w:t>
      </w:r>
      <w:r w:rsidR="00CA11F6" w:rsidRPr="009F337B">
        <w:rPr>
          <w:lang w:val="en-US"/>
        </w:rPr>
        <w:t>General information on</w:t>
      </w:r>
      <w:r w:rsidR="00F46845" w:rsidRPr="009F337B">
        <w:rPr>
          <w:lang w:val="en-US"/>
        </w:rPr>
        <w:t xml:space="preserve"> </w:t>
      </w:r>
      <w:r w:rsidR="00CA11F6" w:rsidRPr="009F337B">
        <w:rPr>
          <w:lang w:val="en-US"/>
        </w:rPr>
        <w:t>HIV/AIDS</w:t>
      </w:r>
      <w:bookmarkEnd w:id="62"/>
    </w:p>
    <w:p w14:paraId="5AA23E40" w14:textId="77777777" w:rsidR="00F8006A" w:rsidRPr="009F337B" w:rsidRDefault="00F8006A" w:rsidP="00F8006A">
      <w:pPr>
        <w:rPr>
          <w:lang w:val="en-US"/>
        </w:rPr>
      </w:pPr>
    </w:p>
    <w:p w14:paraId="03A910C8" w14:textId="4E11E906" w:rsidR="001E65B3" w:rsidRPr="009F337B" w:rsidRDefault="00CA11F6" w:rsidP="00593E37">
      <w:pPr>
        <w:pStyle w:val="Estilo1"/>
        <w:numPr>
          <w:ilvl w:val="0"/>
          <w:numId w:val="1"/>
        </w:numPr>
        <w:tabs>
          <w:tab w:val="left" w:pos="709"/>
          <w:tab w:val="left" w:pos="1134"/>
        </w:tabs>
        <w:spacing w:after="0"/>
        <w:ind w:left="0" w:right="-4" w:firstLine="0"/>
        <w:rPr>
          <w:i w:val="0"/>
          <w:szCs w:val="20"/>
          <w:lang w:val="en-US"/>
        </w:rPr>
      </w:pPr>
      <w:r w:rsidRPr="009F337B">
        <w:rPr>
          <w:i w:val="0"/>
          <w:szCs w:val="20"/>
          <w:lang w:val="en-US"/>
        </w:rPr>
        <w:t xml:space="preserve">The </w:t>
      </w:r>
      <w:r w:rsidRPr="009F337B">
        <w:rPr>
          <w:rStyle w:val="alsocalled"/>
          <w:i w:val="0"/>
          <w:lang w:val="en-US"/>
        </w:rPr>
        <w:t>human immunodeficiency virus</w:t>
      </w:r>
      <w:r w:rsidR="00F46845" w:rsidRPr="009F337B">
        <w:rPr>
          <w:i w:val="0"/>
          <w:szCs w:val="20"/>
          <w:lang w:val="en-US"/>
        </w:rPr>
        <w:t xml:space="preserve"> at</w:t>
      </w:r>
      <w:r w:rsidRPr="009F337B">
        <w:rPr>
          <w:i w:val="0"/>
          <w:szCs w:val="20"/>
          <w:lang w:val="en-US"/>
        </w:rPr>
        <w:t xml:space="preserve">tacks the human body’s immune system (defense system), specifically destroying the </w:t>
      </w:r>
      <w:r w:rsidRPr="009F337B">
        <w:rPr>
          <w:bCs/>
          <w:i w:val="0"/>
          <w:lang w:val="en-US"/>
        </w:rPr>
        <w:t>CD4 or T lymphocytes</w:t>
      </w:r>
      <w:r w:rsidRPr="009F337B">
        <w:rPr>
          <w:lang w:val="en-US"/>
        </w:rPr>
        <w:t>,</w:t>
      </w:r>
      <w:r w:rsidRPr="009F337B">
        <w:rPr>
          <w:i w:val="0"/>
          <w:lang w:val="en-US"/>
        </w:rPr>
        <w:t xml:space="preserve"> which are the most important defense cells of the immune system. </w:t>
      </w:r>
      <w:r w:rsidRPr="009F337B">
        <w:rPr>
          <w:i w:val="0"/>
          <w:szCs w:val="20"/>
          <w:lang w:val="en-US"/>
        </w:rPr>
        <w:t>HIV</w:t>
      </w:r>
      <w:r w:rsidR="00F46845" w:rsidRPr="009F337B">
        <w:rPr>
          <w:i w:val="0"/>
          <w:szCs w:val="20"/>
          <w:lang w:val="en-US"/>
        </w:rPr>
        <w:t xml:space="preserve"> </w:t>
      </w:r>
      <w:r w:rsidRPr="009F337B">
        <w:rPr>
          <w:i w:val="0"/>
          <w:szCs w:val="20"/>
          <w:lang w:val="en-US"/>
        </w:rPr>
        <w:t xml:space="preserve">may be active for years without any symptom, so that </w:t>
      </w:r>
      <w:r w:rsidR="0081271B" w:rsidRPr="009F337B">
        <w:rPr>
          <w:i w:val="0"/>
          <w:szCs w:val="20"/>
          <w:lang w:val="en-US"/>
        </w:rPr>
        <w:t>people who are</w:t>
      </w:r>
      <w:r w:rsidRPr="009F337B">
        <w:rPr>
          <w:i w:val="0"/>
          <w:szCs w:val="20"/>
          <w:lang w:val="en-US"/>
        </w:rPr>
        <w:t xml:space="preserve"> infected may not know this</w:t>
      </w:r>
      <w:r w:rsidR="0081271B" w:rsidRPr="009F337B">
        <w:rPr>
          <w:i w:val="0"/>
          <w:szCs w:val="20"/>
          <w:lang w:val="en-US"/>
        </w:rPr>
        <w:t xml:space="preserve"> </w:t>
      </w:r>
      <w:r w:rsidRPr="009F337B">
        <w:rPr>
          <w:i w:val="0"/>
          <w:szCs w:val="20"/>
          <w:lang w:val="en-US"/>
        </w:rPr>
        <w:t>and</w:t>
      </w:r>
      <w:r w:rsidR="0081271B" w:rsidRPr="009F337B">
        <w:rPr>
          <w:i w:val="0"/>
          <w:szCs w:val="20"/>
          <w:lang w:val="en-US"/>
        </w:rPr>
        <w:t>,</w:t>
      </w:r>
      <w:r w:rsidRPr="009F337B">
        <w:rPr>
          <w:i w:val="0"/>
          <w:szCs w:val="20"/>
          <w:lang w:val="en-US"/>
        </w:rPr>
        <w:t xml:space="preserve"> even if </w:t>
      </w:r>
      <w:r w:rsidR="0081271B" w:rsidRPr="009F337B">
        <w:rPr>
          <w:i w:val="0"/>
          <w:szCs w:val="20"/>
          <w:lang w:val="en-US"/>
        </w:rPr>
        <w:t>they</w:t>
      </w:r>
      <w:r w:rsidRPr="009F337B">
        <w:rPr>
          <w:i w:val="0"/>
          <w:szCs w:val="20"/>
          <w:lang w:val="en-US"/>
        </w:rPr>
        <w:t xml:space="preserve"> seem and feel completely healthy, </w:t>
      </w:r>
      <w:r w:rsidR="0081271B" w:rsidRPr="009F337B">
        <w:rPr>
          <w:i w:val="0"/>
          <w:szCs w:val="20"/>
          <w:lang w:val="en-US"/>
        </w:rPr>
        <w:t>they</w:t>
      </w:r>
      <w:r w:rsidRPr="009F337B">
        <w:rPr>
          <w:i w:val="0"/>
          <w:szCs w:val="20"/>
          <w:lang w:val="en-US"/>
        </w:rPr>
        <w:t xml:space="preserve"> can transmit the disease to other people. Pregnant women can </w:t>
      </w:r>
      <w:r w:rsidRPr="009F337B">
        <w:rPr>
          <w:i w:val="0"/>
          <w:szCs w:val="20"/>
          <w:lang w:val="en-US"/>
        </w:rPr>
        <w:lastRenderedPageBreak/>
        <w:t>transmit HIV during pregnancy, while giving birth</w:t>
      </w:r>
      <w:r w:rsidR="00B71C24" w:rsidRPr="009F337B">
        <w:rPr>
          <w:i w:val="0"/>
          <w:szCs w:val="20"/>
          <w:lang w:val="en-US"/>
        </w:rPr>
        <w:t xml:space="preserve"> and, </w:t>
      </w:r>
      <w:r w:rsidRPr="009F337B">
        <w:rPr>
          <w:i w:val="0"/>
          <w:szCs w:val="20"/>
          <w:lang w:val="en-US"/>
        </w:rPr>
        <w:t>following the birth</w:t>
      </w:r>
      <w:r w:rsidR="00B71C24" w:rsidRPr="009F337B">
        <w:rPr>
          <w:i w:val="0"/>
          <w:szCs w:val="20"/>
          <w:lang w:val="en-US"/>
        </w:rPr>
        <w:t>,</w:t>
      </w:r>
      <w:r w:rsidRPr="009F337B">
        <w:rPr>
          <w:i w:val="0"/>
          <w:szCs w:val="20"/>
          <w:lang w:val="en-US"/>
        </w:rPr>
        <w:t xml:space="preserve"> through their breast milk</w:t>
      </w:r>
      <w:r w:rsidR="00F46845" w:rsidRPr="009F337B">
        <w:rPr>
          <w:i w:val="0"/>
          <w:szCs w:val="20"/>
          <w:lang w:val="en-US"/>
        </w:rPr>
        <w:t xml:space="preserve">. </w:t>
      </w:r>
      <w:r w:rsidRPr="009F337B">
        <w:rPr>
          <w:rStyle w:val="alsocalled"/>
          <w:i w:val="0"/>
          <w:lang w:val="en-US"/>
        </w:rPr>
        <w:t xml:space="preserve">Acquired immunodeficiency </w:t>
      </w:r>
      <w:r w:rsidR="008F2843" w:rsidRPr="009F337B">
        <w:rPr>
          <w:rStyle w:val="alsocalled"/>
          <w:i w:val="0"/>
          <w:lang w:val="en-US"/>
        </w:rPr>
        <w:t>syndrome</w:t>
      </w:r>
      <w:r w:rsidRPr="009F337B">
        <w:rPr>
          <w:i w:val="0"/>
          <w:szCs w:val="20"/>
          <w:lang w:val="en-US"/>
        </w:rPr>
        <w:t xml:space="preserve"> </w:t>
      </w:r>
      <w:r w:rsidR="00F46845" w:rsidRPr="009F337B">
        <w:rPr>
          <w:i w:val="0"/>
          <w:szCs w:val="20"/>
          <w:lang w:val="en-US"/>
        </w:rPr>
        <w:t>(</w:t>
      </w:r>
      <w:r w:rsidR="00AE5F9E" w:rsidRPr="009F337B">
        <w:rPr>
          <w:i w:val="0"/>
          <w:szCs w:val="20"/>
          <w:lang w:val="en-US"/>
        </w:rPr>
        <w:t>hereinafter</w:t>
      </w:r>
      <w:r w:rsidR="00071964" w:rsidRPr="009F337B">
        <w:rPr>
          <w:i w:val="0"/>
          <w:szCs w:val="20"/>
          <w:lang w:val="en-US"/>
        </w:rPr>
        <w:t xml:space="preserve"> </w:t>
      </w:r>
      <w:r w:rsidRPr="009F337B">
        <w:rPr>
          <w:i w:val="0"/>
          <w:szCs w:val="20"/>
          <w:lang w:val="en-US"/>
        </w:rPr>
        <w:t>also</w:t>
      </w:r>
      <w:r w:rsidR="00071964" w:rsidRPr="009F337B">
        <w:rPr>
          <w:i w:val="0"/>
          <w:szCs w:val="20"/>
          <w:lang w:val="en-US"/>
        </w:rPr>
        <w:t xml:space="preserve"> “</w:t>
      </w:r>
      <w:r w:rsidRPr="009F337B">
        <w:rPr>
          <w:i w:val="0"/>
          <w:szCs w:val="20"/>
          <w:lang w:val="en-US"/>
        </w:rPr>
        <w:t>AIDS</w:t>
      </w:r>
      <w:r w:rsidR="00071964" w:rsidRPr="009F337B">
        <w:rPr>
          <w:i w:val="0"/>
          <w:szCs w:val="20"/>
          <w:lang w:val="en-US"/>
        </w:rPr>
        <w:t>”</w:t>
      </w:r>
      <w:r w:rsidR="00F46845" w:rsidRPr="009F337B">
        <w:rPr>
          <w:i w:val="0"/>
          <w:szCs w:val="20"/>
          <w:lang w:val="en-US"/>
        </w:rPr>
        <w:t xml:space="preserve">) </w:t>
      </w:r>
      <w:r w:rsidRPr="009F337B">
        <w:rPr>
          <w:i w:val="0"/>
          <w:szCs w:val="20"/>
          <w:lang w:val="en-US"/>
        </w:rPr>
        <w:t>i</w:t>
      </w:r>
      <w:r w:rsidR="00F46845" w:rsidRPr="009F337B">
        <w:rPr>
          <w:i w:val="0"/>
          <w:szCs w:val="20"/>
          <w:lang w:val="en-US"/>
        </w:rPr>
        <w:t>s</w:t>
      </w:r>
      <w:r w:rsidRPr="009F337B">
        <w:rPr>
          <w:i w:val="0"/>
          <w:szCs w:val="20"/>
          <w:lang w:val="en-US"/>
        </w:rPr>
        <w:t xml:space="preserve"> the final stage of the HIV infection. It is a</w:t>
      </w:r>
      <w:r w:rsidR="008F2843" w:rsidRPr="009F337B">
        <w:rPr>
          <w:i w:val="0"/>
          <w:szCs w:val="20"/>
          <w:lang w:val="en-US"/>
        </w:rPr>
        <w:t xml:space="preserve"> medical condition that occurs 7 to 10 years after a person has become an “</w:t>
      </w:r>
      <w:r w:rsidR="008F2843" w:rsidRPr="009F337B">
        <w:rPr>
          <w:bCs/>
          <w:i w:val="0"/>
          <w:lang w:val="en-US"/>
        </w:rPr>
        <w:t xml:space="preserve">asymptomatic carrier of HIV.” </w:t>
      </w:r>
      <w:r w:rsidR="008F2843" w:rsidRPr="009F337B">
        <w:rPr>
          <w:i w:val="0"/>
          <w:szCs w:val="20"/>
          <w:lang w:val="en-US"/>
        </w:rPr>
        <w:t xml:space="preserve">It is characterized by a significant weakening of the body’s defense system, which causes a series of severe </w:t>
      </w:r>
      <w:r w:rsidR="00EE08C5" w:rsidRPr="009F337B">
        <w:rPr>
          <w:i w:val="0"/>
          <w:szCs w:val="20"/>
          <w:lang w:val="en-US"/>
        </w:rPr>
        <w:t>illnesses</w:t>
      </w:r>
      <w:r w:rsidR="008F2843" w:rsidRPr="009F337B">
        <w:rPr>
          <w:i w:val="0"/>
          <w:szCs w:val="20"/>
          <w:lang w:val="en-US"/>
        </w:rPr>
        <w:t xml:space="preserve"> that may result in death. The infections that accompany AIDS are known as “opportunistic” </w:t>
      </w:r>
      <w:r w:rsidR="00EE08C5" w:rsidRPr="009F337B">
        <w:rPr>
          <w:i w:val="0"/>
          <w:szCs w:val="20"/>
          <w:lang w:val="en-US"/>
        </w:rPr>
        <w:t>infections</w:t>
      </w:r>
      <w:r w:rsidR="008F2843" w:rsidRPr="009F337B">
        <w:rPr>
          <w:i w:val="0"/>
          <w:szCs w:val="20"/>
          <w:lang w:val="en-US"/>
        </w:rPr>
        <w:t xml:space="preserve"> because the pathogens that cause them take advantage of the</w:t>
      </w:r>
      <w:r w:rsidR="00EE08C5" w:rsidRPr="009F337B">
        <w:rPr>
          <w:i w:val="0"/>
          <w:szCs w:val="20"/>
          <w:lang w:val="en-US"/>
        </w:rPr>
        <w:t xml:space="preserve"> opportunity offered by a</w:t>
      </w:r>
      <w:r w:rsidR="008F2843" w:rsidRPr="009F337B">
        <w:rPr>
          <w:i w:val="0"/>
          <w:szCs w:val="20"/>
          <w:lang w:val="en-US"/>
        </w:rPr>
        <w:t xml:space="preserve"> weak</w:t>
      </w:r>
      <w:r w:rsidR="00EE08C5" w:rsidRPr="009F337B">
        <w:rPr>
          <w:i w:val="0"/>
          <w:szCs w:val="20"/>
          <w:lang w:val="en-US"/>
        </w:rPr>
        <w:t>ened</w:t>
      </w:r>
      <w:r w:rsidR="008F2843" w:rsidRPr="009F337B">
        <w:rPr>
          <w:i w:val="0"/>
          <w:szCs w:val="20"/>
          <w:lang w:val="en-US"/>
        </w:rPr>
        <w:t xml:space="preserve"> immune system.</w:t>
      </w:r>
      <w:r w:rsidR="00F46845" w:rsidRPr="009F337B">
        <w:rPr>
          <w:rFonts w:cs="Verdana"/>
          <w:i w:val="0"/>
          <w:szCs w:val="20"/>
          <w:vertAlign w:val="superscript"/>
          <w:lang w:val="en-US"/>
        </w:rPr>
        <w:footnoteReference w:id="23"/>
      </w:r>
    </w:p>
    <w:p w14:paraId="08C64CA1" w14:textId="77777777" w:rsidR="00F8006A" w:rsidRPr="009F337B" w:rsidRDefault="00F8006A" w:rsidP="00F8006A">
      <w:pPr>
        <w:pStyle w:val="Estilo1"/>
        <w:tabs>
          <w:tab w:val="left" w:pos="709"/>
          <w:tab w:val="left" w:pos="1134"/>
        </w:tabs>
        <w:spacing w:after="0"/>
        <w:ind w:left="0" w:right="-4" w:firstLine="0"/>
        <w:rPr>
          <w:i w:val="0"/>
          <w:szCs w:val="20"/>
          <w:lang w:val="en-US"/>
        </w:rPr>
      </w:pPr>
    </w:p>
    <w:p w14:paraId="012664F8" w14:textId="1FCE9F30" w:rsidR="00542B1E" w:rsidRPr="009F337B" w:rsidRDefault="00EE08C5" w:rsidP="00593E37">
      <w:pPr>
        <w:pStyle w:val="Estilo1"/>
        <w:numPr>
          <w:ilvl w:val="0"/>
          <w:numId w:val="1"/>
        </w:numPr>
        <w:tabs>
          <w:tab w:val="left" w:pos="709"/>
          <w:tab w:val="left" w:pos="1134"/>
        </w:tabs>
        <w:spacing w:after="0"/>
        <w:ind w:left="0" w:right="-4" w:firstLine="0"/>
        <w:rPr>
          <w:i w:val="0"/>
          <w:szCs w:val="20"/>
          <w:lang w:val="en-US"/>
        </w:rPr>
      </w:pPr>
      <w:r w:rsidRPr="009F337B">
        <w:rPr>
          <w:i w:val="0"/>
          <w:lang w:val="en-US"/>
        </w:rPr>
        <w:t xml:space="preserve">The most common opportunistic diseases and infections include bacterial diseases </w:t>
      </w:r>
      <w:r w:rsidRPr="009F337B">
        <w:rPr>
          <w:i w:val="0"/>
          <w:szCs w:val="20"/>
          <w:lang w:val="en-US"/>
        </w:rPr>
        <w:t xml:space="preserve">such as tuberculosis; protozoal diseases such as pneumonia; fungal diseases such as candidiasis; viral diseases such as herpes, and HIV-associated malignancies such as Kaposi sarcoma, lymphoma and squamous cell carcinoma. HIV </w:t>
      </w:r>
      <w:r w:rsidR="00DE1E78" w:rsidRPr="009F337B">
        <w:rPr>
          <w:i w:val="0"/>
          <w:szCs w:val="20"/>
          <w:lang w:val="en-US"/>
        </w:rPr>
        <w:t xml:space="preserve">is </w:t>
      </w:r>
      <w:r w:rsidRPr="009F337B">
        <w:rPr>
          <w:i w:val="0"/>
          <w:szCs w:val="20"/>
          <w:lang w:val="en-US"/>
        </w:rPr>
        <w:t>transmi</w:t>
      </w:r>
      <w:r w:rsidR="00DE1E78" w:rsidRPr="009F337B">
        <w:rPr>
          <w:i w:val="0"/>
          <w:szCs w:val="20"/>
          <w:lang w:val="en-US"/>
        </w:rPr>
        <w:t>tted through blood or products derived from contaminated blood, through sexual relations, vertically (mother</w:t>
      </w:r>
      <w:r w:rsidR="00B71C24" w:rsidRPr="009F337B">
        <w:rPr>
          <w:i w:val="0"/>
          <w:szCs w:val="20"/>
          <w:lang w:val="en-US"/>
        </w:rPr>
        <w:t>-</w:t>
      </w:r>
      <w:r w:rsidR="00DE1E78" w:rsidRPr="009F337B">
        <w:rPr>
          <w:i w:val="0"/>
          <w:szCs w:val="20"/>
          <w:lang w:val="en-US"/>
        </w:rPr>
        <w:t>to</w:t>
      </w:r>
      <w:r w:rsidR="00B71C24" w:rsidRPr="009F337B">
        <w:rPr>
          <w:i w:val="0"/>
          <w:szCs w:val="20"/>
          <w:lang w:val="en-US"/>
        </w:rPr>
        <w:t>-</w:t>
      </w:r>
      <w:r w:rsidR="00DE1E78" w:rsidRPr="009F337B">
        <w:rPr>
          <w:i w:val="0"/>
          <w:szCs w:val="20"/>
          <w:lang w:val="en-US"/>
        </w:rPr>
        <w:t xml:space="preserve">child) and by workplace accidents or accidental </w:t>
      </w:r>
      <w:r w:rsidR="00B71C24" w:rsidRPr="009F337B">
        <w:rPr>
          <w:i w:val="0"/>
          <w:szCs w:val="20"/>
          <w:lang w:val="en-US"/>
        </w:rPr>
        <w:t>perforation</w:t>
      </w:r>
      <w:r w:rsidR="00DE1E78" w:rsidRPr="009F337B">
        <w:rPr>
          <w:i w:val="0"/>
          <w:szCs w:val="20"/>
          <w:lang w:val="en-US"/>
        </w:rPr>
        <w:t xml:space="preserve"> with medical instruments or contaminated needles. The natural course of a</w:t>
      </w:r>
      <w:r w:rsidR="00B71C24" w:rsidRPr="009F337B">
        <w:rPr>
          <w:i w:val="0"/>
          <w:szCs w:val="20"/>
          <w:lang w:val="en-US"/>
        </w:rPr>
        <w:t>n</w:t>
      </w:r>
      <w:r w:rsidR="00DE1E78" w:rsidRPr="009F337B">
        <w:rPr>
          <w:i w:val="0"/>
          <w:szCs w:val="20"/>
          <w:lang w:val="en-US"/>
        </w:rPr>
        <w:t xml:space="preserve"> HIV infection is divided into four stages: (a) eclipse p</w:t>
      </w:r>
      <w:r w:rsidR="00B71C24" w:rsidRPr="009F337B">
        <w:rPr>
          <w:i w:val="0"/>
          <w:szCs w:val="20"/>
          <w:lang w:val="en-US"/>
        </w:rPr>
        <w:t>eriod</w:t>
      </w:r>
      <w:r w:rsidR="00DE1E78" w:rsidRPr="009F337B">
        <w:rPr>
          <w:i w:val="0"/>
          <w:szCs w:val="20"/>
          <w:lang w:val="en-US"/>
        </w:rPr>
        <w:t xml:space="preserve"> (1-2 weeks); (b) primary or acute infection (2-4 weeks); (c) chronic infection</w:t>
      </w:r>
      <w:r w:rsidR="00A53E75" w:rsidRPr="009F337B">
        <w:rPr>
          <w:i w:val="0"/>
          <w:szCs w:val="20"/>
          <w:lang w:val="en-US"/>
        </w:rPr>
        <w:t xml:space="preserve"> </w:t>
      </w:r>
      <w:r w:rsidR="009F54AA">
        <w:rPr>
          <w:i w:val="0"/>
          <w:szCs w:val="20"/>
          <w:lang w:val="en-US"/>
        </w:rPr>
        <w:t xml:space="preserve">or </w:t>
      </w:r>
      <w:r w:rsidR="009F54AA" w:rsidRPr="009F337B">
        <w:rPr>
          <w:i w:val="0"/>
          <w:szCs w:val="20"/>
          <w:lang w:val="en-US"/>
        </w:rPr>
        <w:t>clinical</w:t>
      </w:r>
      <w:r w:rsidR="009F54AA">
        <w:rPr>
          <w:i w:val="0"/>
          <w:szCs w:val="20"/>
          <w:lang w:val="en-US"/>
        </w:rPr>
        <w:t>,</w:t>
      </w:r>
      <w:r w:rsidR="009F54AA" w:rsidRPr="009F337B">
        <w:rPr>
          <w:i w:val="0"/>
          <w:szCs w:val="20"/>
          <w:lang w:val="en-US"/>
        </w:rPr>
        <w:t xml:space="preserve"> </w:t>
      </w:r>
      <w:r w:rsidR="00A53E75" w:rsidRPr="009F337B">
        <w:rPr>
          <w:i w:val="0"/>
          <w:szCs w:val="20"/>
          <w:lang w:val="en-US"/>
        </w:rPr>
        <w:t xml:space="preserve">but not </w:t>
      </w:r>
      <w:proofErr w:type="spellStart"/>
      <w:r w:rsidR="001D19C0" w:rsidRPr="009F337B">
        <w:rPr>
          <w:i w:val="0"/>
          <w:szCs w:val="20"/>
          <w:lang w:val="en-US"/>
        </w:rPr>
        <w:t>vir</w:t>
      </w:r>
      <w:r w:rsidR="009F54AA">
        <w:rPr>
          <w:i w:val="0"/>
          <w:szCs w:val="20"/>
          <w:lang w:val="en-US"/>
        </w:rPr>
        <w:t>ological</w:t>
      </w:r>
      <w:proofErr w:type="spellEnd"/>
      <w:r w:rsidR="001D19C0" w:rsidRPr="009F337B">
        <w:rPr>
          <w:i w:val="0"/>
          <w:szCs w:val="20"/>
          <w:lang w:val="en-US"/>
        </w:rPr>
        <w:t xml:space="preserve"> or immun</w:t>
      </w:r>
      <w:r w:rsidR="009F54AA">
        <w:rPr>
          <w:i w:val="0"/>
          <w:szCs w:val="20"/>
          <w:lang w:val="en-US"/>
        </w:rPr>
        <w:t xml:space="preserve">ological, </w:t>
      </w:r>
      <w:r w:rsidR="009F54AA" w:rsidRPr="009F337B">
        <w:rPr>
          <w:i w:val="0"/>
          <w:szCs w:val="20"/>
          <w:lang w:val="en-US"/>
        </w:rPr>
        <w:t>latency</w:t>
      </w:r>
      <w:r w:rsidR="001D19C0" w:rsidRPr="009F337B">
        <w:rPr>
          <w:i w:val="0"/>
          <w:szCs w:val="20"/>
          <w:lang w:val="en-US"/>
        </w:rPr>
        <w:t xml:space="preserve"> </w:t>
      </w:r>
      <w:r w:rsidR="00DE1E78" w:rsidRPr="009F337B">
        <w:rPr>
          <w:i w:val="0"/>
          <w:szCs w:val="20"/>
          <w:lang w:val="en-US"/>
        </w:rPr>
        <w:t>(2-20 years), and (d) AIDS stage (1-2 years</w:t>
      </w:r>
      <w:r w:rsidR="00F46845" w:rsidRPr="009F337B">
        <w:rPr>
          <w:i w:val="0"/>
          <w:lang w:val="en-US"/>
        </w:rPr>
        <w:t>)</w:t>
      </w:r>
      <w:r w:rsidR="00DE1E78" w:rsidRPr="009F337B">
        <w:rPr>
          <w:i w:val="0"/>
          <w:lang w:val="en-US"/>
        </w:rPr>
        <w:t>.</w:t>
      </w:r>
      <w:r w:rsidR="00F46845" w:rsidRPr="009F337B">
        <w:rPr>
          <w:rStyle w:val="Refdenotaalpie"/>
          <w:i w:val="0"/>
          <w:lang w:val="en-US"/>
        </w:rPr>
        <w:footnoteReference w:id="24"/>
      </w:r>
    </w:p>
    <w:p w14:paraId="28849633" w14:textId="77777777" w:rsidR="00F8006A" w:rsidRPr="009F337B" w:rsidRDefault="00F8006A" w:rsidP="00F8006A">
      <w:pPr>
        <w:pStyle w:val="Estilo1"/>
        <w:tabs>
          <w:tab w:val="left" w:pos="709"/>
          <w:tab w:val="left" w:pos="1134"/>
        </w:tabs>
        <w:spacing w:after="0"/>
        <w:ind w:left="0" w:right="-4" w:firstLine="0"/>
        <w:rPr>
          <w:i w:val="0"/>
          <w:szCs w:val="20"/>
          <w:lang w:val="en-US"/>
        </w:rPr>
      </w:pPr>
    </w:p>
    <w:p w14:paraId="30D9659B" w14:textId="7FCA6BD0" w:rsidR="00542B1E" w:rsidRPr="009F337B" w:rsidRDefault="00DE1E78" w:rsidP="00593E37">
      <w:pPr>
        <w:pStyle w:val="Estilo1"/>
        <w:numPr>
          <w:ilvl w:val="0"/>
          <w:numId w:val="1"/>
        </w:numPr>
        <w:tabs>
          <w:tab w:val="left" w:pos="709"/>
          <w:tab w:val="left" w:pos="1134"/>
        </w:tabs>
        <w:spacing w:after="0"/>
        <w:ind w:left="0" w:right="-4" w:firstLine="0"/>
        <w:rPr>
          <w:i w:val="0"/>
          <w:lang w:val="en-US"/>
        </w:rPr>
      </w:pPr>
      <w:r w:rsidRPr="009F337B">
        <w:rPr>
          <w:bCs/>
          <w:i w:val="0"/>
          <w:lang w:val="en-US"/>
        </w:rPr>
        <w:t>Antiretroviral therapy</w:t>
      </w:r>
      <w:r w:rsidRPr="009F337B">
        <w:rPr>
          <w:b/>
          <w:bCs/>
          <w:lang w:val="en-US"/>
        </w:rPr>
        <w:t xml:space="preserve"> </w:t>
      </w:r>
      <w:r w:rsidR="00715C62" w:rsidRPr="009F337B">
        <w:rPr>
          <w:i w:val="0"/>
          <w:lang w:val="en-US"/>
        </w:rPr>
        <w:t>(AR</w:t>
      </w:r>
      <w:r w:rsidRPr="009F337B">
        <w:rPr>
          <w:i w:val="0"/>
          <w:lang w:val="en-US"/>
        </w:rPr>
        <w:t>T</w:t>
      </w:r>
      <w:r w:rsidR="00715C62" w:rsidRPr="009F337B">
        <w:rPr>
          <w:i w:val="0"/>
          <w:lang w:val="en-US"/>
        </w:rPr>
        <w:t xml:space="preserve">) </w:t>
      </w:r>
      <w:r w:rsidR="00CD7A88" w:rsidRPr="009F337B">
        <w:rPr>
          <w:i w:val="0"/>
          <w:lang w:val="en-US"/>
        </w:rPr>
        <w:t>suppresses viral replication and may greatly improve quality of life, but does not eliminate HIV disease. The first treatment with antiretroviral drugs offers the best chance of effectively suppressing the virus</w:t>
      </w:r>
      <w:r w:rsidR="00715C62" w:rsidRPr="009F337B">
        <w:rPr>
          <w:i w:val="0"/>
          <w:lang w:val="en-US"/>
        </w:rPr>
        <w:t xml:space="preserve">, </w:t>
      </w:r>
      <w:r w:rsidR="001D19C0" w:rsidRPr="009F337B">
        <w:rPr>
          <w:i w:val="0"/>
          <w:lang w:val="en-US"/>
        </w:rPr>
        <w:t>immune recovery and clinical benefit. However,</w:t>
      </w:r>
      <w:r w:rsidR="00CD7A88" w:rsidRPr="009F337B">
        <w:rPr>
          <w:i w:val="0"/>
          <w:lang w:val="en-US"/>
        </w:rPr>
        <w:t xml:space="preserve"> for the treatment to be successful, the drugs must be taken as prescribed</w:t>
      </w:r>
      <w:r w:rsidR="00715C62" w:rsidRPr="009F337B">
        <w:rPr>
          <w:i w:val="0"/>
          <w:lang w:val="en-US"/>
        </w:rPr>
        <w:t xml:space="preserve">. </w:t>
      </w:r>
      <w:r w:rsidR="00CD7A88" w:rsidRPr="009F337B">
        <w:rPr>
          <w:i w:val="0"/>
          <w:lang w:val="en-US"/>
        </w:rPr>
        <w:t>One of the main characteristics of the HIV virus is its genetic diversity, in view of its high replication, the tendency for errors in the reverse transcript</w:t>
      </w:r>
      <w:r w:rsidR="001D19C0" w:rsidRPr="009F337B">
        <w:rPr>
          <w:i w:val="0"/>
          <w:lang w:val="en-US"/>
        </w:rPr>
        <w:t>ase,</w:t>
      </w:r>
      <w:r w:rsidR="00CD7A88" w:rsidRPr="009F337B">
        <w:rPr>
          <w:i w:val="0"/>
          <w:lang w:val="en-US"/>
        </w:rPr>
        <w:t xml:space="preserve"> and the large number of people infected. This characteristic </w:t>
      </w:r>
      <w:r w:rsidR="001D19C0" w:rsidRPr="009F337B">
        <w:rPr>
          <w:i w:val="0"/>
          <w:lang w:val="en-US"/>
        </w:rPr>
        <w:t>results in</w:t>
      </w:r>
      <w:r w:rsidR="00CD7A88" w:rsidRPr="009F337B">
        <w:rPr>
          <w:i w:val="0"/>
          <w:lang w:val="en-US"/>
        </w:rPr>
        <w:t xml:space="preserve"> high rates of mutation of the virus. </w:t>
      </w:r>
      <w:r w:rsidR="00856F67" w:rsidRPr="009F337B">
        <w:rPr>
          <w:i w:val="0"/>
          <w:lang w:val="en-US"/>
        </w:rPr>
        <w:t>Thus, patients with HIV must adhere to their treatment strictly because, to the contrary, the virus can mutate making it resistant to the antiretroviral drugs.</w:t>
      </w:r>
      <w:r w:rsidR="00715C62" w:rsidRPr="009F337B">
        <w:rPr>
          <w:rStyle w:val="Refdenotaalpie"/>
          <w:i w:val="0"/>
          <w:lang w:val="en-US"/>
        </w:rPr>
        <w:footnoteReference w:id="25"/>
      </w:r>
    </w:p>
    <w:p w14:paraId="17895208" w14:textId="77777777" w:rsidR="00F8006A" w:rsidRPr="009F337B" w:rsidRDefault="00F8006A" w:rsidP="00F8006A">
      <w:pPr>
        <w:pStyle w:val="Estilo1"/>
        <w:tabs>
          <w:tab w:val="left" w:pos="709"/>
          <w:tab w:val="left" w:pos="1134"/>
        </w:tabs>
        <w:spacing w:after="0"/>
        <w:ind w:left="0" w:right="-4" w:firstLine="0"/>
        <w:rPr>
          <w:i w:val="0"/>
          <w:lang w:val="en-US"/>
        </w:rPr>
      </w:pPr>
    </w:p>
    <w:p w14:paraId="7E349C8D" w14:textId="5CB7ED4A" w:rsidR="008C6DDA" w:rsidRPr="009F337B" w:rsidRDefault="008F2843" w:rsidP="00593E37">
      <w:pPr>
        <w:pStyle w:val="Estilo1"/>
        <w:numPr>
          <w:ilvl w:val="0"/>
          <w:numId w:val="1"/>
        </w:numPr>
        <w:tabs>
          <w:tab w:val="left" w:pos="709"/>
          <w:tab w:val="left" w:pos="1134"/>
        </w:tabs>
        <w:spacing w:after="0"/>
        <w:ind w:left="0" w:right="-4" w:firstLine="0"/>
        <w:rPr>
          <w:i w:val="0"/>
          <w:lang w:val="en-US"/>
        </w:rPr>
      </w:pPr>
      <w:r w:rsidRPr="009F337B">
        <w:rPr>
          <w:i w:val="0"/>
          <w:lang w:val="en-US"/>
        </w:rPr>
        <w:t xml:space="preserve">According to the World Health Organization </w:t>
      </w:r>
      <w:r w:rsidR="008C6DDA" w:rsidRPr="009F337B">
        <w:rPr>
          <w:i w:val="0"/>
          <w:lang w:val="en-US"/>
        </w:rPr>
        <w:t>(</w:t>
      </w:r>
      <w:r w:rsidR="00AE5F9E" w:rsidRPr="009F337B">
        <w:rPr>
          <w:i w:val="0"/>
          <w:lang w:val="en-US"/>
        </w:rPr>
        <w:t>hereinafter</w:t>
      </w:r>
      <w:r w:rsidR="008C6DDA" w:rsidRPr="009F337B">
        <w:rPr>
          <w:i w:val="0"/>
          <w:lang w:val="en-US"/>
        </w:rPr>
        <w:t xml:space="preserve"> </w:t>
      </w:r>
      <w:r w:rsidRPr="009F337B">
        <w:rPr>
          <w:i w:val="0"/>
          <w:lang w:val="en-US"/>
        </w:rPr>
        <w:t>also</w:t>
      </w:r>
      <w:r w:rsidR="008C6DDA" w:rsidRPr="009F337B">
        <w:rPr>
          <w:i w:val="0"/>
          <w:lang w:val="en-US"/>
        </w:rPr>
        <w:t xml:space="preserve"> “</w:t>
      </w:r>
      <w:r w:rsidRPr="009F337B">
        <w:rPr>
          <w:i w:val="0"/>
          <w:lang w:val="en-US"/>
        </w:rPr>
        <w:t>WHO</w:t>
      </w:r>
      <w:r w:rsidR="008C6DDA" w:rsidRPr="009F337B">
        <w:rPr>
          <w:i w:val="0"/>
          <w:lang w:val="en-US"/>
        </w:rPr>
        <w:t xml:space="preserve">”), </w:t>
      </w:r>
      <w:r w:rsidRPr="009F337B">
        <w:rPr>
          <w:i w:val="0"/>
          <w:lang w:val="en-US"/>
        </w:rPr>
        <w:t>the early use of</w:t>
      </w:r>
      <w:r w:rsidR="00856F67" w:rsidRPr="009F337B">
        <w:rPr>
          <w:i w:val="0"/>
          <w:lang w:val="en-US"/>
        </w:rPr>
        <w:t xml:space="preserve"> ART</w:t>
      </w:r>
      <w:r w:rsidR="008C6DDA" w:rsidRPr="009F337B">
        <w:rPr>
          <w:i w:val="0"/>
          <w:lang w:val="en-US"/>
        </w:rPr>
        <w:t xml:space="preserve"> </w:t>
      </w:r>
      <w:r w:rsidRPr="009F337B">
        <w:rPr>
          <w:i w:val="0"/>
          <w:lang w:val="en-US"/>
        </w:rPr>
        <w:t>for</w:t>
      </w:r>
      <w:r w:rsidR="003B0F9E" w:rsidRPr="009F337B">
        <w:rPr>
          <w:i w:val="0"/>
          <w:lang w:val="en-US"/>
        </w:rPr>
        <w:t xml:space="preserve"> </w:t>
      </w:r>
      <w:r w:rsidR="00080A1E" w:rsidRPr="009F337B">
        <w:rPr>
          <w:i w:val="0"/>
          <w:lang w:val="en-US"/>
        </w:rPr>
        <w:t>people living with HIV</w:t>
      </w:r>
      <w:r w:rsidR="003B0F9E" w:rsidRPr="009F337B">
        <w:rPr>
          <w:i w:val="0"/>
          <w:lang w:val="en-US"/>
        </w:rPr>
        <w:t xml:space="preserve"> </w:t>
      </w:r>
      <w:r w:rsidR="008C6DDA" w:rsidRPr="009F337B">
        <w:rPr>
          <w:i w:val="0"/>
          <w:lang w:val="en-US"/>
        </w:rPr>
        <w:t>reduce</w:t>
      </w:r>
      <w:r w:rsidR="00856F67" w:rsidRPr="009F337B">
        <w:rPr>
          <w:i w:val="0"/>
          <w:lang w:val="en-US"/>
        </w:rPr>
        <w:t xml:space="preserve">s the risk of transmitting the </w:t>
      </w:r>
      <w:r w:rsidR="001D19C0" w:rsidRPr="009F337B">
        <w:rPr>
          <w:i w:val="0"/>
          <w:lang w:val="en-US"/>
        </w:rPr>
        <w:t>v</w:t>
      </w:r>
      <w:r w:rsidR="00856F67" w:rsidRPr="009F337B">
        <w:rPr>
          <w:i w:val="0"/>
          <w:lang w:val="en-US"/>
        </w:rPr>
        <w:t xml:space="preserve">irus to their sexual partners and to individuals with whom they share drugs. </w:t>
      </w:r>
      <w:r w:rsidR="001D19C0" w:rsidRPr="009F337B">
        <w:rPr>
          <w:i w:val="0"/>
          <w:lang w:val="en-US"/>
        </w:rPr>
        <w:t>It has also</w:t>
      </w:r>
      <w:r w:rsidR="00856F67" w:rsidRPr="009F337B">
        <w:rPr>
          <w:i w:val="0"/>
          <w:lang w:val="en-US"/>
        </w:rPr>
        <w:t xml:space="preserve"> been established that treatment of </w:t>
      </w:r>
      <w:r w:rsidR="00CA11F6" w:rsidRPr="009F337B">
        <w:rPr>
          <w:i w:val="0"/>
          <w:lang w:val="en-US"/>
        </w:rPr>
        <w:t>HIV/AIDS</w:t>
      </w:r>
      <w:r w:rsidR="00F035A5" w:rsidRPr="009F337B">
        <w:rPr>
          <w:i w:val="0"/>
          <w:lang w:val="en-US"/>
        </w:rPr>
        <w:t xml:space="preserve"> </w:t>
      </w:r>
      <w:r w:rsidR="00856F67" w:rsidRPr="009F337B">
        <w:rPr>
          <w:i w:val="0"/>
          <w:lang w:val="en-US"/>
        </w:rPr>
        <w:t>requires not only the treatment of those living with the virus, but also of their partners, even if the latter do not have the virus, and other key populations. In this regard, WHO has recommended that</w:t>
      </w:r>
      <w:r w:rsidR="001D19C0" w:rsidRPr="009F337B">
        <w:rPr>
          <w:i w:val="0"/>
          <w:lang w:val="en-US"/>
        </w:rPr>
        <w:t>,</w:t>
      </w:r>
      <w:r w:rsidR="00856F67" w:rsidRPr="009F337B">
        <w:rPr>
          <w:i w:val="0"/>
          <w:lang w:val="en-US"/>
        </w:rPr>
        <w:t xml:space="preserve"> in partnerships whe</w:t>
      </w:r>
      <w:r w:rsidR="001D19C0" w:rsidRPr="009F337B">
        <w:rPr>
          <w:i w:val="0"/>
          <w:lang w:val="en-US"/>
        </w:rPr>
        <w:t>re</w:t>
      </w:r>
      <w:r w:rsidR="00856F67" w:rsidRPr="009F337B">
        <w:rPr>
          <w:i w:val="0"/>
          <w:lang w:val="en-US"/>
        </w:rPr>
        <w:t xml:space="preserve"> one of the partners does not have HIV,</w:t>
      </w:r>
      <w:r w:rsidR="00DD0A0F" w:rsidRPr="009F337B">
        <w:rPr>
          <w:i w:val="0"/>
          <w:lang w:val="en-US"/>
        </w:rPr>
        <w:t xml:space="preserve"> both partners should</w:t>
      </w:r>
      <w:r w:rsidR="00856F67" w:rsidRPr="009F337B">
        <w:rPr>
          <w:i w:val="0"/>
          <w:lang w:val="en-US"/>
        </w:rPr>
        <w:t xml:space="preserve"> </w:t>
      </w:r>
      <w:r w:rsidR="00DD0A0F" w:rsidRPr="009F337B">
        <w:rPr>
          <w:i w:val="0"/>
          <w:lang w:val="en-US"/>
        </w:rPr>
        <w:t>be given</w:t>
      </w:r>
      <w:r w:rsidR="00856F67" w:rsidRPr="009F337B">
        <w:rPr>
          <w:i w:val="0"/>
          <w:lang w:val="en-US"/>
        </w:rPr>
        <w:t xml:space="preserve"> ART to reduce the risk of transmission of the </w:t>
      </w:r>
      <w:r w:rsidR="00856F67" w:rsidRPr="009F337B">
        <w:rPr>
          <w:i w:val="0"/>
          <w:lang w:val="en-US"/>
        </w:rPr>
        <w:lastRenderedPageBreak/>
        <w:t xml:space="preserve">virus </w:t>
      </w:r>
      <w:r w:rsidR="00DD0A0F" w:rsidRPr="009F337B">
        <w:rPr>
          <w:i w:val="0"/>
          <w:lang w:val="en-US"/>
        </w:rPr>
        <w:t xml:space="preserve">from the </w:t>
      </w:r>
      <w:r w:rsidR="001D19C0" w:rsidRPr="009F337B">
        <w:rPr>
          <w:i w:val="0"/>
          <w:lang w:val="en-US"/>
        </w:rPr>
        <w:t>infected</w:t>
      </w:r>
      <w:r w:rsidR="00DD0A0F" w:rsidRPr="009F337B">
        <w:rPr>
          <w:i w:val="0"/>
          <w:lang w:val="en-US"/>
        </w:rPr>
        <w:t xml:space="preserve"> partner. Universal </w:t>
      </w:r>
      <w:r w:rsidR="001D19C0" w:rsidRPr="009F337B">
        <w:rPr>
          <w:i w:val="0"/>
          <w:lang w:val="en-US"/>
        </w:rPr>
        <w:t>a</w:t>
      </w:r>
      <w:r w:rsidR="00DD0A0F" w:rsidRPr="009F337B">
        <w:rPr>
          <w:i w:val="0"/>
          <w:lang w:val="en-US"/>
        </w:rPr>
        <w:t>ccess to ART is a matter of public health because it is a mechanism that reduces transmis</w:t>
      </w:r>
      <w:r w:rsidR="001D19C0" w:rsidRPr="009F337B">
        <w:rPr>
          <w:i w:val="0"/>
          <w:lang w:val="en-US"/>
        </w:rPr>
        <w:t>sio</w:t>
      </w:r>
      <w:r w:rsidR="00DD0A0F" w:rsidRPr="009F337B">
        <w:rPr>
          <w:i w:val="0"/>
          <w:lang w:val="en-US"/>
        </w:rPr>
        <w:t>n of the virus among the population.</w:t>
      </w:r>
      <w:r w:rsidR="003B0F9E" w:rsidRPr="009F337B">
        <w:rPr>
          <w:rStyle w:val="Refdenotaalpie"/>
          <w:i w:val="0"/>
          <w:lang w:val="en-US"/>
        </w:rPr>
        <w:footnoteReference w:id="26"/>
      </w:r>
    </w:p>
    <w:p w14:paraId="48E9DDD1" w14:textId="0AD55C63" w:rsidR="00542B1E" w:rsidRPr="009F337B" w:rsidRDefault="00542B1E" w:rsidP="00F8006A">
      <w:pPr>
        <w:rPr>
          <w:lang w:val="en-US"/>
        </w:rPr>
      </w:pPr>
    </w:p>
    <w:p w14:paraId="766B3792" w14:textId="3DC84D33" w:rsidR="00DD0A0F" w:rsidRPr="009F337B" w:rsidRDefault="00AE5F9E" w:rsidP="00593E37">
      <w:pPr>
        <w:pStyle w:val="Prrafodelista"/>
        <w:numPr>
          <w:ilvl w:val="0"/>
          <w:numId w:val="1"/>
        </w:numPr>
        <w:ind w:left="0" w:firstLine="0"/>
        <w:rPr>
          <w:lang w:val="en-US"/>
        </w:rPr>
      </w:pPr>
      <w:r w:rsidRPr="009F337B">
        <w:rPr>
          <w:lang w:val="en-US"/>
        </w:rPr>
        <w:t>The Court</w:t>
      </w:r>
      <w:r w:rsidR="00542B1E" w:rsidRPr="009F337B">
        <w:rPr>
          <w:lang w:val="en-US"/>
        </w:rPr>
        <w:t xml:space="preserve"> </w:t>
      </w:r>
      <w:r w:rsidR="00DD0A0F" w:rsidRPr="009F337B">
        <w:rPr>
          <w:lang w:val="en-US"/>
        </w:rPr>
        <w:t xml:space="preserve">notes that the preceding concepts have been taken from different reliable sources, but medical science is continually making progress in this area and, consequently, the </w:t>
      </w:r>
      <w:r w:rsidR="00F66C2B" w:rsidRPr="009F337B">
        <w:rPr>
          <w:lang w:val="en-US"/>
        </w:rPr>
        <w:t>references cited</w:t>
      </w:r>
      <w:r w:rsidR="00DD0A0F" w:rsidRPr="009F337B">
        <w:rPr>
          <w:lang w:val="en-US"/>
        </w:rPr>
        <w:t xml:space="preserve"> here as an illustration are without prejudice to</w:t>
      </w:r>
      <w:r w:rsidR="00F66C2B" w:rsidRPr="009F337B">
        <w:rPr>
          <w:lang w:val="en-US"/>
        </w:rPr>
        <w:t xml:space="preserve"> more recent discoveries</w:t>
      </w:r>
      <w:r w:rsidR="00DD0A0F" w:rsidRPr="009F337B">
        <w:rPr>
          <w:lang w:val="en-US"/>
        </w:rPr>
        <w:t>, and do not call</w:t>
      </w:r>
      <w:r w:rsidR="00F66C2B" w:rsidRPr="009F337B">
        <w:rPr>
          <w:lang w:val="en-US"/>
        </w:rPr>
        <w:t xml:space="preserve"> them</w:t>
      </w:r>
      <w:r w:rsidR="00DD0A0F" w:rsidRPr="009F337B">
        <w:rPr>
          <w:lang w:val="en-US"/>
        </w:rPr>
        <w:t xml:space="preserve"> into question. In addition, the Court </w:t>
      </w:r>
      <w:r w:rsidR="00840007" w:rsidRPr="009F337B">
        <w:rPr>
          <w:lang w:val="en-US"/>
        </w:rPr>
        <w:t>takes no position</w:t>
      </w:r>
      <w:r w:rsidR="00DD0A0F" w:rsidRPr="009F337B">
        <w:rPr>
          <w:lang w:val="en-US"/>
        </w:rPr>
        <w:t xml:space="preserve"> in technical discussions and questions relating to the medical and biological sciences.</w:t>
      </w:r>
    </w:p>
    <w:p w14:paraId="06A28114" w14:textId="77777777" w:rsidR="00F8006A" w:rsidRPr="009F337B" w:rsidRDefault="00F8006A" w:rsidP="00F8006A">
      <w:pPr>
        <w:pStyle w:val="Prrafodelista"/>
        <w:ind w:left="0"/>
        <w:rPr>
          <w:lang w:val="en-US"/>
        </w:rPr>
      </w:pPr>
    </w:p>
    <w:p w14:paraId="42378046" w14:textId="5DB7B8EC" w:rsidR="00681127" w:rsidRPr="009F337B" w:rsidRDefault="00DD0A0F" w:rsidP="00593E37">
      <w:pPr>
        <w:pStyle w:val="Estilo1"/>
        <w:numPr>
          <w:ilvl w:val="0"/>
          <w:numId w:val="1"/>
        </w:numPr>
        <w:tabs>
          <w:tab w:val="left" w:pos="709"/>
          <w:tab w:val="left" w:pos="1134"/>
        </w:tabs>
        <w:spacing w:after="0"/>
        <w:ind w:left="0" w:right="-4" w:firstLine="0"/>
        <w:rPr>
          <w:i w:val="0"/>
          <w:szCs w:val="20"/>
          <w:lang w:val="en-US"/>
        </w:rPr>
      </w:pPr>
      <w:r w:rsidRPr="009F337B">
        <w:rPr>
          <w:i w:val="0"/>
          <w:lang w:val="en-US"/>
        </w:rPr>
        <w:t xml:space="preserve">According to data from the </w:t>
      </w:r>
      <w:r w:rsidRPr="009F337B">
        <w:rPr>
          <w:i w:val="0"/>
          <w:szCs w:val="16"/>
          <w:lang w:val="en-US"/>
        </w:rPr>
        <w:t>Joint United Nations Program on HIV and AIDS</w:t>
      </w:r>
      <w:r w:rsidRPr="009F337B">
        <w:rPr>
          <w:i w:val="0"/>
          <w:lang w:val="en-US"/>
        </w:rPr>
        <w:t xml:space="preserve"> </w:t>
      </w:r>
      <w:r w:rsidR="00F46845" w:rsidRPr="009F337B">
        <w:rPr>
          <w:i w:val="0"/>
          <w:lang w:val="en-US"/>
        </w:rPr>
        <w:t>(</w:t>
      </w:r>
      <w:r w:rsidR="00AE5F9E" w:rsidRPr="009F337B">
        <w:rPr>
          <w:i w:val="0"/>
          <w:lang w:val="en-US"/>
        </w:rPr>
        <w:t>hereinafter</w:t>
      </w:r>
      <w:r w:rsidR="00F46845" w:rsidRPr="009F337B">
        <w:rPr>
          <w:i w:val="0"/>
          <w:lang w:val="en-US"/>
        </w:rPr>
        <w:t xml:space="preserve"> </w:t>
      </w:r>
      <w:r w:rsidR="005A0358" w:rsidRPr="009F337B">
        <w:rPr>
          <w:i w:val="0"/>
          <w:lang w:val="en-US"/>
        </w:rPr>
        <w:t>also</w:t>
      </w:r>
      <w:r w:rsidR="00F46845" w:rsidRPr="009F337B">
        <w:rPr>
          <w:i w:val="0"/>
          <w:lang w:val="en-US"/>
        </w:rPr>
        <w:t xml:space="preserve"> “</w:t>
      </w:r>
      <w:r w:rsidR="005A0358" w:rsidRPr="009F337B">
        <w:rPr>
          <w:i w:val="0"/>
          <w:lang w:val="en-US"/>
        </w:rPr>
        <w:t>UNAIDS</w:t>
      </w:r>
      <w:r w:rsidR="00F46845" w:rsidRPr="009F337B">
        <w:rPr>
          <w:i w:val="0"/>
          <w:lang w:val="en-US"/>
        </w:rPr>
        <w:t>”)</w:t>
      </w:r>
      <w:r w:rsidR="005A0358" w:rsidRPr="009F337B">
        <w:rPr>
          <w:i w:val="0"/>
          <w:lang w:val="en-US"/>
        </w:rPr>
        <w:t xml:space="preserve">, since 1981, 76.1 million people have become infected by HIV, 35 million people have died </w:t>
      </w:r>
      <w:r w:rsidR="001E2B09" w:rsidRPr="009F337B">
        <w:rPr>
          <w:i w:val="0"/>
          <w:lang w:val="en-US"/>
        </w:rPr>
        <w:t>from</w:t>
      </w:r>
      <w:r w:rsidR="005A0358" w:rsidRPr="009F337B">
        <w:rPr>
          <w:i w:val="0"/>
          <w:lang w:val="en-US"/>
        </w:rPr>
        <w:t xml:space="preserve"> AIDS-related </w:t>
      </w:r>
      <w:r w:rsidR="001E2B09" w:rsidRPr="009F337B">
        <w:rPr>
          <w:i w:val="0"/>
          <w:lang w:val="en-US"/>
        </w:rPr>
        <w:t>illnesses</w:t>
      </w:r>
      <w:r w:rsidR="005A0358" w:rsidRPr="009F337B">
        <w:rPr>
          <w:i w:val="0"/>
          <w:lang w:val="en-US"/>
        </w:rPr>
        <w:t xml:space="preserve"> since the start of the epidemic; 36.7 million people were living with HIV in 2016; 20.9 million people had access to antiretroviral therapy in June 2017; 1.8 million people became </w:t>
      </w:r>
      <w:r w:rsidR="001E2B09" w:rsidRPr="009F337B">
        <w:rPr>
          <w:i w:val="0"/>
          <w:lang w:val="en-US"/>
        </w:rPr>
        <w:t xml:space="preserve">newly </w:t>
      </w:r>
      <w:r w:rsidR="005A0358" w:rsidRPr="009F337B">
        <w:rPr>
          <w:i w:val="0"/>
          <w:lang w:val="en-US"/>
        </w:rPr>
        <w:t xml:space="preserve">infected with HIV in 2016, and one million people died from AIDS-related </w:t>
      </w:r>
      <w:r w:rsidR="001E2B09" w:rsidRPr="009F337B">
        <w:rPr>
          <w:i w:val="0"/>
          <w:lang w:val="en-US"/>
        </w:rPr>
        <w:t>illnesses</w:t>
      </w:r>
      <w:r w:rsidR="005A0358" w:rsidRPr="009F337B">
        <w:rPr>
          <w:i w:val="0"/>
          <w:lang w:val="en-US"/>
        </w:rPr>
        <w:t xml:space="preserve"> in 2016. In Guatemala, UNAIDS </w:t>
      </w:r>
      <w:r w:rsidR="00F66C2B" w:rsidRPr="009F337B">
        <w:rPr>
          <w:i w:val="0"/>
          <w:lang w:val="en-US"/>
        </w:rPr>
        <w:t>estimate</w:t>
      </w:r>
      <w:r w:rsidR="005A0358" w:rsidRPr="009F337B">
        <w:rPr>
          <w:i w:val="0"/>
          <w:lang w:val="en-US"/>
        </w:rPr>
        <w:t xml:space="preserve">d that 46,000 people were living with HIV in 2016 and, of these, 36% had access to antiretroviral therapy. Among pregnant women, 19% had access to treatment or prophylaxis to prevent the transmission of HIV to their </w:t>
      </w:r>
      <w:r w:rsidR="001E2B09" w:rsidRPr="009F337B">
        <w:rPr>
          <w:i w:val="0"/>
          <w:lang w:val="en-US"/>
        </w:rPr>
        <w:t>babies</w:t>
      </w:r>
      <w:r w:rsidR="005A0358" w:rsidRPr="009F337B">
        <w:rPr>
          <w:i w:val="0"/>
          <w:lang w:val="en-US"/>
        </w:rPr>
        <w:t>. According to figures from the Pan-American Health Organization</w:t>
      </w:r>
      <w:r w:rsidR="00F46845" w:rsidRPr="009F337B">
        <w:rPr>
          <w:i w:val="0"/>
          <w:lang w:val="en-US"/>
        </w:rPr>
        <w:t xml:space="preserve"> (</w:t>
      </w:r>
      <w:r w:rsidR="00AE5F9E" w:rsidRPr="009F337B">
        <w:rPr>
          <w:i w:val="0"/>
          <w:lang w:val="en-US"/>
        </w:rPr>
        <w:t>hereinafter</w:t>
      </w:r>
      <w:r w:rsidR="00F46845" w:rsidRPr="009F337B">
        <w:rPr>
          <w:i w:val="0"/>
          <w:lang w:val="en-US"/>
        </w:rPr>
        <w:t xml:space="preserve"> “</w:t>
      </w:r>
      <w:r w:rsidR="005A0358" w:rsidRPr="009F337B">
        <w:rPr>
          <w:i w:val="0"/>
          <w:lang w:val="en-US"/>
        </w:rPr>
        <w:t>PAHO</w:t>
      </w:r>
      <w:r w:rsidR="00F46845" w:rsidRPr="009F337B">
        <w:rPr>
          <w:i w:val="0"/>
          <w:lang w:val="en-US"/>
        </w:rPr>
        <w:t xml:space="preserve">”) </w:t>
      </w:r>
      <w:r w:rsidR="005A0358" w:rsidRPr="009F337B">
        <w:rPr>
          <w:i w:val="0"/>
          <w:lang w:val="en-US"/>
        </w:rPr>
        <w:t xml:space="preserve">for 2013, the HIV epidemic </w:t>
      </w:r>
      <w:r w:rsidR="00F07DFE" w:rsidRPr="009F337B">
        <w:rPr>
          <w:i w:val="0"/>
          <w:lang w:val="en-US"/>
        </w:rPr>
        <w:t xml:space="preserve">in Guatemala </w:t>
      </w:r>
      <w:r w:rsidR="005A0358" w:rsidRPr="009F337B">
        <w:rPr>
          <w:i w:val="0"/>
          <w:lang w:val="en-US"/>
        </w:rPr>
        <w:t xml:space="preserve">was classified as concentrated because </w:t>
      </w:r>
      <w:r w:rsidR="00F66C2B" w:rsidRPr="009F337B">
        <w:rPr>
          <w:i w:val="0"/>
          <w:lang w:val="en-US"/>
        </w:rPr>
        <w:t>there was a prevalence</w:t>
      </w:r>
      <w:r w:rsidR="005A0358" w:rsidRPr="009F337B">
        <w:rPr>
          <w:i w:val="0"/>
          <w:lang w:val="en-US"/>
        </w:rPr>
        <w:t xml:space="preserve"> of less than 1% </w:t>
      </w:r>
      <w:r w:rsidR="00F07DFE" w:rsidRPr="009F337B">
        <w:rPr>
          <w:i w:val="0"/>
          <w:lang w:val="en-US"/>
        </w:rPr>
        <w:t>in the general population</w:t>
      </w:r>
      <w:r w:rsidR="00F07DFE">
        <w:rPr>
          <w:i w:val="0"/>
          <w:lang w:val="en-US"/>
        </w:rPr>
        <w:t>; also,</w:t>
      </w:r>
      <w:r w:rsidR="005A0358" w:rsidRPr="009F337B">
        <w:rPr>
          <w:i w:val="0"/>
          <w:lang w:val="en-US"/>
        </w:rPr>
        <w:t xml:space="preserve"> it was estimated that each year there were 7,557 new cases, which </w:t>
      </w:r>
      <w:r w:rsidR="00F66C2B" w:rsidRPr="009F337B">
        <w:rPr>
          <w:i w:val="0"/>
          <w:lang w:val="en-US"/>
        </w:rPr>
        <w:t>situated</w:t>
      </w:r>
      <w:r w:rsidR="005A0358" w:rsidRPr="009F337B">
        <w:rPr>
          <w:i w:val="0"/>
          <w:lang w:val="en-US"/>
        </w:rPr>
        <w:t xml:space="preserve"> Guatemala as the country with the greatest number of people living with HIV in Central America.</w:t>
      </w:r>
      <w:r w:rsidR="00F46845" w:rsidRPr="009F337B">
        <w:rPr>
          <w:rStyle w:val="Refdenotaalpie"/>
          <w:i w:val="0"/>
          <w:lang w:val="en-US"/>
        </w:rPr>
        <w:footnoteReference w:id="27"/>
      </w:r>
    </w:p>
    <w:p w14:paraId="27388F5E" w14:textId="77777777" w:rsidR="00F8006A" w:rsidRPr="009F337B" w:rsidRDefault="00F8006A" w:rsidP="00F8006A">
      <w:pPr>
        <w:pStyle w:val="Estilo1"/>
        <w:tabs>
          <w:tab w:val="left" w:pos="709"/>
          <w:tab w:val="left" w:pos="1134"/>
        </w:tabs>
        <w:spacing w:after="0"/>
        <w:ind w:left="0" w:right="-4" w:firstLine="0"/>
        <w:rPr>
          <w:i w:val="0"/>
          <w:szCs w:val="20"/>
          <w:lang w:val="en-US"/>
        </w:rPr>
      </w:pPr>
    </w:p>
    <w:p w14:paraId="4F7F5B32" w14:textId="6732C4DF" w:rsidR="00F46845" w:rsidRPr="009F337B" w:rsidRDefault="001D1187" w:rsidP="00F8006A">
      <w:pPr>
        <w:pStyle w:val="Ttulo3"/>
        <w:spacing w:before="0"/>
        <w:rPr>
          <w:lang w:val="en-US"/>
        </w:rPr>
      </w:pPr>
      <w:r w:rsidRPr="009F337B">
        <w:rPr>
          <w:lang w:val="en-US"/>
        </w:rPr>
        <w:tab/>
      </w:r>
      <w:bookmarkStart w:id="63" w:name="_Toc527466479"/>
      <w:r w:rsidR="00F46845" w:rsidRPr="009F337B">
        <w:rPr>
          <w:lang w:val="en-US"/>
        </w:rPr>
        <w:t xml:space="preserve">A.2. </w:t>
      </w:r>
      <w:r w:rsidR="0009208D" w:rsidRPr="009F337B">
        <w:rPr>
          <w:lang w:val="en-US"/>
        </w:rPr>
        <w:t>Laws enacted to treat</w:t>
      </w:r>
      <w:r w:rsidR="009E46AF" w:rsidRPr="009F337B">
        <w:rPr>
          <w:lang w:val="en-US"/>
        </w:rPr>
        <w:t xml:space="preserve"> HIV/AIDS in</w:t>
      </w:r>
      <w:r w:rsidR="00F46845" w:rsidRPr="009F337B">
        <w:rPr>
          <w:lang w:val="en-US"/>
        </w:rPr>
        <w:t xml:space="preserve"> Guatemala</w:t>
      </w:r>
      <w:bookmarkEnd w:id="63"/>
    </w:p>
    <w:p w14:paraId="6E9A4C36" w14:textId="77777777" w:rsidR="00F8006A" w:rsidRPr="009F337B" w:rsidRDefault="00F8006A" w:rsidP="00F8006A">
      <w:pPr>
        <w:rPr>
          <w:lang w:val="en-US"/>
        </w:rPr>
      </w:pPr>
    </w:p>
    <w:p w14:paraId="63DA78E9" w14:textId="46912B27" w:rsidR="001E65B3" w:rsidRPr="009F337B" w:rsidRDefault="009E46AF" w:rsidP="00593E37">
      <w:pPr>
        <w:pStyle w:val="Estilo1"/>
        <w:numPr>
          <w:ilvl w:val="0"/>
          <w:numId w:val="1"/>
        </w:numPr>
        <w:tabs>
          <w:tab w:val="left" w:pos="709"/>
          <w:tab w:val="left" w:pos="1134"/>
        </w:tabs>
        <w:spacing w:after="0"/>
        <w:ind w:left="0" w:right="-4" w:firstLine="0"/>
        <w:rPr>
          <w:i w:val="0"/>
          <w:lang w:val="en-US"/>
        </w:rPr>
      </w:pPr>
      <w:r w:rsidRPr="009F337B">
        <w:rPr>
          <w:i w:val="0"/>
          <w:lang w:val="en-US"/>
        </w:rPr>
        <w:t>The Guatemalan</w:t>
      </w:r>
      <w:r w:rsidR="00F46845" w:rsidRPr="009F337B">
        <w:rPr>
          <w:i w:val="0"/>
          <w:lang w:val="en-US"/>
        </w:rPr>
        <w:t xml:space="preserve"> </w:t>
      </w:r>
      <w:r w:rsidRPr="009F337B">
        <w:rPr>
          <w:i w:val="0"/>
          <w:lang w:val="en-US"/>
        </w:rPr>
        <w:t xml:space="preserve">legal framework contains various provisions </w:t>
      </w:r>
      <w:r w:rsidR="0009208D" w:rsidRPr="009F337B">
        <w:rPr>
          <w:i w:val="0"/>
          <w:lang w:val="en-US"/>
        </w:rPr>
        <w:t>on</w:t>
      </w:r>
      <w:r w:rsidRPr="009F337B">
        <w:rPr>
          <w:i w:val="0"/>
          <w:lang w:val="en-US"/>
        </w:rPr>
        <w:t xml:space="preserve"> protection of the right to health and </w:t>
      </w:r>
      <w:r w:rsidR="0009208D" w:rsidRPr="009F337B">
        <w:rPr>
          <w:i w:val="0"/>
          <w:lang w:val="en-US"/>
        </w:rPr>
        <w:t>on</w:t>
      </w:r>
      <w:r w:rsidRPr="009F337B">
        <w:rPr>
          <w:i w:val="0"/>
          <w:lang w:val="en-US"/>
        </w:rPr>
        <w:t xml:space="preserve"> the State’s obligations with regard to providing care for </w:t>
      </w:r>
      <w:r w:rsidR="00080A1E" w:rsidRPr="009F337B">
        <w:rPr>
          <w:i w:val="0"/>
          <w:lang w:val="en-US"/>
        </w:rPr>
        <w:t>people living with HIV</w:t>
      </w:r>
      <w:r w:rsidR="00F46845" w:rsidRPr="009F337B">
        <w:rPr>
          <w:i w:val="0"/>
          <w:lang w:val="en-US"/>
        </w:rPr>
        <w:t>/</w:t>
      </w:r>
      <w:r w:rsidR="00CA11F6" w:rsidRPr="009F337B">
        <w:rPr>
          <w:i w:val="0"/>
          <w:lang w:val="en-US"/>
        </w:rPr>
        <w:t>AIDS</w:t>
      </w:r>
      <w:r w:rsidR="00F46845" w:rsidRPr="009F337B">
        <w:rPr>
          <w:i w:val="0"/>
          <w:lang w:val="en-US"/>
        </w:rPr>
        <w:t xml:space="preserve">. </w:t>
      </w:r>
      <w:r w:rsidRPr="009F337B">
        <w:rPr>
          <w:i w:val="0"/>
          <w:lang w:val="en-US"/>
        </w:rPr>
        <w:t>Article 93 of the 1985 Constitution</w:t>
      </w:r>
      <w:r w:rsidR="00CC6A68" w:rsidRPr="009F337B">
        <w:rPr>
          <w:i w:val="0"/>
          <w:lang w:val="en-US"/>
        </w:rPr>
        <w:t xml:space="preserve"> of the </w:t>
      </w:r>
      <w:r w:rsidR="003C46A3" w:rsidRPr="009F337B">
        <w:rPr>
          <w:i w:val="0"/>
          <w:lang w:val="en-US"/>
        </w:rPr>
        <w:t>Republic of</w:t>
      </w:r>
      <w:r w:rsidR="00F46845" w:rsidRPr="009F337B">
        <w:rPr>
          <w:i w:val="0"/>
          <w:lang w:val="en-US"/>
        </w:rPr>
        <w:t xml:space="preserve"> Guatemala</w:t>
      </w:r>
      <w:r w:rsidRPr="009F337B">
        <w:rPr>
          <w:i w:val="0"/>
          <w:lang w:val="en-US"/>
        </w:rPr>
        <w:t xml:space="preserve"> </w:t>
      </w:r>
      <w:r w:rsidR="00F46845" w:rsidRPr="009F337B">
        <w:rPr>
          <w:i w:val="0"/>
          <w:lang w:val="en-US"/>
        </w:rPr>
        <w:t>(</w:t>
      </w:r>
      <w:r w:rsidR="00AE5F9E" w:rsidRPr="009F337B">
        <w:rPr>
          <w:i w:val="0"/>
          <w:lang w:val="en-US"/>
        </w:rPr>
        <w:t>hereinafter</w:t>
      </w:r>
      <w:r w:rsidR="00F46845" w:rsidRPr="009F337B">
        <w:rPr>
          <w:i w:val="0"/>
          <w:lang w:val="en-US"/>
        </w:rPr>
        <w:t xml:space="preserve"> “</w:t>
      </w:r>
      <w:r w:rsidRPr="009F337B">
        <w:rPr>
          <w:i w:val="0"/>
          <w:lang w:val="en-US"/>
        </w:rPr>
        <w:t>the Guatemalan Constitution</w:t>
      </w:r>
      <w:r w:rsidR="00F46845" w:rsidRPr="009F337B">
        <w:rPr>
          <w:i w:val="0"/>
          <w:lang w:val="en-US"/>
        </w:rPr>
        <w:t xml:space="preserve">”) </w:t>
      </w:r>
      <w:r w:rsidRPr="009F337B">
        <w:rPr>
          <w:i w:val="0"/>
          <w:lang w:val="en-US"/>
        </w:rPr>
        <w:t>establishes that</w:t>
      </w:r>
      <w:r w:rsidR="00F46845" w:rsidRPr="009F337B">
        <w:rPr>
          <w:i w:val="0"/>
          <w:lang w:val="en-US"/>
        </w:rPr>
        <w:t xml:space="preserve"> “[</w:t>
      </w:r>
      <w:r w:rsidRPr="009F337B">
        <w:rPr>
          <w:i w:val="0"/>
          <w:lang w:val="en-US"/>
        </w:rPr>
        <w:t>t</w:t>
      </w:r>
      <w:r w:rsidR="00F46845" w:rsidRPr="009F337B">
        <w:rPr>
          <w:i w:val="0"/>
          <w:lang w:val="en-US"/>
        </w:rPr>
        <w:t>]</w:t>
      </w:r>
      <w:r w:rsidRPr="009F337B">
        <w:rPr>
          <w:i w:val="0"/>
          <w:lang w:val="en-US"/>
        </w:rPr>
        <w:t xml:space="preserve">he enjoyment of health is a fundamental right of the </w:t>
      </w:r>
      <w:r w:rsidR="00F07DFE">
        <w:rPr>
          <w:i w:val="0"/>
          <w:lang w:val="en-US"/>
        </w:rPr>
        <w:t>individual</w:t>
      </w:r>
      <w:r w:rsidRPr="009F337B">
        <w:rPr>
          <w:i w:val="0"/>
          <w:lang w:val="en-US"/>
        </w:rPr>
        <w:t>, without discrimination of any kind.</w:t>
      </w:r>
      <w:r w:rsidR="00643F82" w:rsidRPr="009F337B">
        <w:rPr>
          <w:i w:val="0"/>
          <w:lang w:val="en-US"/>
        </w:rPr>
        <w:t>”</w:t>
      </w:r>
      <w:r w:rsidR="00F46845" w:rsidRPr="009F337B">
        <w:rPr>
          <w:rStyle w:val="Refdenotaalpie"/>
          <w:i w:val="0"/>
          <w:lang w:val="en-US"/>
        </w:rPr>
        <w:footnoteReference w:id="28"/>
      </w:r>
      <w:r w:rsidRPr="009F337B">
        <w:rPr>
          <w:i w:val="0"/>
          <w:lang w:val="en-US"/>
        </w:rPr>
        <w:t xml:space="preserve"> Regarding the State’s obligations in relation to health and social assistance</w:t>
      </w:r>
      <w:r w:rsidR="00F46845" w:rsidRPr="009F337B">
        <w:rPr>
          <w:i w:val="0"/>
          <w:lang w:val="en-US"/>
        </w:rPr>
        <w:t xml:space="preserve">, </w:t>
      </w:r>
      <w:r w:rsidR="000A12E9" w:rsidRPr="009F337B">
        <w:rPr>
          <w:i w:val="0"/>
          <w:lang w:val="en-US"/>
        </w:rPr>
        <w:t>a</w:t>
      </w:r>
      <w:r w:rsidR="00AE5F9E" w:rsidRPr="009F337B">
        <w:rPr>
          <w:i w:val="0"/>
          <w:lang w:val="en-US"/>
        </w:rPr>
        <w:t>rticle</w:t>
      </w:r>
      <w:r w:rsidR="00F46845" w:rsidRPr="009F337B">
        <w:rPr>
          <w:i w:val="0"/>
          <w:lang w:val="en-US"/>
        </w:rPr>
        <w:t xml:space="preserve"> 94 </w:t>
      </w:r>
      <w:r w:rsidRPr="009F337B">
        <w:rPr>
          <w:i w:val="0"/>
          <w:lang w:val="en-US"/>
        </w:rPr>
        <w:t xml:space="preserve">of this instrument indicates that </w:t>
      </w:r>
      <w:r w:rsidR="00F46845" w:rsidRPr="009F337B">
        <w:rPr>
          <w:i w:val="0"/>
          <w:lang w:val="en-US"/>
        </w:rPr>
        <w:t>“</w:t>
      </w:r>
      <w:r w:rsidR="003C46A3" w:rsidRPr="009F337B">
        <w:rPr>
          <w:i w:val="0"/>
          <w:lang w:val="en-US"/>
        </w:rPr>
        <w:t>the State</w:t>
      </w:r>
      <w:r w:rsidR="00F46845" w:rsidRPr="009F337B">
        <w:rPr>
          <w:i w:val="0"/>
          <w:lang w:val="en-US"/>
        </w:rPr>
        <w:t xml:space="preserve"> </w:t>
      </w:r>
      <w:r w:rsidRPr="009F337B">
        <w:rPr>
          <w:i w:val="0"/>
          <w:lang w:val="en-US"/>
        </w:rPr>
        <w:t xml:space="preserve">shall ensure health and social assistance </w:t>
      </w:r>
      <w:r w:rsidR="000A12E9" w:rsidRPr="009F337B">
        <w:rPr>
          <w:i w:val="0"/>
          <w:lang w:val="en-US"/>
        </w:rPr>
        <w:t>for</w:t>
      </w:r>
      <w:r w:rsidRPr="009F337B">
        <w:rPr>
          <w:i w:val="0"/>
          <w:lang w:val="en-US"/>
        </w:rPr>
        <w:t xml:space="preserve"> all the inhabitants,” and that it “shall implement, through its institutions, prevention, promotion, </w:t>
      </w:r>
      <w:r w:rsidR="00F07DFE">
        <w:rPr>
          <w:i w:val="0"/>
          <w:lang w:val="en-US"/>
        </w:rPr>
        <w:t>curative</w:t>
      </w:r>
      <w:r w:rsidR="005E44D9" w:rsidRPr="009F337B">
        <w:rPr>
          <w:i w:val="0"/>
          <w:lang w:val="en-US"/>
        </w:rPr>
        <w:t>, rehabilitation, coordination and other pertinent actions in order to ensure the most complete physical, mental and social well-being.” In addition</w:t>
      </w:r>
      <w:r w:rsidR="00F46845" w:rsidRPr="009F337B">
        <w:rPr>
          <w:i w:val="0"/>
          <w:lang w:val="en-US"/>
        </w:rPr>
        <w:t xml:space="preserve">, </w:t>
      </w:r>
      <w:r w:rsidR="000A12E9" w:rsidRPr="009F337B">
        <w:rPr>
          <w:i w:val="0"/>
          <w:lang w:val="en-US"/>
        </w:rPr>
        <w:t>a</w:t>
      </w:r>
      <w:r w:rsidR="00AE5F9E" w:rsidRPr="009F337B">
        <w:rPr>
          <w:i w:val="0"/>
          <w:lang w:val="en-US"/>
        </w:rPr>
        <w:t>rticle</w:t>
      </w:r>
      <w:r w:rsidR="00F46845" w:rsidRPr="009F337B">
        <w:rPr>
          <w:i w:val="0"/>
          <w:lang w:val="en-US"/>
        </w:rPr>
        <w:t xml:space="preserve"> 95 reco</w:t>
      </w:r>
      <w:r w:rsidR="005E44D9" w:rsidRPr="009F337B">
        <w:rPr>
          <w:i w:val="0"/>
          <w:lang w:val="en-US"/>
        </w:rPr>
        <w:t>gnizes that “[t]he health of the inhabitants of the Nation is a public right,” and that “[e]very person and institution is obliged to safeguard its conservation and restoration.”</w:t>
      </w:r>
    </w:p>
    <w:p w14:paraId="5F606C71" w14:textId="77777777" w:rsidR="00F8006A" w:rsidRPr="009F337B" w:rsidRDefault="00F8006A" w:rsidP="00F8006A">
      <w:pPr>
        <w:pStyle w:val="Estilo1"/>
        <w:tabs>
          <w:tab w:val="left" w:pos="709"/>
          <w:tab w:val="left" w:pos="1134"/>
        </w:tabs>
        <w:spacing w:after="0"/>
        <w:ind w:left="0" w:right="-4" w:firstLine="0"/>
        <w:rPr>
          <w:i w:val="0"/>
          <w:lang w:val="en-US"/>
        </w:rPr>
      </w:pPr>
    </w:p>
    <w:p w14:paraId="4F5D6420" w14:textId="78806148" w:rsidR="0064082F" w:rsidRPr="009F337B" w:rsidRDefault="005E44D9" w:rsidP="00593E37">
      <w:pPr>
        <w:pStyle w:val="Estilo1"/>
        <w:numPr>
          <w:ilvl w:val="0"/>
          <w:numId w:val="1"/>
        </w:numPr>
        <w:tabs>
          <w:tab w:val="left" w:pos="709"/>
          <w:tab w:val="left" w:pos="1134"/>
        </w:tabs>
        <w:spacing w:after="0"/>
        <w:ind w:left="0" w:right="-4" w:firstLine="0"/>
        <w:rPr>
          <w:i w:val="0"/>
          <w:lang w:val="en-US"/>
        </w:rPr>
      </w:pPr>
      <w:r w:rsidRPr="009F337B">
        <w:rPr>
          <w:i w:val="0"/>
          <w:lang w:val="en-US"/>
        </w:rPr>
        <w:t xml:space="preserve">With regard to social security, </w:t>
      </w:r>
      <w:r w:rsidR="000A12E9" w:rsidRPr="009F337B">
        <w:rPr>
          <w:i w:val="0"/>
          <w:lang w:val="en-US"/>
        </w:rPr>
        <w:t>a</w:t>
      </w:r>
      <w:r w:rsidRPr="009F337B">
        <w:rPr>
          <w:i w:val="0"/>
          <w:lang w:val="en-US"/>
        </w:rPr>
        <w:t xml:space="preserve">rticle 100 of the Guatemalan </w:t>
      </w:r>
      <w:r w:rsidR="009E46AF" w:rsidRPr="009F337B">
        <w:rPr>
          <w:i w:val="0"/>
          <w:lang w:val="en-US"/>
        </w:rPr>
        <w:t>Constitution</w:t>
      </w:r>
      <w:r w:rsidRPr="009F337B">
        <w:rPr>
          <w:i w:val="0"/>
          <w:lang w:val="en-US"/>
        </w:rPr>
        <w:t xml:space="preserve"> indicates that “[t]he State</w:t>
      </w:r>
      <w:r w:rsidR="00F46845" w:rsidRPr="009F337B">
        <w:rPr>
          <w:i w:val="0"/>
          <w:lang w:val="en-US"/>
        </w:rPr>
        <w:t xml:space="preserve"> </w:t>
      </w:r>
      <w:r w:rsidRPr="009F337B">
        <w:rPr>
          <w:i w:val="0"/>
          <w:lang w:val="en-US"/>
        </w:rPr>
        <w:t xml:space="preserve">recognizes and guarantees the right to social security </w:t>
      </w:r>
      <w:r w:rsidR="000A12E9" w:rsidRPr="009F337B">
        <w:rPr>
          <w:i w:val="0"/>
          <w:lang w:val="en-US"/>
        </w:rPr>
        <w:t>for the</w:t>
      </w:r>
      <w:r w:rsidRPr="009F337B">
        <w:rPr>
          <w:i w:val="0"/>
          <w:lang w:val="en-US"/>
        </w:rPr>
        <w:t xml:space="preserve"> benefit </w:t>
      </w:r>
      <w:r w:rsidR="000A12E9" w:rsidRPr="009F337B">
        <w:rPr>
          <w:i w:val="0"/>
          <w:lang w:val="en-US"/>
        </w:rPr>
        <w:t xml:space="preserve">of </w:t>
      </w:r>
      <w:r w:rsidRPr="009F337B">
        <w:rPr>
          <w:i w:val="0"/>
          <w:lang w:val="en-US"/>
        </w:rPr>
        <w:t xml:space="preserve">the inhabitants of the Nation,” and that “[t]he </w:t>
      </w:r>
      <w:r w:rsidR="000A12E9" w:rsidRPr="009F337B">
        <w:rPr>
          <w:i w:val="0"/>
          <w:lang w:val="en-US"/>
        </w:rPr>
        <w:t>system</w:t>
      </w:r>
      <w:r w:rsidRPr="009F337B">
        <w:rPr>
          <w:i w:val="0"/>
          <w:lang w:val="en-US"/>
        </w:rPr>
        <w:t xml:space="preserve"> is established as a national, standardized </w:t>
      </w:r>
      <w:r w:rsidRPr="009F337B">
        <w:rPr>
          <w:i w:val="0"/>
          <w:lang w:val="en-US"/>
        </w:rPr>
        <w:lastRenderedPageBreak/>
        <w:t xml:space="preserve">and obligatory public function.” This article of the Constitution also establishes that “[t]he </w:t>
      </w:r>
      <w:r w:rsidR="000A12E9" w:rsidRPr="009F337B">
        <w:rPr>
          <w:i w:val="0"/>
          <w:lang w:val="en-US"/>
        </w:rPr>
        <w:t>implementation</w:t>
      </w:r>
      <w:r w:rsidRPr="009F337B">
        <w:rPr>
          <w:i w:val="0"/>
          <w:lang w:val="en-US"/>
        </w:rPr>
        <w:t xml:space="preserve"> of the social security </w:t>
      </w:r>
      <w:r w:rsidR="000A12E9" w:rsidRPr="009F337B">
        <w:rPr>
          <w:i w:val="0"/>
          <w:lang w:val="en-US"/>
        </w:rPr>
        <w:t>system</w:t>
      </w:r>
      <w:r w:rsidRPr="009F337B">
        <w:rPr>
          <w:i w:val="0"/>
          <w:lang w:val="en-US"/>
        </w:rPr>
        <w:t xml:space="preserve"> corresponds to the Guatemalan Social Security Institute, which is an autonomous entity with legal personality, and its own assets and functions. The Organic Law of the Guatemalan Social Security Institute of October 30, </w:t>
      </w:r>
      <w:r w:rsidR="00F46845" w:rsidRPr="009F337B">
        <w:rPr>
          <w:i w:val="0"/>
          <w:lang w:val="en-US"/>
        </w:rPr>
        <w:t xml:space="preserve">1946, </w:t>
      </w:r>
      <w:r w:rsidRPr="009F337B">
        <w:rPr>
          <w:i w:val="0"/>
          <w:lang w:val="en-US"/>
        </w:rPr>
        <w:t>created the</w:t>
      </w:r>
      <w:r w:rsidR="00F46845" w:rsidRPr="009F337B">
        <w:rPr>
          <w:i w:val="0"/>
          <w:lang w:val="en-US"/>
        </w:rPr>
        <w:t xml:space="preserve"> </w:t>
      </w:r>
      <w:r w:rsidRPr="009F337B">
        <w:rPr>
          <w:i w:val="0"/>
          <w:lang w:val="en-US"/>
        </w:rPr>
        <w:t>Guatemalan Social Security Institute</w:t>
      </w:r>
      <w:r w:rsidR="00F46845" w:rsidRPr="009F337B">
        <w:rPr>
          <w:i w:val="0"/>
          <w:lang w:val="en-US"/>
        </w:rPr>
        <w:t xml:space="preserve"> (</w:t>
      </w:r>
      <w:r w:rsidR="00AE5F9E" w:rsidRPr="009F337B">
        <w:rPr>
          <w:i w:val="0"/>
          <w:lang w:val="en-US"/>
        </w:rPr>
        <w:t>hereinafter</w:t>
      </w:r>
      <w:r w:rsidR="00F46845" w:rsidRPr="009F337B">
        <w:rPr>
          <w:i w:val="0"/>
          <w:lang w:val="en-US"/>
        </w:rPr>
        <w:t xml:space="preserve"> “IGSS”), </w:t>
      </w:r>
      <w:r w:rsidRPr="009F337B">
        <w:rPr>
          <w:i w:val="0"/>
          <w:lang w:val="en-US"/>
        </w:rPr>
        <w:t xml:space="preserve">as an autonomous institution with the mandate “to apply, for the benefit of the people of Guatemala, a national, standardized and obligatory social security </w:t>
      </w:r>
      <w:r w:rsidR="000A12E9" w:rsidRPr="009F337B">
        <w:rPr>
          <w:i w:val="0"/>
          <w:lang w:val="en-US"/>
        </w:rPr>
        <w:t>regime</w:t>
      </w:r>
      <w:r w:rsidRPr="009F337B">
        <w:rPr>
          <w:i w:val="0"/>
          <w:lang w:val="en-US"/>
        </w:rPr>
        <w:t xml:space="preserve">, in keeping with the minimum protection system.” </w:t>
      </w:r>
    </w:p>
    <w:p w14:paraId="1743269B" w14:textId="77777777" w:rsidR="00F8006A" w:rsidRPr="009F337B" w:rsidRDefault="00F8006A" w:rsidP="00F8006A">
      <w:pPr>
        <w:pStyle w:val="Estilo1"/>
        <w:tabs>
          <w:tab w:val="left" w:pos="709"/>
          <w:tab w:val="left" w:pos="1134"/>
        </w:tabs>
        <w:spacing w:after="0"/>
        <w:ind w:left="0" w:right="-4" w:firstLine="0"/>
        <w:rPr>
          <w:i w:val="0"/>
          <w:lang w:val="en-US"/>
        </w:rPr>
      </w:pPr>
    </w:p>
    <w:p w14:paraId="4CD70587" w14:textId="6F22E164" w:rsidR="00F46845" w:rsidRPr="009F337B" w:rsidRDefault="005E44D9" w:rsidP="00593E37">
      <w:pPr>
        <w:pStyle w:val="Estilo1"/>
        <w:numPr>
          <w:ilvl w:val="0"/>
          <w:numId w:val="1"/>
        </w:numPr>
        <w:tabs>
          <w:tab w:val="left" w:pos="709"/>
          <w:tab w:val="left" w:pos="1134"/>
        </w:tabs>
        <w:spacing w:after="0"/>
        <w:ind w:left="0" w:right="-4" w:firstLine="0"/>
        <w:rPr>
          <w:i w:val="0"/>
          <w:lang w:val="en-US"/>
        </w:rPr>
      </w:pPr>
      <w:r w:rsidRPr="009F337B">
        <w:rPr>
          <w:i w:val="0"/>
          <w:lang w:val="en-US"/>
        </w:rPr>
        <w:t>On October 2,</w:t>
      </w:r>
      <w:r w:rsidR="00F46845" w:rsidRPr="009F337B">
        <w:rPr>
          <w:i w:val="0"/>
          <w:lang w:val="en-US"/>
        </w:rPr>
        <w:t xml:space="preserve"> 1997</w:t>
      </w:r>
      <w:r w:rsidRPr="009F337B">
        <w:rPr>
          <w:i w:val="0"/>
          <w:lang w:val="en-US"/>
        </w:rPr>
        <w:t xml:space="preserve">, the Guatemalan Health Code was published </w:t>
      </w:r>
      <w:r w:rsidR="00F46845" w:rsidRPr="009F337B">
        <w:rPr>
          <w:i w:val="0"/>
          <w:lang w:val="en-US"/>
        </w:rPr>
        <w:t>(</w:t>
      </w:r>
      <w:r w:rsidR="00AE5F9E" w:rsidRPr="009F337B">
        <w:rPr>
          <w:i w:val="0"/>
          <w:lang w:val="en-US"/>
        </w:rPr>
        <w:t>hereinafter</w:t>
      </w:r>
      <w:r w:rsidR="00F46845" w:rsidRPr="009F337B">
        <w:rPr>
          <w:i w:val="0"/>
          <w:lang w:val="en-US"/>
        </w:rPr>
        <w:t xml:space="preserve"> “</w:t>
      </w:r>
      <w:r w:rsidRPr="009F337B">
        <w:rPr>
          <w:i w:val="0"/>
          <w:lang w:val="en-US"/>
        </w:rPr>
        <w:t>Health Code</w:t>
      </w:r>
      <w:r w:rsidR="00F46845" w:rsidRPr="009F337B">
        <w:rPr>
          <w:i w:val="0"/>
          <w:lang w:val="en-US"/>
        </w:rPr>
        <w:t>”)</w:t>
      </w:r>
      <w:r w:rsidRPr="009F337B">
        <w:rPr>
          <w:i w:val="0"/>
          <w:lang w:val="en-US"/>
        </w:rPr>
        <w:t xml:space="preserve">. Article 4 of the Code establishes that the State “shall implement, through the Ministry of Public Health and Social Assistance and in coordination with state institutions, decentralized and autonomous entities, organized and private communities, health promotion, prevention, </w:t>
      </w:r>
      <w:r w:rsidR="000A12E9" w:rsidRPr="009F337B">
        <w:rPr>
          <w:i w:val="0"/>
          <w:lang w:val="en-US"/>
        </w:rPr>
        <w:t>curative</w:t>
      </w:r>
      <w:r w:rsidRPr="009F337B">
        <w:rPr>
          <w:i w:val="0"/>
          <w:lang w:val="en-US"/>
        </w:rPr>
        <w:t xml:space="preserve"> and rehabilitation actions, as well as the pertinent complementary actions, in order to ensure that Guatemalans may have the most complete physical, mental and social well-being.” To this end, the same article indicates that “the State, through the Ministry of Public Health and other public institutions</w:t>
      </w:r>
      <w:r w:rsidR="000A12E9" w:rsidRPr="009F337B">
        <w:rPr>
          <w:i w:val="0"/>
          <w:lang w:val="en-US"/>
        </w:rPr>
        <w:t>,</w:t>
      </w:r>
      <w:r w:rsidRPr="009F337B">
        <w:rPr>
          <w:i w:val="0"/>
          <w:lang w:val="en-US"/>
        </w:rPr>
        <w:t xml:space="preserve"> shall ensure that the provision of health services free of charge to all Guatemalans is guaranteed.” Regarding the allocation of resources and access to services, </w:t>
      </w:r>
      <w:r w:rsidR="000A12E9" w:rsidRPr="009F337B">
        <w:rPr>
          <w:i w:val="0"/>
          <w:lang w:val="en-US"/>
        </w:rPr>
        <w:t>a</w:t>
      </w:r>
      <w:r w:rsidR="00AE5F9E" w:rsidRPr="009F337B">
        <w:rPr>
          <w:i w:val="0"/>
          <w:lang w:val="en-US"/>
        </w:rPr>
        <w:t>rticles</w:t>
      </w:r>
      <w:r w:rsidR="00F46845" w:rsidRPr="009F337B">
        <w:rPr>
          <w:i w:val="0"/>
          <w:lang w:val="en-US"/>
        </w:rPr>
        <w:t xml:space="preserve"> 21</w:t>
      </w:r>
      <w:r w:rsidR="003C46A3" w:rsidRPr="009F337B">
        <w:rPr>
          <w:i w:val="0"/>
          <w:lang w:val="en-US"/>
        </w:rPr>
        <w:t xml:space="preserve"> and </w:t>
      </w:r>
      <w:r w:rsidR="00F46845" w:rsidRPr="009F337B">
        <w:rPr>
          <w:i w:val="0"/>
          <w:lang w:val="en-US"/>
        </w:rPr>
        <w:t xml:space="preserve">55 </w:t>
      </w:r>
      <w:r w:rsidRPr="009F337B">
        <w:rPr>
          <w:i w:val="0"/>
          <w:lang w:val="en-US"/>
        </w:rPr>
        <w:t>of the</w:t>
      </w:r>
      <w:r w:rsidR="00F46845" w:rsidRPr="009F337B">
        <w:rPr>
          <w:i w:val="0"/>
          <w:lang w:val="en-US"/>
        </w:rPr>
        <w:t xml:space="preserve"> </w:t>
      </w:r>
      <w:r w:rsidRPr="009F337B">
        <w:rPr>
          <w:i w:val="0"/>
          <w:lang w:val="en-US"/>
        </w:rPr>
        <w:t>Health Code</w:t>
      </w:r>
      <w:r w:rsidR="00F46845" w:rsidRPr="009F337B">
        <w:rPr>
          <w:i w:val="0"/>
          <w:lang w:val="en-US"/>
        </w:rPr>
        <w:t xml:space="preserve"> </w:t>
      </w:r>
      <w:r w:rsidRPr="009F337B">
        <w:rPr>
          <w:i w:val="0"/>
          <w:lang w:val="en-US"/>
        </w:rPr>
        <w:t>stipulate the following</w:t>
      </w:r>
      <w:r w:rsidR="00F46845" w:rsidRPr="009F337B">
        <w:rPr>
          <w:i w:val="0"/>
          <w:lang w:val="en-US"/>
        </w:rPr>
        <w:t>:</w:t>
      </w:r>
    </w:p>
    <w:p w14:paraId="708AA079" w14:textId="77777777" w:rsidR="00643F82" w:rsidRPr="009F337B" w:rsidRDefault="00643F82" w:rsidP="003C2AC6">
      <w:pPr>
        <w:pStyle w:val="PrrafodeSentencia"/>
        <w:rPr>
          <w:lang w:val="en-US"/>
        </w:rPr>
      </w:pPr>
    </w:p>
    <w:p w14:paraId="6FFBE714" w14:textId="203C293A" w:rsidR="00F46845" w:rsidRPr="009F337B" w:rsidRDefault="00F46845" w:rsidP="00F8006A">
      <w:pPr>
        <w:ind w:left="720" w:right="855"/>
        <w:rPr>
          <w:sz w:val="18"/>
          <w:szCs w:val="18"/>
          <w:lang w:val="en-US"/>
        </w:rPr>
      </w:pPr>
      <w:r w:rsidRPr="009F337B">
        <w:rPr>
          <w:sz w:val="18"/>
          <w:szCs w:val="18"/>
          <w:lang w:val="en-US"/>
        </w:rPr>
        <w:t>ARTIC</w:t>
      </w:r>
      <w:r w:rsidR="005E44D9" w:rsidRPr="009F337B">
        <w:rPr>
          <w:sz w:val="18"/>
          <w:szCs w:val="18"/>
          <w:lang w:val="en-US"/>
        </w:rPr>
        <w:t>LE</w:t>
      </w:r>
      <w:r w:rsidRPr="009F337B">
        <w:rPr>
          <w:sz w:val="18"/>
          <w:szCs w:val="18"/>
          <w:lang w:val="en-US"/>
        </w:rPr>
        <w:t xml:space="preserve"> 21. A</w:t>
      </w:r>
      <w:r w:rsidR="005E44D9" w:rsidRPr="009F337B">
        <w:rPr>
          <w:sz w:val="18"/>
          <w:szCs w:val="18"/>
          <w:lang w:val="en-US"/>
        </w:rPr>
        <w:t>LLOCATION OF RESOURCES. The State shall allocate the necessary resources for the public funding of the provision of health services for the general p</w:t>
      </w:r>
      <w:r w:rsidR="000A12E9" w:rsidRPr="009F337B">
        <w:rPr>
          <w:sz w:val="18"/>
          <w:szCs w:val="18"/>
          <w:lang w:val="en-US"/>
        </w:rPr>
        <w:t>ublic</w:t>
      </w:r>
      <w:r w:rsidR="005E44D9" w:rsidRPr="009F337B">
        <w:rPr>
          <w:sz w:val="18"/>
          <w:szCs w:val="18"/>
          <w:lang w:val="en-US"/>
        </w:rPr>
        <w:t xml:space="preserve"> and, obligatorily and as a priority, </w:t>
      </w:r>
      <w:r w:rsidR="00974532" w:rsidRPr="009F337B">
        <w:rPr>
          <w:sz w:val="18"/>
          <w:szCs w:val="18"/>
          <w:lang w:val="en-US"/>
        </w:rPr>
        <w:t>for</w:t>
      </w:r>
      <w:r w:rsidR="005E44D9" w:rsidRPr="009F337B">
        <w:rPr>
          <w:sz w:val="18"/>
          <w:szCs w:val="18"/>
          <w:lang w:val="en-US"/>
        </w:rPr>
        <w:t xml:space="preserve"> that segment whose social and economic development </w:t>
      </w:r>
      <w:r w:rsidR="00974532" w:rsidRPr="009F337B">
        <w:rPr>
          <w:sz w:val="18"/>
          <w:szCs w:val="18"/>
          <w:lang w:val="en-US"/>
        </w:rPr>
        <w:t>has been most neglected.</w:t>
      </w:r>
    </w:p>
    <w:p w14:paraId="2DDCDEB5" w14:textId="03E3727C" w:rsidR="00F46845" w:rsidRPr="009F337B" w:rsidRDefault="00F46845" w:rsidP="00F8006A">
      <w:pPr>
        <w:ind w:left="720" w:right="855"/>
        <w:rPr>
          <w:sz w:val="18"/>
          <w:szCs w:val="18"/>
          <w:lang w:val="en-US"/>
        </w:rPr>
      </w:pPr>
      <w:r w:rsidRPr="009F337B">
        <w:rPr>
          <w:sz w:val="18"/>
          <w:szCs w:val="18"/>
          <w:lang w:val="en-US"/>
        </w:rPr>
        <w:t>ARTIC</w:t>
      </w:r>
      <w:r w:rsidR="005E44D9" w:rsidRPr="009F337B">
        <w:rPr>
          <w:sz w:val="18"/>
          <w:szCs w:val="18"/>
          <w:lang w:val="en-US"/>
        </w:rPr>
        <w:t>LE</w:t>
      </w:r>
      <w:r w:rsidRPr="009F337B">
        <w:rPr>
          <w:sz w:val="18"/>
          <w:szCs w:val="18"/>
          <w:lang w:val="en-US"/>
        </w:rPr>
        <w:t xml:space="preserve"> 55. ACCES</w:t>
      </w:r>
      <w:r w:rsidR="005E44D9" w:rsidRPr="009F337B">
        <w:rPr>
          <w:sz w:val="18"/>
          <w:szCs w:val="18"/>
          <w:lang w:val="en-US"/>
        </w:rPr>
        <w:t xml:space="preserve">S TO SERVICES. </w:t>
      </w:r>
      <w:r w:rsidR="00926020" w:rsidRPr="009F337B">
        <w:rPr>
          <w:sz w:val="18"/>
          <w:szCs w:val="18"/>
          <w:lang w:val="en-US"/>
        </w:rPr>
        <w:t xml:space="preserve">The public and private establishments in the sector must provide patients with </w:t>
      </w:r>
      <w:r w:rsidR="00A675D0" w:rsidRPr="009F337B">
        <w:rPr>
          <w:rFonts w:cs="Vrinda"/>
          <w:sz w:val="18"/>
          <w:szCs w:val="18"/>
          <w:lang w:val="en-US"/>
        </w:rPr>
        <w:t>communicable</w:t>
      </w:r>
      <w:r w:rsidR="00926020" w:rsidRPr="009F337B">
        <w:rPr>
          <w:sz w:val="18"/>
          <w:szCs w:val="18"/>
          <w:lang w:val="en-US"/>
        </w:rPr>
        <w:t xml:space="preserve"> diseases and their contacts, with access to an </w:t>
      </w:r>
      <w:r w:rsidR="00926020" w:rsidRPr="009F337B">
        <w:rPr>
          <w:bCs/>
          <w:sz w:val="18"/>
          <w:szCs w:val="18"/>
          <w:lang w:val="en-US"/>
        </w:rPr>
        <w:t xml:space="preserve">etiological diagnosis and health care in conditions that respect their personal integrity and the </w:t>
      </w:r>
      <w:r w:rsidR="00091343" w:rsidRPr="009F337B">
        <w:rPr>
          <w:bCs/>
          <w:sz w:val="18"/>
          <w:szCs w:val="18"/>
          <w:lang w:val="en-US"/>
        </w:rPr>
        <w:t>c</w:t>
      </w:r>
      <w:r w:rsidR="00926020" w:rsidRPr="009F337B">
        <w:rPr>
          <w:bCs/>
          <w:sz w:val="18"/>
          <w:szCs w:val="18"/>
          <w:lang w:val="en-US"/>
        </w:rPr>
        <w:t xml:space="preserve">onfidential nature of the case, without detriment to the provisions of </w:t>
      </w:r>
      <w:r w:rsidR="00091343" w:rsidRPr="009F337B">
        <w:rPr>
          <w:sz w:val="18"/>
          <w:szCs w:val="18"/>
          <w:lang w:val="en-US"/>
        </w:rPr>
        <w:t>a</w:t>
      </w:r>
      <w:r w:rsidR="00AE5F9E" w:rsidRPr="009F337B">
        <w:rPr>
          <w:sz w:val="18"/>
          <w:szCs w:val="18"/>
          <w:lang w:val="en-US"/>
        </w:rPr>
        <w:t>rticle</w:t>
      </w:r>
      <w:r w:rsidRPr="009F337B">
        <w:rPr>
          <w:sz w:val="18"/>
          <w:szCs w:val="18"/>
          <w:lang w:val="en-US"/>
        </w:rPr>
        <w:t xml:space="preserve"> 54.</w:t>
      </w:r>
    </w:p>
    <w:p w14:paraId="67BFAC7D" w14:textId="77777777" w:rsidR="00F8006A" w:rsidRPr="009F337B" w:rsidRDefault="00F8006A" w:rsidP="00F8006A">
      <w:pPr>
        <w:ind w:left="720" w:right="855"/>
        <w:rPr>
          <w:sz w:val="18"/>
          <w:szCs w:val="18"/>
          <w:lang w:val="en-US"/>
        </w:rPr>
      </w:pPr>
    </w:p>
    <w:p w14:paraId="0D5883B9" w14:textId="0027AC3D" w:rsidR="00745A27" w:rsidRPr="009F337B" w:rsidRDefault="00926020" w:rsidP="00593E37">
      <w:pPr>
        <w:pStyle w:val="Estilo1"/>
        <w:numPr>
          <w:ilvl w:val="0"/>
          <w:numId w:val="1"/>
        </w:numPr>
        <w:tabs>
          <w:tab w:val="left" w:pos="709"/>
          <w:tab w:val="left" w:pos="1134"/>
        </w:tabs>
        <w:spacing w:after="0"/>
        <w:ind w:left="0" w:right="-4" w:firstLine="0"/>
        <w:rPr>
          <w:i w:val="0"/>
          <w:lang w:val="en-US"/>
        </w:rPr>
      </w:pPr>
      <w:r w:rsidRPr="009F337B">
        <w:rPr>
          <w:i w:val="0"/>
          <w:lang w:val="en-US"/>
        </w:rPr>
        <w:t xml:space="preserve">Regarding the treatment of sexually transmitted diseases and </w:t>
      </w:r>
      <w:r w:rsidR="00CA11F6" w:rsidRPr="009F337B">
        <w:rPr>
          <w:i w:val="0"/>
          <w:lang w:val="en-US"/>
        </w:rPr>
        <w:t>AIDS</w:t>
      </w:r>
      <w:r w:rsidR="00F46845" w:rsidRPr="009F337B">
        <w:rPr>
          <w:i w:val="0"/>
          <w:lang w:val="en-US"/>
        </w:rPr>
        <w:t xml:space="preserve">, </w:t>
      </w:r>
      <w:r w:rsidR="00091343" w:rsidRPr="009F337B">
        <w:rPr>
          <w:i w:val="0"/>
          <w:lang w:val="en-US"/>
        </w:rPr>
        <w:t>a</w:t>
      </w:r>
      <w:r w:rsidR="00AE5F9E" w:rsidRPr="009F337B">
        <w:rPr>
          <w:i w:val="0"/>
          <w:lang w:val="en-US"/>
        </w:rPr>
        <w:t>rticle</w:t>
      </w:r>
      <w:r w:rsidR="00F46845" w:rsidRPr="009F337B">
        <w:rPr>
          <w:i w:val="0"/>
          <w:lang w:val="en-US"/>
        </w:rPr>
        <w:t xml:space="preserve"> 62 </w:t>
      </w:r>
      <w:r w:rsidRPr="009F337B">
        <w:rPr>
          <w:i w:val="0"/>
          <w:lang w:val="en-US"/>
        </w:rPr>
        <w:t xml:space="preserve">of the </w:t>
      </w:r>
      <w:r w:rsidR="005E44D9" w:rsidRPr="009F337B">
        <w:rPr>
          <w:i w:val="0"/>
          <w:lang w:val="en-US"/>
        </w:rPr>
        <w:t>Health Code</w:t>
      </w:r>
      <w:r w:rsidR="00F46845" w:rsidRPr="009F337B">
        <w:rPr>
          <w:i w:val="0"/>
          <w:lang w:val="en-US"/>
        </w:rPr>
        <w:t xml:space="preserve"> establ</w:t>
      </w:r>
      <w:r w:rsidRPr="009F337B">
        <w:rPr>
          <w:i w:val="0"/>
          <w:lang w:val="en-US"/>
        </w:rPr>
        <w:t>ishes that the Ministry of Health</w:t>
      </w:r>
      <w:r w:rsidR="00F46845" w:rsidRPr="009F337B">
        <w:rPr>
          <w:i w:val="0"/>
          <w:lang w:val="en-US"/>
        </w:rPr>
        <w:t xml:space="preserve"> </w:t>
      </w:r>
      <w:r w:rsidRPr="009F337B">
        <w:rPr>
          <w:i w:val="0"/>
          <w:lang w:val="en-US"/>
        </w:rPr>
        <w:t>is responsible for devising, evaluating and supervising actions aimed at the control of sexually transmitted diseases</w:t>
      </w:r>
      <w:r w:rsidR="00F46845" w:rsidRPr="009F337B">
        <w:rPr>
          <w:i w:val="0"/>
          <w:lang w:val="en-US"/>
        </w:rPr>
        <w:t xml:space="preserve">. </w:t>
      </w:r>
      <w:r w:rsidRPr="009F337B">
        <w:rPr>
          <w:i w:val="0"/>
          <w:lang w:val="en-US"/>
        </w:rPr>
        <w:t>The same article establishes that “[g]</w:t>
      </w:r>
      <w:proofErr w:type="spellStart"/>
      <w:r w:rsidRPr="009F337B">
        <w:rPr>
          <w:i w:val="0"/>
          <w:lang w:val="en-US"/>
        </w:rPr>
        <w:t>iven</w:t>
      </w:r>
      <w:proofErr w:type="spellEnd"/>
      <w:r w:rsidRPr="009F337B">
        <w:rPr>
          <w:i w:val="0"/>
          <w:lang w:val="en-US"/>
        </w:rPr>
        <w:t xml:space="preserve"> the magnitude, importance and epidemiological characteristics of sexually transmitted diseases</w:t>
      </w:r>
      <w:r w:rsidR="00F46845" w:rsidRPr="009F337B">
        <w:rPr>
          <w:i w:val="0"/>
          <w:lang w:val="en-US"/>
        </w:rPr>
        <w:t xml:space="preserve"> (</w:t>
      </w:r>
      <w:r w:rsidRPr="009F337B">
        <w:rPr>
          <w:i w:val="0"/>
          <w:lang w:val="en-US"/>
        </w:rPr>
        <w:t>STD</w:t>
      </w:r>
      <w:r w:rsidR="00F46845" w:rsidRPr="009F337B">
        <w:rPr>
          <w:i w:val="0"/>
          <w:lang w:val="en-US"/>
        </w:rPr>
        <w:t>)</w:t>
      </w:r>
      <w:r w:rsidR="003C46A3" w:rsidRPr="009F337B">
        <w:rPr>
          <w:i w:val="0"/>
          <w:lang w:val="en-US"/>
        </w:rPr>
        <w:t xml:space="preserve"> and </w:t>
      </w:r>
      <w:r w:rsidRPr="009F337B">
        <w:rPr>
          <w:i w:val="0"/>
          <w:lang w:val="en-US"/>
        </w:rPr>
        <w:t xml:space="preserve">the </w:t>
      </w:r>
      <w:r w:rsidRPr="009F337B">
        <w:rPr>
          <w:rFonts w:cs="Arial"/>
          <w:i w:val="0"/>
          <w:szCs w:val="20"/>
          <w:lang w:val="en-US"/>
        </w:rPr>
        <w:t>acquired immunodeficiency syndrome</w:t>
      </w:r>
      <w:r w:rsidRPr="009F337B">
        <w:rPr>
          <w:i w:val="0"/>
          <w:szCs w:val="20"/>
          <w:lang w:val="en-US"/>
        </w:rPr>
        <w:t xml:space="preserve"> </w:t>
      </w:r>
      <w:r w:rsidR="00F46845" w:rsidRPr="009F337B">
        <w:rPr>
          <w:i w:val="0"/>
          <w:lang w:val="en-US"/>
        </w:rPr>
        <w:t>(</w:t>
      </w:r>
      <w:r w:rsidR="00CA11F6" w:rsidRPr="009F337B">
        <w:rPr>
          <w:i w:val="0"/>
          <w:lang w:val="en-US"/>
        </w:rPr>
        <w:t>HIV/AIDS</w:t>
      </w:r>
      <w:r w:rsidR="00F46845" w:rsidRPr="009F337B">
        <w:rPr>
          <w:i w:val="0"/>
          <w:lang w:val="en-US"/>
        </w:rPr>
        <w:t>)</w:t>
      </w:r>
      <w:r w:rsidRPr="009F337B">
        <w:rPr>
          <w:i w:val="0"/>
          <w:lang w:val="en-US"/>
        </w:rPr>
        <w:t>, the</w:t>
      </w:r>
      <w:r w:rsidR="00F46845" w:rsidRPr="009F337B">
        <w:rPr>
          <w:i w:val="0"/>
          <w:lang w:val="en-US"/>
        </w:rPr>
        <w:t xml:space="preserve"> </w:t>
      </w:r>
      <w:r w:rsidRPr="009F337B">
        <w:rPr>
          <w:i w:val="0"/>
          <w:lang w:val="en-US"/>
        </w:rPr>
        <w:t>Ministry of Health</w:t>
      </w:r>
      <w:r w:rsidR="00F46845" w:rsidRPr="009F337B">
        <w:rPr>
          <w:i w:val="0"/>
          <w:lang w:val="en-US"/>
        </w:rPr>
        <w:t xml:space="preserve"> </w:t>
      </w:r>
      <w:r w:rsidRPr="009F337B">
        <w:rPr>
          <w:i w:val="0"/>
          <w:lang w:val="en-US"/>
        </w:rPr>
        <w:t>shall support the specific implementation of STD and HIV/AIDS education, detection, prevent</w:t>
      </w:r>
      <w:r w:rsidR="00091343" w:rsidRPr="009F337B">
        <w:rPr>
          <w:i w:val="0"/>
          <w:lang w:val="en-US"/>
        </w:rPr>
        <w:t>ion</w:t>
      </w:r>
      <w:r w:rsidRPr="009F337B">
        <w:rPr>
          <w:i w:val="0"/>
          <w:lang w:val="en-US"/>
        </w:rPr>
        <w:t xml:space="preserve"> and control programs with the participation of different sectors.</w:t>
      </w:r>
      <w:r w:rsidR="00F46845" w:rsidRPr="009F337B">
        <w:rPr>
          <w:i w:val="0"/>
          <w:lang w:val="en-US"/>
        </w:rPr>
        <w:t>”</w:t>
      </w:r>
      <w:r w:rsidR="00F46845" w:rsidRPr="009F337B">
        <w:rPr>
          <w:i w:val="0"/>
          <w:vertAlign w:val="superscript"/>
          <w:lang w:val="en-US"/>
        </w:rPr>
        <w:footnoteReference w:id="29"/>
      </w:r>
      <w:r w:rsidRPr="009F337B">
        <w:rPr>
          <w:i w:val="0"/>
          <w:lang w:val="en-US"/>
        </w:rPr>
        <w:t xml:space="preserve"> Similarly, on June 2, 2000, Congress adopted Decree </w:t>
      </w:r>
      <w:r w:rsidR="00F46845" w:rsidRPr="009F337B">
        <w:rPr>
          <w:i w:val="0"/>
          <w:lang w:val="en-US"/>
        </w:rPr>
        <w:t xml:space="preserve">No. 27-2000, </w:t>
      </w:r>
      <w:r w:rsidRPr="009F337B">
        <w:rPr>
          <w:i w:val="0"/>
          <w:lang w:val="en-US"/>
        </w:rPr>
        <w:t>the</w:t>
      </w:r>
      <w:r w:rsidR="00F46845" w:rsidRPr="009F337B">
        <w:rPr>
          <w:i w:val="0"/>
          <w:lang w:val="en-US"/>
        </w:rPr>
        <w:t xml:space="preserve"> </w:t>
      </w:r>
      <w:r w:rsidR="001D02E5" w:rsidRPr="009F337B">
        <w:rPr>
          <w:i w:val="0"/>
          <w:lang w:val="en-US"/>
        </w:rPr>
        <w:t>“</w:t>
      </w:r>
      <w:r w:rsidRPr="009F337B">
        <w:rPr>
          <w:i w:val="0"/>
          <w:lang w:val="en-US"/>
        </w:rPr>
        <w:t xml:space="preserve">General Law to combat the human </w:t>
      </w:r>
      <w:r w:rsidRPr="009F337B">
        <w:rPr>
          <w:rFonts w:cs="Arial"/>
          <w:i w:val="0"/>
          <w:szCs w:val="20"/>
          <w:lang w:val="en-US"/>
        </w:rPr>
        <w:t xml:space="preserve">immunodeficiency virus </w:t>
      </w:r>
      <w:r w:rsidR="00091343" w:rsidRPr="009F337B">
        <w:rPr>
          <w:rFonts w:cs="Arial"/>
          <w:i w:val="0"/>
          <w:szCs w:val="20"/>
          <w:lang w:val="en-US"/>
        </w:rPr>
        <w:t>(</w:t>
      </w:r>
      <w:r w:rsidRPr="009F337B">
        <w:rPr>
          <w:rFonts w:cs="Arial"/>
          <w:i w:val="0"/>
          <w:szCs w:val="20"/>
          <w:lang w:val="en-US"/>
        </w:rPr>
        <w:t>HIV</w:t>
      </w:r>
      <w:r w:rsidR="00091343" w:rsidRPr="009F337B">
        <w:rPr>
          <w:rFonts w:cs="Arial"/>
          <w:i w:val="0"/>
          <w:szCs w:val="20"/>
          <w:lang w:val="en-US"/>
        </w:rPr>
        <w:t>)</w:t>
      </w:r>
      <w:r w:rsidRPr="009F337B">
        <w:rPr>
          <w:rFonts w:cs="Arial"/>
          <w:i w:val="0"/>
          <w:szCs w:val="20"/>
          <w:lang w:val="en-US"/>
        </w:rPr>
        <w:t xml:space="preserve"> and the acquired immunodeficiency syndrome </w:t>
      </w:r>
      <w:r w:rsidR="00091343" w:rsidRPr="009F337B">
        <w:rPr>
          <w:rFonts w:cs="Arial"/>
          <w:i w:val="0"/>
          <w:szCs w:val="20"/>
          <w:lang w:val="en-US"/>
        </w:rPr>
        <w:t>(</w:t>
      </w:r>
      <w:r w:rsidRPr="009F337B">
        <w:rPr>
          <w:rFonts w:cs="Arial"/>
          <w:i w:val="0"/>
          <w:szCs w:val="20"/>
          <w:lang w:val="en-US"/>
        </w:rPr>
        <w:t>AIDS</w:t>
      </w:r>
      <w:r w:rsidR="00091343" w:rsidRPr="009F337B">
        <w:rPr>
          <w:rFonts w:cs="Arial"/>
          <w:i w:val="0"/>
          <w:szCs w:val="20"/>
          <w:lang w:val="en-US"/>
        </w:rPr>
        <w:t>)</w:t>
      </w:r>
      <w:r w:rsidRPr="009F337B">
        <w:rPr>
          <w:rFonts w:cs="Arial"/>
          <w:i w:val="0"/>
          <w:szCs w:val="20"/>
          <w:lang w:val="en-US"/>
        </w:rPr>
        <w:t xml:space="preserve"> and for the promotion, protection and defense of human rights in relation to</w:t>
      </w:r>
      <w:r w:rsidRPr="009F337B">
        <w:rPr>
          <w:i w:val="0"/>
          <w:lang w:val="en-US"/>
        </w:rPr>
        <w:t xml:space="preserve"> </w:t>
      </w:r>
      <w:r w:rsidR="00CA11F6" w:rsidRPr="009F337B">
        <w:rPr>
          <w:i w:val="0"/>
          <w:lang w:val="en-US"/>
        </w:rPr>
        <w:t>HIV/AIDS</w:t>
      </w:r>
      <w:r w:rsidR="001D02E5" w:rsidRPr="009F337B">
        <w:rPr>
          <w:i w:val="0"/>
          <w:lang w:val="en-US"/>
        </w:rPr>
        <w:t>”</w:t>
      </w:r>
      <w:r w:rsidR="00F46845" w:rsidRPr="009F337B">
        <w:rPr>
          <w:i w:val="0"/>
          <w:lang w:val="en-US"/>
        </w:rPr>
        <w:t xml:space="preserve"> (</w:t>
      </w:r>
      <w:r w:rsidR="00AE5F9E" w:rsidRPr="009F337B">
        <w:rPr>
          <w:i w:val="0"/>
          <w:lang w:val="en-US"/>
        </w:rPr>
        <w:t>hereinafter</w:t>
      </w:r>
      <w:r w:rsidR="00F46845" w:rsidRPr="009F337B">
        <w:rPr>
          <w:i w:val="0"/>
          <w:lang w:val="en-US"/>
        </w:rPr>
        <w:t xml:space="preserve"> </w:t>
      </w:r>
      <w:r w:rsidRPr="009F337B">
        <w:rPr>
          <w:i w:val="0"/>
          <w:lang w:val="en-US"/>
        </w:rPr>
        <w:t>also</w:t>
      </w:r>
      <w:r w:rsidR="00F46845" w:rsidRPr="009F337B">
        <w:rPr>
          <w:i w:val="0"/>
          <w:lang w:val="en-US"/>
        </w:rPr>
        <w:t xml:space="preserve"> “</w:t>
      </w:r>
      <w:r w:rsidRPr="009F337B">
        <w:rPr>
          <w:i w:val="0"/>
          <w:lang w:val="en-US"/>
        </w:rPr>
        <w:t>General Law to combat</w:t>
      </w:r>
      <w:r w:rsidR="00F46845" w:rsidRPr="009F337B">
        <w:rPr>
          <w:i w:val="0"/>
          <w:lang w:val="en-US"/>
        </w:rPr>
        <w:t xml:space="preserve"> </w:t>
      </w:r>
      <w:r w:rsidR="00CA11F6" w:rsidRPr="009F337B">
        <w:rPr>
          <w:i w:val="0"/>
          <w:lang w:val="en-US"/>
        </w:rPr>
        <w:t>HIV/AIDS</w:t>
      </w:r>
      <w:r w:rsidR="00F46845" w:rsidRPr="009F337B">
        <w:rPr>
          <w:i w:val="0"/>
          <w:lang w:val="en-US"/>
        </w:rPr>
        <w:t>”)</w:t>
      </w:r>
      <w:r w:rsidRPr="009F337B">
        <w:rPr>
          <w:i w:val="0"/>
          <w:lang w:val="en-US"/>
        </w:rPr>
        <w:t>.</w:t>
      </w:r>
      <w:r w:rsidR="00F46845" w:rsidRPr="009F337B">
        <w:rPr>
          <w:rStyle w:val="Refdenotaalpie"/>
          <w:i w:val="0"/>
          <w:lang w:val="en-US"/>
        </w:rPr>
        <w:footnoteReference w:id="30"/>
      </w:r>
    </w:p>
    <w:p w14:paraId="38088048" w14:textId="77777777" w:rsidR="00F8006A" w:rsidRPr="009F337B" w:rsidRDefault="00F8006A" w:rsidP="00F8006A">
      <w:pPr>
        <w:pStyle w:val="Estilo1"/>
        <w:tabs>
          <w:tab w:val="left" w:pos="709"/>
          <w:tab w:val="left" w:pos="1134"/>
        </w:tabs>
        <w:spacing w:after="0"/>
        <w:ind w:left="0" w:right="-4" w:firstLine="0"/>
        <w:rPr>
          <w:i w:val="0"/>
          <w:lang w:val="en-US"/>
        </w:rPr>
      </w:pPr>
    </w:p>
    <w:p w14:paraId="0F158754" w14:textId="0D1CD4C6" w:rsidR="001C64BC" w:rsidRPr="009F337B" w:rsidRDefault="00926020" w:rsidP="00593E37">
      <w:pPr>
        <w:pStyle w:val="Estilo1"/>
        <w:numPr>
          <w:ilvl w:val="0"/>
          <w:numId w:val="1"/>
        </w:numPr>
        <w:tabs>
          <w:tab w:val="left" w:pos="709"/>
          <w:tab w:val="left" w:pos="1134"/>
        </w:tabs>
        <w:spacing w:after="0"/>
        <w:ind w:left="0" w:right="-4" w:firstLine="0"/>
        <w:rPr>
          <w:i w:val="0"/>
          <w:lang w:val="en-US"/>
        </w:rPr>
      </w:pPr>
      <w:r w:rsidRPr="009F337B">
        <w:rPr>
          <w:i w:val="0"/>
          <w:lang w:val="en-US"/>
        </w:rPr>
        <w:t>The</w:t>
      </w:r>
      <w:r w:rsidR="00F46845" w:rsidRPr="009F337B">
        <w:rPr>
          <w:i w:val="0"/>
          <w:lang w:val="en-US"/>
        </w:rPr>
        <w:t xml:space="preserve"> </w:t>
      </w:r>
      <w:r w:rsidRPr="009F337B">
        <w:rPr>
          <w:i w:val="0"/>
          <w:lang w:val="en-US"/>
        </w:rPr>
        <w:t>General Law to combat</w:t>
      </w:r>
      <w:r w:rsidR="00F46845" w:rsidRPr="009F337B">
        <w:rPr>
          <w:i w:val="0"/>
          <w:lang w:val="en-US"/>
        </w:rPr>
        <w:t xml:space="preserve"> </w:t>
      </w:r>
      <w:r w:rsidR="00CA11F6" w:rsidRPr="009F337B">
        <w:rPr>
          <w:i w:val="0"/>
          <w:lang w:val="en-US"/>
        </w:rPr>
        <w:t>HIV/AIDS</w:t>
      </w:r>
      <w:r w:rsidR="00F46845" w:rsidRPr="009F337B">
        <w:rPr>
          <w:i w:val="0"/>
          <w:lang w:val="en-US"/>
        </w:rPr>
        <w:t xml:space="preserve"> reco</w:t>
      </w:r>
      <w:r w:rsidR="002E6F4A" w:rsidRPr="009F337B">
        <w:rPr>
          <w:i w:val="0"/>
          <w:lang w:val="en-US"/>
        </w:rPr>
        <w:t xml:space="preserve">gnizes </w:t>
      </w:r>
      <w:r w:rsidR="00CA11F6" w:rsidRPr="009F337B">
        <w:rPr>
          <w:i w:val="0"/>
          <w:lang w:val="en-US"/>
        </w:rPr>
        <w:t>HIV/AIDS</w:t>
      </w:r>
      <w:r w:rsidR="00F46845" w:rsidRPr="009F337B">
        <w:rPr>
          <w:i w:val="0"/>
          <w:lang w:val="en-US"/>
        </w:rPr>
        <w:t xml:space="preserve"> </w:t>
      </w:r>
      <w:r w:rsidR="002E6F4A" w:rsidRPr="009F337B">
        <w:rPr>
          <w:i w:val="0"/>
          <w:lang w:val="en-US"/>
        </w:rPr>
        <w:t>as a</w:t>
      </w:r>
      <w:r w:rsidR="00091343" w:rsidRPr="009F337B">
        <w:rPr>
          <w:i w:val="0"/>
          <w:lang w:val="en-US"/>
        </w:rPr>
        <w:t>n</w:t>
      </w:r>
      <w:r w:rsidR="002E6F4A" w:rsidRPr="009F337B">
        <w:rPr>
          <w:i w:val="0"/>
          <w:lang w:val="en-US"/>
        </w:rPr>
        <w:t xml:space="preserve"> urgent national social problem. The law’s purpose </w:t>
      </w:r>
      <w:r w:rsidR="00091343" w:rsidRPr="009F337B">
        <w:rPr>
          <w:i w:val="0"/>
          <w:lang w:val="en-US"/>
        </w:rPr>
        <w:t>wa</w:t>
      </w:r>
      <w:r w:rsidR="002E6F4A" w:rsidRPr="009F337B">
        <w:rPr>
          <w:i w:val="0"/>
          <w:lang w:val="en-US"/>
        </w:rPr>
        <w:t>s t</w:t>
      </w:r>
      <w:r w:rsidR="00091343" w:rsidRPr="009F337B">
        <w:rPr>
          <w:i w:val="0"/>
          <w:lang w:val="en-US"/>
        </w:rPr>
        <w:t>o</w:t>
      </w:r>
      <w:r w:rsidR="002E6F4A" w:rsidRPr="009F337B">
        <w:rPr>
          <w:i w:val="0"/>
          <w:lang w:val="en-US"/>
        </w:rPr>
        <w:t xml:space="preserve"> creat</w:t>
      </w:r>
      <w:r w:rsidR="00091343" w:rsidRPr="009F337B">
        <w:rPr>
          <w:i w:val="0"/>
          <w:lang w:val="en-US"/>
        </w:rPr>
        <w:t>e</w:t>
      </w:r>
      <w:r w:rsidR="002E6F4A" w:rsidRPr="009F337B">
        <w:rPr>
          <w:i w:val="0"/>
          <w:lang w:val="en-US"/>
        </w:rPr>
        <w:t xml:space="preserve"> a legal framework to implement the necessary mechanisms for education</w:t>
      </w:r>
      <w:r w:rsidR="00091343" w:rsidRPr="009F337B">
        <w:rPr>
          <w:i w:val="0"/>
          <w:lang w:val="en-US"/>
        </w:rPr>
        <w:t xml:space="preserve">, </w:t>
      </w:r>
      <w:r w:rsidR="002E6F4A" w:rsidRPr="009F337B">
        <w:rPr>
          <w:i w:val="0"/>
          <w:lang w:val="en-US"/>
        </w:rPr>
        <w:t xml:space="preserve">prevention, </w:t>
      </w:r>
      <w:r w:rsidR="002E6F4A" w:rsidRPr="009F337B">
        <w:rPr>
          <w:bCs/>
          <w:i w:val="0"/>
          <w:lang w:val="en-US"/>
        </w:rPr>
        <w:t>epidemiological surveillance</w:t>
      </w:r>
      <w:r w:rsidR="002E6F4A" w:rsidRPr="009F337B">
        <w:rPr>
          <w:i w:val="0"/>
          <w:lang w:val="en-US"/>
        </w:rPr>
        <w:t xml:space="preserve">, research, care and monitoring of sexually transmitted infections </w:t>
      </w:r>
      <w:r w:rsidR="00F46845" w:rsidRPr="009F337B">
        <w:rPr>
          <w:i w:val="0"/>
          <w:lang w:val="en-US"/>
        </w:rPr>
        <w:t>(</w:t>
      </w:r>
      <w:r w:rsidR="00AE5F9E" w:rsidRPr="009F337B">
        <w:rPr>
          <w:i w:val="0"/>
          <w:lang w:val="en-US"/>
        </w:rPr>
        <w:t>hereinafter</w:t>
      </w:r>
      <w:r w:rsidR="00F46845" w:rsidRPr="009F337B">
        <w:rPr>
          <w:i w:val="0"/>
          <w:lang w:val="en-US"/>
        </w:rPr>
        <w:t xml:space="preserve"> </w:t>
      </w:r>
      <w:r w:rsidR="002E6F4A" w:rsidRPr="009F337B">
        <w:rPr>
          <w:i w:val="0"/>
          <w:lang w:val="en-US"/>
        </w:rPr>
        <w:t>also</w:t>
      </w:r>
      <w:r w:rsidR="00F46845" w:rsidRPr="009F337B">
        <w:rPr>
          <w:i w:val="0"/>
          <w:lang w:val="en-US"/>
        </w:rPr>
        <w:t xml:space="preserve"> “</w:t>
      </w:r>
      <w:r w:rsidR="002E6F4A" w:rsidRPr="009F337B">
        <w:rPr>
          <w:i w:val="0"/>
          <w:lang w:val="en-US"/>
        </w:rPr>
        <w:t>STI</w:t>
      </w:r>
      <w:r w:rsidR="00F46845" w:rsidRPr="009F337B">
        <w:rPr>
          <w:i w:val="0"/>
          <w:lang w:val="en-US"/>
        </w:rPr>
        <w:t xml:space="preserve">”), </w:t>
      </w:r>
      <w:r w:rsidR="00CA11F6" w:rsidRPr="009F337B">
        <w:rPr>
          <w:i w:val="0"/>
          <w:lang w:val="en-US"/>
        </w:rPr>
        <w:t>HIV</w:t>
      </w:r>
      <w:r w:rsidR="003C46A3" w:rsidRPr="009F337B">
        <w:rPr>
          <w:i w:val="0"/>
          <w:lang w:val="en-US"/>
        </w:rPr>
        <w:t xml:space="preserve"> and </w:t>
      </w:r>
      <w:r w:rsidR="00CA11F6" w:rsidRPr="009F337B">
        <w:rPr>
          <w:i w:val="0"/>
          <w:lang w:val="en-US"/>
        </w:rPr>
        <w:lastRenderedPageBreak/>
        <w:t>AIDS</w:t>
      </w:r>
      <w:r w:rsidR="00F46845" w:rsidRPr="009F337B">
        <w:rPr>
          <w:i w:val="0"/>
          <w:lang w:val="en-US"/>
        </w:rPr>
        <w:t>, a</w:t>
      </w:r>
      <w:r w:rsidR="002E6F4A" w:rsidRPr="009F337B">
        <w:rPr>
          <w:i w:val="0"/>
          <w:lang w:val="en-US"/>
        </w:rPr>
        <w:t>s well as to guarantee the respect, promotion, protection and defense of the human rights of those suffering from such infections. Thus</w:t>
      </w:r>
      <w:r w:rsidR="00F46845" w:rsidRPr="009F337B">
        <w:rPr>
          <w:i w:val="0"/>
          <w:lang w:val="en-US"/>
        </w:rPr>
        <w:t xml:space="preserve">, </w:t>
      </w:r>
      <w:r w:rsidR="00091343" w:rsidRPr="009F337B">
        <w:rPr>
          <w:i w:val="0"/>
          <w:lang w:val="en-US"/>
        </w:rPr>
        <w:t>a</w:t>
      </w:r>
      <w:r w:rsidR="00AE5F9E" w:rsidRPr="009F337B">
        <w:rPr>
          <w:i w:val="0"/>
          <w:lang w:val="en-US"/>
        </w:rPr>
        <w:t>rticle</w:t>
      </w:r>
      <w:r w:rsidR="00F46845" w:rsidRPr="009F337B">
        <w:rPr>
          <w:i w:val="0"/>
          <w:lang w:val="en-US"/>
        </w:rPr>
        <w:t xml:space="preserve"> 35 </w:t>
      </w:r>
      <w:r w:rsidR="002E6F4A" w:rsidRPr="009F337B">
        <w:rPr>
          <w:i w:val="0"/>
          <w:lang w:val="en-US"/>
        </w:rPr>
        <w:t>establishe</w:t>
      </w:r>
      <w:r w:rsidR="00091343" w:rsidRPr="009F337B">
        <w:rPr>
          <w:i w:val="0"/>
          <w:lang w:val="en-US"/>
        </w:rPr>
        <w:t>d</w:t>
      </w:r>
      <w:r w:rsidR="002E6F4A" w:rsidRPr="009F337B">
        <w:rPr>
          <w:i w:val="0"/>
          <w:lang w:val="en-US"/>
        </w:rPr>
        <w:t xml:space="preserve"> that any person diagnosed with </w:t>
      </w:r>
      <w:r w:rsidR="00CA11F6" w:rsidRPr="009F337B">
        <w:rPr>
          <w:i w:val="0"/>
          <w:lang w:val="en-US"/>
        </w:rPr>
        <w:t>HIV/AIDS</w:t>
      </w:r>
      <w:r w:rsidR="00F46845" w:rsidRPr="009F337B">
        <w:rPr>
          <w:i w:val="0"/>
          <w:lang w:val="en-US"/>
        </w:rPr>
        <w:t xml:space="preserve"> </w:t>
      </w:r>
      <w:r w:rsidR="002E6F4A" w:rsidRPr="009F337B">
        <w:rPr>
          <w:i w:val="0"/>
          <w:lang w:val="en-US"/>
        </w:rPr>
        <w:t>must receive immediate comprehensive care, in the same conditions as others, respecting their wishes, dignity, individuality and confidentiality; a</w:t>
      </w:r>
      <w:r w:rsidR="00091343" w:rsidRPr="009F337B">
        <w:rPr>
          <w:i w:val="0"/>
          <w:lang w:val="en-US"/>
        </w:rPr>
        <w:t>n</w:t>
      </w:r>
      <w:r w:rsidR="002E6F4A" w:rsidRPr="009F337B">
        <w:rPr>
          <w:i w:val="0"/>
          <w:lang w:val="en-US"/>
        </w:rPr>
        <w:t>d that no health worker may refuse to provide the care required by a person living with HIV/AIDS, and should take the recommended biosafety measures</w:t>
      </w:r>
      <w:r w:rsidR="00F46845" w:rsidRPr="009F337B">
        <w:rPr>
          <w:i w:val="0"/>
          <w:lang w:val="en-US"/>
        </w:rPr>
        <w:t xml:space="preserve">. </w:t>
      </w:r>
      <w:r w:rsidR="002E6F4A" w:rsidRPr="009F337B">
        <w:rPr>
          <w:i w:val="0"/>
          <w:lang w:val="en-US"/>
        </w:rPr>
        <w:t>Regarding the provision of health services</w:t>
      </w:r>
      <w:r w:rsidR="00F46845" w:rsidRPr="009F337B">
        <w:rPr>
          <w:i w:val="0"/>
          <w:lang w:val="en-US"/>
        </w:rPr>
        <w:t xml:space="preserve">, </w:t>
      </w:r>
      <w:r w:rsidR="00091343" w:rsidRPr="009F337B">
        <w:rPr>
          <w:i w:val="0"/>
          <w:lang w:val="en-US"/>
        </w:rPr>
        <w:t>a</w:t>
      </w:r>
      <w:r w:rsidR="00AE5F9E" w:rsidRPr="009F337B">
        <w:rPr>
          <w:i w:val="0"/>
          <w:lang w:val="en-US"/>
        </w:rPr>
        <w:t>rticle</w:t>
      </w:r>
      <w:r w:rsidR="00F46845" w:rsidRPr="009F337B">
        <w:rPr>
          <w:i w:val="0"/>
          <w:lang w:val="en-US"/>
        </w:rPr>
        <w:t xml:space="preserve"> 48 </w:t>
      </w:r>
      <w:r w:rsidR="002E6F4A" w:rsidRPr="009F337B">
        <w:rPr>
          <w:i w:val="0"/>
          <w:lang w:val="en-US"/>
        </w:rPr>
        <w:t>of the</w:t>
      </w:r>
      <w:r w:rsidR="00F46845" w:rsidRPr="009F337B">
        <w:rPr>
          <w:i w:val="0"/>
          <w:lang w:val="en-US"/>
        </w:rPr>
        <w:t xml:space="preserve"> </w:t>
      </w:r>
      <w:r w:rsidRPr="009F337B">
        <w:rPr>
          <w:i w:val="0"/>
          <w:lang w:val="en-US"/>
        </w:rPr>
        <w:t>General Law to combat</w:t>
      </w:r>
      <w:r w:rsidR="00F46845" w:rsidRPr="009F337B">
        <w:rPr>
          <w:i w:val="0"/>
          <w:lang w:val="en-US"/>
        </w:rPr>
        <w:t xml:space="preserve"> </w:t>
      </w:r>
      <w:r w:rsidR="00CA11F6" w:rsidRPr="009F337B">
        <w:rPr>
          <w:i w:val="0"/>
          <w:lang w:val="en-US"/>
        </w:rPr>
        <w:t>HIV/AIDS</w:t>
      </w:r>
      <w:r w:rsidR="00F46845" w:rsidRPr="009F337B">
        <w:rPr>
          <w:i w:val="0"/>
          <w:lang w:val="en-US"/>
        </w:rPr>
        <w:t xml:space="preserve"> </w:t>
      </w:r>
      <w:r w:rsidR="002E6F4A" w:rsidRPr="009F337B">
        <w:rPr>
          <w:i w:val="0"/>
          <w:lang w:val="en-US"/>
        </w:rPr>
        <w:t>stipulates</w:t>
      </w:r>
      <w:r w:rsidR="00F46845" w:rsidRPr="009F337B">
        <w:rPr>
          <w:i w:val="0"/>
          <w:lang w:val="en-US"/>
        </w:rPr>
        <w:t>:</w:t>
      </w:r>
    </w:p>
    <w:p w14:paraId="039E65CA" w14:textId="77777777" w:rsidR="001C64BC" w:rsidRPr="009F337B" w:rsidRDefault="001C64BC" w:rsidP="003C2AC6">
      <w:pPr>
        <w:pStyle w:val="PrrafodeSentencia"/>
        <w:rPr>
          <w:lang w:val="en-US"/>
        </w:rPr>
      </w:pPr>
    </w:p>
    <w:p w14:paraId="40D0A4EE" w14:textId="0245FB08" w:rsidR="002E6F4A" w:rsidRPr="009F337B" w:rsidRDefault="002E6F4A" w:rsidP="00F8006A">
      <w:pPr>
        <w:ind w:left="720" w:right="855"/>
        <w:rPr>
          <w:sz w:val="18"/>
          <w:szCs w:val="18"/>
          <w:lang w:val="en-US"/>
        </w:rPr>
      </w:pPr>
      <w:r w:rsidRPr="009F337B">
        <w:rPr>
          <w:sz w:val="18"/>
          <w:szCs w:val="18"/>
          <w:lang w:val="en-US"/>
        </w:rPr>
        <w:t>The</w:t>
      </w:r>
      <w:r w:rsidR="00F46845" w:rsidRPr="009F337B">
        <w:rPr>
          <w:sz w:val="18"/>
          <w:szCs w:val="18"/>
          <w:lang w:val="en-US"/>
        </w:rPr>
        <w:t xml:space="preserve"> </w:t>
      </w:r>
      <w:r w:rsidR="005E44D9" w:rsidRPr="009F337B">
        <w:rPr>
          <w:sz w:val="18"/>
          <w:szCs w:val="18"/>
          <w:lang w:val="en-US"/>
        </w:rPr>
        <w:t>Ministry of Public Health</w:t>
      </w:r>
      <w:r w:rsidR="003C46A3" w:rsidRPr="009F337B">
        <w:rPr>
          <w:sz w:val="18"/>
          <w:szCs w:val="18"/>
          <w:lang w:val="en-US"/>
        </w:rPr>
        <w:t xml:space="preserve"> and </w:t>
      </w:r>
      <w:r w:rsidRPr="009F337B">
        <w:rPr>
          <w:sz w:val="18"/>
          <w:szCs w:val="18"/>
          <w:lang w:val="en-US"/>
        </w:rPr>
        <w:t>Social Assistance shall provide</w:t>
      </w:r>
      <w:r w:rsidR="00D52F4C" w:rsidRPr="009F337B">
        <w:rPr>
          <w:sz w:val="18"/>
          <w:szCs w:val="18"/>
          <w:lang w:val="en-US"/>
        </w:rPr>
        <w:t xml:space="preserve"> health care services to people living with HIV/AIDS that ensure them counselling, support and the most recent medical treatment, individually or in group. This care may be provided in the home or as an outpatient and shall be designed to respond to their physical psychological and social needs. Also, through the Program for the Accessibility of Medicines (PROAM), the Mi</w:t>
      </w:r>
      <w:r w:rsidR="00091343" w:rsidRPr="009F337B">
        <w:rPr>
          <w:sz w:val="18"/>
          <w:szCs w:val="18"/>
          <w:lang w:val="en-US"/>
        </w:rPr>
        <w:t>n</w:t>
      </w:r>
      <w:r w:rsidR="00D52F4C" w:rsidRPr="009F337B">
        <w:rPr>
          <w:sz w:val="18"/>
          <w:szCs w:val="18"/>
          <w:lang w:val="en-US"/>
        </w:rPr>
        <w:t>istry of Public Finance and Economy shall implement a program that allows access to quality antiretroviral drugs at the national and international level, at a cost accessible to people living with HIV/AIDS.</w:t>
      </w:r>
    </w:p>
    <w:p w14:paraId="59DC9284" w14:textId="77777777" w:rsidR="00F8006A" w:rsidRPr="009F337B" w:rsidRDefault="00F8006A" w:rsidP="00F8006A">
      <w:pPr>
        <w:ind w:right="855"/>
        <w:rPr>
          <w:sz w:val="18"/>
          <w:szCs w:val="18"/>
          <w:lang w:val="en-US"/>
        </w:rPr>
      </w:pPr>
    </w:p>
    <w:p w14:paraId="34FA8E24" w14:textId="223657A0" w:rsidR="00F46845" w:rsidRPr="009F337B" w:rsidRDefault="00D52F4C" w:rsidP="00593E37">
      <w:pPr>
        <w:pStyle w:val="Estilo1"/>
        <w:numPr>
          <w:ilvl w:val="0"/>
          <w:numId w:val="1"/>
        </w:numPr>
        <w:tabs>
          <w:tab w:val="left" w:pos="709"/>
          <w:tab w:val="left" w:pos="1134"/>
        </w:tabs>
        <w:spacing w:after="0"/>
        <w:ind w:left="0" w:right="-4" w:firstLine="0"/>
        <w:rPr>
          <w:i w:val="0"/>
          <w:lang w:val="en-US"/>
        </w:rPr>
      </w:pPr>
      <w:r w:rsidRPr="009F337B">
        <w:rPr>
          <w:i w:val="0"/>
          <w:lang w:val="en-US"/>
        </w:rPr>
        <w:t xml:space="preserve">On September 6, </w:t>
      </w:r>
      <w:r w:rsidR="00F46845" w:rsidRPr="009F337B">
        <w:rPr>
          <w:i w:val="0"/>
          <w:lang w:val="en-US"/>
        </w:rPr>
        <w:t>2002</w:t>
      </w:r>
      <w:r w:rsidRPr="009F337B">
        <w:rPr>
          <w:i w:val="0"/>
          <w:lang w:val="en-US"/>
        </w:rPr>
        <w:t>,</w:t>
      </w:r>
      <w:r w:rsidR="00F46845" w:rsidRPr="009F337B">
        <w:rPr>
          <w:i w:val="0"/>
          <w:lang w:val="en-US"/>
        </w:rPr>
        <w:t xml:space="preserve"> </w:t>
      </w:r>
      <w:r w:rsidR="00AE5F9E" w:rsidRPr="009F337B">
        <w:rPr>
          <w:i w:val="0"/>
          <w:lang w:val="en-US"/>
        </w:rPr>
        <w:t>the President</w:t>
      </w:r>
      <w:r w:rsidR="00F46845" w:rsidRPr="009F337B">
        <w:rPr>
          <w:i w:val="0"/>
          <w:lang w:val="en-US"/>
        </w:rPr>
        <w:t xml:space="preserve"> </w:t>
      </w:r>
      <w:r w:rsidRPr="009F337B">
        <w:rPr>
          <w:i w:val="0"/>
          <w:lang w:val="en-US"/>
        </w:rPr>
        <w:t>of</w:t>
      </w:r>
      <w:r w:rsidR="00F46845" w:rsidRPr="009F337B">
        <w:rPr>
          <w:i w:val="0"/>
          <w:lang w:val="en-US"/>
        </w:rPr>
        <w:t xml:space="preserve"> Guatemala </w:t>
      </w:r>
      <w:r w:rsidRPr="009F337B">
        <w:rPr>
          <w:i w:val="0"/>
          <w:lang w:val="en-US"/>
        </w:rPr>
        <w:t>ratified the</w:t>
      </w:r>
      <w:r w:rsidR="00F46845" w:rsidRPr="009F337B">
        <w:rPr>
          <w:i w:val="0"/>
          <w:lang w:val="en-US"/>
        </w:rPr>
        <w:t xml:space="preserve"> </w:t>
      </w:r>
      <w:r w:rsidR="001D02E5" w:rsidRPr="009F337B">
        <w:rPr>
          <w:i w:val="0"/>
          <w:lang w:val="en-US"/>
        </w:rPr>
        <w:t>“</w:t>
      </w:r>
      <w:r w:rsidRPr="009F337B">
        <w:rPr>
          <w:i w:val="0"/>
          <w:lang w:val="en-US"/>
        </w:rPr>
        <w:t xml:space="preserve">Regulations </w:t>
      </w:r>
      <w:r w:rsidR="00091343" w:rsidRPr="009F337B">
        <w:rPr>
          <w:i w:val="0"/>
          <w:lang w:val="en-US"/>
        </w:rPr>
        <w:t>to</w:t>
      </w:r>
      <w:r w:rsidRPr="009F337B">
        <w:rPr>
          <w:i w:val="0"/>
          <w:lang w:val="en-US"/>
        </w:rPr>
        <w:t xml:space="preserve"> the </w:t>
      </w:r>
      <w:r w:rsidR="00F46845" w:rsidRPr="009F337B">
        <w:rPr>
          <w:i w:val="0"/>
          <w:lang w:val="en-US"/>
        </w:rPr>
        <w:t xml:space="preserve"> </w:t>
      </w:r>
      <w:r w:rsidRPr="009F337B">
        <w:rPr>
          <w:i w:val="0"/>
          <w:lang w:val="en-US"/>
        </w:rPr>
        <w:t xml:space="preserve">General Law to Combat the Human </w:t>
      </w:r>
      <w:r w:rsidR="008E2262" w:rsidRPr="009F337B">
        <w:rPr>
          <w:i w:val="0"/>
          <w:lang w:val="en-US"/>
        </w:rPr>
        <w:t xml:space="preserve">Immunodeficiency Virus </w:t>
      </w:r>
      <w:r w:rsidRPr="009F337B">
        <w:rPr>
          <w:i w:val="0"/>
          <w:lang w:val="en-US"/>
        </w:rPr>
        <w:t>(HIV)</w:t>
      </w:r>
      <w:r w:rsidR="003C46A3" w:rsidRPr="009F337B">
        <w:rPr>
          <w:i w:val="0"/>
          <w:lang w:val="en-US"/>
        </w:rPr>
        <w:t xml:space="preserve"> and </w:t>
      </w:r>
      <w:r w:rsidRPr="009F337B">
        <w:rPr>
          <w:i w:val="0"/>
          <w:lang w:val="en-US"/>
        </w:rPr>
        <w:t>the</w:t>
      </w:r>
      <w:r w:rsidR="00F46845" w:rsidRPr="009F337B">
        <w:rPr>
          <w:i w:val="0"/>
          <w:lang w:val="en-US"/>
        </w:rPr>
        <w:t xml:space="preserve"> </w:t>
      </w:r>
      <w:r w:rsidRPr="009F337B">
        <w:rPr>
          <w:i w:val="0"/>
          <w:lang w:val="en-US"/>
        </w:rPr>
        <w:t xml:space="preserve">Acquired </w:t>
      </w:r>
      <w:r w:rsidR="008E2262" w:rsidRPr="009F337B">
        <w:rPr>
          <w:i w:val="0"/>
          <w:lang w:val="en-US"/>
        </w:rPr>
        <w:t xml:space="preserve">Immunodeficiency Syndrome </w:t>
      </w:r>
      <w:r w:rsidRPr="009F337B">
        <w:rPr>
          <w:i w:val="0"/>
          <w:lang w:val="en-US"/>
        </w:rPr>
        <w:t>(AIDS)</w:t>
      </w:r>
      <w:r w:rsidR="003C46A3" w:rsidRPr="009F337B">
        <w:rPr>
          <w:i w:val="0"/>
          <w:lang w:val="en-US"/>
        </w:rPr>
        <w:t xml:space="preserve"> and </w:t>
      </w:r>
      <w:r w:rsidRPr="009F337B">
        <w:rPr>
          <w:i w:val="0"/>
          <w:lang w:val="en-US"/>
        </w:rPr>
        <w:t xml:space="preserve">for the Promotion, Protection and Defense of Human Rights in the presence of </w:t>
      </w:r>
      <w:r w:rsidR="00CA11F6" w:rsidRPr="009F337B">
        <w:rPr>
          <w:i w:val="0"/>
          <w:lang w:val="en-US"/>
        </w:rPr>
        <w:t>HIV/AIDS</w:t>
      </w:r>
      <w:r w:rsidR="001D02E5" w:rsidRPr="009F337B">
        <w:rPr>
          <w:i w:val="0"/>
          <w:lang w:val="en-US"/>
        </w:rPr>
        <w:t>”</w:t>
      </w:r>
      <w:r w:rsidR="00F46845" w:rsidRPr="009F337B">
        <w:rPr>
          <w:i w:val="0"/>
          <w:lang w:val="en-US"/>
        </w:rPr>
        <w:t xml:space="preserve"> (</w:t>
      </w:r>
      <w:r w:rsidR="00AE5F9E" w:rsidRPr="009F337B">
        <w:rPr>
          <w:i w:val="0"/>
          <w:lang w:val="en-US"/>
        </w:rPr>
        <w:t>hereinafter</w:t>
      </w:r>
      <w:r w:rsidR="00F46845" w:rsidRPr="009F337B">
        <w:rPr>
          <w:i w:val="0"/>
          <w:lang w:val="en-US"/>
        </w:rPr>
        <w:t xml:space="preserve"> </w:t>
      </w:r>
      <w:r w:rsidRPr="009F337B">
        <w:rPr>
          <w:i w:val="0"/>
          <w:lang w:val="en-US"/>
        </w:rPr>
        <w:t>also</w:t>
      </w:r>
      <w:r w:rsidR="00F46845" w:rsidRPr="009F337B">
        <w:rPr>
          <w:i w:val="0"/>
          <w:lang w:val="en-US"/>
        </w:rPr>
        <w:t xml:space="preserve"> “</w:t>
      </w:r>
      <w:r w:rsidRPr="009F337B">
        <w:rPr>
          <w:i w:val="0"/>
          <w:lang w:val="en-US"/>
        </w:rPr>
        <w:t xml:space="preserve">Regulations </w:t>
      </w:r>
      <w:r w:rsidR="00001911" w:rsidRPr="009F337B">
        <w:rPr>
          <w:i w:val="0"/>
          <w:lang w:val="en-US"/>
        </w:rPr>
        <w:t xml:space="preserve">to </w:t>
      </w:r>
      <w:r w:rsidRPr="009F337B">
        <w:rPr>
          <w:i w:val="0"/>
          <w:lang w:val="en-US"/>
        </w:rPr>
        <w:t xml:space="preserve">the  </w:t>
      </w:r>
      <w:r w:rsidR="00926020" w:rsidRPr="009F337B">
        <w:rPr>
          <w:i w:val="0"/>
          <w:lang w:val="en-US"/>
        </w:rPr>
        <w:t>General Law to combat</w:t>
      </w:r>
      <w:r w:rsidR="00F46845" w:rsidRPr="009F337B">
        <w:rPr>
          <w:i w:val="0"/>
          <w:lang w:val="en-US"/>
        </w:rPr>
        <w:t xml:space="preserve"> </w:t>
      </w:r>
      <w:r w:rsidR="00CA11F6" w:rsidRPr="009F337B">
        <w:rPr>
          <w:i w:val="0"/>
          <w:lang w:val="en-US"/>
        </w:rPr>
        <w:t>HIV/AIDS</w:t>
      </w:r>
      <w:r w:rsidR="00F46845" w:rsidRPr="009F337B">
        <w:rPr>
          <w:i w:val="0"/>
          <w:lang w:val="en-US"/>
        </w:rPr>
        <w:t xml:space="preserve">”), </w:t>
      </w:r>
      <w:r w:rsidRPr="009F337B">
        <w:rPr>
          <w:i w:val="0"/>
          <w:lang w:val="en-US"/>
        </w:rPr>
        <w:t>which reiterated that</w:t>
      </w:r>
      <w:r w:rsidR="00F46845" w:rsidRPr="009F337B">
        <w:rPr>
          <w:i w:val="0"/>
          <w:lang w:val="en-US"/>
        </w:rPr>
        <w:t xml:space="preserve"> </w:t>
      </w:r>
      <w:r w:rsidR="00CA11F6" w:rsidRPr="009F337B">
        <w:rPr>
          <w:i w:val="0"/>
          <w:lang w:val="en-US"/>
        </w:rPr>
        <w:t>HIV/AIDS</w:t>
      </w:r>
      <w:r w:rsidR="00F46845" w:rsidRPr="009F337B">
        <w:rPr>
          <w:i w:val="0"/>
          <w:lang w:val="en-US"/>
        </w:rPr>
        <w:t xml:space="preserve"> </w:t>
      </w:r>
      <w:r w:rsidRPr="009F337B">
        <w:rPr>
          <w:i w:val="0"/>
          <w:lang w:val="en-US"/>
        </w:rPr>
        <w:t>was an urgent national problem and that the</w:t>
      </w:r>
      <w:r w:rsidR="00F46845" w:rsidRPr="009F337B">
        <w:rPr>
          <w:i w:val="0"/>
          <w:lang w:val="en-US"/>
        </w:rPr>
        <w:t xml:space="preserve"> </w:t>
      </w:r>
      <w:r w:rsidR="005E44D9" w:rsidRPr="009F337B">
        <w:rPr>
          <w:i w:val="0"/>
          <w:lang w:val="en-US"/>
        </w:rPr>
        <w:t>Ministry of Public Health</w:t>
      </w:r>
      <w:r w:rsidR="003C46A3" w:rsidRPr="009F337B">
        <w:rPr>
          <w:i w:val="0"/>
          <w:lang w:val="en-US"/>
        </w:rPr>
        <w:t xml:space="preserve"> </w:t>
      </w:r>
      <w:r w:rsidRPr="009F337B">
        <w:rPr>
          <w:i w:val="0"/>
          <w:lang w:val="en-US"/>
        </w:rPr>
        <w:t>and Social Assistance</w:t>
      </w:r>
      <w:r w:rsidR="00F46845" w:rsidRPr="009F337B">
        <w:rPr>
          <w:i w:val="0"/>
          <w:lang w:val="en-US"/>
        </w:rPr>
        <w:t xml:space="preserve"> (</w:t>
      </w:r>
      <w:r w:rsidR="00AE5F9E" w:rsidRPr="009F337B">
        <w:rPr>
          <w:i w:val="0"/>
          <w:lang w:val="en-US"/>
        </w:rPr>
        <w:t>hereinafter</w:t>
      </w:r>
      <w:r w:rsidR="00F46845" w:rsidRPr="009F337B">
        <w:rPr>
          <w:i w:val="0"/>
          <w:lang w:val="en-US"/>
        </w:rPr>
        <w:t xml:space="preserve"> </w:t>
      </w:r>
      <w:r w:rsidRPr="009F337B">
        <w:rPr>
          <w:i w:val="0"/>
          <w:lang w:val="en-US"/>
        </w:rPr>
        <w:t>also</w:t>
      </w:r>
      <w:r w:rsidR="00F46845" w:rsidRPr="009F337B">
        <w:rPr>
          <w:i w:val="0"/>
          <w:lang w:val="en-US"/>
        </w:rPr>
        <w:t xml:space="preserve"> “</w:t>
      </w:r>
      <w:r w:rsidR="005E44D9" w:rsidRPr="009F337B">
        <w:rPr>
          <w:i w:val="0"/>
          <w:lang w:val="en-US"/>
        </w:rPr>
        <w:t>Ministry of Public Health</w:t>
      </w:r>
      <w:r w:rsidR="00F46845" w:rsidRPr="009F337B">
        <w:rPr>
          <w:i w:val="0"/>
          <w:lang w:val="en-US"/>
        </w:rPr>
        <w:t xml:space="preserve">”) </w:t>
      </w:r>
      <w:r w:rsidRPr="009F337B">
        <w:rPr>
          <w:i w:val="0"/>
          <w:lang w:val="en-US"/>
        </w:rPr>
        <w:t xml:space="preserve">should ensure that all its health units had the necessary basic equipment and inputs to provide quality comprehensive care and that a lack of equipment or inputs could never be used as an excuse not to provide care to a person with </w:t>
      </w:r>
      <w:r w:rsidR="00CA11F6" w:rsidRPr="009F337B">
        <w:rPr>
          <w:i w:val="0"/>
          <w:lang w:val="en-US"/>
        </w:rPr>
        <w:t>HIV/AIDS</w:t>
      </w:r>
      <w:r w:rsidRPr="009F337B">
        <w:rPr>
          <w:i w:val="0"/>
          <w:lang w:val="en-US"/>
        </w:rPr>
        <w:t>.</w:t>
      </w:r>
      <w:r w:rsidR="00F46845" w:rsidRPr="009F337B">
        <w:rPr>
          <w:i w:val="0"/>
          <w:vertAlign w:val="superscript"/>
          <w:lang w:val="en-US"/>
        </w:rPr>
        <w:footnoteReference w:id="31"/>
      </w:r>
      <w:r w:rsidR="00F46845" w:rsidRPr="009F337B">
        <w:rPr>
          <w:i w:val="0"/>
          <w:lang w:val="en-US"/>
        </w:rPr>
        <w:t xml:space="preserve"> </w:t>
      </w:r>
      <w:r w:rsidRPr="009F337B">
        <w:rPr>
          <w:i w:val="0"/>
          <w:lang w:val="en-US"/>
        </w:rPr>
        <w:t>Regarding access to medication,</w:t>
      </w:r>
      <w:r w:rsidR="00F46845" w:rsidRPr="009F337B">
        <w:rPr>
          <w:i w:val="0"/>
          <w:lang w:val="en-US"/>
        </w:rPr>
        <w:t xml:space="preserve"> </w:t>
      </w:r>
      <w:r w:rsidR="00001911" w:rsidRPr="009F337B">
        <w:rPr>
          <w:i w:val="0"/>
          <w:lang w:val="en-US"/>
        </w:rPr>
        <w:t>a</w:t>
      </w:r>
      <w:r w:rsidR="00AE5F9E" w:rsidRPr="009F337B">
        <w:rPr>
          <w:i w:val="0"/>
          <w:lang w:val="en-US"/>
        </w:rPr>
        <w:t>rticle</w:t>
      </w:r>
      <w:r w:rsidR="00F46845" w:rsidRPr="009F337B">
        <w:rPr>
          <w:i w:val="0"/>
          <w:lang w:val="en-US"/>
        </w:rPr>
        <w:t xml:space="preserve"> 32 </w:t>
      </w:r>
      <w:r w:rsidRPr="009F337B">
        <w:rPr>
          <w:i w:val="0"/>
          <w:lang w:val="en-US"/>
        </w:rPr>
        <w:t>of the Regulations established:</w:t>
      </w:r>
    </w:p>
    <w:p w14:paraId="48F48298" w14:textId="77777777" w:rsidR="001C64BC" w:rsidRPr="009F337B" w:rsidRDefault="001C64BC" w:rsidP="003C2AC6">
      <w:pPr>
        <w:pStyle w:val="PrrafodeSentencia"/>
        <w:rPr>
          <w:lang w:val="en-US"/>
        </w:rPr>
      </w:pPr>
    </w:p>
    <w:p w14:paraId="24CEDA64" w14:textId="6D6DDDB5" w:rsidR="00D52F4C" w:rsidRPr="009F337B" w:rsidRDefault="00D52F4C" w:rsidP="00F8006A">
      <w:pPr>
        <w:ind w:left="720" w:right="855"/>
        <w:rPr>
          <w:sz w:val="18"/>
          <w:szCs w:val="18"/>
          <w:lang w:val="en-US"/>
        </w:rPr>
      </w:pPr>
      <w:r w:rsidRPr="009F337B">
        <w:rPr>
          <w:sz w:val="18"/>
          <w:szCs w:val="18"/>
          <w:lang w:val="en-US"/>
        </w:rPr>
        <w:t>Pursuant to</w:t>
      </w:r>
      <w:r w:rsidR="00F46845" w:rsidRPr="009F337B">
        <w:rPr>
          <w:sz w:val="18"/>
          <w:szCs w:val="18"/>
          <w:lang w:val="en-US"/>
        </w:rPr>
        <w:t xml:space="preserve"> </w:t>
      </w:r>
      <w:r w:rsidR="00001911" w:rsidRPr="009F337B">
        <w:rPr>
          <w:sz w:val="18"/>
          <w:szCs w:val="18"/>
          <w:lang w:val="en-US"/>
        </w:rPr>
        <w:t>a</w:t>
      </w:r>
      <w:r w:rsidR="00AE5F9E" w:rsidRPr="009F337B">
        <w:rPr>
          <w:sz w:val="18"/>
          <w:szCs w:val="18"/>
          <w:lang w:val="en-US"/>
        </w:rPr>
        <w:t>rticles</w:t>
      </w:r>
      <w:r w:rsidR="00F46845" w:rsidRPr="009F337B">
        <w:rPr>
          <w:sz w:val="18"/>
          <w:szCs w:val="18"/>
          <w:lang w:val="en-US"/>
        </w:rPr>
        <w:t xml:space="preserve"> 35</w:t>
      </w:r>
      <w:r w:rsidR="003C46A3" w:rsidRPr="009F337B">
        <w:rPr>
          <w:sz w:val="18"/>
          <w:szCs w:val="18"/>
          <w:lang w:val="en-US"/>
        </w:rPr>
        <w:t xml:space="preserve"> and </w:t>
      </w:r>
      <w:r w:rsidR="00F46845" w:rsidRPr="009F337B">
        <w:rPr>
          <w:sz w:val="18"/>
          <w:szCs w:val="18"/>
          <w:lang w:val="en-US"/>
        </w:rPr>
        <w:t xml:space="preserve">48 </w:t>
      </w:r>
      <w:r w:rsidRPr="009F337B">
        <w:rPr>
          <w:sz w:val="18"/>
          <w:szCs w:val="18"/>
          <w:lang w:val="en-US"/>
        </w:rPr>
        <w:t>of the Law</w:t>
      </w:r>
      <w:r w:rsidR="00F46845" w:rsidRPr="009F337B">
        <w:rPr>
          <w:sz w:val="18"/>
          <w:szCs w:val="18"/>
          <w:lang w:val="en-US"/>
        </w:rPr>
        <w:t xml:space="preserve">, </w:t>
      </w:r>
      <w:r w:rsidRPr="009F337B">
        <w:rPr>
          <w:sz w:val="18"/>
          <w:szCs w:val="18"/>
          <w:lang w:val="en-US"/>
        </w:rPr>
        <w:t>the</w:t>
      </w:r>
      <w:r w:rsidR="00F46845" w:rsidRPr="009F337B">
        <w:rPr>
          <w:sz w:val="18"/>
          <w:szCs w:val="18"/>
          <w:lang w:val="en-US"/>
        </w:rPr>
        <w:t xml:space="preserve"> </w:t>
      </w:r>
      <w:r w:rsidR="00926020" w:rsidRPr="009F337B">
        <w:rPr>
          <w:sz w:val="18"/>
          <w:szCs w:val="18"/>
          <w:lang w:val="en-US"/>
        </w:rPr>
        <w:t xml:space="preserve">MINISTRY OF </w:t>
      </w:r>
      <w:r w:rsidRPr="009F337B">
        <w:rPr>
          <w:sz w:val="18"/>
          <w:szCs w:val="18"/>
          <w:lang w:val="en-US"/>
        </w:rPr>
        <w:t xml:space="preserve">PUBLIC </w:t>
      </w:r>
      <w:r w:rsidR="00926020" w:rsidRPr="009F337B">
        <w:rPr>
          <w:sz w:val="18"/>
          <w:szCs w:val="18"/>
          <w:lang w:val="en-US"/>
        </w:rPr>
        <w:t>HEALTH</w:t>
      </w:r>
      <w:r w:rsidR="00F46845" w:rsidRPr="009F337B">
        <w:rPr>
          <w:sz w:val="18"/>
          <w:szCs w:val="18"/>
          <w:lang w:val="en-US"/>
        </w:rPr>
        <w:t xml:space="preserve"> </w:t>
      </w:r>
      <w:r w:rsidRPr="009F337B">
        <w:rPr>
          <w:sz w:val="18"/>
          <w:szCs w:val="18"/>
          <w:lang w:val="en-US"/>
        </w:rPr>
        <w:t xml:space="preserve">AND SOCIAL ASSISTANCE shall provide, in units that have the minimum capacity, quality comprehensive care, including access to antiretroviral drugs in keeping with the national protocols </w:t>
      </w:r>
      <w:r w:rsidR="008E2262" w:rsidRPr="009F337B">
        <w:rPr>
          <w:sz w:val="18"/>
          <w:szCs w:val="18"/>
          <w:lang w:val="en-US"/>
        </w:rPr>
        <w:t>to treat</w:t>
      </w:r>
      <w:r w:rsidRPr="009F337B">
        <w:rPr>
          <w:sz w:val="18"/>
          <w:szCs w:val="18"/>
          <w:lang w:val="en-US"/>
        </w:rPr>
        <w:t xml:space="preserve"> HIV/AIDS. […] To obtain a better quality and price for antiretroviral drugs, a committee shall be established coordinated by the NATIONAL AIDS PROGRAM with delegates from the Ministries of Public Finance and of Economy, </w:t>
      </w:r>
      <w:r w:rsidR="00001911" w:rsidRPr="009F337B">
        <w:rPr>
          <w:sz w:val="18"/>
          <w:szCs w:val="18"/>
          <w:lang w:val="en-US"/>
        </w:rPr>
        <w:t xml:space="preserve">and </w:t>
      </w:r>
      <w:r w:rsidRPr="009F337B">
        <w:rPr>
          <w:sz w:val="18"/>
          <w:szCs w:val="18"/>
          <w:lang w:val="en-US"/>
        </w:rPr>
        <w:t>from the Program for the Accessibility of Medicines (PROAM) for the purposes of purchases on the domestic and international markets […].</w:t>
      </w:r>
    </w:p>
    <w:p w14:paraId="6B311F7A" w14:textId="3D8452F5" w:rsidR="00D52F4C" w:rsidRPr="009F337B" w:rsidRDefault="00D52F4C" w:rsidP="00F8006A">
      <w:pPr>
        <w:ind w:left="720" w:right="855"/>
        <w:rPr>
          <w:sz w:val="18"/>
          <w:szCs w:val="18"/>
          <w:lang w:val="en-US"/>
        </w:rPr>
      </w:pPr>
      <w:r w:rsidRPr="009F337B">
        <w:rPr>
          <w:sz w:val="18"/>
          <w:szCs w:val="18"/>
          <w:lang w:val="en-US"/>
        </w:rPr>
        <w:t>The</w:t>
      </w:r>
      <w:r w:rsidR="00F46845" w:rsidRPr="009F337B">
        <w:rPr>
          <w:sz w:val="18"/>
          <w:szCs w:val="18"/>
          <w:lang w:val="en-US"/>
        </w:rPr>
        <w:t xml:space="preserve"> </w:t>
      </w:r>
      <w:r w:rsidRPr="009F337B">
        <w:rPr>
          <w:sz w:val="18"/>
          <w:szCs w:val="18"/>
          <w:lang w:val="en-US"/>
        </w:rPr>
        <w:t>Program for the Accessibility of Medicines (PROAM)</w:t>
      </w:r>
      <w:r w:rsidR="00F46845" w:rsidRPr="009F337B">
        <w:rPr>
          <w:sz w:val="18"/>
          <w:szCs w:val="18"/>
          <w:lang w:val="en-US"/>
        </w:rPr>
        <w:t xml:space="preserve"> </w:t>
      </w:r>
      <w:r w:rsidRPr="009F337B">
        <w:rPr>
          <w:sz w:val="18"/>
          <w:szCs w:val="18"/>
          <w:lang w:val="en-US"/>
        </w:rPr>
        <w:t xml:space="preserve">may distribute the antiretroviral drugs to affiliated pharmacies that have </w:t>
      </w:r>
      <w:r w:rsidR="00801AB2" w:rsidRPr="009F337B">
        <w:rPr>
          <w:sz w:val="18"/>
          <w:szCs w:val="18"/>
          <w:lang w:val="en-US"/>
        </w:rPr>
        <w:t xml:space="preserve">qualified </w:t>
      </w:r>
      <w:r w:rsidR="00801AB2" w:rsidRPr="009F337B">
        <w:rPr>
          <w:bCs/>
          <w:sz w:val="18"/>
          <w:szCs w:val="18"/>
          <w:lang w:val="en-US"/>
        </w:rPr>
        <w:t>pharmaceutical-chemical staff</w:t>
      </w:r>
      <w:r w:rsidR="00801AB2" w:rsidRPr="009F337B">
        <w:rPr>
          <w:sz w:val="18"/>
          <w:szCs w:val="18"/>
          <w:lang w:val="en-US"/>
        </w:rPr>
        <w:t xml:space="preserve">, under the responsibility and supervision of a treating physician who must provide the corresponding prescription for the drugs to be supplied. The Program referred to in this paragraph does not </w:t>
      </w:r>
      <w:r w:rsidR="00001911" w:rsidRPr="009F337B">
        <w:rPr>
          <w:sz w:val="18"/>
          <w:szCs w:val="18"/>
          <w:lang w:val="en-US"/>
        </w:rPr>
        <w:t>conduct</w:t>
      </w:r>
      <w:r w:rsidR="00801AB2" w:rsidRPr="009F337B">
        <w:rPr>
          <w:sz w:val="18"/>
          <w:szCs w:val="18"/>
          <w:lang w:val="en-US"/>
        </w:rPr>
        <w:t xml:space="preserve"> direct individual sales.</w:t>
      </w:r>
    </w:p>
    <w:p w14:paraId="42BC9E3C" w14:textId="77777777" w:rsidR="00F8006A" w:rsidRPr="009F337B" w:rsidRDefault="00F8006A" w:rsidP="00F8006A">
      <w:pPr>
        <w:ind w:right="855"/>
        <w:rPr>
          <w:sz w:val="18"/>
          <w:szCs w:val="18"/>
          <w:lang w:val="en-US"/>
        </w:rPr>
      </w:pPr>
    </w:p>
    <w:p w14:paraId="2AF6E4A2" w14:textId="61C5E190" w:rsidR="00A432C4" w:rsidRPr="009F337B" w:rsidRDefault="00801AB2" w:rsidP="00593E37">
      <w:pPr>
        <w:pStyle w:val="Estilo1"/>
        <w:numPr>
          <w:ilvl w:val="0"/>
          <w:numId w:val="1"/>
        </w:numPr>
        <w:tabs>
          <w:tab w:val="left" w:pos="709"/>
          <w:tab w:val="left" w:pos="1134"/>
        </w:tabs>
        <w:spacing w:after="0"/>
        <w:ind w:left="0" w:right="-4" w:firstLine="0"/>
        <w:rPr>
          <w:i w:val="0"/>
          <w:lang w:val="en-US"/>
        </w:rPr>
      </w:pPr>
      <w:r w:rsidRPr="009F337B">
        <w:rPr>
          <w:i w:val="0"/>
          <w:lang w:val="en-US"/>
        </w:rPr>
        <w:t xml:space="preserve">Regarding the allocation of funds, </w:t>
      </w:r>
      <w:r w:rsidR="00001911" w:rsidRPr="009F337B">
        <w:rPr>
          <w:i w:val="0"/>
          <w:lang w:val="en-US"/>
        </w:rPr>
        <w:t>a</w:t>
      </w:r>
      <w:r w:rsidR="00AE5F9E" w:rsidRPr="009F337B">
        <w:rPr>
          <w:i w:val="0"/>
          <w:lang w:val="en-US"/>
        </w:rPr>
        <w:t>rticle</w:t>
      </w:r>
      <w:r w:rsidR="00F46845" w:rsidRPr="009F337B">
        <w:rPr>
          <w:i w:val="0"/>
          <w:lang w:val="en-US"/>
        </w:rPr>
        <w:t xml:space="preserve"> 35 </w:t>
      </w:r>
      <w:r w:rsidR="00AE5F9E" w:rsidRPr="009F337B">
        <w:rPr>
          <w:i w:val="0"/>
          <w:lang w:val="en-US"/>
        </w:rPr>
        <w:t xml:space="preserve">of the </w:t>
      </w:r>
      <w:r w:rsidRPr="009F337B">
        <w:rPr>
          <w:i w:val="0"/>
          <w:lang w:val="en-US"/>
        </w:rPr>
        <w:t xml:space="preserve">Regulations </w:t>
      </w:r>
      <w:r w:rsidR="00001911" w:rsidRPr="009F337B">
        <w:rPr>
          <w:i w:val="0"/>
          <w:lang w:val="en-US"/>
        </w:rPr>
        <w:t>to</w:t>
      </w:r>
      <w:r w:rsidRPr="009F337B">
        <w:rPr>
          <w:i w:val="0"/>
          <w:lang w:val="en-US"/>
        </w:rPr>
        <w:t xml:space="preserve"> the</w:t>
      </w:r>
      <w:r w:rsidR="00F46845" w:rsidRPr="009F337B">
        <w:rPr>
          <w:i w:val="0"/>
          <w:lang w:val="en-US"/>
        </w:rPr>
        <w:t xml:space="preserve"> </w:t>
      </w:r>
      <w:r w:rsidR="00926020" w:rsidRPr="009F337B">
        <w:rPr>
          <w:i w:val="0"/>
          <w:lang w:val="en-US"/>
        </w:rPr>
        <w:t xml:space="preserve">General Law to </w:t>
      </w:r>
      <w:r w:rsidRPr="009F337B">
        <w:rPr>
          <w:i w:val="0"/>
          <w:lang w:val="en-US"/>
        </w:rPr>
        <w:t>C</w:t>
      </w:r>
      <w:r w:rsidR="00926020" w:rsidRPr="009F337B">
        <w:rPr>
          <w:i w:val="0"/>
          <w:lang w:val="en-US"/>
        </w:rPr>
        <w:t>ombat</w:t>
      </w:r>
      <w:r w:rsidR="00F46845" w:rsidRPr="009F337B">
        <w:rPr>
          <w:i w:val="0"/>
          <w:lang w:val="en-US"/>
        </w:rPr>
        <w:t xml:space="preserve"> </w:t>
      </w:r>
      <w:r w:rsidR="00CA11F6" w:rsidRPr="009F337B">
        <w:rPr>
          <w:i w:val="0"/>
          <w:lang w:val="en-US"/>
        </w:rPr>
        <w:t>HIV/AIDS</w:t>
      </w:r>
      <w:r w:rsidR="00F46845" w:rsidRPr="009F337B">
        <w:rPr>
          <w:i w:val="0"/>
          <w:lang w:val="en-US"/>
        </w:rPr>
        <w:t xml:space="preserve"> establ</w:t>
      </w:r>
      <w:r w:rsidRPr="009F337B">
        <w:rPr>
          <w:i w:val="0"/>
          <w:lang w:val="en-US"/>
        </w:rPr>
        <w:t>ishe</w:t>
      </w:r>
      <w:r w:rsidR="00001911" w:rsidRPr="009F337B">
        <w:rPr>
          <w:i w:val="0"/>
          <w:lang w:val="en-US"/>
        </w:rPr>
        <w:t>d</w:t>
      </w:r>
      <w:r w:rsidRPr="009F337B">
        <w:rPr>
          <w:i w:val="0"/>
          <w:lang w:val="en-US"/>
        </w:rPr>
        <w:t xml:space="preserve"> that the </w:t>
      </w:r>
      <w:r w:rsidR="005E44D9" w:rsidRPr="009F337B">
        <w:rPr>
          <w:i w:val="0"/>
          <w:lang w:val="en-US"/>
        </w:rPr>
        <w:t>Ministry of Public Health</w:t>
      </w:r>
      <w:r w:rsidR="00F46845" w:rsidRPr="009F337B">
        <w:rPr>
          <w:i w:val="0"/>
          <w:lang w:val="en-US"/>
        </w:rPr>
        <w:t xml:space="preserve"> </w:t>
      </w:r>
      <w:r w:rsidRPr="009F337B">
        <w:rPr>
          <w:i w:val="0"/>
          <w:lang w:val="en-US"/>
        </w:rPr>
        <w:t>w</w:t>
      </w:r>
      <w:r w:rsidR="00001911" w:rsidRPr="009F337B">
        <w:rPr>
          <w:i w:val="0"/>
          <w:lang w:val="en-US"/>
        </w:rPr>
        <w:t>ould</w:t>
      </w:r>
      <w:r w:rsidRPr="009F337B">
        <w:rPr>
          <w:i w:val="0"/>
          <w:lang w:val="en-US"/>
        </w:rPr>
        <w:t xml:space="preserve"> transfer the funds allocated </w:t>
      </w:r>
      <w:r w:rsidR="008F4D37" w:rsidRPr="009F337B">
        <w:rPr>
          <w:i w:val="0"/>
          <w:lang w:val="en-US"/>
        </w:rPr>
        <w:t>to</w:t>
      </w:r>
      <w:r w:rsidRPr="009F337B">
        <w:rPr>
          <w:i w:val="0"/>
          <w:lang w:val="en-US"/>
        </w:rPr>
        <w:t xml:space="preserve"> the exclusive use and implementation of the strategies and actions established in the Law to the National AIDS Program, which w</w:t>
      </w:r>
      <w:r w:rsidR="00001911" w:rsidRPr="009F337B">
        <w:rPr>
          <w:i w:val="0"/>
          <w:lang w:val="en-US"/>
        </w:rPr>
        <w:t>ould</w:t>
      </w:r>
      <w:r w:rsidRPr="009F337B">
        <w:rPr>
          <w:i w:val="0"/>
          <w:lang w:val="en-US"/>
        </w:rPr>
        <w:t xml:space="preserve"> promote their decentralized use at the level of health regions, health districts</w:t>
      </w:r>
      <w:r w:rsidR="00001911" w:rsidRPr="009F337B">
        <w:rPr>
          <w:i w:val="0"/>
          <w:lang w:val="en-US"/>
        </w:rPr>
        <w:t>,</w:t>
      </w:r>
      <w:r w:rsidRPr="009F337B">
        <w:rPr>
          <w:i w:val="0"/>
          <w:lang w:val="en-US"/>
        </w:rPr>
        <w:t xml:space="preserve"> and the community. It also establishe</w:t>
      </w:r>
      <w:r w:rsidR="00001911" w:rsidRPr="009F337B">
        <w:rPr>
          <w:i w:val="0"/>
          <w:lang w:val="en-US"/>
        </w:rPr>
        <w:t>d</w:t>
      </w:r>
      <w:r w:rsidRPr="009F337B">
        <w:rPr>
          <w:i w:val="0"/>
          <w:lang w:val="en-US"/>
        </w:rPr>
        <w:t xml:space="preserve"> that the  Ministry of Public Finance</w:t>
      </w:r>
      <w:r w:rsidR="00F46845" w:rsidRPr="009F337B">
        <w:rPr>
          <w:i w:val="0"/>
          <w:lang w:val="en-US"/>
        </w:rPr>
        <w:t xml:space="preserve"> </w:t>
      </w:r>
      <w:r w:rsidRPr="009F337B">
        <w:rPr>
          <w:i w:val="0"/>
          <w:lang w:val="en-US"/>
        </w:rPr>
        <w:t>w</w:t>
      </w:r>
      <w:r w:rsidR="00001911" w:rsidRPr="009F337B">
        <w:rPr>
          <w:i w:val="0"/>
          <w:lang w:val="en-US"/>
        </w:rPr>
        <w:t>ould</w:t>
      </w:r>
      <w:r w:rsidRPr="009F337B">
        <w:rPr>
          <w:i w:val="0"/>
          <w:lang w:val="en-US"/>
        </w:rPr>
        <w:t xml:space="preserve"> allocate and include the specific financial envelope in the State’s General Income and Expenditure Budget so that the National AIDS Program </w:t>
      </w:r>
      <w:r w:rsidR="00001911" w:rsidRPr="009F337B">
        <w:rPr>
          <w:i w:val="0"/>
          <w:lang w:val="en-US"/>
        </w:rPr>
        <w:t>could</w:t>
      </w:r>
      <w:r w:rsidRPr="009F337B">
        <w:rPr>
          <w:i w:val="0"/>
          <w:lang w:val="en-US"/>
        </w:rPr>
        <w:t xml:space="preserve"> </w:t>
      </w:r>
      <w:r w:rsidRPr="009F337B">
        <w:rPr>
          <w:i w:val="0"/>
          <w:lang w:val="en-US"/>
        </w:rPr>
        <w:lastRenderedPageBreak/>
        <w:t xml:space="preserve">implement the programs established for education, prevention, </w:t>
      </w:r>
      <w:r w:rsidRPr="009F337B">
        <w:rPr>
          <w:bCs/>
          <w:i w:val="0"/>
          <w:lang w:val="en-US"/>
        </w:rPr>
        <w:t>epidemiological surveillance</w:t>
      </w:r>
      <w:r w:rsidRPr="009F337B">
        <w:rPr>
          <w:i w:val="0"/>
          <w:lang w:val="en-US"/>
        </w:rPr>
        <w:t>, research, care and monitoring of STI</w:t>
      </w:r>
      <w:r w:rsidR="00F46845" w:rsidRPr="009F337B">
        <w:rPr>
          <w:i w:val="0"/>
          <w:lang w:val="en-US"/>
        </w:rPr>
        <w:t>/</w:t>
      </w:r>
      <w:r w:rsidR="00CA11F6" w:rsidRPr="009F337B">
        <w:rPr>
          <w:i w:val="0"/>
          <w:lang w:val="en-US"/>
        </w:rPr>
        <w:t>HIV/AIDS</w:t>
      </w:r>
      <w:r w:rsidRPr="009F337B">
        <w:rPr>
          <w:i w:val="0"/>
          <w:lang w:val="en-US"/>
        </w:rPr>
        <w:t>.</w:t>
      </w:r>
      <w:r w:rsidR="00F46845" w:rsidRPr="009F337B">
        <w:rPr>
          <w:rStyle w:val="Refdenotaalpie"/>
          <w:rFonts w:eastAsia="Calibri"/>
          <w:bCs/>
          <w:i w:val="0"/>
          <w:iCs/>
          <w:noProof/>
          <w:lang w:val="en-US" w:eastAsia="es-CR"/>
        </w:rPr>
        <w:footnoteReference w:id="32"/>
      </w:r>
    </w:p>
    <w:p w14:paraId="36165962" w14:textId="77777777" w:rsidR="00F8006A" w:rsidRPr="009F337B" w:rsidRDefault="00F8006A" w:rsidP="00F8006A">
      <w:pPr>
        <w:pStyle w:val="Estilo1"/>
        <w:tabs>
          <w:tab w:val="left" w:pos="709"/>
          <w:tab w:val="left" w:pos="1134"/>
        </w:tabs>
        <w:spacing w:after="0"/>
        <w:ind w:left="0" w:right="-4" w:firstLine="0"/>
        <w:rPr>
          <w:i w:val="0"/>
          <w:lang w:val="en-US"/>
        </w:rPr>
      </w:pPr>
    </w:p>
    <w:p w14:paraId="2AC98E14" w14:textId="05408B67" w:rsidR="001C64BC" w:rsidRPr="009F337B" w:rsidRDefault="00801AB2" w:rsidP="00593E37">
      <w:pPr>
        <w:pStyle w:val="Estilo1"/>
        <w:numPr>
          <w:ilvl w:val="0"/>
          <w:numId w:val="1"/>
        </w:numPr>
        <w:tabs>
          <w:tab w:val="left" w:pos="709"/>
          <w:tab w:val="left" w:pos="1134"/>
        </w:tabs>
        <w:spacing w:after="0"/>
        <w:ind w:left="0" w:right="-4" w:firstLine="0"/>
        <w:rPr>
          <w:i w:val="0"/>
          <w:lang w:val="en-US"/>
        </w:rPr>
      </w:pPr>
      <w:r w:rsidRPr="009F337B">
        <w:rPr>
          <w:i w:val="0"/>
          <w:lang w:val="en-US"/>
        </w:rPr>
        <w:t xml:space="preserve">The State has enacted other provisions related to care for </w:t>
      </w:r>
      <w:r w:rsidR="00080A1E" w:rsidRPr="009F337B">
        <w:rPr>
          <w:i w:val="0"/>
          <w:lang w:val="en-US"/>
        </w:rPr>
        <w:t>people living with HIV</w:t>
      </w:r>
      <w:r w:rsidR="00F46845" w:rsidRPr="009F337B">
        <w:rPr>
          <w:i w:val="0"/>
          <w:lang w:val="en-US"/>
        </w:rPr>
        <w:t xml:space="preserve">. </w:t>
      </w:r>
      <w:r w:rsidRPr="009F337B">
        <w:rPr>
          <w:i w:val="0"/>
          <w:lang w:val="en-US"/>
        </w:rPr>
        <w:t xml:space="preserve">They include the issue of </w:t>
      </w:r>
      <w:r w:rsidR="008E2262" w:rsidRPr="009F337B">
        <w:rPr>
          <w:i w:val="0"/>
          <w:lang w:val="en-US"/>
        </w:rPr>
        <w:t>Ministerial Decree</w:t>
      </w:r>
      <w:r w:rsidRPr="009F337B">
        <w:rPr>
          <w:i w:val="0"/>
          <w:lang w:val="en-US"/>
        </w:rPr>
        <w:t xml:space="preserve"> </w:t>
      </w:r>
      <w:r w:rsidR="00F46845" w:rsidRPr="009F337B">
        <w:rPr>
          <w:i w:val="0"/>
          <w:lang w:val="en-US"/>
        </w:rPr>
        <w:t xml:space="preserve">No. 472-2012 </w:t>
      </w:r>
      <w:r w:rsidRPr="009F337B">
        <w:rPr>
          <w:i w:val="0"/>
          <w:lang w:val="en-US"/>
        </w:rPr>
        <w:t>of August 13,</w:t>
      </w:r>
      <w:r w:rsidR="00F46845" w:rsidRPr="009F337B">
        <w:rPr>
          <w:i w:val="0"/>
          <w:lang w:val="en-US"/>
        </w:rPr>
        <w:t xml:space="preserve"> 2012, </w:t>
      </w:r>
      <w:r w:rsidRPr="009F337B">
        <w:rPr>
          <w:i w:val="0"/>
          <w:lang w:val="en-US"/>
        </w:rPr>
        <w:t>which ensure</w:t>
      </w:r>
      <w:r w:rsidR="00001911" w:rsidRPr="009F337B">
        <w:rPr>
          <w:i w:val="0"/>
          <w:lang w:val="en-US"/>
        </w:rPr>
        <w:t>d</w:t>
      </w:r>
      <w:r w:rsidRPr="009F337B">
        <w:rPr>
          <w:i w:val="0"/>
          <w:lang w:val="en-US"/>
        </w:rPr>
        <w:t xml:space="preserve"> the supply of </w:t>
      </w:r>
      <w:r w:rsidR="00F46845" w:rsidRPr="009F337B">
        <w:rPr>
          <w:i w:val="0"/>
          <w:lang w:val="en-US"/>
        </w:rPr>
        <w:t xml:space="preserve">Lopinavir/Ritonavir </w:t>
      </w:r>
      <w:r w:rsidRPr="009F337B">
        <w:rPr>
          <w:i w:val="0"/>
          <w:lang w:val="en-US"/>
        </w:rPr>
        <w:t>for patients of the National Program for the Prevention and Control of</w:t>
      </w:r>
      <w:r w:rsidR="00F46845" w:rsidRPr="009F337B">
        <w:rPr>
          <w:i w:val="0"/>
          <w:lang w:val="en-US"/>
        </w:rPr>
        <w:t xml:space="preserve"> </w:t>
      </w:r>
      <w:r w:rsidRPr="009F337B">
        <w:rPr>
          <w:i w:val="0"/>
          <w:lang w:val="en-US"/>
        </w:rPr>
        <w:t>STI</w:t>
      </w:r>
      <w:r w:rsidR="00F46845" w:rsidRPr="009F337B">
        <w:rPr>
          <w:i w:val="0"/>
          <w:lang w:val="en-US"/>
        </w:rPr>
        <w:t>/</w:t>
      </w:r>
      <w:r w:rsidR="00CA11F6" w:rsidRPr="009F337B">
        <w:rPr>
          <w:i w:val="0"/>
          <w:lang w:val="en-US"/>
        </w:rPr>
        <w:t>HIV/AIDS</w:t>
      </w:r>
      <w:r w:rsidR="00590D92" w:rsidRPr="009F337B">
        <w:rPr>
          <w:i w:val="0"/>
          <w:lang w:val="en-US"/>
        </w:rPr>
        <w:t xml:space="preserve"> (</w:t>
      </w:r>
      <w:r w:rsidR="00AE5F9E" w:rsidRPr="009F337B">
        <w:rPr>
          <w:i w:val="0"/>
          <w:lang w:val="en-US"/>
        </w:rPr>
        <w:t>hereinafter</w:t>
      </w:r>
      <w:r w:rsidR="00590D92" w:rsidRPr="009F337B">
        <w:rPr>
          <w:i w:val="0"/>
          <w:lang w:val="en-US"/>
        </w:rPr>
        <w:t xml:space="preserve"> </w:t>
      </w:r>
      <w:r w:rsidR="008E2262" w:rsidRPr="009F337B">
        <w:rPr>
          <w:i w:val="0"/>
          <w:lang w:val="en-US"/>
        </w:rPr>
        <w:t>also</w:t>
      </w:r>
      <w:r w:rsidR="00590D92" w:rsidRPr="009F337B">
        <w:rPr>
          <w:i w:val="0"/>
          <w:lang w:val="en-US"/>
        </w:rPr>
        <w:t xml:space="preserve"> “PNPC”),</w:t>
      </w:r>
      <w:r w:rsidR="003C46A3" w:rsidRPr="009F337B">
        <w:rPr>
          <w:i w:val="0"/>
          <w:lang w:val="en-US"/>
        </w:rPr>
        <w:t xml:space="preserve"> and </w:t>
      </w:r>
      <w:r w:rsidR="008E2262" w:rsidRPr="009F337B">
        <w:rPr>
          <w:i w:val="0"/>
          <w:lang w:val="en-US"/>
        </w:rPr>
        <w:t>of Ministerial Decree</w:t>
      </w:r>
      <w:r w:rsidR="00F46845" w:rsidRPr="009F337B">
        <w:rPr>
          <w:i w:val="0"/>
          <w:lang w:val="en-US"/>
        </w:rPr>
        <w:t xml:space="preserve"> No. 871-2012 </w:t>
      </w:r>
      <w:r w:rsidR="008E2262" w:rsidRPr="009F337B">
        <w:rPr>
          <w:i w:val="0"/>
          <w:lang w:val="en-US"/>
        </w:rPr>
        <w:t>of September 26,</w:t>
      </w:r>
      <w:r w:rsidR="00F46845" w:rsidRPr="009F337B">
        <w:rPr>
          <w:i w:val="0"/>
          <w:lang w:val="en-US"/>
        </w:rPr>
        <w:t xml:space="preserve"> 2012, </w:t>
      </w:r>
      <w:r w:rsidR="008E2262" w:rsidRPr="009F337B">
        <w:rPr>
          <w:i w:val="0"/>
          <w:lang w:val="en-US"/>
        </w:rPr>
        <w:t>approving an international cooperation framework for the supply of and access to the antiretroviral drugs used by the PNPC.</w:t>
      </w:r>
      <w:r w:rsidR="00F46845" w:rsidRPr="009F337B">
        <w:rPr>
          <w:rStyle w:val="Refdenotaalpie"/>
          <w:i w:val="0"/>
          <w:lang w:val="en-US"/>
        </w:rPr>
        <w:footnoteReference w:id="33"/>
      </w:r>
    </w:p>
    <w:p w14:paraId="5B607439" w14:textId="77777777" w:rsidR="001D1187" w:rsidRPr="009F337B" w:rsidRDefault="001D1187" w:rsidP="00F8006A">
      <w:pPr>
        <w:rPr>
          <w:b/>
          <w:lang w:val="en-US"/>
        </w:rPr>
      </w:pPr>
    </w:p>
    <w:p w14:paraId="1649763B" w14:textId="782FCAA0" w:rsidR="00F46845" w:rsidRPr="009F337B" w:rsidRDefault="001D1187" w:rsidP="00F8006A">
      <w:pPr>
        <w:pStyle w:val="Ttulo3"/>
        <w:spacing w:before="0"/>
        <w:rPr>
          <w:lang w:val="en-US"/>
        </w:rPr>
      </w:pPr>
      <w:r w:rsidRPr="009F337B">
        <w:rPr>
          <w:lang w:val="en-US"/>
        </w:rPr>
        <w:tab/>
      </w:r>
      <w:bookmarkStart w:id="64" w:name="_Toc527466480"/>
      <w:r w:rsidR="00F46845" w:rsidRPr="009F337B">
        <w:rPr>
          <w:lang w:val="en-US"/>
        </w:rPr>
        <w:t xml:space="preserve">A.3. </w:t>
      </w:r>
      <w:r w:rsidR="008E2262" w:rsidRPr="009F337B">
        <w:rPr>
          <w:lang w:val="en-US"/>
        </w:rPr>
        <w:t>Other measures adopted to treat</w:t>
      </w:r>
      <w:r w:rsidR="00F46845" w:rsidRPr="009F337B">
        <w:rPr>
          <w:lang w:val="en-US"/>
        </w:rPr>
        <w:t xml:space="preserve"> </w:t>
      </w:r>
      <w:r w:rsidR="00CA11F6" w:rsidRPr="009F337B">
        <w:rPr>
          <w:lang w:val="en-US"/>
        </w:rPr>
        <w:t>HIV/AIDS</w:t>
      </w:r>
      <w:r w:rsidR="008E2262" w:rsidRPr="009F337B">
        <w:rPr>
          <w:lang w:val="en-US"/>
        </w:rPr>
        <w:t xml:space="preserve"> in Guatemala</w:t>
      </w:r>
      <w:bookmarkEnd w:id="64"/>
    </w:p>
    <w:p w14:paraId="63D2AE98" w14:textId="77777777" w:rsidR="00F8006A" w:rsidRPr="009F337B" w:rsidRDefault="00F8006A" w:rsidP="00F8006A">
      <w:pPr>
        <w:rPr>
          <w:lang w:val="en-US"/>
        </w:rPr>
      </w:pPr>
    </w:p>
    <w:p w14:paraId="1B49610B" w14:textId="12649711" w:rsidR="00A432C4" w:rsidRPr="009F337B" w:rsidRDefault="008E2262" w:rsidP="00593E37">
      <w:pPr>
        <w:pStyle w:val="Estilo1"/>
        <w:numPr>
          <w:ilvl w:val="0"/>
          <w:numId w:val="1"/>
        </w:numPr>
        <w:tabs>
          <w:tab w:val="left" w:pos="709"/>
          <w:tab w:val="left" w:pos="1134"/>
        </w:tabs>
        <w:spacing w:after="0"/>
        <w:ind w:left="0" w:right="-4" w:firstLine="0"/>
        <w:rPr>
          <w:i w:val="0"/>
          <w:lang w:val="en-US"/>
        </w:rPr>
      </w:pPr>
      <w:r w:rsidRPr="009F337B">
        <w:rPr>
          <w:i w:val="0"/>
          <w:lang w:val="en-US"/>
        </w:rPr>
        <w:t>Starting in 1985, the State adopted public policies to prevent and treat the HIV/AIDS epidemic following identification of the first cases of the infection. In 1996, the first national strategic plan to respond to HIV</w:t>
      </w:r>
      <w:r w:rsidR="00896824" w:rsidRPr="009F337B">
        <w:rPr>
          <w:i w:val="0"/>
          <w:lang w:val="en-US"/>
        </w:rPr>
        <w:t xml:space="preserve"> was drawn up</w:t>
      </w:r>
      <w:r w:rsidRPr="009F337B">
        <w:rPr>
          <w:i w:val="0"/>
          <w:lang w:val="en-US"/>
        </w:rPr>
        <w:t xml:space="preserve">. In 1999, at the request of the </w:t>
      </w:r>
      <w:r w:rsidR="005E44D9" w:rsidRPr="009F337B">
        <w:rPr>
          <w:i w:val="0"/>
          <w:lang w:val="en-US"/>
        </w:rPr>
        <w:t>Ministry of Public Health</w:t>
      </w:r>
      <w:r w:rsidR="003C46A3" w:rsidRPr="009F337B">
        <w:rPr>
          <w:i w:val="0"/>
          <w:lang w:val="en-US"/>
        </w:rPr>
        <w:t xml:space="preserve"> and </w:t>
      </w:r>
      <w:r w:rsidRPr="009F337B">
        <w:rPr>
          <w:i w:val="0"/>
          <w:lang w:val="en-US"/>
        </w:rPr>
        <w:t xml:space="preserve">in close collaboration with the </w:t>
      </w:r>
      <w:proofErr w:type="spellStart"/>
      <w:r w:rsidR="00F46845" w:rsidRPr="009F337B">
        <w:rPr>
          <w:lang w:val="en-US"/>
        </w:rPr>
        <w:t>Asociación</w:t>
      </w:r>
      <w:proofErr w:type="spellEnd"/>
      <w:r w:rsidR="00F46845" w:rsidRPr="009F337B">
        <w:rPr>
          <w:lang w:val="en-US"/>
        </w:rPr>
        <w:t xml:space="preserve"> </w:t>
      </w:r>
      <w:proofErr w:type="spellStart"/>
      <w:r w:rsidR="00F46845" w:rsidRPr="009F337B">
        <w:rPr>
          <w:lang w:val="en-US"/>
        </w:rPr>
        <w:t>Coordinadora</w:t>
      </w:r>
      <w:proofErr w:type="spellEnd"/>
      <w:r w:rsidR="00F46845" w:rsidRPr="009F337B">
        <w:rPr>
          <w:lang w:val="en-US"/>
        </w:rPr>
        <w:t xml:space="preserve"> de </w:t>
      </w:r>
      <w:proofErr w:type="spellStart"/>
      <w:r w:rsidR="00F46845" w:rsidRPr="009F337B">
        <w:rPr>
          <w:lang w:val="en-US"/>
        </w:rPr>
        <w:t>Sectores</w:t>
      </w:r>
      <w:proofErr w:type="spellEnd"/>
      <w:r w:rsidR="00F46845" w:rsidRPr="009F337B">
        <w:rPr>
          <w:lang w:val="en-US"/>
        </w:rPr>
        <w:t xml:space="preserve"> de </w:t>
      </w:r>
      <w:proofErr w:type="spellStart"/>
      <w:r w:rsidR="00F46845" w:rsidRPr="009F337B">
        <w:rPr>
          <w:lang w:val="en-US"/>
        </w:rPr>
        <w:t>Lucha</w:t>
      </w:r>
      <w:proofErr w:type="spellEnd"/>
      <w:r w:rsidR="00F46845" w:rsidRPr="009F337B">
        <w:rPr>
          <w:lang w:val="en-US"/>
        </w:rPr>
        <w:t xml:space="preserve"> contra el </w:t>
      </w:r>
      <w:r w:rsidRPr="009F337B">
        <w:rPr>
          <w:lang w:val="en-US"/>
        </w:rPr>
        <w:t>SIDA</w:t>
      </w:r>
      <w:r w:rsidR="00650234" w:rsidRPr="009F337B">
        <w:rPr>
          <w:lang w:val="en-US"/>
        </w:rPr>
        <w:t xml:space="preserve"> </w:t>
      </w:r>
      <w:r w:rsidR="00650234" w:rsidRPr="009F337B">
        <w:rPr>
          <w:i w:val="0"/>
          <w:lang w:val="en-US"/>
        </w:rPr>
        <w:t>(Association to Coordinate the Sectors combatting AIDS</w:t>
      </w:r>
      <w:r w:rsidRPr="009F337B">
        <w:rPr>
          <w:i w:val="0"/>
          <w:lang w:val="en-US"/>
        </w:rPr>
        <w:t>)</w:t>
      </w:r>
      <w:r w:rsidR="00F46845" w:rsidRPr="009F337B">
        <w:rPr>
          <w:i w:val="0"/>
          <w:lang w:val="en-US"/>
        </w:rPr>
        <w:t xml:space="preserve">, </w:t>
      </w:r>
      <w:r w:rsidRPr="009F337B">
        <w:rPr>
          <w:i w:val="0"/>
          <w:lang w:val="en-US"/>
        </w:rPr>
        <w:t>the 1999-2003</w:t>
      </w:r>
      <w:r w:rsidR="00F46845" w:rsidRPr="009F337B">
        <w:rPr>
          <w:i w:val="0"/>
          <w:lang w:val="en-US"/>
        </w:rPr>
        <w:t xml:space="preserve"> </w:t>
      </w:r>
      <w:r w:rsidRPr="009F337B">
        <w:rPr>
          <w:i w:val="0"/>
          <w:lang w:val="en-US"/>
        </w:rPr>
        <w:t>STI/</w:t>
      </w:r>
      <w:r w:rsidR="00CA11F6" w:rsidRPr="009F337B">
        <w:rPr>
          <w:i w:val="0"/>
          <w:lang w:val="en-US"/>
        </w:rPr>
        <w:t>HIV</w:t>
      </w:r>
      <w:r w:rsidRPr="009F337B">
        <w:rPr>
          <w:i w:val="0"/>
          <w:lang w:val="en-US"/>
        </w:rPr>
        <w:t>/</w:t>
      </w:r>
      <w:r w:rsidR="00CA11F6" w:rsidRPr="009F337B">
        <w:rPr>
          <w:i w:val="0"/>
          <w:lang w:val="en-US"/>
        </w:rPr>
        <w:t>AIDS</w:t>
      </w:r>
      <w:r w:rsidRPr="009F337B">
        <w:rPr>
          <w:i w:val="0"/>
          <w:lang w:val="en-US"/>
        </w:rPr>
        <w:t xml:space="preserve"> National Strategic Plan</w:t>
      </w:r>
      <w:r w:rsidR="00F46845" w:rsidRPr="009F337B">
        <w:rPr>
          <w:i w:val="0"/>
          <w:lang w:val="en-US"/>
        </w:rPr>
        <w:t xml:space="preserve"> </w:t>
      </w:r>
      <w:r w:rsidRPr="009F337B">
        <w:rPr>
          <w:i w:val="0"/>
          <w:lang w:val="en-US"/>
        </w:rPr>
        <w:t>was prepared</w:t>
      </w:r>
      <w:r w:rsidR="00F46845" w:rsidRPr="009F337B">
        <w:rPr>
          <w:i w:val="0"/>
          <w:lang w:val="en-US"/>
        </w:rPr>
        <w:t xml:space="preserve">. </w:t>
      </w:r>
      <w:r w:rsidRPr="009F337B">
        <w:rPr>
          <w:i w:val="0"/>
          <w:lang w:val="en-US"/>
        </w:rPr>
        <w:t>In</w:t>
      </w:r>
      <w:r w:rsidR="00F46845" w:rsidRPr="009F337B">
        <w:rPr>
          <w:i w:val="0"/>
          <w:lang w:val="en-US"/>
        </w:rPr>
        <w:t xml:space="preserve"> 2000</w:t>
      </w:r>
      <w:r w:rsidRPr="009F337B">
        <w:rPr>
          <w:i w:val="0"/>
          <w:lang w:val="en-US"/>
        </w:rPr>
        <w:t>, the</w:t>
      </w:r>
      <w:r w:rsidR="00F46845" w:rsidRPr="009F337B">
        <w:rPr>
          <w:i w:val="0"/>
          <w:lang w:val="en-US"/>
        </w:rPr>
        <w:t xml:space="preserve"> </w:t>
      </w:r>
      <w:r w:rsidR="00926020" w:rsidRPr="009F337B">
        <w:rPr>
          <w:i w:val="0"/>
          <w:lang w:val="en-US"/>
        </w:rPr>
        <w:t>General Law to combat</w:t>
      </w:r>
      <w:r w:rsidR="00F46845" w:rsidRPr="009F337B">
        <w:rPr>
          <w:i w:val="0"/>
          <w:lang w:val="en-US"/>
        </w:rPr>
        <w:t xml:space="preserve"> </w:t>
      </w:r>
      <w:r w:rsidR="00CA11F6" w:rsidRPr="009F337B">
        <w:rPr>
          <w:i w:val="0"/>
          <w:lang w:val="en-US"/>
        </w:rPr>
        <w:t>HIV/AIDS</w:t>
      </w:r>
      <w:r w:rsidR="00F46845" w:rsidRPr="009F337B">
        <w:rPr>
          <w:i w:val="0"/>
          <w:lang w:val="en-US"/>
        </w:rPr>
        <w:t xml:space="preserve"> </w:t>
      </w:r>
      <w:r w:rsidRPr="009F337B">
        <w:rPr>
          <w:i w:val="0"/>
          <w:lang w:val="en-US"/>
        </w:rPr>
        <w:t xml:space="preserve">established the creation of the </w:t>
      </w:r>
      <w:r w:rsidR="00801AB2" w:rsidRPr="009F337B">
        <w:rPr>
          <w:i w:val="0"/>
          <w:lang w:val="en-US"/>
        </w:rPr>
        <w:t>National Program for the Prevention and Control of</w:t>
      </w:r>
      <w:r w:rsidR="00F46845" w:rsidRPr="009F337B">
        <w:rPr>
          <w:i w:val="0"/>
          <w:lang w:val="en-US"/>
        </w:rPr>
        <w:t xml:space="preserve"> </w:t>
      </w:r>
      <w:r w:rsidRPr="009F337B">
        <w:rPr>
          <w:i w:val="0"/>
          <w:lang w:val="en-US"/>
        </w:rPr>
        <w:t>STI/HIV/AIDS</w:t>
      </w:r>
      <w:r w:rsidR="00F46845" w:rsidRPr="009F337B">
        <w:rPr>
          <w:i w:val="0"/>
          <w:lang w:val="en-US"/>
        </w:rPr>
        <w:t xml:space="preserve">. </w:t>
      </w:r>
      <w:r w:rsidRPr="009F337B">
        <w:rPr>
          <w:i w:val="0"/>
          <w:lang w:val="en-US"/>
        </w:rPr>
        <w:t>In</w:t>
      </w:r>
      <w:r w:rsidR="00F46845" w:rsidRPr="009F337B">
        <w:rPr>
          <w:i w:val="0"/>
          <w:lang w:val="en-US"/>
        </w:rPr>
        <w:t xml:space="preserve"> 2002</w:t>
      </w:r>
      <w:r w:rsidRPr="009F337B">
        <w:rPr>
          <w:i w:val="0"/>
          <w:lang w:val="en-US"/>
        </w:rPr>
        <w:t>, the Population and Social Development Policy was published establishing the goal of “a 20% decrease in sexually transmitted infections</w:t>
      </w:r>
      <w:r w:rsidR="00650234" w:rsidRPr="009F337B">
        <w:rPr>
          <w:i w:val="0"/>
          <w:lang w:val="en-US"/>
        </w:rPr>
        <w:t>,</w:t>
      </w:r>
      <w:r w:rsidRPr="009F337B">
        <w:rPr>
          <w:i w:val="0"/>
          <w:lang w:val="en-US"/>
        </w:rPr>
        <w:t xml:space="preserve"> HIV and AIDS in the long term.</w:t>
      </w:r>
      <w:r w:rsidR="00F46845" w:rsidRPr="009F337B">
        <w:rPr>
          <w:i w:val="0"/>
          <w:lang w:val="en-US"/>
        </w:rPr>
        <w:t>”</w:t>
      </w:r>
      <w:r w:rsidR="00F46845" w:rsidRPr="009F337B">
        <w:rPr>
          <w:i w:val="0"/>
          <w:vertAlign w:val="superscript"/>
          <w:lang w:val="en-US"/>
        </w:rPr>
        <w:footnoteReference w:id="34"/>
      </w:r>
    </w:p>
    <w:p w14:paraId="5C8AD58D" w14:textId="77777777" w:rsidR="00F8006A" w:rsidRPr="009F337B" w:rsidRDefault="00F8006A" w:rsidP="00F8006A">
      <w:pPr>
        <w:pStyle w:val="Estilo1"/>
        <w:tabs>
          <w:tab w:val="left" w:pos="709"/>
          <w:tab w:val="left" w:pos="1134"/>
        </w:tabs>
        <w:spacing w:after="0"/>
        <w:ind w:left="0" w:right="-4" w:firstLine="0"/>
        <w:rPr>
          <w:i w:val="0"/>
          <w:lang w:val="en-US"/>
        </w:rPr>
      </w:pPr>
    </w:p>
    <w:p w14:paraId="691CB1E5" w14:textId="4A679F00" w:rsidR="00A432C4" w:rsidRPr="009F337B" w:rsidRDefault="008E2262" w:rsidP="00593E37">
      <w:pPr>
        <w:pStyle w:val="Estilo1"/>
        <w:numPr>
          <w:ilvl w:val="0"/>
          <w:numId w:val="1"/>
        </w:numPr>
        <w:tabs>
          <w:tab w:val="left" w:pos="709"/>
          <w:tab w:val="left" w:pos="1134"/>
        </w:tabs>
        <w:spacing w:after="0"/>
        <w:ind w:left="0" w:right="-4" w:firstLine="0"/>
        <w:rPr>
          <w:i w:val="0"/>
          <w:lang w:val="en-US"/>
        </w:rPr>
      </w:pPr>
      <w:r w:rsidRPr="009F337B">
        <w:rPr>
          <w:i w:val="0"/>
          <w:szCs w:val="20"/>
          <w:lang w:val="en-US"/>
        </w:rPr>
        <w:t>In</w:t>
      </w:r>
      <w:r w:rsidR="00F46845" w:rsidRPr="009F337B">
        <w:rPr>
          <w:i w:val="0"/>
          <w:szCs w:val="20"/>
          <w:lang w:val="en-US"/>
        </w:rPr>
        <w:t xml:space="preserve"> 2005, </w:t>
      </w:r>
      <w:r w:rsidR="00AE5F9E" w:rsidRPr="009F337B">
        <w:rPr>
          <w:i w:val="0"/>
          <w:szCs w:val="20"/>
          <w:lang w:val="en-US"/>
        </w:rPr>
        <w:t>the President</w:t>
      </w:r>
      <w:r w:rsidR="00707082" w:rsidRPr="009F337B">
        <w:rPr>
          <w:i w:val="0"/>
          <w:szCs w:val="20"/>
          <w:lang w:val="en-US"/>
        </w:rPr>
        <w:t xml:space="preserve"> </w:t>
      </w:r>
      <w:r w:rsidRPr="009F337B">
        <w:rPr>
          <w:i w:val="0"/>
          <w:szCs w:val="20"/>
          <w:lang w:val="en-US"/>
        </w:rPr>
        <w:t>of the Republic</w:t>
      </w:r>
      <w:r w:rsidR="00707082" w:rsidRPr="009F337B">
        <w:rPr>
          <w:i w:val="0"/>
          <w:szCs w:val="20"/>
          <w:lang w:val="en-US"/>
        </w:rPr>
        <w:t xml:space="preserve">, </w:t>
      </w:r>
      <w:r w:rsidRPr="009F337B">
        <w:rPr>
          <w:i w:val="0"/>
          <w:szCs w:val="20"/>
          <w:lang w:val="en-US"/>
        </w:rPr>
        <w:t>by</w:t>
      </w:r>
      <w:r w:rsidR="00707082" w:rsidRPr="009F337B">
        <w:rPr>
          <w:i w:val="0"/>
          <w:szCs w:val="20"/>
          <w:lang w:val="en-US"/>
        </w:rPr>
        <w:t xml:space="preserve"> </w:t>
      </w:r>
      <w:r w:rsidRPr="009F337B">
        <w:rPr>
          <w:i w:val="0"/>
          <w:szCs w:val="20"/>
          <w:lang w:val="en-US"/>
        </w:rPr>
        <w:t>Government Decree</w:t>
      </w:r>
      <w:r w:rsidR="0056148F" w:rsidRPr="009F337B">
        <w:rPr>
          <w:i w:val="0"/>
          <w:szCs w:val="20"/>
          <w:lang w:val="en-US"/>
        </w:rPr>
        <w:t xml:space="preserve"> No.</w:t>
      </w:r>
      <w:r w:rsidR="00F46845" w:rsidRPr="009F337B">
        <w:rPr>
          <w:i w:val="0"/>
          <w:szCs w:val="20"/>
          <w:lang w:val="en-US"/>
        </w:rPr>
        <w:t xml:space="preserve"> 638-2005, </w:t>
      </w:r>
      <w:r w:rsidRPr="009F337B">
        <w:rPr>
          <w:i w:val="0"/>
          <w:szCs w:val="20"/>
          <w:lang w:val="en-US"/>
        </w:rPr>
        <w:t xml:space="preserve">ratified the Public Policy </w:t>
      </w:r>
      <w:r w:rsidR="00BC6BC7" w:rsidRPr="009F337B">
        <w:rPr>
          <w:i w:val="0"/>
          <w:szCs w:val="20"/>
          <w:lang w:val="en-US"/>
        </w:rPr>
        <w:t>for</w:t>
      </w:r>
      <w:r w:rsidRPr="009F337B">
        <w:rPr>
          <w:i w:val="0"/>
          <w:szCs w:val="20"/>
          <w:lang w:val="en-US"/>
        </w:rPr>
        <w:t xml:space="preserve"> the Prevention of</w:t>
      </w:r>
      <w:r w:rsidR="00F46845" w:rsidRPr="009F337B">
        <w:rPr>
          <w:i w:val="0"/>
          <w:szCs w:val="20"/>
          <w:lang w:val="en-US"/>
        </w:rPr>
        <w:t xml:space="preserve"> </w:t>
      </w:r>
      <w:r w:rsidRPr="009F337B">
        <w:rPr>
          <w:i w:val="0"/>
          <w:szCs w:val="20"/>
          <w:lang w:val="en-US"/>
        </w:rPr>
        <w:t>Sexually Transmitted Infections (STI)</w:t>
      </w:r>
      <w:r w:rsidR="003C46A3" w:rsidRPr="009F337B">
        <w:rPr>
          <w:i w:val="0"/>
          <w:szCs w:val="20"/>
          <w:lang w:val="en-US"/>
        </w:rPr>
        <w:t xml:space="preserve"> and</w:t>
      </w:r>
      <w:r w:rsidR="00F46845" w:rsidRPr="009F337B">
        <w:rPr>
          <w:i w:val="0"/>
          <w:szCs w:val="20"/>
          <w:lang w:val="en-US"/>
        </w:rPr>
        <w:t xml:space="preserve"> </w:t>
      </w:r>
      <w:r w:rsidR="00D52F4C" w:rsidRPr="009F337B">
        <w:rPr>
          <w:i w:val="0"/>
          <w:szCs w:val="20"/>
          <w:lang w:val="en-US"/>
        </w:rPr>
        <w:t xml:space="preserve">Acquired </w:t>
      </w:r>
      <w:r w:rsidRPr="009F337B">
        <w:rPr>
          <w:i w:val="0"/>
          <w:szCs w:val="20"/>
          <w:lang w:val="en-US"/>
        </w:rPr>
        <w:t>Immunodeficiency Syndrome (</w:t>
      </w:r>
      <w:r w:rsidR="00CA11F6" w:rsidRPr="009F337B">
        <w:rPr>
          <w:i w:val="0"/>
          <w:szCs w:val="20"/>
          <w:lang w:val="en-US"/>
        </w:rPr>
        <w:t>AIDS</w:t>
      </w:r>
      <w:r w:rsidRPr="009F337B">
        <w:rPr>
          <w:i w:val="0"/>
          <w:szCs w:val="20"/>
          <w:lang w:val="en-US"/>
        </w:rPr>
        <w:t>)</w:t>
      </w:r>
      <w:r w:rsidR="00707082" w:rsidRPr="009F337B">
        <w:rPr>
          <w:i w:val="0"/>
          <w:szCs w:val="20"/>
          <w:lang w:val="en-US"/>
        </w:rPr>
        <w:t xml:space="preserve">. </w:t>
      </w:r>
      <w:r w:rsidRPr="009F337B">
        <w:rPr>
          <w:i w:val="0"/>
          <w:szCs w:val="20"/>
          <w:lang w:val="en-US"/>
        </w:rPr>
        <w:t>The same year</w:t>
      </w:r>
      <w:r w:rsidR="00F46845" w:rsidRPr="009F337B">
        <w:rPr>
          <w:i w:val="0"/>
          <w:szCs w:val="20"/>
          <w:lang w:val="en-US"/>
        </w:rPr>
        <w:t xml:space="preserve">, </w:t>
      </w:r>
      <w:r w:rsidRPr="009F337B">
        <w:rPr>
          <w:i w:val="0"/>
          <w:szCs w:val="20"/>
          <w:lang w:val="en-US"/>
        </w:rPr>
        <w:t>the</w:t>
      </w:r>
      <w:r w:rsidR="00F46845" w:rsidRPr="009F337B">
        <w:rPr>
          <w:i w:val="0"/>
          <w:szCs w:val="20"/>
          <w:lang w:val="en-US"/>
        </w:rPr>
        <w:t xml:space="preserve"> PNPC publi</w:t>
      </w:r>
      <w:r w:rsidRPr="009F337B">
        <w:rPr>
          <w:i w:val="0"/>
          <w:szCs w:val="20"/>
          <w:lang w:val="en-US"/>
        </w:rPr>
        <w:t>shed the Guatemalan Guidelines for Antiretroviral Treatment and Treatment of Opportunistic Infections</w:t>
      </w:r>
      <w:r w:rsidR="00650234" w:rsidRPr="009F337B">
        <w:rPr>
          <w:i w:val="0"/>
          <w:szCs w:val="20"/>
          <w:lang w:val="en-US"/>
        </w:rPr>
        <w:t>,</w:t>
      </w:r>
      <w:r w:rsidR="003C46A3" w:rsidRPr="009F337B">
        <w:rPr>
          <w:i w:val="0"/>
          <w:szCs w:val="20"/>
          <w:lang w:val="en-US"/>
        </w:rPr>
        <w:t xml:space="preserve"> and </w:t>
      </w:r>
      <w:r w:rsidRPr="009F337B">
        <w:rPr>
          <w:i w:val="0"/>
          <w:szCs w:val="20"/>
          <w:lang w:val="en-US"/>
        </w:rPr>
        <w:t>the</w:t>
      </w:r>
      <w:r w:rsidR="00F46845" w:rsidRPr="009F337B">
        <w:rPr>
          <w:i w:val="0"/>
          <w:szCs w:val="20"/>
          <w:lang w:val="en-US"/>
        </w:rPr>
        <w:t xml:space="preserve"> </w:t>
      </w:r>
      <w:r w:rsidR="005E44D9" w:rsidRPr="009F337B">
        <w:rPr>
          <w:i w:val="0"/>
          <w:szCs w:val="20"/>
          <w:lang w:val="en-US"/>
        </w:rPr>
        <w:t>Ministry of Public Health</w:t>
      </w:r>
      <w:r w:rsidR="00F46845" w:rsidRPr="009F337B">
        <w:rPr>
          <w:i w:val="0"/>
          <w:szCs w:val="20"/>
          <w:lang w:val="en-US"/>
        </w:rPr>
        <w:t xml:space="preserve"> </w:t>
      </w:r>
      <w:r w:rsidRPr="009F337B">
        <w:rPr>
          <w:i w:val="0"/>
          <w:szCs w:val="20"/>
          <w:lang w:val="en-US"/>
        </w:rPr>
        <w:t>published</w:t>
      </w:r>
      <w:r w:rsidR="00F46845" w:rsidRPr="009F337B">
        <w:rPr>
          <w:i w:val="0"/>
          <w:szCs w:val="20"/>
          <w:lang w:val="en-US"/>
        </w:rPr>
        <w:t xml:space="preserve"> </w:t>
      </w:r>
      <w:r w:rsidRPr="009F337B">
        <w:rPr>
          <w:i w:val="0"/>
          <w:szCs w:val="20"/>
          <w:lang w:val="en-US"/>
        </w:rPr>
        <w:t>the</w:t>
      </w:r>
      <w:r w:rsidR="00574935" w:rsidRPr="009F337B">
        <w:rPr>
          <w:i w:val="0"/>
          <w:szCs w:val="20"/>
          <w:lang w:val="en-US"/>
        </w:rPr>
        <w:t xml:space="preserve"> Guidance Manual on</w:t>
      </w:r>
      <w:r w:rsidRPr="009F337B">
        <w:rPr>
          <w:i w:val="0"/>
          <w:szCs w:val="20"/>
          <w:lang w:val="en-US"/>
        </w:rPr>
        <w:t xml:space="preserve"> STI/HIV/AIDS</w:t>
      </w:r>
      <w:r w:rsidR="00F46845" w:rsidRPr="009F337B">
        <w:rPr>
          <w:i w:val="0"/>
          <w:szCs w:val="20"/>
          <w:lang w:val="en-US"/>
        </w:rPr>
        <w:t xml:space="preserve">. </w:t>
      </w:r>
      <w:r w:rsidR="00574935" w:rsidRPr="009F337B">
        <w:rPr>
          <w:i w:val="0"/>
          <w:szCs w:val="20"/>
          <w:lang w:val="en-US"/>
        </w:rPr>
        <w:t>In March</w:t>
      </w:r>
      <w:r w:rsidR="00F46845" w:rsidRPr="009F337B">
        <w:rPr>
          <w:i w:val="0"/>
          <w:szCs w:val="20"/>
          <w:lang w:val="en-US"/>
        </w:rPr>
        <w:t xml:space="preserve"> 2006</w:t>
      </w:r>
      <w:r w:rsidR="00574935" w:rsidRPr="009F337B">
        <w:rPr>
          <w:i w:val="0"/>
          <w:szCs w:val="20"/>
          <w:lang w:val="en-US"/>
        </w:rPr>
        <w:t>, a new</w:t>
      </w:r>
      <w:r w:rsidR="00F46845" w:rsidRPr="009F337B">
        <w:rPr>
          <w:i w:val="0"/>
          <w:szCs w:val="20"/>
          <w:lang w:val="en-US"/>
        </w:rPr>
        <w:t xml:space="preserve"> </w:t>
      </w:r>
      <w:r w:rsidRPr="009F337B">
        <w:rPr>
          <w:i w:val="0"/>
          <w:szCs w:val="20"/>
          <w:lang w:val="en-US"/>
        </w:rPr>
        <w:t>National Strategic Plan</w:t>
      </w:r>
      <w:r w:rsidR="00574935" w:rsidRPr="009F337B">
        <w:rPr>
          <w:i w:val="0"/>
          <w:szCs w:val="20"/>
          <w:lang w:val="en-US"/>
        </w:rPr>
        <w:t xml:space="preserve"> for the Prevention, Care and Control of STI</w:t>
      </w:r>
      <w:r w:rsidR="00F46845" w:rsidRPr="009F337B">
        <w:rPr>
          <w:i w:val="0"/>
          <w:szCs w:val="20"/>
          <w:lang w:val="en-US"/>
        </w:rPr>
        <w:t xml:space="preserve">, </w:t>
      </w:r>
      <w:r w:rsidR="00CA11F6" w:rsidRPr="009F337B">
        <w:rPr>
          <w:i w:val="0"/>
          <w:szCs w:val="20"/>
          <w:lang w:val="en-US"/>
        </w:rPr>
        <w:t>HIV</w:t>
      </w:r>
      <w:r w:rsidR="003C46A3" w:rsidRPr="009F337B">
        <w:rPr>
          <w:i w:val="0"/>
          <w:szCs w:val="20"/>
          <w:lang w:val="en-US"/>
        </w:rPr>
        <w:t xml:space="preserve"> and </w:t>
      </w:r>
      <w:r w:rsidR="00CA11F6" w:rsidRPr="009F337B">
        <w:rPr>
          <w:i w:val="0"/>
          <w:szCs w:val="20"/>
          <w:lang w:val="en-US"/>
        </w:rPr>
        <w:t>AIDS</w:t>
      </w:r>
      <w:r w:rsidR="00F46845" w:rsidRPr="009F337B">
        <w:rPr>
          <w:i w:val="0"/>
          <w:szCs w:val="20"/>
          <w:lang w:val="en-US"/>
        </w:rPr>
        <w:t xml:space="preserve"> </w:t>
      </w:r>
      <w:r w:rsidR="00574935" w:rsidRPr="009F337B">
        <w:rPr>
          <w:i w:val="0"/>
          <w:szCs w:val="20"/>
          <w:lang w:val="en-US"/>
        </w:rPr>
        <w:t>was adopted for the period</w:t>
      </w:r>
      <w:r w:rsidR="00F46845" w:rsidRPr="009F337B">
        <w:rPr>
          <w:i w:val="0"/>
          <w:szCs w:val="20"/>
          <w:lang w:val="en-US"/>
        </w:rPr>
        <w:t xml:space="preserve"> 2006-2010. </w:t>
      </w:r>
      <w:r w:rsidR="00574935" w:rsidRPr="009F337B">
        <w:rPr>
          <w:i w:val="0"/>
          <w:szCs w:val="20"/>
          <w:lang w:val="en-US"/>
        </w:rPr>
        <w:t>In</w:t>
      </w:r>
      <w:r w:rsidR="00F46845" w:rsidRPr="009F337B">
        <w:rPr>
          <w:i w:val="0"/>
          <w:szCs w:val="20"/>
          <w:lang w:val="en-US"/>
        </w:rPr>
        <w:t xml:space="preserve"> 2007, </w:t>
      </w:r>
      <w:r w:rsidR="00574935" w:rsidRPr="009F337B">
        <w:rPr>
          <w:i w:val="0"/>
          <w:szCs w:val="20"/>
          <w:lang w:val="en-US"/>
        </w:rPr>
        <w:t xml:space="preserve">the National Information, Education and Communication Strategy </w:t>
      </w:r>
      <w:r w:rsidR="00650234" w:rsidRPr="009F337B">
        <w:rPr>
          <w:i w:val="0"/>
          <w:szCs w:val="20"/>
          <w:lang w:val="en-US"/>
        </w:rPr>
        <w:t>to</w:t>
      </w:r>
      <w:r w:rsidR="00574935" w:rsidRPr="009F337B">
        <w:rPr>
          <w:i w:val="0"/>
          <w:szCs w:val="20"/>
          <w:lang w:val="en-US"/>
        </w:rPr>
        <w:t xml:space="preserve"> change behavior was launched – Information, Education Communication/behavioral change (IEC/</w:t>
      </w:r>
      <w:proofErr w:type="spellStart"/>
      <w:r w:rsidR="00574935" w:rsidRPr="009F337B">
        <w:rPr>
          <w:i w:val="0"/>
          <w:szCs w:val="20"/>
          <w:lang w:val="en-US"/>
        </w:rPr>
        <w:t>bc</w:t>
      </w:r>
      <w:proofErr w:type="spellEnd"/>
      <w:r w:rsidR="00574935" w:rsidRPr="009F337B">
        <w:rPr>
          <w:i w:val="0"/>
          <w:szCs w:val="20"/>
          <w:lang w:val="en-US"/>
        </w:rPr>
        <w:t xml:space="preserve">) for the prevention of STI, HIV </w:t>
      </w:r>
      <w:r w:rsidR="003C46A3" w:rsidRPr="009F337B">
        <w:rPr>
          <w:i w:val="0"/>
          <w:szCs w:val="20"/>
          <w:lang w:val="en-US"/>
        </w:rPr>
        <w:t xml:space="preserve">and </w:t>
      </w:r>
      <w:r w:rsidR="00CA11F6" w:rsidRPr="009F337B">
        <w:rPr>
          <w:i w:val="0"/>
          <w:szCs w:val="20"/>
          <w:lang w:val="en-US"/>
        </w:rPr>
        <w:t>AIDS</w:t>
      </w:r>
      <w:r w:rsidRPr="009F337B">
        <w:rPr>
          <w:i w:val="0"/>
          <w:szCs w:val="20"/>
          <w:lang w:val="en-US"/>
        </w:rPr>
        <w:t xml:space="preserve"> in Guatemala</w:t>
      </w:r>
      <w:r w:rsidR="00707082" w:rsidRPr="009F337B">
        <w:rPr>
          <w:i w:val="0"/>
          <w:szCs w:val="20"/>
          <w:lang w:val="en-US"/>
        </w:rPr>
        <w:t xml:space="preserve">. </w:t>
      </w:r>
      <w:r w:rsidR="00574935" w:rsidRPr="009F337B">
        <w:rPr>
          <w:i w:val="0"/>
          <w:szCs w:val="20"/>
          <w:lang w:val="en-US"/>
        </w:rPr>
        <w:t>The same year, the</w:t>
      </w:r>
      <w:r w:rsidR="00F46845" w:rsidRPr="009F337B">
        <w:rPr>
          <w:i w:val="0"/>
          <w:szCs w:val="20"/>
          <w:lang w:val="en-US"/>
        </w:rPr>
        <w:t xml:space="preserve"> </w:t>
      </w:r>
      <w:r w:rsidR="005E44D9" w:rsidRPr="009F337B">
        <w:rPr>
          <w:i w:val="0"/>
          <w:szCs w:val="20"/>
          <w:lang w:val="en-US"/>
        </w:rPr>
        <w:t>Ministry of Public Health</w:t>
      </w:r>
      <w:r w:rsidR="00F46845" w:rsidRPr="009F337B">
        <w:rPr>
          <w:i w:val="0"/>
          <w:szCs w:val="20"/>
          <w:lang w:val="en-US"/>
        </w:rPr>
        <w:t xml:space="preserve">, </w:t>
      </w:r>
      <w:r w:rsidR="00574935" w:rsidRPr="009F337B">
        <w:rPr>
          <w:i w:val="0"/>
          <w:szCs w:val="20"/>
          <w:lang w:val="en-US"/>
        </w:rPr>
        <w:t>together with the</w:t>
      </w:r>
      <w:r w:rsidR="00F46845" w:rsidRPr="009F337B">
        <w:rPr>
          <w:i w:val="0"/>
          <w:szCs w:val="20"/>
          <w:lang w:val="en-US"/>
        </w:rPr>
        <w:t xml:space="preserve"> PNCP, publi</w:t>
      </w:r>
      <w:r w:rsidR="00574935" w:rsidRPr="009F337B">
        <w:rPr>
          <w:i w:val="0"/>
          <w:szCs w:val="20"/>
          <w:lang w:val="en-US"/>
        </w:rPr>
        <w:t xml:space="preserve">shed the </w:t>
      </w:r>
      <w:r w:rsidR="00302A01" w:rsidRPr="009F337B">
        <w:rPr>
          <w:i w:val="0"/>
          <w:szCs w:val="20"/>
          <w:lang w:val="en-US"/>
        </w:rPr>
        <w:t xml:space="preserve">Manual on the comprehensive treatment of sexually transmitted infections </w:t>
      </w:r>
      <w:r w:rsidR="00574935" w:rsidRPr="009F337B">
        <w:rPr>
          <w:i w:val="0"/>
          <w:szCs w:val="20"/>
          <w:lang w:val="en-US"/>
        </w:rPr>
        <w:t xml:space="preserve">emphasizing syndrome management and, in 2008, it published the Manual on </w:t>
      </w:r>
      <w:r w:rsidR="00DF6EA6">
        <w:rPr>
          <w:i w:val="0"/>
          <w:szCs w:val="20"/>
          <w:lang w:val="en-US"/>
        </w:rPr>
        <w:t xml:space="preserve">the </w:t>
      </w:r>
      <w:r w:rsidR="00574935" w:rsidRPr="009F337B">
        <w:rPr>
          <w:i w:val="0"/>
          <w:szCs w:val="20"/>
          <w:lang w:val="en-US"/>
        </w:rPr>
        <w:t xml:space="preserve">feeding </w:t>
      </w:r>
      <w:r w:rsidR="00DF6EA6">
        <w:rPr>
          <w:i w:val="0"/>
          <w:szCs w:val="20"/>
          <w:lang w:val="en-US"/>
        </w:rPr>
        <w:t>of infants</w:t>
      </w:r>
      <w:r w:rsidR="00574935" w:rsidRPr="009F337B">
        <w:rPr>
          <w:i w:val="0"/>
          <w:szCs w:val="20"/>
          <w:lang w:val="en-US"/>
        </w:rPr>
        <w:t xml:space="preserve"> whose mothers are living with </w:t>
      </w:r>
      <w:r w:rsidR="00CA11F6" w:rsidRPr="009F337B">
        <w:rPr>
          <w:i w:val="0"/>
          <w:szCs w:val="20"/>
          <w:lang w:val="en-US"/>
        </w:rPr>
        <w:t>HIV</w:t>
      </w:r>
      <w:r w:rsidR="00574935" w:rsidRPr="009F337B">
        <w:rPr>
          <w:i w:val="0"/>
          <w:szCs w:val="20"/>
          <w:lang w:val="en-US"/>
        </w:rPr>
        <w:t>.</w:t>
      </w:r>
      <w:r w:rsidR="00F46845" w:rsidRPr="009F337B">
        <w:rPr>
          <w:rStyle w:val="Refdenotaalpie"/>
          <w:i w:val="0"/>
          <w:lang w:val="en-US"/>
        </w:rPr>
        <w:footnoteReference w:id="35"/>
      </w:r>
    </w:p>
    <w:p w14:paraId="01B1FCD7" w14:textId="77777777" w:rsidR="00F8006A" w:rsidRPr="009F337B" w:rsidRDefault="00F8006A" w:rsidP="00F8006A">
      <w:pPr>
        <w:pStyle w:val="Estilo1"/>
        <w:tabs>
          <w:tab w:val="left" w:pos="709"/>
          <w:tab w:val="left" w:pos="1134"/>
        </w:tabs>
        <w:spacing w:after="0"/>
        <w:ind w:left="0" w:right="-4" w:firstLine="0"/>
        <w:rPr>
          <w:i w:val="0"/>
          <w:lang w:val="en-US"/>
        </w:rPr>
      </w:pPr>
    </w:p>
    <w:p w14:paraId="0CE1824D" w14:textId="6EE5118A" w:rsidR="003801ED" w:rsidRPr="009F337B" w:rsidRDefault="00CB7B3C" w:rsidP="00593E37">
      <w:pPr>
        <w:pStyle w:val="Estilo1"/>
        <w:numPr>
          <w:ilvl w:val="0"/>
          <w:numId w:val="1"/>
        </w:numPr>
        <w:tabs>
          <w:tab w:val="left" w:pos="709"/>
          <w:tab w:val="left" w:pos="1134"/>
        </w:tabs>
        <w:spacing w:after="0"/>
        <w:ind w:left="0" w:right="-4" w:firstLine="0"/>
        <w:rPr>
          <w:i w:val="0"/>
          <w:lang w:val="en-US"/>
        </w:rPr>
      </w:pPr>
      <w:r w:rsidRPr="009F337B">
        <w:rPr>
          <w:i w:val="0"/>
          <w:szCs w:val="20"/>
          <w:lang w:val="en-US"/>
        </w:rPr>
        <w:t>In</w:t>
      </w:r>
      <w:r w:rsidR="00F46845" w:rsidRPr="009F337B">
        <w:rPr>
          <w:i w:val="0"/>
          <w:szCs w:val="20"/>
          <w:lang w:val="en-US"/>
        </w:rPr>
        <w:t xml:space="preserve"> 2011</w:t>
      </w:r>
      <w:r w:rsidRPr="009F337B">
        <w:rPr>
          <w:i w:val="0"/>
          <w:szCs w:val="20"/>
          <w:lang w:val="en-US"/>
        </w:rPr>
        <w:t>,</w:t>
      </w:r>
      <w:r w:rsidR="00F46845" w:rsidRPr="009F337B">
        <w:rPr>
          <w:i w:val="0"/>
          <w:szCs w:val="20"/>
          <w:lang w:val="en-US"/>
        </w:rPr>
        <w:t xml:space="preserve"> </w:t>
      </w:r>
      <w:r w:rsidRPr="009F337B">
        <w:rPr>
          <w:i w:val="0"/>
          <w:szCs w:val="20"/>
          <w:lang w:val="en-US"/>
        </w:rPr>
        <w:t>the</w:t>
      </w:r>
      <w:r w:rsidR="00F46845" w:rsidRPr="009F337B">
        <w:rPr>
          <w:i w:val="0"/>
          <w:szCs w:val="20"/>
          <w:lang w:val="en-US"/>
        </w:rPr>
        <w:t xml:space="preserve"> </w:t>
      </w:r>
      <w:r w:rsidRPr="009F337B">
        <w:rPr>
          <w:i w:val="0"/>
          <w:szCs w:val="20"/>
          <w:lang w:val="en-US"/>
        </w:rPr>
        <w:t xml:space="preserve">2011-2015 </w:t>
      </w:r>
      <w:r w:rsidR="008E2262" w:rsidRPr="009F337B">
        <w:rPr>
          <w:i w:val="0"/>
          <w:szCs w:val="20"/>
          <w:lang w:val="en-US"/>
        </w:rPr>
        <w:t>National Strategic Plan</w:t>
      </w:r>
      <w:r w:rsidRPr="009F337B">
        <w:rPr>
          <w:i w:val="0"/>
          <w:szCs w:val="20"/>
          <w:lang w:val="en-US"/>
        </w:rPr>
        <w:t xml:space="preserve"> </w:t>
      </w:r>
      <w:r w:rsidR="00574935" w:rsidRPr="009F337B">
        <w:rPr>
          <w:i w:val="0"/>
          <w:szCs w:val="20"/>
          <w:lang w:val="en-US"/>
        </w:rPr>
        <w:t>for the Prevention, Care and Control of STI</w:t>
      </w:r>
      <w:r w:rsidR="00F46845" w:rsidRPr="009F337B">
        <w:rPr>
          <w:i w:val="0"/>
          <w:szCs w:val="20"/>
          <w:lang w:val="en-US"/>
        </w:rPr>
        <w:t xml:space="preserve">, </w:t>
      </w:r>
      <w:r w:rsidR="00CA11F6" w:rsidRPr="009F337B">
        <w:rPr>
          <w:i w:val="0"/>
          <w:szCs w:val="20"/>
          <w:lang w:val="en-US"/>
        </w:rPr>
        <w:t>HIV</w:t>
      </w:r>
      <w:r w:rsidR="003C46A3" w:rsidRPr="009F337B">
        <w:rPr>
          <w:i w:val="0"/>
          <w:szCs w:val="20"/>
          <w:lang w:val="en-US"/>
        </w:rPr>
        <w:t xml:space="preserve"> and </w:t>
      </w:r>
      <w:r w:rsidR="00CA11F6" w:rsidRPr="009F337B">
        <w:rPr>
          <w:i w:val="0"/>
          <w:szCs w:val="20"/>
          <w:lang w:val="en-US"/>
        </w:rPr>
        <w:t>AIDS</w:t>
      </w:r>
      <w:r w:rsidR="00F46845" w:rsidRPr="009F337B">
        <w:rPr>
          <w:i w:val="0"/>
          <w:szCs w:val="20"/>
          <w:lang w:val="en-US"/>
        </w:rPr>
        <w:t xml:space="preserve"> </w:t>
      </w:r>
      <w:r w:rsidRPr="009F337B">
        <w:rPr>
          <w:i w:val="0"/>
          <w:szCs w:val="20"/>
          <w:lang w:val="en-US"/>
        </w:rPr>
        <w:t xml:space="preserve">was adopted and the Guidelines on nutritional care for people living with HIV was published. In 2012, the PNCP, together with the National Reproductive Health Program, published the Manual on Sexual and Reproductive Health Care for Women living with advanced HIV (AIDS), and also the Guidelines for Facilitators </w:t>
      </w:r>
      <w:r w:rsidR="00650234" w:rsidRPr="009F337B">
        <w:rPr>
          <w:i w:val="0"/>
          <w:szCs w:val="20"/>
          <w:lang w:val="en-US"/>
        </w:rPr>
        <w:t>on</w:t>
      </w:r>
      <w:r w:rsidRPr="009F337B">
        <w:rPr>
          <w:i w:val="0"/>
          <w:szCs w:val="20"/>
          <w:lang w:val="en-US"/>
        </w:rPr>
        <w:t xml:space="preserve"> gender and interculturality: sharing information on the prevention of STI, with emphasis on HIV, syphilis and hepatitis B. Also, in 2013, </w:t>
      </w:r>
      <w:r w:rsidRPr="009F337B">
        <w:rPr>
          <w:i w:val="0"/>
          <w:lang w:val="en-US"/>
        </w:rPr>
        <w:t xml:space="preserve">the </w:t>
      </w:r>
      <w:r w:rsidR="005E44D9" w:rsidRPr="009F337B">
        <w:rPr>
          <w:i w:val="0"/>
          <w:szCs w:val="20"/>
          <w:lang w:val="en-US"/>
        </w:rPr>
        <w:t>Ministry of Public Health</w:t>
      </w:r>
      <w:r w:rsidR="00F46845" w:rsidRPr="009F337B">
        <w:rPr>
          <w:i w:val="0"/>
          <w:szCs w:val="20"/>
          <w:lang w:val="en-US"/>
        </w:rPr>
        <w:t xml:space="preserve"> adopt</w:t>
      </w:r>
      <w:r w:rsidRPr="009F337B">
        <w:rPr>
          <w:i w:val="0"/>
          <w:szCs w:val="20"/>
          <w:lang w:val="en-US"/>
        </w:rPr>
        <w:t xml:space="preserve">ed the 2013-2016 National Plan for the Elimination of </w:t>
      </w:r>
      <w:r w:rsidRPr="009F337B">
        <w:rPr>
          <w:i w:val="0"/>
          <w:lang w:val="en-US"/>
        </w:rPr>
        <w:t>Mo</w:t>
      </w:r>
      <w:r w:rsidRPr="009F337B">
        <w:rPr>
          <w:bCs/>
          <w:i w:val="0"/>
          <w:lang w:val="en-US"/>
        </w:rPr>
        <w:t xml:space="preserve">ther-to-Child Transmission of HIV and Congenital Syphilis, and published </w:t>
      </w:r>
      <w:r w:rsidR="00302A01" w:rsidRPr="009F337B">
        <w:rPr>
          <w:bCs/>
          <w:i w:val="0"/>
          <w:lang w:val="en-US"/>
        </w:rPr>
        <w:t>G</w:t>
      </w:r>
      <w:r w:rsidRPr="009F337B">
        <w:rPr>
          <w:bCs/>
          <w:i w:val="0"/>
          <w:lang w:val="en-US"/>
        </w:rPr>
        <w:t xml:space="preserve">uidelines for antiretroviral treatment and treatment of opportunistic infections </w:t>
      </w:r>
      <w:r w:rsidR="008E2262" w:rsidRPr="009F337B">
        <w:rPr>
          <w:i w:val="0"/>
          <w:szCs w:val="20"/>
          <w:lang w:val="en-US"/>
        </w:rPr>
        <w:t>in Guatemala</w:t>
      </w:r>
      <w:r w:rsidRPr="009F337B">
        <w:rPr>
          <w:i w:val="0"/>
          <w:szCs w:val="20"/>
          <w:lang w:val="en-US"/>
        </w:rPr>
        <w:t>.</w:t>
      </w:r>
      <w:r w:rsidR="007B07BB" w:rsidRPr="009F337B">
        <w:rPr>
          <w:rStyle w:val="Refdenotaalpie"/>
          <w:i w:val="0"/>
          <w:lang w:val="en-US"/>
        </w:rPr>
        <w:footnoteReference w:id="36"/>
      </w:r>
    </w:p>
    <w:p w14:paraId="7977D13A" w14:textId="77777777" w:rsidR="00F8006A" w:rsidRPr="009F337B" w:rsidRDefault="00F8006A" w:rsidP="00F8006A">
      <w:pPr>
        <w:pStyle w:val="Estilo1"/>
        <w:tabs>
          <w:tab w:val="left" w:pos="709"/>
          <w:tab w:val="left" w:pos="1134"/>
        </w:tabs>
        <w:spacing w:after="0"/>
        <w:ind w:left="0" w:right="-4" w:firstLine="0"/>
        <w:rPr>
          <w:i w:val="0"/>
          <w:lang w:val="en-US"/>
        </w:rPr>
      </w:pPr>
    </w:p>
    <w:p w14:paraId="42506ADC" w14:textId="26B5E177" w:rsidR="003801ED" w:rsidRPr="009F337B" w:rsidRDefault="00CB7B3C" w:rsidP="00593E37">
      <w:pPr>
        <w:pStyle w:val="Estilo1"/>
        <w:numPr>
          <w:ilvl w:val="0"/>
          <w:numId w:val="1"/>
        </w:numPr>
        <w:tabs>
          <w:tab w:val="left" w:pos="709"/>
          <w:tab w:val="left" w:pos="1134"/>
        </w:tabs>
        <w:spacing w:after="0"/>
        <w:ind w:left="0" w:right="-4" w:firstLine="0"/>
        <w:rPr>
          <w:i w:val="0"/>
          <w:lang w:val="en-US"/>
        </w:rPr>
      </w:pPr>
      <w:r w:rsidRPr="009F337B">
        <w:rPr>
          <w:i w:val="0"/>
          <w:szCs w:val="20"/>
          <w:lang w:val="en-US"/>
        </w:rPr>
        <w:t>In</w:t>
      </w:r>
      <w:r w:rsidR="00707082" w:rsidRPr="009F337B">
        <w:rPr>
          <w:i w:val="0"/>
          <w:szCs w:val="20"/>
          <w:lang w:val="en-US"/>
        </w:rPr>
        <w:t xml:space="preserve"> 2014</w:t>
      </w:r>
      <w:r w:rsidRPr="009F337B">
        <w:rPr>
          <w:i w:val="0"/>
          <w:szCs w:val="20"/>
          <w:lang w:val="en-US"/>
        </w:rPr>
        <w:t>, the 2015-2019 National Plan on Positive Prevention, Dignity and Health was adopted. In June 2016, an inter-institutional cooperation agreement on “Prevention through Education” was signed by the Ministry of Education and the Ministry of Public Health</w:t>
      </w:r>
      <w:r w:rsidRPr="009F337B">
        <w:rPr>
          <w:i w:val="0"/>
          <w:lang w:val="en-US"/>
        </w:rPr>
        <w:t>.</w:t>
      </w:r>
      <w:r w:rsidR="00F46845" w:rsidRPr="009F337B">
        <w:rPr>
          <w:rStyle w:val="Refdenotaalpie"/>
          <w:i w:val="0"/>
          <w:lang w:val="en-US"/>
        </w:rPr>
        <w:footnoteReference w:id="37"/>
      </w:r>
      <w:r w:rsidR="00F46845" w:rsidRPr="009F337B">
        <w:rPr>
          <w:i w:val="0"/>
          <w:szCs w:val="20"/>
          <w:lang w:val="en-US"/>
        </w:rPr>
        <w:t xml:space="preserve"> </w:t>
      </w:r>
      <w:r w:rsidRPr="009F337B">
        <w:rPr>
          <w:i w:val="0"/>
          <w:szCs w:val="20"/>
          <w:lang w:val="en-US"/>
        </w:rPr>
        <w:t>According to information forwarded by</w:t>
      </w:r>
      <w:r w:rsidR="00F46845" w:rsidRPr="009F337B">
        <w:rPr>
          <w:i w:val="0"/>
          <w:szCs w:val="20"/>
          <w:lang w:val="en-US"/>
        </w:rPr>
        <w:t xml:space="preserve"> </w:t>
      </w:r>
      <w:r w:rsidR="007327F5" w:rsidRPr="009F337B">
        <w:rPr>
          <w:i w:val="0"/>
          <w:szCs w:val="20"/>
          <w:lang w:val="en-US"/>
        </w:rPr>
        <w:t>the representatives</w:t>
      </w:r>
      <w:r w:rsidR="00F46845" w:rsidRPr="009F337B">
        <w:rPr>
          <w:i w:val="0"/>
          <w:szCs w:val="20"/>
          <w:lang w:val="en-US"/>
        </w:rPr>
        <w:t xml:space="preserve">, </w:t>
      </w:r>
      <w:r w:rsidRPr="009F337B">
        <w:rPr>
          <w:i w:val="0"/>
          <w:szCs w:val="20"/>
          <w:lang w:val="en-US"/>
        </w:rPr>
        <w:t xml:space="preserve">a new strategic plan for 2016-2020 is under discussion at the present time. </w:t>
      </w:r>
    </w:p>
    <w:p w14:paraId="25B51369" w14:textId="77777777" w:rsidR="00707082" w:rsidRPr="009F337B" w:rsidRDefault="00707082" w:rsidP="00707082">
      <w:pPr>
        <w:pStyle w:val="Estilo1"/>
        <w:tabs>
          <w:tab w:val="left" w:pos="709"/>
          <w:tab w:val="left" w:pos="1134"/>
        </w:tabs>
        <w:spacing w:after="0"/>
        <w:ind w:left="0" w:right="-4" w:firstLine="0"/>
        <w:rPr>
          <w:i w:val="0"/>
          <w:lang w:val="en-US"/>
        </w:rPr>
      </w:pPr>
    </w:p>
    <w:p w14:paraId="22205E2E" w14:textId="1CB8D5D5" w:rsidR="003801ED" w:rsidRPr="009F337B" w:rsidRDefault="00F46845" w:rsidP="00593E37">
      <w:pPr>
        <w:pStyle w:val="Estilo1"/>
        <w:numPr>
          <w:ilvl w:val="0"/>
          <w:numId w:val="1"/>
        </w:numPr>
        <w:tabs>
          <w:tab w:val="left" w:pos="709"/>
          <w:tab w:val="left" w:pos="1134"/>
        </w:tabs>
        <w:spacing w:after="0"/>
        <w:ind w:left="0" w:right="-4" w:firstLine="0"/>
        <w:rPr>
          <w:i w:val="0"/>
          <w:lang w:val="en-US"/>
        </w:rPr>
      </w:pPr>
      <w:r w:rsidRPr="009F337B">
        <w:rPr>
          <w:i w:val="0"/>
          <w:lang w:val="en-US"/>
        </w:rPr>
        <w:t>Ad</w:t>
      </w:r>
      <w:r w:rsidR="00CB7B3C" w:rsidRPr="009F337B">
        <w:rPr>
          <w:i w:val="0"/>
          <w:lang w:val="en-US"/>
        </w:rPr>
        <w:t xml:space="preserve">ditionally, various civil society organizations and international agencies have provided financial assistance or treatment for people living with </w:t>
      </w:r>
      <w:r w:rsidR="00CA11F6" w:rsidRPr="009F337B">
        <w:rPr>
          <w:i w:val="0"/>
          <w:lang w:val="en-US"/>
        </w:rPr>
        <w:t>HIV/AIDS</w:t>
      </w:r>
      <w:r w:rsidR="008E2262" w:rsidRPr="009F337B">
        <w:rPr>
          <w:i w:val="0"/>
          <w:lang w:val="en-US"/>
        </w:rPr>
        <w:t xml:space="preserve"> in Guatemala</w:t>
      </w:r>
      <w:r w:rsidRPr="009F337B">
        <w:rPr>
          <w:i w:val="0"/>
          <w:lang w:val="en-US"/>
        </w:rPr>
        <w:t xml:space="preserve">. </w:t>
      </w:r>
      <w:r w:rsidR="00CB7B3C" w:rsidRPr="009F337B">
        <w:rPr>
          <w:i w:val="0"/>
          <w:lang w:val="en-US"/>
        </w:rPr>
        <w:t>The</w:t>
      </w:r>
      <w:r w:rsidRPr="009F337B">
        <w:rPr>
          <w:i w:val="0"/>
          <w:lang w:val="en-US"/>
        </w:rPr>
        <w:t xml:space="preserve"> United States Agency for International</w:t>
      </w:r>
      <w:r w:rsidRPr="009F337B">
        <w:rPr>
          <w:b/>
          <w:i w:val="0"/>
          <w:lang w:val="en-US"/>
        </w:rPr>
        <w:t xml:space="preserve"> </w:t>
      </w:r>
      <w:r w:rsidRPr="009F337B">
        <w:rPr>
          <w:i w:val="0"/>
          <w:lang w:val="en-US"/>
        </w:rPr>
        <w:t>Development</w:t>
      </w:r>
      <w:r w:rsidRPr="009F337B">
        <w:rPr>
          <w:b/>
          <w:i w:val="0"/>
          <w:lang w:val="en-US"/>
        </w:rPr>
        <w:t xml:space="preserve"> </w:t>
      </w:r>
      <w:r w:rsidRPr="009F337B">
        <w:rPr>
          <w:i w:val="0"/>
          <w:lang w:val="en-US"/>
        </w:rPr>
        <w:t>(</w:t>
      </w:r>
      <w:r w:rsidR="00AE5F9E" w:rsidRPr="009F337B">
        <w:rPr>
          <w:i w:val="0"/>
          <w:lang w:val="en-US"/>
        </w:rPr>
        <w:t>hereinafter</w:t>
      </w:r>
      <w:r w:rsidRPr="009F337B">
        <w:rPr>
          <w:i w:val="0"/>
          <w:lang w:val="en-US"/>
        </w:rPr>
        <w:t xml:space="preserve"> “USAID”), </w:t>
      </w:r>
      <w:r w:rsidR="00CB7B3C" w:rsidRPr="009F337B">
        <w:rPr>
          <w:i w:val="0"/>
          <w:lang w:val="en-US"/>
        </w:rPr>
        <w:t>under the Program for Strengthening the Central American Response to HIV/AIDS (</w:t>
      </w:r>
      <w:r w:rsidRPr="009F337B">
        <w:rPr>
          <w:i w:val="0"/>
          <w:lang w:val="en-US"/>
        </w:rPr>
        <w:t>PASCA</w:t>
      </w:r>
      <w:r w:rsidR="00CB7B3C" w:rsidRPr="009F337B">
        <w:rPr>
          <w:i w:val="0"/>
          <w:lang w:val="en-US"/>
        </w:rPr>
        <w:t>)</w:t>
      </w:r>
      <w:r w:rsidRPr="009F337B">
        <w:rPr>
          <w:i w:val="0"/>
          <w:lang w:val="en-US"/>
        </w:rPr>
        <w:t xml:space="preserve">, </w:t>
      </w:r>
      <w:r w:rsidR="005A0358" w:rsidRPr="009F337B">
        <w:rPr>
          <w:i w:val="0"/>
          <w:lang w:val="en-US"/>
        </w:rPr>
        <w:t>UNAIDS</w:t>
      </w:r>
      <w:r w:rsidRPr="009F337B">
        <w:rPr>
          <w:i w:val="0"/>
          <w:lang w:val="en-US"/>
        </w:rPr>
        <w:t xml:space="preserve">, </w:t>
      </w:r>
      <w:r w:rsidR="00CB7B3C" w:rsidRPr="009F337B">
        <w:rPr>
          <w:i w:val="0"/>
          <w:lang w:val="en-US"/>
        </w:rPr>
        <w:t xml:space="preserve">the United Nations Children’s Fund </w:t>
      </w:r>
      <w:r w:rsidRPr="009F337B">
        <w:rPr>
          <w:i w:val="0"/>
          <w:lang w:val="en-US"/>
        </w:rPr>
        <w:t>(UNICEF)</w:t>
      </w:r>
      <w:r w:rsidR="003C46A3" w:rsidRPr="009F337B">
        <w:rPr>
          <w:i w:val="0"/>
          <w:lang w:val="en-US"/>
        </w:rPr>
        <w:t xml:space="preserve"> and </w:t>
      </w:r>
      <w:r w:rsidR="00CB7B3C" w:rsidRPr="009F337B">
        <w:rPr>
          <w:i w:val="0"/>
          <w:lang w:val="en-US"/>
        </w:rPr>
        <w:t>the United Nations Develop</w:t>
      </w:r>
      <w:r w:rsidR="00BC6BC7" w:rsidRPr="009F337B">
        <w:rPr>
          <w:i w:val="0"/>
          <w:lang w:val="en-US"/>
        </w:rPr>
        <w:t>ment</w:t>
      </w:r>
      <w:r w:rsidR="00CB7B3C" w:rsidRPr="009F337B">
        <w:rPr>
          <w:i w:val="0"/>
          <w:lang w:val="en-US"/>
        </w:rPr>
        <w:t xml:space="preserve"> </w:t>
      </w:r>
      <w:proofErr w:type="spellStart"/>
      <w:r w:rsidR="00CB7B3C" w:rsidRPr="009F337B">
        <w:rPr>
          <w:i w:val="0"/>
          <w:lang w:val="en-US"/>
        </w:rPr>
        <w:t>Programme</w:t>
      </w:r>
      <w:proofErr w:type="spellEnd"/>
      <w:r w:rsidRPr="009F337B">
        <w:rPr>
          <w:i w:val="0"/>
          <w:lang w:val="en-US"/>
        </w:rPr>
        <w:t xml:space="preserve"> (</w:t>
      </w:r>
      <w:r w:rsidR="00CB7B3C" w:rsidRPr="009F337B">
        <w:rPr>
          <w:i w:val="0"/>
          <w:lang w:val="en-US"/>
        </w:rPr>
        <w:t>UNDP</w:t>
      </w:r>
      <w:r w:rsidRPr="009F337B">
        <w:rPr>
          <w:i w:val="0"/>
          <w:lang w:val="en-US"/>
        </w:rPr>
        <w:t>) ha</w:t>
      </w:r>
      <w:r w:rsidR="00BC6BC7" w:rsidRPr="009F337B">
        <w:rPr>
          <w:i w:val="0"/>
          <w:lang w:val="en-US"/>
        </w:rPr>
        <w:t xml:space="preserve">ve provided international aid </w:t>
      </w:r>
      <w:r w:rsidR="00D24CBA" w:rsidRPr="009F337B">
        <w:rPr>
          <w:i w:val="0"/>
          <w:lang w:val="en-US"/>
        </w:rPr>
        <w:t>to</w:t>
      </w:r>
      <w:r w:rsidR="00BC6BC7" w:rsidRPr="009F337B">
        <w:rPr>
          <w:i w:val="0"/>
          <w:lang w:val="en-US"/>
        </w:rPr>
        <w:t xml:space="preserve"> respond to the HIV/AIDS epidemic in the country. </w:t>
      </w:r>
      <w:r w:rsidR="00D24CBA" w:rsidRPr="009F337B">
        <w:rPr>
          <w:i w:val="0"/>
          <w:lang w:val="en-US"/>
        </w:rPr>
        <w:t>Likewise</w:t>
      </w:r>
      <w:r w:rsidR="00BC6BC7" w:rsidRPr="009F337B">
        <w:rPr>
          <w:i w:val="0"/>
          <w:lang w:val="en-US"/>
        </w:rPr>
        <w:t>, in 2003, t</w:t>
      </w:r>
      <w:r w:rsidR="00BC6BC7" w:rsidRPr="009F337B">
        <w:rPr>
          <w:rStyle w:val="ilfuvd"/>
          <w:i w:val="0"/>
          <w:lang w:val="en-US"/>
        </w:rPr>
        <w:t xml:space="preserve">he </w:t>
      </w:r>
      <w:r w:rsidR="00BC6BC7" w:rsidRPr="009F337B">
        <w:rPr>
          <w:rStyle w:val="ilfuvd"/>
          <w:bCs/>
          <w:i w:val="0"/>
          <w:lang w:val="en-US"/>
        </w:rPr>
        <w:t>Global Fund to Fight AIDS</w:t>
      </w:r>
      <w:r w:rsidR="00BC6BC7" w:rsidRPr="009F337B">
        <w:rPr>
          <w:rStyle w:val="ilfuvd"/>
          <w:i w:val="0"/>
          <w:lang w:val="en-US"/>
        </w:rPr>
        <w:t>, Tuberculosis and Malaria</w:t>
      </w:r>
      <w:r w:rsidR="00BC6BC7" w:rsidRPr="009F337B">
        <w:rPr>
          <w:rStyle w:val="ilfuvd"/>
          <w:lang w:val="en-US"/>
        </w:rPr>
        <w:t xml:space="preserve"> </w:t>
      </w:r>
      <w:r w:rsidRPr="009F337B">
        <w:rPr>
          <w:i w:val="0"/>
          <w:lang w:val="en-US"/>
        </w:rPr>
        <w:t>(</w:t>
      </w:r>
      <w:r w:rsidR="00AE5F9E" w:rsidRPr="009F337B">
        <w:rPr>
          <w:i w:val="0"/>
          <w:lang w:val="en-US"/>
        </w:rPr>
        <w:t>hereinafter</w:t>
      </w:r>
      <w:r w:rsidRPr="009F337B">
        <w:rPr>
          <w:i w:val="0"/>
          <w:lang w:val="en-US"/>
        </w:rPr>
        <w:t xml:space="preserve"> “</w:t>
      </w:r>
      <w:r w:rsidR="00BC6BC7" w:rsidRPr="009F337B">
        <w:rPr>
          <w:i w:val="0"/>
          <w:lang w:val="en-US"/>
        </w:rPr>
        <w:t>the Global Fund</w:t>
      </w:r>
      <w:r w:rsidRPr="009F337B">
        <w:rPr>
          <w:i w:val="0"/>
          <w:lang w:val="en-US"/>
        </w:rPr>
        <w:t>”)</w:t>
      </w:r>
      <w:r w:rsidR="00BC6BC7" w:rsidRPr="009F337B">
        <w:rPr>
          <w:i w:val="0"/>
          <w:lang w:val="en-US"/>
        </w:rPr>
        <w:t xml:space="preserve"> undertook to provide a total of US</w:t>
      </w:r>
      <w:r w:rsidRPr="009F337B">
        <w:rPr>
          <w:i w:val="0"/>
          <w:lang w:val="en-US"/>
        </w:rPr>
        <w:t>$40</w:t>
      </w:r>
      <w:r w:rsidR="00BC6BC7" w:rsidRPr="009F337B">
        <w:rPr>
          <w:i w:val="0"/>
          <w:lang w:val="en-US"/>
        </w:rPr>
        <w:t>,</w:t>
      </w:r>
      <w:r w:rsidRPr="009F337B">
        <w:rPr>
          <w:i w:val="0"/>
          <w:lang w:val="en-US"/>
        </w:rPr>
        <w:t xml:space="preserve">921,917 </w:t>
      </w:r>
      <w:r w:rsidR="00BC6BC7" w:rsidRPr="009F337B">
        <w:rPr>
          <w:i w:val="0"/>
          <w:lang w:val="en-US"/>
        </w:rPr>
        <w:t>over five years.</w:t>
      </w:r>
      <w:r w:rsidRPr="009F337B">
        <w:rPr>
          <w:rStyle w:val="Refdenotaalpie"/>
          <w:i w:val="0"/>
          <w:lang w:val="en-US"/>
        </w:rPr>
        <w:footnoteReference w:id="38"/>
      </w:r>
      <w:r w:rsidR="00BC6BC7" w:rsidRPr="009F337B">
        <w:rPr>
          <w:i w:val="0"/>
          <w:lang w:val="en-US"/>
        </w:rPr>
        <w:t xml:space="preserve"> State actions to protect people living with</w:t>
      </w:r>
      <w:r w:rsidRPr="009F337B">
        <w:rPr>
          <w:i w:val="0"/>
          <w:lang w:val="en-US"/>
        </w:rPr>
        <w:t xml:space="preserve"> </w:t>
      </w:r>
      <w:r w:rsidR="00CA11F6" w:rsidRPr="009F337B">
        <w:rPr>
          <w:i w:val="0"/>
          <w:lang w:val="en-US"/>
        </w:rPr>
        <w:t>HIV/AIDS</w:t>
      </w:r>
      <w:r w:rsidRPr="009F337B">
        <w:rPr>
          <w:i w:val="0"/>
          <w:lang w:val="en-US"/>
        </w:rPr>
        <w:t xml:space="preserve"> </w:t>
      </w:r>
      <w:r w:rsidR="00BC6BC7" w:rsidRPr="009F337B">
        <w:rPr>
          <w:i w:val="0"/>
          <w:lang w:val="en-US"/>
        </w:rPr>
        <w:t>have been complemented by the work of non-governmental organizations.</w:t>
      </w:r>
      <w:r w:rsidRPr="009F337B">
        <w:rPr>
          <w:rStyle w:val="Refdenotaalpie"/>
          <w:i w:val="0"/>
          <w:lang w:val="en-US"/>
        </w:rPr>
        <w:footnoteReference w:id="39"/>
      </w:r>
    </w:p>
    <w:p w14:paraId="60C80070" w14:textId="77777777" w:rsidR="00F8006A" w:rsidRPr="009F337B" w:rsidRDefault="00F8006A" w:rsidP="00F8006A">
      <w:pPr>
        <w:pStyle w:val="Estilo1"/>
        <w:tabs>
          <w:tab w:val="left" w:pos="709"/>
          <w:tab w:val="left" w:pos="1134"/>
        </w:tabs>
        <w:spacing w:after="0"/>
        <w:ind w:left="0" w:right="-4" w:firstLine="0"/>
        <w:rPr>
          <w:i w:val="0"/>
          <w:lang w:val="en-US"/>
        </w:rPr>
      </w:pPr>
    </w:p>
    <w:p w14:paraId="019CFBC3" w14:textId="27DC11B7" w:rsidR="00F46845" w:rsidRPr="009F337B" w:rsidRDefault="00D24CBA" w:rsidP="00593E37">
      <w:pPr>
        <w:pStyle w:val="Estilo1"/>
        <w:numPr>
          <w:ilvl w:val="0"/>
          <w:numId w:val="1"/>
        </w:numPr>
        <w:tabs>
          <w:tab w:val="left" w:pos="709"/>
          <w:tab w:val="left" w:pos="1134"/>
        </w:tabs>
        <w:spacing w:after="0"/>
        <w:ind w:left="0" w:right="-4" w:firstLine="0"/>
        <w:rPr>
          <w:i w:val="0"/>
          <w:lang w:val="en-US"/>
        </w:rPr>
      </w:pPr>
      <w:r w:rsidRPr="009F337B">
        <w:rPr>
          <w:i w:val="0"/>
          <w:lang w:val="en-US"/>
        </w:rPr>
        <w:t>In relation to</w:t>
      </w:r>
      <w:r w:rsidR="00302A01" w:rsidRPr="009F337B">
        <w:rPr>
          <w:i w:val="0"/>
          <w:lang w:val="en-US"/>
        </w:rPr>
        <w:t xml:space="preserve"> health care, the </w:t>
      </w:r>
      <w:r w:rsidR="00926020" w:rsidRPr="009F337B">
        <w:rPr>
          <w:i w:val="0"/>
          <w:lang w:val="en-US"/>
        </w:rPr>
        <w:t>Ministry of Health</w:t>
      </w:r>
      <w:r w:rsidR="00F46845" w:rsidRPr="009F337B">
        <w:rPr>
          <w:i w:val="0"/>
          <w:lang w:val="en-US"/>
        </w:rPr>
        <w:t xml:space="preserve"> </w:t>
      </w:r>
      <w:r w:rsidR="00302A01" w:rsidRPr="009F337B">
        <w:rPr>
          <w:i w:val="0"/>
          <w:lang w:val="en-US"/>
        </w:rPr>
        <w:t>beg</w:t>
      </w:r>
      <w:r w:rsidRPr="009F337B">
        <w:rPr>
          <w:i w:val="0"/>
          <w:lang w:val="en-US"/>
        </w:rPr>
        <w:t>a</w:t>
      </w:r>
      <w:r w:rsidR="00302A01" w:rsidRPr="009F337B">
        <w:rPr>
          <w:i w:val="0"/>
          <w:lang w:val="en-US"/>
        </w:rPr>
        <w:t xml:space="preserve">n to provide </w:t>
      </w:r>
      <w:r w:rsidR="00D52F4C" w:rsidRPr="009F337B">
        <w:rPr>
          <w:i w:val="0"/>
          <w:lang w:val="en-US"/>
        </w:rPr>
        <w:t>antiretroviral drugs</w:t>
      </w:r>
      <w:r w:rsidR="00F46845" w:rsidRPr="009F337B">
        <w:rPr>
          <w:i w:val="0"/>
          <w:lang w:val="en-US"/>
        </w:rPr>
        <w:t xml:space="preserve"> </w:t>
      </w:r>
      <w:r w:rsidR="00302A01" w:rsidRPr="009F337B">
        <w:rPr>
          <w:i w:val="0"/>
          <w:lang w:val="en-US"/>
        </w:rPr>
        <w:t>i</w:t>
      </w:r>
      <w:r w:rsidR="00F46845" w:rsidRPr="009F337B">
        <w:rPr>
          <w:i w:val="0"/>
          <w:lang w:val="en-US"/>
        </w:rPr>
        <w:t xml:space="preserve">n 1999. </w:t>
      </w:r>
      <w:r w:rsidR="00302A01" w:rsidRPr="009F337B">
        <w:rPr>
          <w:i w:val="0"/>
          <w:lang w:val="en-US"/>
        </w:rPr>
        <w:t xml:space="preserve">According to information provided to the Court, in 2007 and 2008, with financing from the Global Fund, the coverage of antiretroviral treatment in Guatemala was 43%. In 2013, the Planning Secretariat of the Office of the President </w:t>
      </w:r>
      <w:r w:rsidR="00CC6A68" w:rsidRPr="009F337B">
        <w:rPr>
          <w:i w:val="0"/>
          <w:lang w:val="en-US"/>
        </w:rPr>
        <w:t xml:space="preserve">of the </w:t>
      </w:r>
      <w:r w:rsidR="003C46A3" w:rsidRPr="009F337B">
        <w:rPr>
          <w:i w:val="0"/>
          <w:lang w:val="en-US"/>
        </w:rPr>
        <w:t>Republic of</w:t>
      </w:r>
      <w:r w:rsidR="00F46845" w:rsidRPr="009F337B">
        <w:rPr>
          <w:i w:val="0"/>
          <w:lang w:val="en-US"/>
        </w:rPr>
        <w:t xml:space="preserve"> Guatemala </w:t>
      </w:r>
      <w:r w:rsidR="00302A01" w:rsidRPr="009F337B">
        <w:rPr>
          <w:i w:val="0"/>
          <w:lang w:val="en-US"/>
        </w:rPr>
        <w:t xml:space="preserve">indicated that approximately 50% of the </w:t>
      </w:r>
      <w:r w:rsidR="00181DE7" w:rsidRPr="009F337B">
        <w:rPr>
          <w:i w:val="0"/>
          <w:lang w:val="en-US"/>
        </w:rPr>
        <w:t xml:space="preserve">estimated </w:t>
      </w:r>
      <w:r w:rsidR="00302A01" w:rsidRPr="009F337B">
        <w:rPr>
          <w:i w:val="0"/>
          <w:lang w:val="en-US"/>
        </w:rPr>
        <w:t xml:space="preserve">population (adults and children) </w:t>
      </w:r>
      <w:r w:rsidR="00181DE7" w:rsidRPr="009F337B">
        <w:rPr>
          <w:i w:val="0"/>
          <w:lang w:val="en-US"/>
        </w:rPr>
        <w:t>living with</w:t>
      </w:r>
      <w:r w:rsidR="00F46845" w:rsidRPr="009F337B">
        <w:rPr>
          <w:i w:val="0"/>
          <w:lang w:val="en-US"/>
        </w:rPr>
        <w:t xml:space="preserve"> </w:t>
      </w:r>
      <w:r w:rsidR="00CA11F6" w:rsidRPr="009F337B">
        <w:rPr>
          <w:i w:val="0"/>
          <w:lang w:val="en-US"/>
        </w:rPr>
        <w:t>HIV</w:t>
      </w:r>
      <w:r w:rsidR="00F46845" w:rsidRPr="009F337B">
        <w:rPr>
          <w:i w:val="0"/>
          <w:lang w:val="en-US"/>
        </w:rPr>
        <w:t xml:space="preserve"> </w:t>
      </w:r>
      <w:r w:rsidR="00181DE7" w:rsidRPr="009F337B">
        <w:rPr>
          <w:i w:val="0"/>
          <w:lang w:val="en-US"/>
        </w:rPr>
        <w:t xml:space="preserve">were receiving antiretroviral treatment. In this regard, the </w:t>
      </w:r>
      <w:r w:rsidR="00926020" w:rsidRPr="009F337B">
        <w:rPr>
          <w:i w:val="0"/>
          <w:lang w:val="en-US"/>
        </w:rPr>
        <w:t>Ministry of Health</w:t>
      </w:r>
      <w:r w:rsidR="00F46845" w:rsidRPr="009F337B">
        <w:rPr>
          <w:i w:val="0"/>
          <w:lang w:val="en-US"/>
        </w:rPr>
        <w:t xml:space="preserve"> ha</w:t>
      </w:r>
      <w:r w:rsidR="00181DE7" w:rsidRPr="009F337B">
        <w:rPr>
          <w:i w:val="0"/>
          <w:lang w:val="en-US"/>
        </w:rPr>
        <w:t xml:space="preserve">s stressed the need to reposition the </w:t>
      </w:r>
      <w:r w:rsidRPr="009F337B">
        <w:rPr>
          <w:i w:val="0"/>
          <w:lang w:val="en-US"/>
        </w:rPr>
        <w:t>goal</w:t>
      </w:r>
      <w:r w:rsidR="00181DE7" w:rsidRPr="009F337B">
        <w:rPr>
          <w:i w:val="0"/>
          <w:lang w:val="en-US"/>
        </w:rPr>
        <w:t xml:space="preserve"> of universal access at the political level and cover a greater percentage of those needing antiretroviral treatment </w:t>
      </w:r>
      <w:r w:rsidR="008E2262" w:rsidRPr="009F337B">
        <w:rPr>
          <w:i w:val="0"/>
          <w:lang w:val="en-US"/>
        </w:rPr>
        <w:t>in Guatemala</w:t>
      </w:r>
      <w:r w:rsidR="00181DE7" w:rsidRPr="009F337B">
        <w:rPr>
          <w:i w:val="0"/>
          <w:lang w:val="en-US"/>
        </w:rPr>
        <w:t>.</w:t>
      </w:r>
      <w:r w:rsidR="00F46845" w:rsidRPr="009F337B">
        <w:rPr>
          <w:rStyle w:val="Refdenotaalpie"/>
          <w:i w:val="0"/>
          <w:lang w:val="en-US"/>
        </w:rPr>
        <w:footnoteReference w:id="40"/>
      </w:r>
    </w:p>
    <w:p w14:paraId="7D9ACA1C" w14:textId="77777777" w:rsidR="00F8006A" w:rsidRPr="009F337B" w:rsidRDefault="00F8006A" w:rsidP="00F8006A">
      <w:pPr>
        <w:pStyle w:val="Estilo1"/>
        <w:tabs>
          <w:tab w:val="left" w:pos="709"/>
          <w:tab w:val="left" w:pos="1134"/>
        </w:tabs>
        <w:spacing w:after="0"/>
        <w:ind w:left="0" w:right="-4" w:firstLine="0"/>
        <w:rPr>
          <w:i w:val="0"/>
          <w:lang w:val="en-US"/>
        </w:rPr>
      </w:pPr>
    </w:p>
    <w:p w14:paraId="12F56D16" w14:textId="432CBC92" w:rsidR="00F8006A" w:rsidRPr="009F337B" w:rsidRDefault="00A00EE5" w:rsidP="00F8006A">
      <w:pPr>
        <w:pStyle w:val="Ttulo2"/>
        <w:spacing w:before="0" w:after="0"/>
        <w:rPr>
          <w:lang w:val="en-US"/>
        </w:rPr>
      </w:pPr>
      <w:bookmarkStart w:id="65" w:name="_Toc527466481"/>
      <w:r w:rsidRPr="009F337B">
        <w:rPr>
          <w:lang w:val="en-US"/>
        </w:rPr>
        <w:t>The presumed</w:t>
      </w:r>
      <w:r w:rsidR="003C46A3" w:rsidRPr="009F337B">
        <w:rPr>
          <w:lang w:val="en-US"/>
        </w:rPr>
        <w:t xml:space="preserve"> victims and </w:t>
      </w:r>
      <w:r w:rsidR="00BB0DF2" w:rsidRPr="009F337B">
        <w:rPr>
          <w:lang w:val="en-US"/>
        </w:rPr>
        <w:t>their next of kin</w:t>
      </w:r>
      <w:bookmarkEnd w:id="65"/>
    </w:p>
    <w:p w14:paraId="07E65A0B" w14:textId="77777777" w:rsidR="00F8006A" w:rsidRPr="009F337B" w:rsidRDefault="00F8006A" w:rsidP="00F8006A">
      <w:pPr>
        <w:rPr>
          <w:lang w:val="en-US"/>
        </w:rPr>
      </w:pPr>
    </w:p>
    <w:p w14:paraId="246ECFF0" w14:textId="7A9E723B" w:rsidR="005429E2" w:rsidRPr="009F337B" w:rsidRDefault="00AE5F9E" w:rsidP="00593E37">
      <w:pPr>
        <w:pStyle w:val="Estilo1"/>
        <w:numPr>
          <w:ilvl w:val="0"/>
          <w:numId w:val="1"/>
        </w:numPr>
        <w:tabs>
          <w:tab w:val="left" w:pos="709"/>
          <w:tab w:val="left" w:pos="1134"/>
        </w:tabs>
        <w:spacing w:after="0"/>
        <w:ind w:left="0" w:right="-4" w:firstLine="0"/>
        <w:rPr>
          <w:i w:val="0"/>
          <w:lang w:val="en-US"/>
        </w:rPr>
      </w:pPr>
      <w:r w:rsidRPr="009F337B">
        <w:rPr>
          <w:i w:val="0"/>
          <w:lang w:val="en-US"/>
        </w:rPr>
        <w:t>The Court</w:t>
      </w:r>
      <w:r w:rsidR="00920D0A" w:rsidRPr="009F337B">
        <w:rPr>
          <w:i w:val="0"/>
          <w:lang w:val="en-US"/>
        </w:rPr>
        <w:t xml:space="preserve"> rec</w:t>
      </w:r>
      <w:r w:rsidR="00BB0DF2" w:rsidRPr="009F337B">
        <w:rPr>
          <w:i w:val="0"/>
          <w:lang w:val="en-US"/>
        </w:rPr>
        <w:t>alls that this case refers to</w:t>
      </w:r>
      <w:r w:rsidR="00920D0A" w:rsidRPr="009F337B">
        <w:rPr>
          <w:i w:val="0"/>
          <w:lang w:val="en-US"/>
        </w:rPr>
        <w:t xml:space="preserve"> 49 </w:t>
      </w:r>
      <w:r w:rsidR="003C46A3" w:rsidRPr="009F337B">
        <w:rPr>
          <w:i w:val="0"/>
          <w:lang w:val="en-US"/>
        </w:rPr>
        <w:t>presumed victims</w:t>
      </w:r>
      <w:r w:rsidR="00CE7943" w:rsidRPr="009F337B">
        <w:rPr>
          <w:i w:val="0"/>
          <w:lang w:val="en-US"/>
        </w:rPr>
        <w:t xml:space="preserve"> </w:t>
      </w:r>
      <w:r w:rsidR="00BB0DF2" w:rsidRPr="009F337B">
        <w:rPr>
          <w:i w:val="0"/>
          <w:lang w:val="en-US"/>
        </w:rPr>
        <w:t>living with</w:t>
      </w:r>
      <w:r w:rsidR="00920D0A" w:rsidRPr="009F337B">
        <w:rPr>
          <w:i w:val="0"/>
          <w:lang w:val="en-US"/>
        </w:rPr>
        <w:t xml:space="preserve"> </w:t>
      </w:r>
      <w:r w:rsidR="00CA11F6" w:rsidRPr="009F337B">
        <w:rPr>
          <w:i w:val="0"/>
          <w:lang w:val="en-US"/>
        </w:rPr>
        <w:t>HIV</w:t>
      </w:r>
      <w:r w:rsidR="008E2262" w:rsidRPr="009F337B">
        <w:rPr>
          <w:i w:val="0"/>
          <w:lang w:val="en-US"/>
        </w:rPr>
        <w:t xml:space="preserve"> in Guatemala</w:t>
      </w:r>
      <w:r w:rsidR="003C46A3" w:rsidRPr="009F337B">
        <w:rPr>
          <w:i w:val="0"/>
          <w:lang w:val="en-US"/>
        </w:rPr>
        <w:t xml:space="preserve"> and </w:t>
      </w:r>
      <w:r w:rsidR="00BB0DF2" w:rsidRPr="009F337B">
        <w:rPr>
          <w:i w:val="0"/>
          <w:lang w:val="en-US"/>
        </w:rPr>
        <w:t>their next of kin</w:t>
      </w:r>
      <w:r w:rsidR="00920D0A" w:rsidRPr="009F337B">
        <w:rPr>
          <w:i w:val="0"/>
          <w:lang w:val="en-US"/>
        </w:rPr>
        <w:t xml:space="preserve">, </w:t>
      </w:r>
      <w:r w:rsidR="00BB0DF2" w:rsidRPr="009F337B">
        <w:rPr>
          <w:i w:val="0"/>
          <w:lang w:val="en-US"/>
        </w:rPr>
        <w:t>who are divided into three groups:</w:t>
      </w:r>
      <w:r w:rsidR="00920D0A" w:rsidRPr="009F337B">
        <w:rPr>
          <w:rStyle w:val="Refdenotaalpie"/>
          <w:i w:val="0"/>
          <w:lang w:val="en-US"/>
        </w:rPr>
        <w:footnoteReference w:id="41"/>
      </w:r>
      <w:r w:rsidR="00BB0DF2" w:rsidRPr="009F337B">
        <w:rPr>
          <w:i w:val="0"/>
          <w:lang w:val="en-US"/>
        </w:rPr>
        <w:t xml:space="preserve"> those who are already deceased, those who are still alive, </w:t>
      </w:r>
      <w:r w:rsidR="003C46A3" w:rsidRPr="009F337B">
        <w:rPr>
          <w:i w:val="0"/>
          <w:lang w:val="en-US"/>
        </w:rPr>
        <w:t xml:space="preserve">and </w:t>
      </w:r>
      <w:r w:rsidR="00BB0DF2" w:rsidRPr="009F337B">
        <w:rPr>
          <w:i w:val="0"/>
          <w:lang w:val="en-US"/>
        </w:rPr>
        <w:t>their next of kin</w:t>
      </w:r>
      <w:r w:rsidR="00920D0A" w:rsidRPr="009F337B">
        <w:rPr>
          <w:i w:val="0"/>
          <w:lang w:val="en-US"/>
        </w:rPr>
        <w:t xml:space="preserve">. </w:t>
      </w:r>
      <w:r w:rsidR="00BB0DF2" w:rsidRPr="009F337B">
        <w:rPr>
          <w:i w:val="0"/>
          <w:lang w:val="en-US"/>
        </w:rPr>
        <w:t xml:space="preserve">Owing to the importance of evaluating the specific circumstances of each of the </w:t>
      </w:r>
      <w:r w:rsidR="00920D0A" w:rsidRPr="009F337B">
        <w:rPr>
          <w:i w:val="0"/>
          <w:lang w:val="en-US"/>
        </w:rPr>
        <w:t xml:space="preserve">49 </w:t>
      </w:r>
      <w:r w:rsidR="003C46A3" w:rsidRPr="009F337B">
        <w:rPr>
          <w:i w:val="0"/>
          <w:lang w:val="en-US"/>
        </w:rPr>
        <w:t>presumed victims</w:t>
      </w:r>
      <w:r w:rsidR="00920D0A" w:rsidRPr="009F337B">
        <w:rPr>
          <w:i w:val="0"/>
          <w:lang w:val="en-US"/>
        </w:rPr>
        <w:t xml:space="preserve"> </w:t>
      </w:r>
      <w:r w:rsidR="00BB0DF2" w:rsidRPr="009F337B">
        <w:rPr>
          <w:i w:val="0"/>
          <w:lang w:val="en-US"/>
        </w:rPr>
        <w:t xml:space="preserve">in order to analyze the medical treatment </w:t>
      </w:r>
      <w:r w:rsidR="00D24CBA" w:rsidRPr="009F337B">
        <w:rPr>
          <w:i w:val="0"/>
          <w:lang w:val="en-US"/>
        </w:rPr>
        <w:t>provided</w:t>
      </w:r>
      <w:r w:rsidR="00BB0DF2" w:rsidRPr="009F337B">
        <w:rPr>
          <w:i w:val="0"/>
          <w:lang w:val="en-US"/>
        </w:rPr>
        <w:t xml:space="preserve"> by the State after 2004, Annex 3 to this judgment contains a description of the proven facts in relation to each of them</w:t>
      </w:r>
      <w:r w:rsidR="00D24CBA" w:rsidRPr="009F337B">
        <w:rPr>
          <w:i w:val="0"/>
          <w:lang w:val="en-US"/>
        </w:rPr>
        <w:t>,</w:t>
      </w:r>
      <w:r w:rsidR="00BB0DF2" w:rsidRPr="009F337B">
        <w:rPr>
          <w:i w:val="0"/>
          <w:lang w:val="en-US"/>
        </w:rPr>
        <w:t xml:space="preserve"> and</w:t>
      </w:r>
      <w:r w:rsidR="00D24CBA" w:rsidRPr="009F337B">
        <w:rPr>
          <w:i w:val="0"/>
          <w:lang w:val="en-US"/>
        </w:rPr>
        <w:t xml:space="preserve"> lists</w:t>
      </w:r>
      <w:r w:rsidR="00BB0DF2" w:rsidRPr="009F337B">
        <w:rPr>
          <w:i w:val="0"/>
          <w:lang w:val="en-US"/>
        </w:rPr>
        <w:t xml:space="preserve"> their next of kin</w:t>
      </w:r>
      <w:r w:rsidR="00920D0A" w:rsidRPr="009F337B">
        <w:rPr>
          <w:i w:val="0"/>
          <w:lang w:val="en-US"/>
        </w:rPr>
        <w:t xml:space="preserve">. </w:t>
      </w:r>
      <w:r w:rsidR="00BB0DF2" w:rsidRPr="009F337B">
        <w:rPr>
          <w:i w:val="0"/>
          <w:lang w:val="en-US"/>
        </w:rPr>
        <w:t>In this regard, the Court notes that</w:t>
      </w:r>
      <w:r w:rsidR="00D24CBA" w:rsidRPr="009F337B">
        <w:rPr>
          <w:i w:val="0"/>
          <w:lang w:val="en-US"/>
        </w:rPr>
        <w:t>,</w:t>
      </w:r>
      <w:r w:rsidR="00BB0DF2" w:rsidRPr="009F337B">
        <w:rPr>
          <w:i w:val="0"/>
          <w:lang w:val="en-US"/>
        </w:rPr>
        <w:t xml:space="preserve"> </w:t>
      </w:r>
      <w:r w:rsidR="00D24CBA" w:rsidRPr="009F337B">
        <w:rPr>
          <w:i w:val="0"/>
          <w:lang w:val="en-US"/>
        </w:rPr>
        <w:t>due</w:t>
      </w:r>
      <w:r w:rsidR="00BB0DF2" w:rsidRPr="009F337B">
        <w:rPr>
          <w:i w:val="0"/>
          <w:lang w:val="en-US"/>
        </w:rPr>
        <w:t xml:space="preserve"> to the number of </w:t>
      </w:r>
      <w:r w:rsidR="003C46A3" w:rsidRPr="009F337B">
        <w:rPr>
          <w:i w:val="0"/>
          <w:lang w:val="en-US"/>
        </w:rPr>
        <w:t>presumed victims</w:t>
      </w:r>
      <w:r w:rsidR="00920D0A" w:rsidRPr="009F337B">
        <w:rPr>
          <w:i w:val="0"/>
          <w:lang w:val="en-US"/>
        </w:rPr>
        <w:t xml:space="preserve">, </w:t>
      </w:r>
      <w:r w:rsidR="00BB0DF2" w:rsidRPr="009F337B">
        <w:rPr>
          <w:i w:val="0"/>
          <w:lang w:val="en-US"/>
        </w:rPr>
        <w:t xml:space="preserve">the time that has elapsed since they were diagnosed with HIV, the remoteness of the place of residence of some of them, their socio-economic situation, the absence of their medical records, and since the State has not contested the facts presented by the Commission and the representatives, the Court finds it pertinent to </w:t>
      </w:r>
      <w:r w:rsidR="00D24CBA" w:rsidRPr="009F337B">
        <w:rPr>
          <w:i w:val="0"/>
          <w:lang w:val="en-US"/>
        </w:rPr>
        <w:t>accord</w:t>
      </w:r>
      <w:r w:rsidR="00BB0DF2" w:rsidRPr="009F337B">
        <w:rPr>
          <w:i w:val="0"/>
          <w:lang w:val="en-US"/>
        </w:rPr>
        <w:t xml:space="preserve"> greater probative value to the statements of the presumed victims and to the information submitted by the doctors who have accompanied them throughout their illness and the proceedings before </w:t>
      </w:r>
      <w:r w:rsidRPr="009F337B">
        <w:rPr>
          <w:i w:val="0"/>
          <w:lang w:val="en-US"/>
        </w:rPr>
        <w:t>the Commission</w:t>
      </w:r>
      <w:r w:rsidR="003C46A3" w:rsidRPr="009F337B">
        <w:rPr>
          <w:i w:val="0"/>
          <w:lang w:val="en-US"/>
        </w:rPr>
        <w:t xml:space="preserve"> and </w:t>
      </w:r>
      <w:r w:rsidRPr="009F337B">
        <w:rPr>
          <w:i w:val="0"/>
          <w:lang w:val="en-US"/>
        </w:rPr>
        <w:t>the Court</w:t>
      </w:r>
      <w:r w:rsidR="00920D0A" w:rsidRPr="009F337B">
        <w:rPr>
          <w:i w:val="0"/>
          <w:lang w:val="en-US"/>
        </w:rPr>
        <w:t>.</w:t>
      </w:r>
      <w:r w:rsidR="009C7AE7" w:rsidRPr="009F337B">
        <w:rPr>
          <w:i w:val="0"/>
          <w:lang w:val="en-US"/>
        </w:rPr>
        <w:t xml:space="preserve"> </w:t>
      </w:r>
      <w:r w:rsidR="00BB0DF2" w:rsidRPr="009F337B">
        <w:rPr>
          <w:i w:val="0"/>
          <w:lang w:val="en-US"/>
        </w:rPr>
        <w:t xml:space="preserve">Consequently, the Court has considered as accepted the facts that were not expressly denied by the State, while the contrary has not </w:t>
      </w:r>
      <w:r w:rsidR="00D24CBA" w:rsidRPr="009F337B">
        <w:rPr>
          <w:i w:val="0"/>
          <w:lang w:val="en-US"/>
        </w:rPr>
        <w:t>appeared</w:t>
      </w:r>
      <w:r w:rsidR="00BB0DF2" w:rsidRPr="009F337B">
        <w:rPr>
          <w:i w:val="0"/>
          <w:lang w:val="en-US"/>
        </w:rPr>
        <w:t xml:space="preserve"> in the case file and, if this is </w:t>
      </w:r>
      <w:r w:rsidR="00B97350" w:rsidRPr="009F337B">
        <w:rPr>
          <w:i w:val="0"/>
          <w:lang w:val="en-US"/>
        </w:rPr>
        <w:t>so</w:t>
      </w:r>
      <w:r w:rsidR="00BB0DF2" w:rsidRPr="009F337B">
        <w:rPr>
          <w:i w:val="0"/>
          <w:lang w:val="en-US"/>
        </w:rPr>
        <w:t xml:space="preserve">, it has </w:t>
      </w:r>
      <w:r w:rsidR="00FE1EFF" w:rsidRPr="009F337B">
        <w:rPr>
          <w:i w:val="0"/>
          <w:lang w:val="en-US"/>
        </w:rPr>
        <w:t xml:space="preserve">described the facts that are consistent with the evidence provided by </w:t>
      </w:r>
      <w:r w:rsidRPr="009F337B">
        <w:rPr>
          <w:i w:val="0"/>
          <w:lang w:val="en-US"/>
        </w:rPr>
        <w:t>the Commission</w:t>
      </w:r>
      <w:r w:rsidR="009C7AE7" w:rsidRPr="009F337B">
        <w:rPr>
          <w:i w:val="0"/>
          <w:lang w:val="en-US"/>
        </w:rPr>
        <w:t xml:space="preserve">, </w:t>
      </w:r>
      <w:r w:rsidR="007327F5" w:rsidRPr="009F337B">
        <w:rPr>
          <w:i w:val="0"/>
          <w:lang w:val="en-US"/>
        </w:rPr>
        <w:t>the representatives</w:t>
      </w:r>
      <w:r w:rsidR="003C46A3" w:rsidRPr="009F337B">
        <w:rPr>
          <w:i w:val="0"/>
          <w:lang w:val="en-US"/>
        </w:rPr>
        <w:t xml:space="preserve"> and the State</w:t>
      </w:r>
      <w:r w:rsidR="009C7AE7" w:rsidRPr="009F337B">
        <w:rPr>
          <w:i w:val="0"/>
          <w:lang w:val="en-US"/>
        </w:rPr>
        <w:t xml:space="preserve">, </w:t>
      </w:r>
      <w:r w:rsidR="00FE1EFF" w:rsidRPr="009F337B">
        <w:rPr>
          <w:i w:val="0"/>
          <w:lang w:val="en-US"/>
        </w:rPr>
        <w:t xml:space="preserve">including the corresponding </w:t>
      </w:r>
      <w:r w:rsidR="00B97350" w:rsidRPr="009F337B">
        <w:rPr>
          <w:i w:val="0"/>
          <w:lang w:val="en-US"/>
        </w:rPr>
        <w:t>citation</w:t>
      </w:r>
      <w:r w:rsidR="00FE1EFF" w:rsidRPr="009F337B">
        <w:rPr>
          <w:i w:val="0"/>
          <w:lang w:val="en-US"/>
        </w:rPr>
        <w:t>.</w:t>
      </w:r>
      <w:r w:rsidR="00CE13AA" w:rsidRPr="009F337B">
        <w:rPr>
          <w:rStyle w:val="Refdenotaalpie"/>
          <w:i w:val="0"/>
          <w:lang w:val="en-US"/>
        </w:rPr>
        <w:footnoteReference w:id="42"/>
      </w:r>
    </w:p>
    <w:p w14:paraId="49E676E6" w14:textId="77777777" w:rsidR="00F8006A" w:rsidRPr="009F337B" w:rsidRDefault="00F8006A" w:rsidP="00F8006A">
      <w:pPr>
        <w:pStyle w:val="Estilo1"/>
        <w:tabs>
          <w:tab w:val="left" w:pos="709"/>
          <w:tab w:val="left" w:pos="1134"/>
        </w:tabs>
        <w:spacing w:after="0"/>
        <w:ind w:left="0" w:right="-4" w:firstLine="0"/>
        <w:rPr>
          <w:i w:val="0"/>
          <w:lang w:val="en-US"/>
        </w:rPr>
      </w:pPr>
    </w:p>
    <w:p w14:paraId="372CA9A8" w14:textId="599FEE94" w:rsidR="00782BBF" w:rsidRPr="009F337B" w:rsidRDefault="00FE1EFF" w:rsidP="00F8006A">
      <w:pPr>
        <w:pStyle w:val="Ttulo2"/>
        <w:spacing w:before="0" w:after="0"/>
        <w:rPr>
          <w:lang w:val="en-US"/>
        </w:rPr>
      </w:pPr>
      <w:bookmarkStart w:id="66" w:name="_Toc527466482"/>
      <w:r w:rsidRPr="009F337B">
        <w:rPr>
          <w:lang w:val="en-US"/>
        </w:rPr>
        <w:t>Actions and appeals filed by</w:t>
      </w:r>
      <w:r w:rsidR="00F46845" w:rsidRPr="009F337B">
        <w:rPr>
          <w:lang w:val="en-US"/>
        </w:rPr>
        <w:t xml:space="preserve"> </w:t>
      </w:r>
      <w:r w:rsidR="00A00EE5" w:rsidRPr="009F337B">
        <w:rPr>
          <w:lang w:val="en-US"/>
        </w:rPr>
        <w:t>the presumed</w:t>
      </w:r>
      <w:r w:rsidR="003C46A3" w:rsidRPr="009F337B">
        <w:rPr>
          <w:lang w:val="en-US"/>
        </w:rPr>
        <w:t xml:space="preserve"> victims</w:t>
      </w:r>
      <w:bookmarkEnd w:id="66"/>
    </w:p>
    <w:p w14:paraId="0E9CDAA9" w14:textId="77777777" w:rsidR="00F8006A" w:rsidRPr="009F337B" w:rsidRDefault="00F8006A" w:rsidP="00F8006A">
      <w:pPr>
        <w:rPr>
          <w:lang w:val="en-US"/>
        </w:rPr>
      </w:pPr>
    </w:p>
    <w:p w14:paraId="12A90668" w14:textId="5E9D78AC" w:rsidR="00F46845" w:rsidRPr="009F337B" w:rsidRDefault="00EE1E0E" w:rsidP="00F8006A">
      <w:pPr>
        <w:pStyle w:val="Ttulo3"/>
        <w:spacing w:before="0"/>
        <w:rPr>
          <w:lang w:val="en-US"/>
        </w:rPr>
      </w:pPr>
      <w:r w:rsidRPr="009F337B">
        <w:rPr>
          <w:lang w:val="en-US"/>
        </w:rPr>
        <w:tab/>
      </w:r>
      <w:bookmarkStart w:id="67" w:name="_Toc527466483"/>
      <w:r w:rsidR="00782BBF" w:rsidRPr="009F337B">
        <w:rPr>
          <w:lang w:val="en-US"/>
        </w:rPr>
        <w:t xml:space="preserve">C.1. </w:t>
      </w:r>
      <w:r w:rsidR="00FE1EFF" w:rsidRPr="009F337B">
        <w:rPr>
          <w:lang w:val="en-US"/>
        </w:rPr>
        <w:t>Letters addressed to the President and other authorities</w:t>
      </w:r>
      <w:bookmarkEnd w:id="67"/>
    </w:p>
    <w:p w14:paraId="5F55591C" w14:textId="77777777" w:rsidR="00F8006A" w:rsidRPr="009F337B" w:rsidRDefault="00F8006A" w:rsidP="00F8006A">
      <w:pPr>
        <w:rPr>
          <w:lang w:val="en-US"/>
        </w:rPr>
      </w:pPr>
    </w:p>
    <w:p w14:paraId="67F3F0B8" w14:textId="5D91924D" w:rsidR="00383D9A" w:rsidRPr="009F337B" w:rsidRDefault="00FE1EFF" w:rsidP="00593E37">
      <w:pPr>
        <w:pStyle w:val="Estilo1"/>
        <w:numPr>
          <w:ilvl w:val="0"/>
          <w:numId w:val="1"/>
        </w:numPr>
        <w:tabs>
          <w:tab w:val="left" w:pos="709"/>
          <w:tab w:val="left" w:pos="1134"/>
        </w:tabs>
        <w:spacing w:after="0"/>
        <w:ind w:left="0" w:right="-4" w:firstLine="0"/>
        <w:rPr>
          <w:b/>
          <w:i w:val="0"/>
          <w:szCs w:val="20"/>
          <w:lang w:val="en-US"/>
        </w:rPr>
      </w:pPr>
      <w:r w:rsidRPr="009F337B">
        <w:rPr>
          <w:i w:val="0"/>
          <w:szCs w:val="20"/>
          <w:lang w:val="en-US"/>
        </w:rPr>
        <w:lastRenderedPageBreak/>
        <w:t>On</w:t>
      </w:r>
      <w:r w:rsidR="00383D9A" w:rsidRPr="009F337B">
        <w:rPr>
          <w:i w:val="0"/>
          <w:szCs w:val="20"/>
          <w:lang w:val="en-US"/>
        </w:rPr>
        <w:t xml:space="preserve"> </w:t>
      </w:r>
      <w:r w:rsidRPr="009F337B">
        <w:rPr>
          <w:i w:val="0"/>
          <w:szCs w:val="20"/>
          <w:lang w:val="en-US"/>
        </w:rPr>
        <w:t>November 23,</w:t>
      </w:r>
      <w:r w:rsidR="00383D9A" w:rsidRPr="009F337B">
        <w:rPr>
          <w:i w:val="0"/>
          <w:szCs w:val="20"/>
          <w:lang w:val="en-US"/>
        </w:rPr>
        <w:t xml:space="preserve"> 2001</w:t>
      </w:r>
      <w:r w:rsidR="00D8522A" w:rsidRPr="009F337B">
        <w:rPr>
          <w:i w:val="0"/>
          <w:szCs w:val="20"/>
          <w:lang w:val="en-US"/>
        </w:rPr>
        <w:t>,</w:t>
      </w:r>
      <w:r w:rsidR="00383D9A" w:rsidRPr="009F337B">
        <w:rPr>
          <w:i w:val="0"/>
          <w:szCs w:val="20"/>
          <w:lang w:val="en-US"/>
        </w:rPr>
        <w:t xml:space="preserve"> </w:t>
      </w:r>
      <w:r w:rsidRPr="009F337B">
        <w:rPr>
          <w:i w:val="0"/>
          <w:szCs w:val="20"/>
          <w:lang w:val="en-US"/>
        </w:rPr>
        <w:t>the</w:t>
      </w:r>
      <w:r w:rsidR="00383D9A" w:rsidRPr="009F337B">
        <w:rPr>
          <w:i w:val="0"/>
          <w:szCs w:val="20"/>
          <w:lang w:val="en-US"/>
        </w:rPr>
        <w:t xml:space="preserve"> </w:t>
      </w:r>
      <w:proofErr w:type="spellStart"/>
      <w:r w:rsidR="00383D9A" w:rsidRPr="009F337B">
        <w:rPr>
          <w:szCs w:val="20"/>
          <w:lang w:val="en-US"/>
        </w:rPr>
        <w:t>Asociación</w:t>
      </w:r>
      <w:proofErr w:type="spellEnd"/>
      <w:r w:rsidR="00383D9A" w:rsidRPr="009F337B">
        <w:rPr>
          <w:szCs w:val="20"/>
          <w:lang w:val="en-US"/>
        </w:rPr>
        <w:t xml:space="preserve"> </w:t>
      </w:r>
      <w:proofErr w:type="spellStart"/>
      <w:r w:rsidR="00383D9A" w:rsidRPr="009F337B">
        <w:rPr>
          <w:szCs w:val="20"/>
          <w:lang w:val="en-US"/>
        </w:rPr>
        <w:t>Coordinadora</w:t>
      </w:r>
      <w:proofErr w:type="spellEnd"/>
      <w:r w:rsidR="00383D9A" w:rsidRPr="009F337B">
        <w:rPr>
          <w:szCs w:val="20"/>
          <w:lang w:val="en-US"/>
        </w:rPr>
        <w:t xml:space="preserve"> de </w:t>
      </w:r>
      <w:proofErr w:type="spellStart"/>
      <w:r w:rsidR="00383D9A" w:rsidRPr="009F337B">
        <w:rPr>
          <w:szCs w:val="20"/>
          <w:lang w:val="en-US"/>
        </w:rPr>
        <w:t>Sectores</w:t>
      </w:r>
      <w:proofErr w:type="spellEnd"/>
      <w:r w:rsidR="00383D9A" w:rsidRPr="009F337B">
        <w:rPr>
          <w:szCs w:val="20"/>
          <w:lang w:val="en-US"/>
        </w:rPr>
        <w:t xml:space="preserve"> de </w:t>
      </w:r>
      <w:proofErr w:type="spellStart"/>
      <w:r w:rsidR="00383D9A" w:rsidRPr="009F337B">
        <w:rPr>
          <w:szCs w:val="20"/>
          <w:lang w:val="en-US"/>
        </w:rPr>
        <w:t>Lucha</w:t>
      </w:r>
      <w:proofErr w:type="spellEnd"/>
      <w:r w:rsidR="00383D9A" w:rsidRPr="009F337B">
        <w:rPr>
          <w:szCs w:val="20"/>
          <w:lang w:val="en-US"/>
        </w:rPr>
        <w:t xml:space="preserve"> contra el </w:t>
      </w:r>
      <w:r w:rsidRPr="009F337B">
        <w:rPr>
          <w:szCs w:val="20"/>
          <w:lang w:val="en-US"/>
        </w:rPr>
        <w:t>SIDA</w:t>
      </w:r>
      <w:r w:rsidR="00383D9A" w:rsidRPr="009F337B">
        <w:rPr>
          <w:szCs w:val="20"/>
          <w:lang w:val="en-US"/>
        </w:rPr>
        <w:t xml:space="preserve"> </w:t>
      </w:r>
      <w:r w:rsidR="00383D9A" w:rsidRPr="009F337B">
        <w:rPr>
          <w:i w:val="0"/>
          <w:szCs w:val="20"/>
          <w:lang w:val="en-US"/>
        </w:rPr>
        <w:t>(</w:t>
      </w:r>
      <w:r w:rsidR="00AE5F9E" w:rsidRPr="009F337B">
        <w:rPr>
          <w:i w:val="0"/>
          <w:szCs w:val="20"/>
          <w:lang w:val="en-US"/>
        </w:rPr>
        <w:t>hereinafter</w:t>
      </w:r>
      <w:r w:rsidR="00383D9A" w:rsidRPr="009F337B">
        <w:rPr>
          <w:i w:val="0"/>
          <w:szCs w:val="20"/>
          <w:lang w:val="en-US"/>
        </w:rPr>
        <w:t xml:space="preserve"> </w:t>
      </w:r>
      <w:r w:rsidR="00840007" w:rsidRPr="009F337B">
        <w:rPr>
          <w:i w:val="0"/>
          <w:szCs w:val="20"/>
          <w:lang w:val="en-US"/>
        </w:rPr>
        <w:t>also</w:t>
      </w:r>
      <w:r w:rsidR="00383D9A" w:rsidRPr="009F337B">
        <w:rPr>
          <w:i w:val="0"/>
          <w:szCs w:val="20"/>
          <w:lang w:val="en-US"/>
        </w:rPr>
        <w:t xml:space="preserve"> “ACSLCS”) </w:t>
      </w:r>
      <w:r w:rsidRPr="009F337B">
        <w:rPr>
          <w:i w:val="0"/>
          <w:szCs w:val="20"/>
          <w:lang w:val="en-US"/>
        </w:rPr>
        <w:t>sent a letter to the Minister of Health requesting a meeting to discuss: (</w:t>
      </w:r>
      <w:proofErr w:type="spellStart"/>
      <w:r w:rsidRPr="009F337B">
        <w:rPr>
          <w:i w:val="0"/>
          <w:szCs w:val="20"/>
          <w:lang w:val="en-US"/>
        </w:rPr>
        <w:t>i</w:t>
      </w:r>
      <w:proofErr w:type="spellEnd"/>
      <w:r w:rsidRPr="009F337B">
        <w:rPr>
          <w:i w:val="0"/>
          <w:szCs w:val="20"/>
          <w:lang w:val="en-US"/>
        </w:rPr>
        <w:t>) the Regulations to the HIV/AIDS Law; (ii) the HIV/AIDS comprehensive care unit, and (iii) the short-, medium- and long-term situation of antiretroviral treatment.</w:t>
      </w:r>
      <w:r w:rsidR="00383D9A" w:rsidRPr="009F337B">
        <w:rPr>
          <w:rStyle w:val="Refdenotaalpie"/>
          <w:i w:val="0"/>
          <w:iCs/>
          <w:lang w:val="en-US"/>
        </w:rPr>
        <w:footnoteReference w:id="43"/>
      </w:r>
      <w:r w:rsidRPr="009F337B">
        <w:rPr>
          <w:rFonts w:cs="Times New Roman"/>
          <w:i w:val="0"/>
          <w:szCs w:val="20"/>
          <w:lang w:val="en-US"/>
        </w:rPr>
        <w:t xml:space="preserve"> On May 27, 2002, </w:t>
      </w:r>
      <w:r w:rsidR="00383D9A" w:rsidRPr="009F337B">
        <w:rPr>
          <w:i w:val="0"/>
          <w:szCs w:val="20"/>
          <w:lang w:val="en-US"/>
        </w:rPr>
        <w:t>ACSLCS</w:t>
      </w:r>
      <w:r w:rsidR="003C46A3" w:rsidRPr="009F337B">
        <w:rPr>
          <w:i w:val="0"/>
          <w:szCs w:val="20"/>
          <w:lang w:val="en-US"/>
        </w:rPr>
        <w:t xml:space="preserve"> and </w:t>
      </w:r>
      <w:r w:rsidRPr="009F337B">
        <w:rPr>
          <w:i w:val="0"/>
          <w:szCs w:val="20"/>
          <w:lang w:val="en-US"/>
        </w:rPr>
        <w:t xml:space="preserve">other organizations representing people living with </w:t>
      </w:r>
      <w:r w:rsidR="00CA11F6" w:rsidRPr="009F337B">
        <w:rPr>
          <w:i w:val="0"/>
          <w:szCs w:val="20"/>
          <w:lang w:val="en-US"/>
        </w:rPr>
        <w:t>HIV/AIDS</w:t>
      </w:r>
      <w:r w:rsidR="008E2262" w:rsidRPr="009F337B">
        <w:rPr>
          <w:i w:val="0"/>
          <w:szCs w:val="20"/>
          <w:lang w:val="en-US"/>
        </w:rPr>
        <w:t xml:space="preserve"> in Guatemala</w:t>
      </w:r>
      <w:r w:rsidRPr="009F337B">
        <w:rPr>
          <w:i w:val="0"/>
          <w:szCs w:val="20"/>
          <w:lang w:val="en-US"/>
        </w:rPr>
        <w:t xml:space="preserve"> sent a letter to the </w:t>
      </w:r>
      <w:r w:rsidR="00AE5F9E" w:rsidRPr="009F337B">
        <w:rPr>
          <w:i w:val="0"/>
          <w:szCs w:val="20"/>
          <w:lang w:val="en-US"/>
        </w:rPr>
        <w:t>President</w:t>
      </w:r>
      <w:r w:rsidR="00383D9A" w:rsidRPr="009F337B">
        <w:rPr>
          <w:i w:val="0"/>
          <w:szCs w:val="20"/>
          <w:lang w:val="en-US"/>
        </w:rPr>
        <w:t xml:space="preserve"> </w:t>
      </w:r>
      <w:r w:rsidR="008E2262" w:rsidRPr="009F337B">
        <w:rPr>
          <w:i w:val="0"/>
          <w:szCs w:val="20"/>
          <w:lang w:val="en-US"/>
        </w:rPr>
        <w:t>of the Republic</w:t>
      </w:r>
      <w:r w:rsidRPr="009F337B">
        <w:rPr>
          <w:i w:val="0"/>
          <w:szCs w:val="20"/>
          <w:lang w:val="en-US"/>
        </w:rPr>
        <w:t>.</w:t>
      </w:r>
      <w:r w:rsidR="00383D9A" w:rsidRPr="009F337B">
        <w:rPr>
          <w:rStyle w:val="Refdenotaalpie"/>
          <w:i w:val="0"/>
          <w:iCs/>
          <w:lang w:val="en-US"/>
        </w:rPr>
        <w:footnoteReference w:id="44"/>
      </w:r>
      <w:r w:rsidR="00383D9A" w:rsidRPr="009F337B">
        <w:rPr>
          <w:i w:val="0"/>
          <w:szCs w:val="20"/>
          <w:lang w:val="en-US"/>
        </w:rPr>
        <w:t xml:space="preserve"> </w:t>
      </w:r>
      <w:r w:rsidRPr="009F337B">
        <w:rPr>
          <w:i w:val="0"/>
          <w:szCs w:val="20"/>
          <w:lang w:val="en-US"/>
        </w:rPr>
        <w:t xml:space="preserve">In this letter, they indicated that the State only provided antiretroviral treatment with brand-name drugs to 27 individuals, when it could provide treatment to 300 people by using generic drugs, and that this was a violation of </w:t>
      </w:r>
      <w:r w:rsidR="000C65BD" w:rsidRPr="009F337B">
        <w:rPr>
          <w:i w:val="0"/>
          <w:szCs w:val="20"/>
          <w:lang w:val="en-US"/>
        </w:rPr>
        <w:t>a</w:t>
      </w:r>
      <w:r w:rsidR="00AE5F9E" w:rsidRPr="009F337B">
        <w:rPr>
          <w:i w:val="0"/>
          <w:szCs w:val="20"/>
          <w:lang w:val="en-US"/>
        </w:rPr>
        <w:t>rticle</w:t>
      </w:r>
      <w:r w:rsidR="00383D9A" w:rsidRPr="009F337B">
        <w:rPr>
          <w:i w:val="0"/>
          <w:szCs w:val="20"/>
          <w:lang w:val="en-US"/>
        </w:rPr>
        <w:t xml:space="preserve"> 4 </w:t>
      </w:r>
      <w:r w:rsidRPr="009F337B">
        <w:rPr>
          <w:i w:val="0"/>
          <w:szCs w:val="20"/>
          <w:lang w:val="en-US"/>
        </w:rPr>
        <w:t>of the</w:t>
      </w:r>
      <w:r w:rsidR="00383D9A" w:rsidRPr="009F337B">
        <w:rPr>
          <w:i w:val="0"/>
          <w:szCs w:val="20"/>
          <w:lang w:val="en-US"/>
        </w:rPr>
        <w:t xml:space="preserve"> </w:t>
      </w:r>
      <w:r w:rsidR="009E46AF" w:rsidRPr="009F337B">
        <w:rPr>
          <w:i w:val="0"/>
          <w:szCs w:val="20"/>
          <w:lang w:val="en-US"/>
        </w:rPr>
        <w:t>Constitution</w:t>
      </w:r>
      <w:r w:rsidR="00383D9A" w:rsidRPr="009F337B">
        <w:rPr>
          <w:rFonts w:cs="Times New Roman"/>
          <w:bCs/>
          <w:i w:val="0"/>
          <w:iCs/>
          <w:szCs w:val="20"/>
          <w:lang w:val="en-US"/>
        </w:rPr>
        <w:t>.</w:t>
      </w:r>
      <w:r w:rsidR="00383D9A" w:rsidRPr="009F337B">
        <w:rPr>
          <w:i w:val="0"/>
          <w:szCs w:val="20"/>
          <w:lang w:val="en-US"/>
        </w:rPr>
        <w:t xml:space="preserve"> </w:t>
      </w:r>
      <w:r w:rsidRPr="009F337B">
        <w:rPr>
          <w:i w:val="0"/>
          <w:szCs w:val="20"/>
          <w:lang w:val="en-US"/>
        </w:rPr>
        <w:t xml:space="preserve">On June 10, 2002, the Ombudsman sent a letter to the </w:t>
      </w:r>
      <w:r w:rsidR="00AE5F9E" w:rsidRPr="009F337B">
        <w:rPr>
          <w:i w:val="0"/>
          <w:szCs w:val="20"/>
          <w:lang w:val="en-US"/>
        </w:rPr>
        <w:t>President</w:t>
      </w:r>
      <w:r w:rsidR="00383D9A" w:rsidRPr="009F337B">
        <w:rPr>
          <w:i w:val="0"/>
          <w:szCs w:val="20"/>
          <w:lang w:val="en-US"/>
        </w:rPr>
        <w:t xml:space="preserve"> </w:t>
      </w:r>
      <w:r w:rsidR="008E2262" w:rsidRPr="009F337B">
        <w:rPr>
          <w:i w:val="0"/>
          <w:szCs w:val="20"/>
          <w:lang w:val="en-US"/>
        </w:rPr>
        <w:t>of the Republic</w:t>
      </w:r>
      <w:r w:rsidRPr="009F337B">
        <w:rPr>
          <w:i w:val="0"/>
          <w:szCs w:val="20"/>
          <w:lang w:val="en-US"/>
        </w:rPr>
        <w:t xml:space="preserve"> indicating his unconditional support for the letter of May 27, </w:t>
      </w:r>
      <w:r w:rsidR="00383D9A" w:rsidRPr="009F337B">
        <w:rPr>
          <w:i w:val="0"/>
          <w:szCs w:val="20"/>
          <w:lang w:val="en-US"/>
        </w:rPr>
        <w:t xml:space="preserve">2002. </w:t>
      </w:r>
      <w:r w:rsidRPr="009F337B">
        <w:rPr>
          <w:i w:val="0"/>
          <w:szCs w:val="20"/>
          <w:lang w:val="en-US"/>
        </w:rPr>
        <w:t>He indicated that only a limited number of pe</w:t>
      </w:r>
      <w:r w:rsidR="000C65BD" w:rsidRPr="009F337B">
        <w:rPr>
          <w:i w:val="0"/>
          <w:szCs w:val="20"/>
          <w:lang w:val="en-US"/>
        </w:rPr>
        <w:t>ople</w:t>
      </w:r>
      <w:r w:rsidRPr="009F337B">
        <w:rPr>
          <w:i w:val="0"/>
          <w:szCs w:val="20"/>
          <w:lang w:val="en-US"/>
        </w:rPr>
        <w:t xml:space="preserve"> were receiving</w:t>
      </w:r>
      <w:r w:rsidR="00383D9A" w:rsidRPr="009F337B">
        <w:rPr>
          <w:i w:val="0"/>
          <w:szCs w:val="20"/>
          <w:lang w:val="en-US"/>
        </w:rPr>
        <w:t xml:space="preserve"> </w:t>
      </w:r>
      <w:r w:rsidRPr="009F337B">
        <w:rPr>
          <w:i w:val="0"/>
          <w:szCs w:val="20"/>
          <w:lang w:val="en-US"/>
        </w:rPr>
        <w:t>antiretroviral treatment</w:t>
      </w:r>
      <w:r w:rsidR="00383D9A" w:rsidRPr="009F337B">
        <w:rPr>
          <w:i w:val="0"/>
          <w:szCs w:val="20"/>
          <w:lang w:val="en-US"/>
        </w:rPr>
        <w:t xml:space="preserve"> </w:t>
      </w:r>
      <w:r w:rsidRPr="009F337B">
        <w:rPr>
          <w:i w:val="0"/>
          <w:szCs w:val="20"/>
          <w:lang w:val="en-US"/>
        </w:rPr>
        <w:t>through an international agency</w:t>
      </w:r>
      <w:r w:rsidR="000C65BD" w:rsidRPr="009F337B">
        <w:rPr>
          <w:i w:val="0"/>
          <w:szCs w:val="20"/>
          <w:lang w:val="en-US"/>
        </w:rPr>
        <w:t xml:space="preserve"> – and </w:t>
      </w:r>
      <w:r w:rsidRPr="009F337B">
        <w:rPr>
          <w:i w:val="0"/>
          <w:szCs w:val="20"/>
          <w:lang w:val="en-US"/>
        </w:rPr>
        <w:t xml:space="preserve">this for </w:t>
      </w:r>
      <w:r w:rsidR="000C65BD" w:rsidRPr="009F337B">
        <w:rPr>
          <w:i w:val="0"/>
          <w:szCs w:val="20"/>
          <w:lang w:val="en-US"/>
        </w:rPr>
        <w:t xml:space="preserve">only </w:t>
      </w:r>
      <w:r w:rsidRPr="009F337B">
        <w:rPr>
          <w:i w:val="0"/>
          <w:szCs w:val="20"/>
          <w:lang w:val="en-US"/>
        </w:rPr>
        <w:t>three years</w:t>
      </w:r>
      <w:r w:rsidR="00383D9A" w:rsidRPr="009F337B">
        <w:rPr>
          <w:i w:val="0"/>
          <w:szCs w:val="20"/>
          <w:lang w:val="en-US"/>
        </w:rPr>
        <w:t>.</w:t>
      </w:r>
      <w:r w:rsidRPr="009F337B">
        <w:rPr>
          <w:i w:val="0"/>
          <w:szCs w:val="20"/>
          <w:lang w:val="en-US"/>
        </w:rPr>
        <w:t xml:space="preserve"> He also asserted that, according to estimates, </w:t>
      </w:r>
      <w:r w:rsidR="000C65BD" w:rsidRPr="009F337B">
        <w:rPr>
          <w:i w:val="0"/>
          <w:szCs w:val="20"/>
          <w:lang w:val="en-US"/>
        </w:rPr>
        <w:t xml:space="preserve">4,000 </w:t>
      </w:r>
      <w:r w:rsidRPr="009F337B">
        <w:rPr>
          <w:i w:val="0"/>
          <w:szCs w:val="20"/>
          <w:lang w:val="en-US"/>
        </w:rPr>
        <w:t>people required this treatment</w:t>
      </w:r>
      <w:r w:rsidR="00383D9A" w:rsidRPr="009F337B">
        <w:rPr>
          <w:i w:val="0"/>
          <w:szCs w:val="20"/>
          <w:lang w:val="en-US"/>
        </w:rPr>
        <w:t>.</w:t>
      </w:r>
      <w:r w:rsidR="00383D9A" w:rsidRPr="009F337B">
        <w:rPr>
          <w:rStyle w:val="Refdenotaalpie"/>
          <w:i w:val="0"/>
          <w:lang w:val="en-US"/>
        </w:rPr>
        <w:footnoteReference w:id="45"/>
      </w:r>
      <w:r w:rsidR="00383D9A" w:rsidRPr="009F337B">
        <w:rPr>
          <w:i w:val="0"/>
          <w:szCs w:val="20"/>
          <w:lang w:val="en-US"/>
        </w:rPr>
        <w:t xml:space="preserve"> </w:t>
      </w:r>
      <w:r w:rsidRPr="009F337B">
        <w:rPr>
          <w:i w:val="0"/>
          <w:szCs w:val="20"/>
          <w:lang w:val="en-US"/>
        </w:rPr>
        <w:t>Neither of the two letters received a reply.</w:t>
      </w:r>
      <w:r w:rsidR="00383D9A" w:rsidRPr="009F337B">
        <w:rPr>
          <w:rStyle w:val="Refdenotaalpie"/>
          <w:i w:val="0"/>
          <w:lang w:val="en-US"/>
        </w:rPr>
        <w:footnoteReference w:id="46"/>
      </w:r>
    </w:p>
    <w:p w14:paraId="283D2819" w14:textId="77777777" w:rsidR="00F8006A" w:rsidRPr="009F337B" w:rsidRDefault="00F8006A" w:rsidP="00F8006A">
      <w:pPr>
        <w:pStyle w:val="Estilo1"/>
        <w:tabs>
          <w:tab w:val="left" w:pos="709"/>
          <w:tab w:val="left" w:pos="1134"/>
        </w:tabs>
        <w:spacing w:after="0"/>
        <w:ind w:left="0" w:right="-4" w:firstLine="0"/>
        <w:rPr>
          <w:b/>
          <w:i w:val="0"/>
          <w:szCs w:val="20"/>
          <w:lang w:val="en-US"/>
        </w:rPr>
      </w:pPr>
    </w:p>
    <w:p w14:paraId="1466A155" w14:textId="1CCD6030" w:rsidR="00383D9A" w:rsidRPr="009F337B" w:rsidRDefault="00EE1E0E" w:rsidP="00F8006A">
      <w:pPr>
        <w:pStyle w:val="Ttulo3"/>
        <w:spacing w:before="0"/>
        <w:rPr>
          <w:lang w:val="en-US"/>
        </w:rPr>
      </w:pPr>
      <w:r w:rsidRPr="009F337B">
        <w:rPr>
          <w:lang w:val="en-US"/>
        </w:rPr>
        <w:tab/>
      </w:r>
      <w:bookmarkStart w:id="68" w:name="_Toc527466484"/>
      <w:r w:rsidR="00D8522A" w:rsidRPr="009F337B">
        <w:rPr>
          <w:lang w:val="en-US"/>
        </w:rPr>
        <w:t>C.</w:t>
      </w:r>
      <w:r w:rsidR="00383D9A" w:rsidRPr="009F337B">
        <w:rPr>
          <w:lang w:val="en-US"/>
        </w:rPr>
        <w:t xml:space="preserve">2. </w:t>
      </w:r>
      <w:r w:rsidR="0016125F" w:rsidRPr="009F337B">
        <w:rPr>
          <w:lang w:val="en-US"/>
        </w:rPr>
        <w:t>Application for amparo before the Constitutional Court</w:t>
      </w:r>
      <w:bookmarkEnd w:id="68"/>
    </w:p>
    <w:p w14:paraId="4F2E911E" w14:textId="77777777" w:rsidR="00F8006A" w:rsidRPr="009F337B" w:rsidRDefault="00F8006A" w:rsidP="00F8006A">
      <w:pPr>
        <w:rPr>
          <w:lang w:val="en-US"/>
        </w:rPr>
      </w:pPr>
    </w:p>
    <w:p w14:paraId="4047EF3A" w14:textId="72234D4E" w:rsidR="00383D9A" w:rsidRPr="009F337B" w:rsidRDefault="0016125F" w:rsidP="00593E37">
      <w:pPr>
        <w:pStyle w:val="Estilo1"/>
        <w:numPr>
          <w:ilvl w:val="0"/>
          <w:numId w:val="1"/>
        </w:numPr>
        <w:tabs>
          <w:tab w:val="left" w:pos="709"/>
          <w:tab w:val="left" w:pos="1134"/>
        </w:tabs>
        <w:spacing w:after="0"/>
        <w:ind w:left="0" w:right="-4" w:firstLine="0"/>
        <w:rPr>
          <w:i w:val="0"/>
          <w:szCs w:val="20"/>
          <w:lang w:val="en-US"/>
        </w:rPr>
      </w:pPr>
      <w:r w:rsidRPr="009F337B">
        <w:rPr>
          <w:i w:val="0"/>
          <w:szCs w:val="20"/>
          <w:lang w:val="en-US"/>
        </w:rPr>
        <w:t xml:space="preserve">Owing to the lack of a response to the said letters </w:t>
      </w:r>
      <w:r w:rsidR="000C65BD" w:rsidRPr="009F337B">
        <w:rPr>
          <w:i w:val="0"/>
          <w:szCs w:val="20"/>
          <w:lang w:val="en-US"/>
        </w:rPr>
        <w:t>by</w:t>
      </w:r>
      <w:r w:rsidRPr="009F337B">
        <w:rPr>
          <w:i w:val="0"/>
          <w:szCs w:val="20"/>
          <w:lang w:val="en-US"/>
        </w:rPr>
        <w:t xml:space="preserve"> </w:t>
      </w:r>
      <w:r w:rsidR="00AE5F9E" w:rsidRPr="009F337B">
        <w:rPr>
          <w:i w:val="0"/>
          <w:szCs w:val="20"/>
          <w:lang w:val="en-US"/>
        </w:rPr>
        <w:t>the President</w:t>
      </w:r>
      <w:r w:rsidR="003C46A3" w:rsidRPr="009F337B">
        <w:rPr>
          <w:i w:val="0"/>
          <w:szCs w:val="20"/>
          <w:lang w:val="en-US"/>
        </w:rPr>
        <w:t xml:space="preserve"> and </w:t>
      </w:r>
      <w:r w:rsidRPr="009F337B">
        <w:rPr>
          <w:i w:val="0"/>
          <w:szCs w:val="20"/>
          <w:lang w:val="en-US"/>
        </w:rPr>
        <w:t>the</w:t>
      </w:r>
      <w:r w:rsidR="00383D9A" w:rsidRPr="009F337B">
        <w:rPr>
          <w:i w:val="0"/>
          <w:szCs w:val="20"/>
          <w:lang w:val="en-US"/>
        </w:rPr>
        <w:t xml:space="preserve"> </w:t>
      </w:r>
      <w:r w:rsidR="00926020" w:rsidRPr="009F337B">
        <w:rPr>
          <w:i w:val="0"/>
          <w:szCs w:val="20"/>
          <w:lang w:val="en-US"/>
        </w:rPr>
        <w:t>Ministry of Health</w:t>
      </w:r>
      <w:r w:rsidRPr="009F337B">
        <w:rPr>
          <w:i w:val="0"/>
          <w:szCs w:val="20"/>
          <w:lang w:val="en-US"/>
        </w:rPr>
        <w:t>, on July 26,</w:t>
      </w:r>
      <w:r w:rsidR="00383D9A" w:rsidRPr="009F337B">
        <w:rPr>
          <w:i w:val="0"/>
          <w:szCs w:val="20"/>
          <w:lang w:val="en-US"/>
        </w:rPr>
        <w:t xml:space="preserve"> 2002</w:t>
      </w:r>
      <w:r w:rsidRPr="009F337B">
        <w:rPr>
          <w:i w:val="0"/>
          <w:szCs w:val="20"/>
          <w:lang w:val="en-US"/>
        </w:rPr>
        <w:t xml:space="preserve">, 22 people, including 13 of </w:t>
      </w:r>
      <w:r w:rsidR="00CC6A68" w:rsidRPr="009F337B">
        <w:rPr>
          <w:i w:val="0"/>
          <w:szCs w:val="20"/>
          <w:lang w:val="en-US"/>
        </w:rPr>
        <w:t xml:space="preserve">the </w:t>
      </w:r>
      <w:r w:rsidR="00A00EE5" w:rsidRPr="009F337B">
        <w:rPr>
          <w:i w:val="0"/>
          <w:szCs w:val="20"/>
          <w:lang w:val="en-US"/>
        </w:rPr>
        <w:t>presumed</w:t>
      </w:r>
      <w:r w:rsidR="003C46A3" w:rsidRPr="009F337B">
        <w:rPr>
          <w:i w:val="0"/>
          <w:szCs w:val="20"/>
          <w:lang w:val="en-US"/>
        </w:rPr>
        <w:t xml:space="preserve"> victims</w:t>
      </w:r>
      <w:r w:rsidR="00383D9A" w:rsidRPr="009F337B">
        <w:rPr>
          <w:rStyle w:val="Refdenotaalpie"/>
          <w:i w:val="0"/>
          <w:lang w:val="en-US"/>
        </w:rPr>
        <w:footnoteReference w:id="47"/>
      </w:r>
      <w:r w:rsidR="003C46A3" w:rsidRPr="009F337B">
        <w:rPr>
          <w:i w:val="0"/>
          <w:szCs w:val="20"/>
          <w:lang w:val="en-US"/>
        </w:rPr>
        <w:t xml:space="preserve"> and </w:t>
      </w:r>
      <w:r w:rsidRPr="009F337B">
        <w:rPr>
          <w:i w:val="0"/>
          <w:szCs w:val="20"/>
          <w:lang w:val="en-US"/>
        </w:rPr>
        <w:t xml:space="preserve">civil society organizations, filed an appeal before </w:t>
      </w:r>
      <w:r w:rsidR="00AE5F9E" w:rsidRPr="009F337B">
        <w:rPr>
          <w:i w:val="0"/>
          <w:szCs w:val="20"/>
          <w:lang w:val="en-US"/>
        </w:rPr>
        <w:t xml:space="preserve">the </w:t>
      </w:r>
      <w:r w:rsidRPr="009F337B">
        <w:rPr>
          <w:i w:val="0"/>
          <w:szCs w:val="20"/>
          <w:lang w:val="en-US"/>
        </w:rPr>
        <w:t>Constitutional Court</w:t>
      </w:r>
      <w:r w:rsidR="00383D9A" w:rsidRPr="009F337B">
        <w:rPr>
          <w:rFonts w:cs="Times New Roman"/>
          <w:bCs/>
          <w:i w:val="0"/>
          <w:iCs/>
          <w:szCs w:val="20"/>
          <w:lang w:val="en-US"/>
        </w:rPr>
        <w:t xml:space="preserve">. </w:t>
      </w:r>
      <w:r w:rsidRPr="009F337B">
        <w:rPr>
          <w:rFonts w:cs="Times New Roman"/>
          <w:bCs/>
          <w:i w:val="0"/>
          <w:iCs/>
          <w:szCs w:val="20"/>
          <w:lang w:val="en-US"/>
        </w:rPr>
        <w:t>In this appeal they asserted the following</w:t>
      </w:r>
      <w:r w:rsidR="00383D9A" w:rsidRPr="009F337B">
        <w:rPr>
          <w:rFonts w:cs="Times New Roman"/>
          <w:bCs/>
          <w:i w:val="0"/>
          <w:iCs/>
          <w:szCs w:val="20"/>
          <w:lang w:val="en-US"/>
        </w:rPr>
        <w:t>:</w:t>
      </w:r>
    </w:p>
    <w:p w14:paraId="6DEDC9A7" w14:textId="77777777" w:rsidR="00D8522A" w:rsidRPr="009F337B" w:rsidRDefault="00D8522A" w:rsidP="003C2AC6">
      <w:pPr>
        <w:pStyle w:val="PrrafodeSentencia"/>
        <w:rPr>
          <w:lang w:val="en-US"/>
        </w:rPr>
      </w:pPr>
    </w:p>
    <w:p w14:paraId="22B16A80" w14:textId="0A2BDF05" w:rsidR="00383D9A" w:rsidRPr="009F337B" w:rsidRDefault="0016125F" w:rsidP="0016125F">
      <w:pPr>
        <w:ind w:left="720" w:right="855"/>
        <w:rPr>
          <w:sz w:val="18"/>
          <w:szCs w:val="18"/>
          <w:lang w:val="en-US"/>
        </w:rPr>
      </w:pPr>
      <w:r w:rsidRPr="009F337B">
        <w:rPr>
          <w:sz w:val="18"/>
          <w:szCs w:val="18"/>
          <w:lang w:val="en-US"/>
        </w:rPr>
        <w:t xml:space="preserve">The negative and omissive reaction of </w:t>
      </w:r>
      <w:r w:rsidR="00AE5F9E" w:rsidRPr="009F337B">
        <w:rPr>
          <w:sz w:val="18"/>
          <w:szCs w:val="18"/>
          <w:lang w:val="en-US"/>
        </w:rPr>
        <w:t>the President</w:t>
      </w:r>
      <w:r w:rsidR="00383D9A" w:rsidRPr="009F337B">
        <w:rPr>
          <w:sz w:val="18"/>
          <w:szCs w:val="18"/>
          <w:lang w:val="en-US"/>
        </w:rPr>
        <w:t xml:space="preserve"> </w:t>
      </w:r>
      <w:r w:rsidRPr="009F337B">
        <w:rPr>
          <w:sz w:val="18"/>
          <w:szCs w:val="18"/>
          <w:lang w:val="en-US"/>
        </w:rPr>
        <w:t>to the letter dated May 27 this year, in which his immediate intervention was clearly and forcefully requested in order to ensure compliance with the constitutional obligation of the State of Guatemala, and the failure to comply with the provisions of the Constitution, which was equivalent to non-compliance with a constitutional mandate, mean that the action requ</w:t>
      </w:r>
      <w:r w:rsidR="000C65BD" w:rsidRPr="009F337B">
        <w:rPr>
          <w:sz w:val="18"/>
          <w:szCs w:val="18"/>
          <w:lang w:val="en-US"/>
        </w:rPr>
        <w:t>est</w:t>
      </w:r>
      <w:r w:rsidRPr="009F337B">
        <w:rPr>
          <w:sz w:val="18"/>
          <w:szCs w:val="18"/>
          <w:lang w:val="en-US"/>
        </w:rPr>
        <w:t>ed, in addition to being legitimate</w:t>
      </w:r>
      <w:r w:rsidR="000C65BD" w:rsidRPr="009F337B">
        <w:rPr>
          <w:sz w:val="18"/>
          <w:szCs w:val="18"/>
          <w:lang w:val="en-US"/>
        </w:rPr>
        <w:t>,</w:t>
      </w:r>
      <w:r w:rsidRPr="009F337B">
        <w:rPr>
          <w:sz w:val="18"/>
          <w:szCs w:val="18"/>
          <w:lang w:val="en-US"/>
        </w:rPr>
        <w:t xml:space="preserve"> should entail the obligation of the responsible authority to respect the neglected constitutional guarantee by granting a provisional amparo and, following exhaustion of the respective instances, the final amparo.</w:t>
      </w:r>
      <w:r w:rsidR="00383D9A" w:rsidRPr="009F337B">
        <w:rPr>
          <w:rStyle w:val="Refdenotaalpie"/>
          <w:sz w:val="18"/>
          <w:szCs w:val="18"/>
          <w:lang w:val="en-US"/>
        </w:rPr>
        <w:footnoteReference w:id="48"/>
      </w:r>
    </w:p>
    <w:p w14:paraId="1FB20780" w14:textId="77777777" w:rsidR="00F8006A" w:rsidRPr="009F337B" w:rsidRDefault="00F8006A" w:rsidP="00F8006A">
      <w:pPr>
        <w:ind w:right="855"/>
        <w:rPr>
          <w:rFonts w:cs="Times New Roman"/>
          <w:noProof w:val="0"/>
          <w:sz w:val="18"/>
          <w:szCs w:val="18"/>
          <w:lang w:val="en-US"/>
        </w:rPr>
      </w:pPr>
    </w:p>
    <w:p w14:paraId="53EF6617" w14:textId="0F06FBD8" w:rsidR="00383D9A" w:rsidRPr="009F337B" w:rsidRDefault="00E45FD7" w:rsidP="00593E37">
      <w:pPr>
        <w:pStyle w:val="Estilo1"/>
        <w:numPr>
          <w:ilvl w:val="0"/>
          <w:numId w:val="1"/>
        </w:numPr>
        <w:tabs>
          <w:tab w:val="left" w:pos="709"/>
          <w:tab w:val="left" w:pos="1134"/>
        </w:tabs>
        <w:spacing w:after="0"/>
        <w:ind w:left="0" w:right="-4" w:firstLine="0"/>
        <w:rPr>
          <w:i w:val="0"/>
          <w:szCs w:val="20"/>
          <w:lang w:val="en-US"/>
        </w:rPr>
      </w:pPr>
      <w:r w:rsidRPr="009F337B">
        <w:rPr>
          <w:i w:val="0"/>
          <w:szCs w:val="20"/>
          <w:lang w:val="en-US"/>
        </w:rPr>
        <w:t xml:space="preserve">The </w:t>
      </w:r>
      <w:r w:rsidR="00CE41A1" w:rsidRPr="009F337B">
        <w:rPr>
          <w:i w:val="0"/>
          <w:szCs w:val="20"/>
          <w:lang w:val="en-US"/>
        </w:rPr>
        <w:t>applicants</w:t>
      </w:r>
      <w:r w:rsidRPr="009F337B">
        <w:rPr>
          <w:i w:val="0"/>
          <w:szCs w:val="20"/>
          <w:lang w:val="en-US"/>
        </w:rPr>
        <w:t xml:space="preserve"> argued that the said refusal or omission by the President violated the right to protection, the right to life, the right of petition, the rights inherent to the individual, and the right to health. They also argued that the violations of these rights ar</w:t>
      </w:r>
      <w:r w:rsidR="00CE41A1" w:rsidRPr="009F337B">
        <w:rPr>
          <w:i w:val="0"/>
          <w:szCs w:val="20"/>
          <w:lang w:val="en-US"/>
        </w:rPr>
        <w:t>ose</w:t>
      </w:r>
      <w:r w:rsidRPr="009F337B">
        <w:rPr>
          <w:i w:val="0"/>
          <w:szCs w:val="20"/>
          <w:lang w:val="en-US"/>
        </w:rPr>
        <w:t xml:space="preserve"> because the State had not provided any type of social assistance to counteract the gravity of their situation as </w:t>
      </w:r>
      <w:r w:rsidR="00080A1E" w:rsidRPr="009F337B">
        <w:rPr>
          <w:i w:val="0"/>
          <w:szCs w:val="20"/>
          <w:lang w:val="en-US"/>
        </w:rPr>
        <w:t>people living with HIV</w:t>
      </w:r>
      <w:r w:rsidR="00383D9A" w:rsidRPr="009F337B">
        <w:rPr>
          <w:i w:val="0"/>
          <w:szCs w:val="20"/>
          <w:lang w:val="en-US"/>
        </w:rPr>
        <w:t>/</w:t>
      </w:r>
      <w:r w:rsidR="00CA11F6" w:rsidRPr="009F337B">
        <w:rPr>
          <w:i w:val="0"/>
          <w:szCs w:val="20"/>
          <w:lang w:val="en-US"/>
        </w:rPr>
        <w:t>AIDS</w:t>
      </w:r>
      <w:r w:rsidR="00383D9A" w:rsidRPr="009F337B">
        <w:rPr>
          <w:rFonts w:cs="Times New Roman"/>
          <w:bCs/>
          <w:i w:val="0"/>
          <w:iCs/>
          <w:szCs w:val="20"/>
          <w:lang w:val="en-US"/>
        </w:rPr>
        <w:t xml:space="preserve">; </w:t>
      </w:r>
      <w:r w:rsidRPr="009F337B">
        <w:rPr>
          <w:rFonts w:cs="Times New Roman"/>
          <w:bCs/>
          <w:i w:val="0"/>
          <w:iCs/>
          <w:szCs w:val="20"/>
          <w:lang w:val="en-US"/>
        </w:rPr>
        <w:t>that,</w:t>
      </w:r>
      <w:r w:rsidR="008E2262" w:rsidRPr="009F337B">
        <w:rPr>
          <w:rFonts w:cs="Times New Roman"/>
          <w:b/>
          <w:bCs/>
          <w:i w:val="0"/>
          <w:iCs/>
          <w:szCs w:val="20"/>
          <w:lang w:val="en-US"/>
        </w:rPr>
        <w:t xml:space="preserve"> </w:t>
      </w:r>
      <w:r w:rsidR="008E2262" w:rsidRPr="009F337B">
        <w:rPr>
          <w:rFonts w:cs="Times New Roman"/>
          <w:bCs/>
          <w:i w:val="0"/>
          <w:iCs/>
          <w:szCs w:val="20"/>
          <w:lang w:val="en-US"/>
        </w:rPr>
        <w:t>in Guatemala</w:t>
      </w:r>
      <w:r w:rsidRPr="009F337B">
        <w:rPr>
          <w:rFonts w:cs="Times New Roman"/>
          <w:bCs/>
          <w:i w:val="0"/>
          <w:iCs/>
          <w:szCs w:val="20"/>
          <w:lang w:val="en-US"/>
        </w:rPr>
        <w:t>, at least 4,000 people had been diagnosed with AIDS and urgently required treatment, which would not only help them to survive, but also improve their quality of life; that, since 1996, the so called “</w:t>
      </w:r>
      <w:r w:rsidRPr="009F337B">
        <w:rPr>
          <w:bCs/>
          <w:i w:val="0"/>
          <w:lang w:val="en-US"/>
        </w:rPr>
        <w:t xml:space="preserve">highly active antiretroviral therapy (HAART), which consisted in the combination of at least three </w:t>
      </w:r>
      <w:r w:rsidRPr="009F337B">
        <w:rPr>
          <w:i w:val="0"/>
          <w:szCs w:val="20"/>
          <w:lang w:val="en-US"/>
        </w:rPr>
        <w:lastRenderedPageBreak/>
        <w:t>antiretroviral drug</w:t>
      </w:r>
      <w:r w:rsidR="00383D9A" w:rsidRPr="009F337B">
        <w:rPr>
          <w:i w:val="0"/>
          <w:szCs w:val="20"/>
          <w:lang w:val="en-US"/>
        </w:rPr>
        <w:t xml:space="preserve">s, </w:t>
      </w:r>
      <w:r w:rsidRPr="009F337B">
        <w:rPr>
          <w:i w:val="0"/>
          <w:szCs w:val="20"/>
          <w:lang w:val="en-US"/>
        </w:rPr>
        <w:t xml:space="preserve">which must be taken life-long by people with </w:t>
      </w:r>
      <w:r w:rsidR="00CA11F6" w:rsidRPr="009F337B">
        <w:rPr>
          <w:i w:val="0"/>
          <w:szCs w:val="20"/>
          <w:lang w:val="en-US"/>
        </w:rPr>
        <w:t>HIV/AIDS</w:t>
      </w:r>
      <w:r w:rsidR="007E0100">
        <w:rPr>
          <w:i w:val="0"/>
          <w:szCs w:val="20"/>
          <w:lang w:val="en-US"/>
        </w:rPr>
        <w:t>,</w:t>
      </w:r>
      <w:r w:rsidR="00383D9A" w:rsidRPr="009F337B">
        <w:rPr>
          <w:i w:val="0"/>
          <w:szCs w:val="20"/>
          <w:lang w:val="en-US"/>
        </w:rPr>
        <w:t>”</w:t>
      </w:r>
      <w:r w:rsidRPr="009F337B">
        <w:rPr>
          <w:i w:val="0"/>
          <w:szCs w:val="20"/>
          <w:lang w:val="en-US"/>
        </w:rPr>
        <w:t xml:space="preserve"> </w:t>
      </w:r>
      <w:r w:rsidR="00CE41A1" w:rsidRPr="009F337B">
        <w:rPr>
          <w:i w:val="0"/>
          <w:szCs w:val="20"/>
          <w:lang w:val="en-US"/>
        </w:rPr>
        <w:t xml:space="preserve">had been available, </w:t>
      </w:r>
      <w:r w:rsidRPr="009F337B">
        <w:rPr>
          <w:i w:val="0"/>
          <w:szCs w:val="20"/>
          <w:lang w:val="en-US"/>
        </w:rPr>
        <w:t xml:space="preserve">and </w:t>
      </w:r>
      <w:r w:rsidR="00CE41A1" w:rsidRPr="009F337B">
        <w:rPr>
          <w:i w:val="0"/>
          <w:szCs w:val="20"/>
          <w:lang w:val="en-US"/>
        </w:rPr>
        <w:t xml:space="preserve">that </w:t>
      </w:r>
      <w:r w:rsidRPr="009F337B">
        <w:rPr>
          <w:i w:val="0"/>
          <w:szCs w:val="20"/>
          <w:lang w:val="en-US"/>
        </w:rPr>
        <w:t xml:space="preserve">the use of generic antiretroviral drugs could increase the coverage of the medical treatment </w:t>
      </w:r>
      <w:r w:rsidR="00CE41A1" w:rsidRPr="009F337B">
        <w:rPr>
          <w:i w:val="0"/>
          <w:szCs w:val="20"/>
          <w:lang w:val="en-US"/>
        </w:rPr>
        <w:t>for</w:t>
      </w:r>
      <w:r w:rsidRPr="009F337B">
        <w:rPr>
          <w:i w:val="0"/>
          <w:szCs w:val="20"/>
          <w:lang w:val="en-US"/>
        </w:rPr>
        <w:t xml:space="preserve"> </w:t>
      </w:r>
      <w:r w:rsidR="00080A1E" w:rsidRPr="009F337B">
        <w:rPr>
          <w:i w:val="0"/>
          <w:szCs w:val="20"/>
          <w:lang w:val="en-US"/>
        </w:rPr>
        <w:t>people living with HIV</w:t>
      </w:r>
      <w:r w:rsidR="00383D9A" w:rsidRPr="009F337B">
        <w:rPr>
          <w:i w:val="0"/>
          <w:szCs w:val="20"/>
          <w:lang w:val="en-US"/>
        </w:rPr>
        <w:t>/</w:t>
      </w:r>
      <w:r w:rsidR="00CA11F6" w:rsidRPr="009F337B">
        <w:rPr>
          <w:i w:val="0"/>
          <w:szCs w:val="20"/>
          <w:lang w:val="en-US"/>
        </w:rPr>
        <w:t>AIDS</w:t>
      </w:r>
      <w:r w:rsidR="008E2262" w:rsidRPr="009F337B">
        <w:rPr>
          <w:i w:val="0"/>
          <w:szCs w:val="20"/>
          <w:lang w:val="en-US"/>
        </w:rPr>
        <w:t xml:space="preserve"> in Guatemala</w:t>
      </w:r>
      <w:r w:rsidRPr="009F337B">
        <w:rPr>
          <w:i w:val="0"/>
          <w:szCs w:val="20"/>
          <w:lang w:val="en-US"/>
        </w:rPr>
        <w:t>.</w:t>
      </w:r>
      <w:r w:rsidR="00383D9A" w:rsidRPr="009F337B">
        <w:rPr>
          <w:rStyle w:val="Refdenotaalpie"/>
          <w:i w:val="0"/>
          <w:iCs/>
          <w:lang w:val="en-US"/>
        </w:rPr>
        <w:footnoteReference w:id="49"/>
      </w:r>
    </w:p>
    <w:p w14:paraId="6355AA44" w14:textId="77777777" w:rsidR="00F8006A" w:rsidRPr="009F337B" w:rsidRDefault="00F8006A" w:rsidP="00F8006A">
      <w:pPr>
        <w:pStyle w:val="Estilo1"/>
        <w:tabs>
          <w:tab w:val="left" w:pos="709"/>
          <w:tab w:val="left" w:pos="1134"/>
        </w:tabs>
        <w:spacing w:after="0"/>
        <w:ind w:left="0" w:right="-4" w:firstLine="0"/>
        <w:rPr>
          <w:i w:val="0"/>
          <w:szCs w:val="20"/>
          <w:lang w:val="en-US"/>
        </w:rPr>
      </w:pPr>
    </w:p>
    <w:p w14:paraId="5EAA1A23" w14:textId="552F159D" w:rsidR="00383D9A" w:rsidRPr="009F337B" w:rsidRDefault="00E45FD7" w:rsidP="00593E37">
      <w:pPr>
        <w:pStyle w:val="Estilo1"/>
        <w:numPr>
          <w:ilvl w:val="0"/>
          <w:numId w:val="1"/>
        </w:numPr>
        <w:tabs>
          <w:tab w:val="left" w:pos="709"/>
          <w:tab w:val="left" w:pos="1134"/>
        </w:tabs>
        <w:spacing w:after="0"/>
        <w:ind w:left="0" w:right="-4" w:firstLine="0"/>
        <w:rPr>
          <w:i w:val="0"/>
          <w:szCs w:val="20"/>
          <w:lang w:val="en-US"/>
        </w:rPr>
      </w:pPr>
      <w:r w:rsidRPr="009F337B">
        <w:rPr>
          <w:i w:val="0"/>
          <w:szCs w:val="20"/>
          <w:lang w:val="en-US"/>
        </w:rPr>
        <w:t xml:space="preserve">Consequently, they asked </w:t>
      </w:r>
      <w:r w:rsidR="00AE5F9E" w:rsidRPr="009F337B">
        <w:rPr>
          <w:i w:val="0"/>
          <w:szCs w:val="20"/>
          <w:lang w:val="en-US"/>
        </w:rPr>
        <w:t xml:space="preserve">the </w:t>
      </w:r>
      <w:r w:rsidR="0016125F" w:rsidRPr="009F337B">
        <w:rPr>
          <w:i w:val="0"/>
          <w:szCs w:val="20"/>
          <w:lang w:val="en-US"/>
        </w:rPr>
        <w:t>Constitutional Court</w:t>
      </w:r>
      <w:r w:rsidR="00383D9A" w:rsidRPr="009F337B">
        <w:rPr>
          <w:i w:val="0"/>
          <w:szCs w:val="20"/>
          <w:lang w:val="en-US"/>
        </w:rPr>
        <w:t xml:space="preserve"> </w:t>
      </w:r>
      <w:r w:rsidRPr="009F337B">
        <w:rPr>
          <w:i w:val="0"/>
          <w:szCs w:val="20"/>
          <w:lang w:val="en-US"/>
        </w:rPr>
        <w:t>to decide the application for amparo as soon as possible</w:t>
      </w:r>
      <w:r w:rsidR="00CE41A1" w:rsidRPr="009F337B">
        <w:rPr>
          <w:i w:val="0"/>
          <w:szCs w:val="20"/>
          <w:lang w:val="en-US"/>
        </w:rPr>
        <w:t>;</w:t>
      </w:r>
      <w:r w:rsidRPr="009F337B">
        <w:rPr>
          <w:i w:val="0"/>
          <w:szCs w:val="20"/>
          <w:lang w:val="en-US"/>
        </w:rPr>
        <w:t xml:space="preserve"> to declare that the State was obliged to guarantee the life </w:t>
      </w:r>
      <w:r w:rsidR="00CC6A68" w:rsidRPr="009F337B">
        <w:rPr>
          <w:i w:val="0"/>
          <w:szCs w:val="20"/>
          <w:lang w:val="en-US"/>
        </w:rPr>
        <w:t xml:space="preserve">of the </w:t>
      </w:r>
      <w:r w:rsidR="00A00EE5" w:rsidRPr="009F337B">
        <w:rPr>
          <w:i w:val="0"/>
          <w:szCs w:val="20"/>
          <w:lang w:val="en-US"/>
        </w:rPr>
        <w:t>presumed</w:t>
      </w:r>
      <w:r w:rsidR="003C46A3" w:rsidRPr="009F337B">
        <w:rPr>
          <w:i w:val="0"/>
          <w:szCs w:val="20"/>
          <w:lang w:val="en-US"/>
        </w:rPr>
        <w:t xml:space="preserve"> victims</w:t>
      </w:r>
      <w:r w:rsidR="00383D9A" w:rsidRPr="009F337B">
        <w:rPr>
          <w:i w:val="0"/>
          <w:szCs w:val="20"/>
          <w:lang w:val="en-US"/>
        </w:rPr>
        <w:t xml:space="preserve"> </w:t>
      </w:r>
      <w:r w:rsidRPr="009F337B">
        <w:rPr>
          <w:i w:val="0"/>
          <w:szCs w:val="20"/>
          <w:lang w:val="en-US"/>
        </w:rPr>
        <w:t>by a policy of procurement and non-discriminat</w:t>
      </w:r>
      <w:r w:rsidR="00CE41A1" w:rsidRPr="009F337B">
        <w:rPr>
          <w:i w:val="0"/>
          <w:szCs w:val="20"/>
          <w:lang w:val="en-US"/>
        </w:rPr>
        <w:t>ory</w:t>
      </w:r>
      <w:r w:rsidRPr="009F337B">
        <w:rPr>
          <w:i w:val="0"/>
          <w:szCs w:val="20"/>
          <w:lang w:val="en-US"/>
        </w:rPr>
        <w:t xml:space="preserve">, systematic and daily distribution of the antiretroviral treatment, preferably high quality generic drugs that were available on the market, and to re-establish the legal situation of the </w:t>
      </w:r>
      <w:r w:rsidR="00CE41A1" w:rsidRPr="009F337B">
        <w:rPr>
          <w:i w:val="0"/>
          <w:szCs w:val="20"/>
          <w:lang w:val="en-US"/>
        </w:rPr>
        <w:t>applicant</w:t>
      </w:r>
      <w:r w:rsidRPr="009F337B">
        <w:rPr>
          <w:i w:val="0"/>
          <w:szCs w:val="20"/>
          <w:lang w:val="en-US"/>
        </w:rPr>
        <w:t>s, ordering their immediate access to health and to life by immediate care under emergency policies.</w:t>
      </w:r>
      <w:r w:rsidR="00383D9A" w:rsidRPr="009F337B">
        <w:rPr>
          <w:rStyle w:val="Refdenotaalpie"/>
          <w:i w:val="0"/>
          <w:lang w:val="en-US"/>
        </w:rPr>
        <w:footnoteReference w:id="50"/>
      </w:r>
      <w:r w:rsidRPr="009F337B">
        <w:rPr>
          <w:i w:val="0"/>
          <w:szCs w:val="20"/>
          <w:lang w:val="en-US"/>
        </w:rPr>
        <w:t xml:space="preserve"> In response to the application, on August 1, 2002, the </w:t>
      </w:r>
      <w:r w:rsidR="00AE5F9E" w:rsidRPr="009F337B">
        <w:rPr>
          <w:i w:val="0"/>
          <w:szCs w:val="20"/>
          <w:lang w:val="en-US"/>
        </w:rPr>
        <w:t>President</w:t>
      </w:r>
      <w:r w:rsidR="00383D9A" w:rsidRPr="009F337B">
        <w:rPr>
          <w:i w:val="0"/>
          <w:szCs w:val="20"/>
          <w:lang w:val="en-US"/>
        </w:rPr>
        <w:t xml:space="preserve"> </w:t>
      </w:r>
      <w:r w:rsidR="008E2262" w:rsidRPr="009F337B">
        <w:rPr>
          <w:i w:val="0"/>
          <w:szCs w:val="20"/>
          <w:lang w:val="en-US"/>
        </w:rPr>
        <w:t>of the Republic</w:t>
      </w:r>
      <w:r w:rsidRPr="009F337B">
        <w:rPr>
          <w:i w:val="0"/>
          <w:szCs w:val="20"/>
          <w:lang w:val="en-US"/>
        </w:rPr>
        <w:t xml:space="preserve"> at the time submitted a brief to </w:t>
      </w:r>
      <w:r w:rsidR="00AE5F9E" w:rsidRPr="009F337B">
        <w:rPr>
          <w:i w:val="0"/>
          <w:szCs w:val="20"/>
          <w:lang w:val="en-US"/>
        </w:rPr>
        <w:t xml:space="preserve">the </w:t>
      </w:r>
      <w:r w:rsidR="0016125F" w:rsidRPr="009F337B">
        <w:rPr>
          <w:i w:val="0"/>
          <w:szCs w:val="20"/>
          <w:lang w:val="en-US"/>
        </w:rPr>
        <w:t>Constitutional Court</w:t>
      </w:r>
      <w:r w:rsidR="00383D9A" w:rsidRPr="009F337B">
        <w:rPr>
          <w:i w:val="0"/>
          <w:szCs w:val="20"/>
          <w:lang w:val="en-US"/>
        </w:rPr>
        <w:t xml:space="preserve">. </w:t>
      </w:r>
      <w:r w:rsidRPr="009F337B">
        <w:rPr>
          <w:i w:val="0"/>
          <w:szCs w:val="20"/>
          <w:lang w:val="en-US"/>
        </w:rPr>
        <w:t xml:space="preserve">He indicated that, in the case, “there was no evidence of any links between the applicants and the grievance denounced […] in which it appears that a </w:t>
      </w:r>
      <w:r w:rsidR="001A53AE" w:rsidRPr="009F337B">
        <w:rPr>
          <w:i w:val="0"/>
          <w:szCs w:val="20"/>
          <w:lang w:val="en-US"/>
        </w:rPr>
        <w:t>popular cause is being invoked that can never be debated by means of an application for amparo</w:t>
      </w:r>
      <w:r w:rsidR="00CE41A1" w:rsidRPr="009F337B">
        <w:rPr>
          <w:i w:val="0"/>
          <w:szCs w:val="20"/>
          <w:lang w:val="en-US"/>
        </w:rPr>
        <w:t>,</w:t>
      </w:r>
      <w:r w:rsidR="001A53AE" w:rsidRPr="009F337B">
        <w:rPr>
          <w:i w:val="0"/>
          <w:szCs w:val="20"/>
          <w:lang w:val="en-US"/>
        </w:rPr>
        <w:t>” and requested that the constitutional application for amparo be declared inadmissible and the applicants be required to pay the legal costs.</w:t>
      </w:r>
      <w:r w:rsidR="00383D9A" w:rsidRPr="009F337B">
        <w:rPr>
          <w:rStyle w:val="Refdenotaalpie"/>
          <w:i w:val="0"/>
          <w:iCs/>
          <w:lang w:val="en-US"/>
        </w:rPr>
        <w:footnoteReference w:id="51"/>
      </w:r>
    </w:p>
    <w:p w14:paraId="20536480" w14:textId="77777777" w:rsidR="00F8006A" w:rsidRPr="009F337B" w:rsidRDefault="00F8006A" w:rsidP="00F8006A">
      <w:pPr>
        <w:pStyle w:val="Estilo1"/>
        <w:tabs>
          <w:tab w:val="left" w:pos="709"/>
          <w:tab w:val="left" w:pos="1134"/>
        </w:tabs>
        <w:spacing w:after="0"/>
        <w:ind w:left="0" w:right="-4" w:firstLine="0"/>
        <w:rPr>
          <w:i w:val="0"/>
          <w:szCs w:val="20"/>
          <w:lang w:val="en-US"/>
        </w:rPr>
      </w:pPr>
    </w:p>
    <w:p w14:paraId="7B0EC10D" w14:textId="526B98E4" w:rsidR="00383D9A" w:rsidRPr="009F337B" w:rsidRDefault="001A53AE" w:rsidP="00593E37">
      <w:pPr>
        <w:pStyle w:val="Estilo1"/>
        <w:numPr>
          <w:ilvl w:val="0"/>
          <w:numId w:val="1"/>
        </w:numPr>
        <w:tabs>
          <w:tab w:val="left" w:pos="709"/>
          <w:tab w:val="left" w:pos="1134"/>
        </w:tabs>
        <w:spacing w:after="0"/>
        <w:ind w:left="0" w:right="-4" w:firstLine="0"/>
        <w:rPr>
          <w:i w:val="0"/>
          <w:szCs w:val="20"/>
          <w:lang w:val="en-US"/>
        </w:rPr>
      </w:pPr>
      <w:r w:rsidRPr="009F337B">
        <w:rPr>
          <w:i w:val="0"/>
          <w:szCs w:val="20"/>
          <w:lang w:val="en-US"/>
        </w:rPr>
        <w:t>On</w:t>
      </w:r>
      <w:r w:rsidR="00383D9A" w:rsidRPr="009F337B">
        <w:rPr>
          <w:i w:val="0"/>
          <w:szCs w:val="20"/>
          <w:lang w:val="en-US"/>
        </w:rPr>
        <w:t xml:space="preserve"> </w:t>
      </w:r>
      <w:r w:rsidRPr="009F337B">
        <w:rPr>
          <w:i w:val="0"/>
          <w:szCs w:val="20"/>
          <w:lang w:val="en-US"/>
        </w:rPr>
        <w:t>October 10,</w:t>
      </w:r>
      <w:r w:rsidR="00383D9A" w:rsidRPr="009F337B">
        <w:rPr>
          <w:i w:val="0"/>
          <w:szCs w:val="20"/>
          <w:lang w:val="en-US"/>
        </w:rPr>
        <w:t xml:space="preserve"> 2002, </w:t>
      </w:r>
      <w:r w:rsidRPr="009F337B">
        <w:rPr>
          <w:i w:val="0"/>
          <w:szCs w:val="20"/>
          <w:lang w:val="en-US"/>
        </w:rPr>
        <w:t xml:space="preserve">the </w:t>
      </w:r>
      <w:r w:rsidRPr="009F337B">
        <w:rPr>
          <w:i w:val="0"/>
          <w:szCs w:val="16"/>
          <w:lang w:val="en-US"/>
        </w:rPr>
        <w:t>General Directorate for Health Regula</w:t>
      </w:r>
      <w:r w:rsidR="00A26941" w:rsidRPr="009F337B">
        <w:rPr>
          <w:i w:val="0"/>
          <w:szCs w:val="16"/>
          <w:lang w:val="en-US"/>
        </w:rPr>
        <w:t>t</w:t>
      </w:r>
      <w:r w:rsidRPr="009F337B">
        <w:rPr>
          <w:i w:val="0"/>
          <w:szCs w:val="16"/>
          <w:lang w:val="en-US"/>
        </w:rPr>
        <w:t>ion, Monitoring and Control</w:t>
      </w:r>
      <w:r w:rsidRPr="009F337B">
        <w:rPr>
          <w:szCs w:val="16"/>
          <w:lang w:val="en-US"/>
        </w:rPr>
        <w:t xml:space="preserve"> </w:t>
      </w:r>
      <w:r w:rsidRPr="009F337B">
        <w:rPr>
          <w:i w:val="0"/>
          <w:szCs w:val="20"/>
          <w:lang w:val="en-US"/>
        </w:rPr>
        <w:t>(</w:t>
      </w:r>
      <w:r w:rsidR="00AE5F9E" w:rsidRPr="009F337B">
        <w:rPr>
          <w:i w:val="0"/>
          <w:szCs w:val="20"/>
          <w:lang w:val="en-US"/>
        </w:rPr>
        <w:t>hereinafter</w:t>
      </w:r>
      <w:r w:rsidR="00383D9A" w:rsidRPr="009F337B">
        <w:rPr>
          <w:i w:val="0"/>
          <w:szCs w:val="20"/>
          <w:lang w:val="en-US"/>
        </w:rPr>
        <w:t xml:space="preserve"> “DGRVC”), </w:t>
      </w:r>
      <w:r w:rsidRPr="009F337B">
        <w:rPr>
          <w:i w:val="0"/>
          <w:szCs w:val="20"/>
          <w:lang w:val="en-US"/>
        </w:rPr>
        <w:t>sent a communication to</w:t>
      </w:r>
      <w:r w:rsidR="00383D9A" w:rsidRPr="009F337B">
        <w:rPr>
          <w:i w:val="0"/>
          <w:szCs w:val="20"/>
          <w:lang w:val="en-US"/>
        </w:rPr>
        <w:t xml:space="preserve"> </w:t>
      </w:r>
      <w:r w:rsidR="00AE5F9E" w:rsidRPr="009F337B">
        <w:rPr>
          <w:i w:val="0"/>
          <w:szCs w:val="20"/>
          <w:lang w:val="en-US"/>
        </w:rPr>
        <w:t xml:space="preserve">the </w:t>
      </w:r>
      <w:r w:rsidR="0016125F" w:rsidRPr="009F337B">
        <w:rPr>
          <w:i w:val="0"/>
          <w:szCs w:val="20"/>
          <w:lang w:val="en-US"/>
        </w:rPr>
        <w:t>Constitutional Court</w:t>
      </w:r>
      <w:r w:rsidR="00383D9A" w:rsidRPr="009F337B">
        <w:rPr>
          <w:i w:val="0"/>
          <w:szCs w:val="20"/>
          <w:lang w:val="en-US"/>
        </w:rPr>
        <w:t xml:space="preserve"> </w:t>
      </w:r>
      <w:r w:rsidRPr="009F337B">
        <w:rPr>
          <w:i w:val="0"/>
          <w:szCs w:val="20"/>
          <w:lang w:val="en-US"/>
        </w:rPr>
        <w:t xml:space="preserve">advising that, on August 20, </w:t>
      </w:r>
      <w:r w:rsidR="00383D9A" w:rsidRPr="009F337B">
        <w:rPr>
          <w:i w:val="0"/>
          <w:szCs w:val="20"/>
          <w:lang w:val="en-US"/>
        </w:rPr>
        <w:t xml:space="preserve">2002, </w:t>
      </w:r>
      <w:r w:rsidR="00AE5F9E" w:rsidRPr="009F337B">
        <w:rPr>
          <w:i w:val="0"/>
          <w:szCs w:val="20"/>
          <w:lang w:val="en-US"/>
        </w:rPr>
        <w:t>the President</w:t>
      </w:r>
      <w:r w:rsidR="00383D9A" w:rsidRPr="009F337B">
        <w:rPr>
          <w:i w:val="0"/>
          <w:szCs w:val="20"/>
          <w:lang w:val="en-US"/>
        </w:rPr>
        <w:t xml:space="preserve"> </w:t>
      </w:r>
      <w:r w:rsidR="008E2262" w:rsidRPr="009F337B">
        <w:rPr>
          <w:i w:val="0"/>
          <w:szCs w:val="20"/>
          <w:lang w:val="en-US"/>
        </w:rPr>
        <w:t>of the Republic</w:t>
      </w:r>
      <w:r w:rsidR="00383D9A" w:rsidRPr="009F337B">
        <w:rPr>
          <w:i w:val="0"/>
          <w:szCs w:val="20"/>
          <w:lang w:val="en-US"/>
        </w:rPr>
        <w:t xml:space="preserve"> </w:t>
      </w:r>
      <w:r w:rsidRPr="009F337B">
        <w:rPr>
          <w:i w:val="0"/>
          <w:szCs w:val="20"/>
          <w:lang w:val="en-US"/>
        </w:rPr>
        <w:t xml:space="preserve">had held a meeting with the Minister of Health and the President of </w:t>
      </w:r>
      <w:r w:rsidR="00383D9A" w:rsidRPr="009F337B">
        <w:rPr>
          <w:i w:val="0"/>
          <w:szCs w:val="20"/>
          <w:lang w:val="en-US"/>
        </w:rPr>
        <w:t xml:space="preserve">ACSLCS, </w:t>
      </w:r>
      <w:r w:rsidRPr="009F337B">
        <w:rPr>
          <w:i w:val="0"/>
          <w:szCs w:val="20"/>
          <w:lang w:val="en-US"/>
        </w:rPr>
        <w:t xml:space="preserve">during which he authorized a special </w:t>
      </w:r>
      <w:r w:rsidR="008F4D37" w:rsidRPr="009F337B">
        <w:rPr>
          <w:i w:val="0"/>
          <w:szCs w:val="20"/>
          <w:lang w:val="en-US"/>
        </w:rPr>
        <w:t>appropriation</w:t>
      </w:r>
      <w:r w:rsidRPr="009F337B">
        <w:rPr>
          <w:i w:val="0"/>
          <w:szCs w:val="20"/>
          <w:lang w:val="en-US"/>
        </w:rPr>
        <w:t xml:space="preserve"> of </w:t>
      </w:r>
      <w:r w:rsidR="00383D9A" w:rsidRPr="009F337B">
        <w:rPr>
          <w:i w:val="0"/>
          <w:szCs w:val="20"/>
          <w:lang w:val="en-US"/>
        </w:rPr>
        <w:t>500,000.00 quetzals “</w:t>
      </w:r>
      <w:r w:rsidRPr="009F337B">
        <w:rPr>
          <w:i w:val="0"/>
          <w:szCs w:val="20"/>
          <w:lang w:val="en-US"/>
        </w:rPr>
        <w:t>to meet the requirements of people living with</w:t>
      </w:r>
      <w:r w:rsidR="00383D9A" w:rsidRPr="009F337B">
        <w:rPr>
          <w:i w:val="0"/>
          <w:szCs w:val="20"/>
          <w:lang w:val="en-US"/>
        </w:rPr>
        <w:t xml:space="preserve"> </w:t>
      </w:r>
      <w:r w:rsidR="00CA11F6" w:rsidRPr="009F337B">
        <w:rPr>
          <w:i w:val="0"/>
          <w:szCs w:val="20"/>
          <w:lang w:val="en-US"/>
        </w:rPr>
        <w:t>HIV/AIDS</w:t>
      </w:r>
      <w:r w:rsidRPr="009F337B">
        <w:rPr>
          <w:i w:val="0"/>
          <w:szCs w:val="20"/>
          <w:lang w:val="en-US"/>
        </w:rPr>
        <w:t>.</w:t>
      </w:r>
      <w:r w:rsidR="00383D9A" w:rsidRPr="009F337B">
        <w:rPr>
          <w:i w:val="0"/>
          <w:szCs w:val="20"/>
          <w:lang w:val="en-US"/>
        </w:rPr>
        <w:t xml:space="preserve">” </w:t>
      </w:r>
      <w:r w:rsidRPr="009F337B">
        <w:rPr>
          <w:i w:val="0"/>
          <w:szCs w:val="20"/>
          <w:lang w:val="en-US"/>
        </w:rPr>
        <w:t>The</w:t>
      </w:r>
      <w:r w:rsidR="00383D9A" w:rsidRPr="009F337B">
        <w:rPr>
          <w:i w:val="0"/>
          <w:szCs w:val="20"/>
          <w:lang w:val="en-US"/>
        </w:rPr>
        <w:t xml:space="preserve"> DGRVC </w:t>
      </w:r>
      <w:r w:rsidRPr="009F337B">
        <w:rPr>
          <w:i w:val="0"/>
          <w:szCs w:val="20"/>
          <w:lang w:val="en-US"/>
        </w:rPr>
        <w:t xml:space="preserve">advised that this </w:t>
      </w:r>
      <w:r w:rsidR="008F4D37" w:rsidRPr="009F337B">
        <w:rPr>
          <w:i w:val="0"/>
          <w:szCs w:val="20"/>
          <w:lang w:val="en-US"/>
        </w:rPr>
        <w:t>appropriation</w:t>
      </w:r>
      <w:r w:rsidRPr="009F337B">
        <w:rPr>
          <w:i w:val="0"/>
          <w:szCs w:val="20"/>
          <w:lang w:val="en-US"/>
        </w:rPr>
        <w:t xml:space="preserve"> had been transferred by the</w:t>
      </w:r>
      <w:r w:rsidR="00383D9A" w:rsidRPr="009F337B">
        <w:rPr>
          <w:i w:val="0"/>
          <w:szCs w:val="20"/>
          <w:lang w:val="en-US"/>
        </w:rPr>
        <w:t xml:space="preserve"> </w:t>
      </w:r>
      <w:r w:rsidR="00801AB2" w:rsidRPr="009F337B">
        <w:rPr>
          <w:i w:val="0"/>
          <w:szCs w:val="20"/>
          <w:lang w:val="en-US"/>
        </w:rPr>
        <w:t>Ministry of Finance</w:t>
      </w:r>
      <w:r w:rsidR="00383D9A" w:rsidRPr="009F337B">
        <w:rPr>
          <w:i w:val="0"/>
          <w:szCs w:val="20"/>
          <w:lang w:val="en-US"/>
        </w:rPr>
        <w:t xml:space="preserve"> </w:t>
      </w:r>
      <w:r w:rsidRPr="009F337B">
        <w:rPr>
          <w:i w:val="0"/>
          <w:szCs w:val="20"/>
          <w:lang w:val="en-US"/>
        </w:rPr>
        <w:t>to the</w:t>
      </w:r>
      <w:r w:rsidR="00383D9A" w:rsidRPr="009F337B">
        <w:rPr>
          <w:i w:val="0"/>
          <w:szCs w:val="20"/>
          <w:lang w:val="en-US"/>
        </w:rPr>
        <w:t xml:space="preserve"> </w:t>
      </w:r>
      <w:r w:rsidR="00926020" w:rsidRPr="009F337B">
        <w:rPr>
          <w:i w:val="0"/>
          <w:szCs w:val="20"/>
          <w:lang w:val="en-US"/>
        </w:rPr>
        <w:t>Ministry of Health</w:t>
      </w:r>
      <w:r w:rsidR="00383D9A" w:rsidRPr="009F337B">
        <w:rPr>
          <w:i w:val="0"/>
          <w:szCs w:val="20"/>
          <w:lang w:val="en-US"/>
        </w:rPr>
        <w:t xml:space="preserve"> </w:t>
      </w:r>
      <w:r w:rsidRPr="009F337B">
        <w:rPr>
          <w:i w:val="0"/>
          <w:szCs w:val="20"/>
          <w:lang w:val="en-US"/>
        </w:rPr>
        <w:t>on September</w:t>
      </w:r>
      <w:r w:rsidR="00383D9A" w:rsidRPr="009F337B">
        <w:rPr>
          <w:i w:val="0"/>
          <w:szCs w:val="20"/>
          <w:lang w:val="en-US"/>
        </w:rPr>
        <w:t xml:space="preserve"> 2</w:t>
      </w:r>
      <w:r w:rsidRPr="009F337B">
        <w:rPr>
          <w:i w:val="0"/>
          <w:szCs w:val="20"/>
          <w:lang w:val="en-US"/>
        </w:rPr>
        <w:t xml:space="preserve">, </w:t>
      </w:r>
      <w:r w:rsidR="00383D9A" w:rsidRPr="009F337B">
        <w:rPr>
          <w:i w:val="0"/>
          <w:szCs w:val="20"/>
          <w:lang w:val="en-US"/>
        </w:rPr>
        <w:t>2002</w:t>
      </w:r>
      <w:r w:rsidR="00383D9A" w:rsidRPr="009F337B">
        <w:rPr>
          <w:rFonts w:eastAsia="Verdana" w:cs="Cambria"/>
          <w:i w:val="0"/>
          <w:color w:val="000000"/>
          <w:szCs w:val="20"/>
          <w:u w:color="000000"/>
          <w:lang w:val="en-US" w:eastAsia="x-none"/>
        </w:rPr>
        <w:t xml:space="preserve">, </w:t>
      </w:r>
      <w:r w:rsidR="00A26941" w:rsidRPr="009F337B">
        <w:rPr>
          <w:rFonts w:eastAsia="Verdana" w:cs="Cambria"/>
          <w:i w:val="0"/>
          <w:color w:val="000000"/>
          <w:szCs w:val="20"/>
          <w:u w:color="000000"/>
          <w:lang w:val="en-US" w:eastAsia="x-none"/>
        </w:rPr>
        <w:t xml:space="preserve">for </w:t>
      </w:r>
      <w:r w:rsidR="00CE41A1" w:rsidRPr="009F337B">
        <w:rPr>
          <w:rFonts w:eastAsia="Verdana" w:cs="Cambria"/>
          <w:i w:val="0"/>
          <w:color w:val="000000"/>
          <w:szCs w:val="20"/>
          <w:u w:color="000000"/>
          <w:lang w:val="en-US" w:eastAsia="x-none"/>
        </w:rPr>
        <w:t xml:space="preserve">the </w:t>
      </w:r>
      <w:r w:rsidR="00A26941" w:rsidRPr="009F337B">
        <w:rPr>
          <w:rFonts w:eastAsia="Verdana" w:cs="Cambria"/>
          <w:i w:val="0"/>
          <w:color w:val="000000"/>
          <w:szCs w:val="20"/>
          <w:u w:color="000000"/>
          <w:lang w:val="en-US" w:eastAsia="x-none"/>
        </w:rPr>
        <w:t>treatment of 80 adults and 80 children.</w:t>
      </w:r>
      <w:r w:rsidR="00383D9A" w:rsidRPr="009F337B">
        <w:rPr>
          <w:rStyle w:val="Refdenotaalpie"/>
          <w:i w:val="0"/>
          <w:lang w:val="en-US"/>
        </w:rPr>
        <w:footnoteReference w:id="52"/>
      </w:r>
      <w:r w:rsidR="00A26941" w:rsidRPr="009F337B">
        <w:rPr>
          <w:i w:val="0"/>
          <w:szCs w:val="20"/>
          <w:lang w:val="en-US"/>
        </w:rPr>
        <w:t xml:space="preserve"> In this regard, on October 29, </w:t>
      </w:r>
      <w:r w:rsidR="00383D9A" w:rsidRPr="009F337B">
        <w:rPr>
          <w:i w:val="0"/>
          <w:szCs w:val="20"/>
          <w:lang w:val="en-US"/>
        </w:rPr>
        <w:t xml:space="preserve">2002, </w:t>
      </w:r>
      <w:r w:rsidR="00A26941" w:rsidRPr="009F337B">
        <w:rPr>
          <w:i w:val="0"/>
          <w:szCs w:val="20"/>
          <w:lang w:val="en-US"/>
        </w:rPr>
        <w:t xml:space="preserve">the </w:t>
      </w:r>
      <w:r w:rsidR="00CE41A1" w:rsidRPr="009F337B">
        <w:rPr>
          <w:i w:val="0"/>
          <w:szCs w:val="20"/>
          <w:lang w:val="en-US"/>
        </w:rPr>
        <w:t>applicants</w:t>
      </w:r>
      <w:r w:rsidR="00A26941" w:rsidRPr="009F337B">
        <w:rPr>
          <w:i w:val="0"/>
          <w:szCs w:val="20"/>
          <w:lang w:val="en-US"/>
        </w:rPr>
        <w:t xml:space="preserve"> indicated, as arguments during a hearing, that it was true that</w:t>
      </w:r>
      <w:r w:rsidR="00AE5F9E" w:rsidRPr="009F337B">
        <w:rPr>
          <w:i w:val="0"/>
          <w:szCs w:val="20"/>
          <w:lang w:val="en-US"/>
        </w:rPr>
        <w:t xml:space="preserve"> the President</w:t>
      </w:r>
      <w:r w:rsidR="00383D9A" w:rsidRPr="009F337B">
        <w:rPr>
          <w:i w:val="0"/>
          <w:szCs w:val="20"/>
          <w:lang w:val="en-US"/>
        </w:rPr>
        <w:t xml:space="preserve"> </w:t>
      </w:r>
      <w:r w:rsidR="00A26941" w:rsidRPr="009F337B">
        <w:rPr>
          <w:i w:val="0"/>
          <w:szCs w:val="20"/>
          <w:lang w:val="en-US"/>
        </w:rPr>
        <w:t>of</w:t>
      </w:r>
      <w:r w:rsidR="00383D9A" w:rsidRPr="009F337B">
        <w:rPr>
          <w:i w:val="0"/>
          <w:szCs w:val="20"/>
          <w:lang w:val="en-US"/>
        </w:rPr>
        <w:t xml:space="preserve"> Guatemala</w:t>
      </w:r>
      <w:r w:rsidR="00A26941" w:rsidRPr="009F337B">
        <w:rPr>
          <w:i w:val="0"/>
          <w:szCs w:val="20"/>
          <w:lang w:val="en-US"/>
        </w:rPr>
        <w:t xml:space="preserve"> </w:t>
      </w:r>
      <w:r w:rsidR="00CE41A1" w:rsidRPr="009F337B">
        <w:rPr>
          <w:i w:val="0"/>
          <w:szCs w:val="20"/>
          <w:lang w:val="en-US"/>
        </w:rPr>
        <w:t>had been</w:t>
      </w:r>
      <w:r w:rsidR="00A26941" w:rsidRPr="009F337B">
        <w:rPr>
          <w:i w:val="0"/>
          <w:szCs w:val="20"/>
          <w:lang w:val="en-US"/>
        </w:rPr>
        <w:t xml:space="preserve"> willing to respond to the requests made in the initial application, owing to which </w:t>
      </w:r>
      <w:r w:rsidR="00383D9A" w:rsidRPr="009F337B">
        <w:rPr>
          <w:i w:val="0"/>
          <w:szCs w:val="20"/>
          <w:lang w:val="en-US"/>
        </w:rPr>
        <w:t>500,000.00 quetzals</w:t>
      </w:r>
      <w:r w:rsidR="00A26941" w:rsidRPr="009F337B">
        <w:rPr>
          <w:i w:val="0"/>
          <w:szCs w:val="20"/>
          <w:lang w:val="en-US"/>
        </w:rPr>
        <w:t xml:space="preserve"> had been allocated to treat people with </w:t>
      </w:r>
      <w:r w:rsidR="00CA11F6" w:rsidRPr="009F337B">
        <w:rPr>
          <w:i w:val="0"/>
          <w:szCs w:val="20"/>
          <w:lang w:val="en-US"/>
        </w:rPr>
        <w:t>HIV/AIDS</w:t>
      </w:r>
      <w:r w:rsidR="00383D9A" w:rsidRPr="009F337B">
        <w:rPr>
          <w:i w:val="0"/>
          <w:szCs w:val="20"/>
          <w:lang w:val="en-US"/>
        </w:rPr>
        <w:t xml:space="preserve">. </w:t>
      </w:r>
      <w:r w:rsidR="00AE56AF" w:rsidRPr="009F337B">
        <w:rPr>
          <w:i w:val="0"/>
          <w:szCs w:val="20"/>
          <w:lang w:val="en-US"/>
        </w:rPr>
        <w:t>Nevertheless</w:t>
      </w:r>
      <w:r w:rsidR="00A26941" w:rsidRPr="009F337B">
        <w:rPr>
          <w:i w:val="0"/>
          <w:szCs w:val="20"/>
          <w:lang w:val="en-US"/>
        </w:rPr>
        <w:t>, they asserted that “the re</w:t>
      </w:r>
      <w:r w:rsidR="006B190D" w:rsidRPr="009F337B">
        <w:rPr>
          <w:i w:val="0"/>
          <w:szCs w:val="20"/>
          <w:lang w:val="en-US"/>
        </w:rPr>
        <w:t>asons why</w:t>
      </w:r>
      <w:r w:rsidR="00A26941" w:rsidRPr="009F337B">
        <w:rPr>
          <w:i w:val="0"/>
          <w:szCs w:val="20"/>
          <w:lang w:val="en-US"/>
        </w:rPr>
        <w:t xml:space="preserve"> the application for amparo</w:t>
      </w:r>
      <w:r w:rsidR="006B190D" w:rsidRPr="009F337B">
        <w:rPr>
          <w:i w:val="0"/>
          <w:szCs w:val="20"/>
          <w:lang w:val="en-US"/>
        </w:rPr>
        <w:t xml:space="preserve"> was filed</w:t>
      </w:r>
      <w:r w:rsidR="00A26941" w:rsidRPr="009F337B">
        <w:rPr>
          <w:i w:val="0"/>
          <w:szCs w:val="20"/>
          <w:lang w:val="en-US"/>
        </w:rPr>
        <w:t xml:space="preserve"> subsist because</w:t>
      </w:r>
      <w:r w:rsidR="006B190D" w:rsidRPr="009F337B">
        <w:rPr>
          <w:i w:val="0"/>
          <w:szCs w:val="20"/>
          <w:lang w:val="en-US"/>
        </w:rPr>
        <w:t>,</w:t>
      </w:r>
      <w:r w:rsidR="00A26941" w:rsidRPr="009F337B">
        <w:rPr>
          <w:i w:val="0"/>
          <w:szCs w:val="20"/>
          <w:lang w:val="en-US"/>
        </w:rPr>
        <w:t xml:space="preserve"> although it is true that the money has been deposited, for one reason or another it has not been possible to start the antiretroviral treatment for the people living with </w:t>
      </w:r>
      <w:r w:rsidR="00CA11F6" w:rsidRPr="009F337B">
        <w:rPr>
          <w:i w:val="0"/>
          <w:szCs w:val="20"/>
          <w:lang w:val="en-US"/>
        </w:rPr>
        <w:t>HIV/AIDS</w:t>
      </w:r>
      <w:r w:rsidR="00383D9A" w:rsidRPr="009F337B">
        <w:rPr>
          <w:i w:val="0"/>
          <w:szCs w:val="20"/>
          <w:lang w:val="en-US"/>
        </w:rPr>
        <w:t>”</w:t>
      </w:r>
      <w:r w:rsidR="00A26941" w:rsidRPr="009F337B">
        <w:rPr>
          <w:i w:val="0"/>
          <w:szCs w:val="20"/>
          <w:lang w:val="en-US"/>
        </w:rPr>
        <w:t xml:space="preserve"> and, therefore, the State had not complied</w:t>
      </w:r>
      <w:r w:rsidR="00DF07D1" w:rsidRPr="009F337B">
        <w:rPr>
          <w:i w:val="0"/>
          <w:szCs w:val="20"/>
          <w:lang w:val="en-US"/>
        </w:rPr>
        <w:t xml:space="preserve"> with its constitutional obligation to treat all those living with that diagnosis, because it was only providing treatment to 27 of them.</w:t>
      </w:r>
      <w:r w:rsidR="00383D9A" w:rsidRPr="009F337B">
        <w:rPr>
          <w:rStyle w:val="Refdenotaalpie"/>
          <w:i w:val="0"/>
          <w:lang w:val="en-US"/>
        </w:rPr>
        <w:footnoteReference w:id="53"/>
      </w:r>
    </w:p>
    <w:p w14:paraId="6FF4BBFA" w14:textId="77777777" w:rsidR="00F8006A" w:rsidRPr="009F337B" w:rsidRDefault="00F8006A" w:rsidP="00F8006A">
      <w:pPr>
        <w:pStyle w:val="Estilo1"/>
        <w:tabs>
          <w:tab w:val="left" w:pos="709"/>
          <w:tab w:val="left" w:pos="1134"/>
        </w:tabs>
        <w:spacing w:after="0"/>
        <w:ind w:left="0" w:right="-4" w:firstLine="0"/>
        <w:rPr>
          <w:i w:val="0"/>
          <w:szCs w:val="20"/>
          <w:lang w:val="en-US"/>
        </w:rPr>
      </w:pPr>
    </w:p>
    <w:p w14:paraId="00110F68" w14:textId="2A5DE0C7" w:rsidR="00383D9A" w:rsidRPr="009F337B" w:rsidRDefault="00705335" w:rsidP="00593E37">
      <w:pPr>
        <w:pStyle w:val="Estilo1"/>
        <w:numPr>
          <w:ilvl w:val="0"/>
          <w:numId w:val="1"/>
        </w:numPr>
        <w:tabs>
          <w:tab w:val="left" w:pos="709"/>
          <w:tab w:val="left" w:pos="1134"/>
        </w:tabs>
        <w:spacing w:after="0"/>
        <w:ind w:left="0" w:right="-4" w:firstLine="0"/>
        <w:rPr>
          <w:i w:val="0"/>
          <w:szCs w:val="20"/>
          <w:lang w:val="en-US"/>
        </w:rPr>
      </w:pPr>
      <w:r w:rsidRPr="009F337B">
        <w:rPr>
          <w:i w:val="0"/>
          <w:szCs w:val="20"/>
          <w:lang w:val="en-US"/>
        </w:rPr>
        <w:t>In this regard,</w:t>
      </w:r>
      <w:r w:rsidR="00383D9A" w:rsidRPr="009F337B">
        <w:rPr>
          <w:i w:val="0"/>
          <w:szCs w:val="20"/>
          <w:lang w:val="en-US"/>
        </w:rPr>
        <w:t xml:space="preserve"> </w:t>
      </w:r>
      <w:r w:rsidRPr="009F337B">
        <w:rPr>
          <w:i w:val="0"/>
          <w:szCs w:val="20"/>
          <w:lang w:val="en-US"/>
        </w:rPr>
        <w:t xml:space="preserve">the applicants indicated that the State had accepted that it was unable to provide antiretroviral treatment to the approximately 4,000 persons living with HIV or who had developed AIDS, because this treatment cost between eight thousand and ten thousand quetzals (Q.8,000.00 and Q.10,000.00) a month, without including the </w:t>
      </w:r>
      <w:r w:rsidRPr="009F337B">
        <w:rPr>
          <w:i w:val="0"/>
          <w:szCs w:val="20"/>
          <w:lang w:val="en-US"/>
        </w:rPr>
        <w:lastRenderedPageBreak/>
        <w:t>expenses arising from the recurrent illnesses, which would result in an expenditure of around four hundred and eighty million quetzals (Q.480,000.000.00) each year to provide treatment to these people. They also asked the Constitutional Court to issue an</w:t>
      </w:r>
      <w:r w:rsidR="00AE56AF" w:rsidRPr="009F337B">
        <w:rPr>
          <w:i w:val="0"/>
          <w:szCs w:val="20"/>
          <w:lang w:val="en-US"/>
        </w:rPr>
        <w:t xml:space="preserve"> order </w:t>
      </w:r>
      <w:r w:rsidR="00FF43F1" w:rsidRPr="009F337B">
        <w:rPr>
          <w:i w:val="0"/>
          <w:szCs w:val="20"/>
          <w:lang w:val="en-US"/>
        </w:rPr>
        <w:t>requesting useful evidence</w:t>
      </w:r>
      <w:r w:rsidRPr="009F337B">
        <w:rPr>
          <w:i w:val="0"/>
          <w:szCs w:val="20"/>
          <w:lang w:val="en-US"/>
        </w:rPr>
        <w:t xml:space="preserve"> </w:t>
      </w:r>
      <w:r w:rsidR="00FF43F1" w:rsidRPr="009F337B">
        <w:rPr>
          <w:i w:val="0"/>
          <w:szCs w:val="20"/>
          <w:lang w:val="en-US"/>
        </w:rPr>
        <w:t xml:space="preserve">to </w:t>
      </w:r>
      <w:r w:rsidRPr="009F337B">
        <w:rPr>
          <w:i w:val="0"/>
          <w:szCs w:val="20"/>
          <w:lang w:val="en-US"/>
        </w:rPr>
        <w:t xml:space="preserve">ratify the connection that existed between the violation of the human rights in question and the applicants for amparo, because all of them were affected by the deficient medical care and the absence of antiretroviral treatment in their capacity as people living </w:t>
      </w:r>
      <w:r w:rsidR="00FF43F1" w:rsidRPr="009F337B">
        <w:rPr>
          <w:i w:val="0"/>
          <w:szCs w:val="20"/>
          <w:lang w:val="en-US"/>
        </w:rPr>
        <w:t>with</w:t>
      </w:r>
      <w:r w:rsidRPr="009F337B">
        <w:rPr>
          <w:i w:val="0"/>
          <w:szCs w:val="20"/>
          <w:lang w:val="en-US"/>
        </w:rPr>
        <w:t xml:space="preserve"> HIV/AIDS. Lastly, they asked the Constitutional Court to declare the application for amparo admissible and to order the State to enact public policies that guaranteed the collective right to life </w:t>
      </w:r>
      <w:r w:rsidR="00FF43F1" w:rsidRPr="009F337B">
        <w:rPr>
          <w:i w:val="0"/>
          <w:szCs w:val="20"/>
          <w:lang w:val="en-US"/>
        </w:rPr>
        <w:t>of</w:t>
      </w:r>
      <w:r w:rsidRPr="009F337B">
        <w:rPr>
          <w:i w:val="0"/>
          <w:szCs w:val="20"/>
          <w:lang w:val="en-US"/>
        </w:rPr>
        <w:t xml:space="preserve"> people living with HIV/AIDS and the distribution of antiretroviral drugs, without any discrimination, in the country’s hospitals and health centers.</w:t>
      </w:r>
      <w:r w:rsidR="00383D9A" w:rsidRPr="009F337B">
        <w:rPr>
          <w:rStyle w:val="Refdenotaalpie"/>
          <w:i w:val="0"/>
          <w:lang w:val="en-US"/>
        </w:rPr>
        <w:footnoteReference w:id="54"/>
      </w:r>
    </w:p>
    <w:p w14:paraId="4FCC52C9" w14:textId="77777777" w:rsidR="00F8006A" w:rsidRPr="009F337B" w:rsidRDefault="00F8006A" w:rsidP="00F8006A">
      <w:pPr>
        <w:pStyle w:val="Estilo1"/>
        <w:tabs>
          <w:tab w:val="left" w:pos="709"/>
          <w:tab w:val="left" w:pos="1134"/>
        </w:tabs>
        <w:spacing w:after="0"/>
        <w:ind w:left="0" w:right="-4" w:firstLine="0"/>
        <w:rPr>
          <w:i w:val="0"/>
          <w:szCs w:val="20"/>
          <w:lang w:val="en-US"/>
        </w:rPr>
      </w:pPr>
    </w:p>
    <w:p w14:paraId="4F5F839C" w14:textId="6E84F161" w:rsidR="00383D9A" w:rsidRPr="009F337B" w:rsidRDefault="003950C2" w:rsidP="00593E37">
      <w:pPr>
        <w:pStyle w:val="Estilo1"/>
        <w:numPr>
          <w:ilvl w:val="0"/>
          <w:numId w:val="1"/>
        </w:numPr>
        <w:tabs>
          <w:tab w:val="left" w:pos="709"/>
          <w:tab w:val="left" w:pos="1134"/>
        </w:tabs>
        <w:spacing w:after="0"/>
        <w:ind w:left="0" w:right="-4" w:firstLine="0"/>
        <w:rPr>
          <w:szCs w:val="20"/>
          <w:lang w:val="en-US"/>
        </w:rPr>
      </w:pPr>
      <w:r w:rsidRPr="009F337B">
        <w:rPr>
          <w:i w:val="0"/>
          <w:szCs w:val="20"/>
          <w:lang w:val="en-US"/>
        </w:rPr>
        <w:t>I</w:t>
      </w:r>
      <w:r w:rsidR="00705335" w:rsidRPr="009F337B">
        <w:rPr>
          <w:i w:val="0"/>
          <w:szCs w:val="20"/>
          <w:lang w:val="en-US"/>
        </w:rPr>
        <w:t>n a ruling of January</w:t>
      </w:r>
      <w:r w:rsidR="00383D9A" w:rsidRPr="009F337B">
        <w:rPr>
          <w:i w:val="0"/>
          <w:szCs w:val="20"/>
          <w:lang w:val="en-US"/>
        </w:rPr>
        <w:t xml:space="preserve"> 29</w:t>
      </w:r>
      <w:r w:rsidR="00705335" w:rsidRPr="009F337B">
        <w:rPr>
          <w:i w:val="0"/>
          <w:szCs w:val="20"/>
          <w:lang w:val="en-US"/>
        </w:rPr>
        <w:t xml:space="preserve">, </w:t>
      </w:r>
      <w:r w:rsidR="00383D9A" w:rsidRPr="009F337B">
        <w:rPr>
          <w:i w:val="0"/>
          <w:szCs w:val="20"/>
          <w:lang w:val="en-US"/>
        </w:rPr>
        <w:t xml:space="preserve">2003, </w:t>
      </w:r>
      <w:r w:rsidRPr="009F337B">
        <w:rPr>
          <w:i w:val="0"/>
          <w:szCs w:val="20"/>
          <w:lang w:val="en-US"/>
        </w:rPr>
        <w:t xml:space="preserve">the Constitutional Court </w:t>
      </w:r>
      <w:r w:rsidR="00383D9A" w:rsidRPr="009F337B">
        <w:rPr>
          <w:i w:val="0"/>
          <w:szCs w:val="20"/>
          <w:lang w:val="en-US"/>
        </w:rPr>
        <w:t>consider</w:t>
      </w:r>
      <w:r w:rsidR="00705335" w:rsidRPr="009F337B">
        <w:rPr>
          <w:i w:val="0"/>
          <w:szCs w:val="20"/>
          <w:lang w:val="en-US"/>
        </w:rPr>
        <w:t xml:space="preserve">ed that the applicants had accepted that the Constitutional President </w:t>
      </w:r>
      <w:r w:rsidR="00CC6A68" w:rsidRPr="009F337B">
        <w:rPr>
          <w:i w:val="0"/>
          <w:szCs w:val="20"/>
          <w:lang w:val="en-US"/>
        </w:rPr>
        <w:t xml:space="preserve">of the </w:t>
      </w:r>
      <w:r w:rsidR="003C46A3" w:rsidRPr="009F337B">
        <w:rPr>
          <w:i w:val="0"/>
          <w:szCs w:val="20"/>
          <w:lang w:val="en-US"/>
        </w:rPr>
        <w:t>Republic of</w:t>
      </w:r>
      <w:r w:rsidR="00383D9A" w:rsidRPr="009F337B">
        <w:rPr>
          <w:i w:val="0"/>
          <w:szCs w:val="20"/>
          <w:lang w:val="en-US"/>
        </w:rPr>
        <w:t xml:space="preserve"> Guatemala, </w:t>
      </w:r>
      <w:r w:rsidR="00705335" w:rsidRPr="009F337B">
        <w:rPr>
          <w:i w:val="0"/>
          <w:szCs w:val="20"/>
          <w:lang w:val="en-US"/>
        </w:rPr>
        <w:t>at a meeting on August</w:t>
      </w:r>
      <w:r w:rsidR="00383D9A" w:rsidRPr="009F337B">
        <w:rPr>
          <w:i w:val="0"/>
          <w:szCs w:val="20"/>
          <w:lang w:val="en-US"/>
        </w:rPr>
        <w:t xml:space="preserve"> </w:t>
      </w:r>
      <w:r w:rsidR="000B2998" w:rsidRPr="009F337B">
        <w:rPr>
          <w:i w:val="0"/>
          <w:szCs w:val="20"/>
          <w:lang w:val="en-US"/>
        </w:rPr>
        <w:t>20</w:t>
      </w:r>
      <w:r w:rsidR="00705335" w:rsidRPr="009F337B">
        <w:rPr>
          <w:i w:val="0"/>
          <w:szCs w:val="20"/>
          <w:lang w:val="en-US"/>
        </w:rPr>
        <w:t xml:space="preserve">, 2002, had received </w:t>
      </w:r>
      <w:r w:rsidR="007327F5" w:rsidRPr="009F337B">
        <w:rPr>
          <w:i w:val="0"/>
          <w:szCs w:val="20"/>
          <w:lang w:val="en-US"/>
        </w:rPr>
        <w:t>the</w:t>
      </w:r>
      <w:r w:rsidRPr="009F337B">
        <w:rPr>
          <w:i w:val="0"/>
          <w:szCs w:val="20"/>
          <w:lang w:val="en-US"/>
        </w:rPr>
        <w:t xml:space="preserve"> applicants’</w:t>
      </w:r>
      <w:r w:rsidR="007327F5" w:rsidRPr="009F337B">
        <w:rPr>
          <w:i w:val="0"/>
          <w:szCs w:val="20"/>
          <w:lang w:val="en-US"/>
        </w:rPr>
        <w:t xml:space="preserve"> representatives</w:t>
      </w:r>
      <w:r w:rsidR="00383D9A" w:rsidRPr="009F337B">
        <w:rPr>
          <w:i w:val="0"/>
          <w:szCs w:val="20"/>
          <w:lang w:val="en-US"/>
        </w:rPr>
        <w:t xml:space="preserve"> </w:t>
      </w:r>
      <w:r w:rsidR="00705335" w:rsidRPr="009F337B">
        <w:rPr>
          <w:i w:val="0"/>
          <w:szCs w:val="20"/>
          <w:lang w:val="en-US"/>
        </w:rPr>
        <w:t xml:space="preserve">and </w:t>
      </w:r>
      <w:r w:rsidRPr="009F337B">
        <w:rPr>
          <w:i w:val="0"/>
          <w:szCs w:val="20"/>
          <w:lang w:val="en-US"/>
        </w:rPr>
        <w:t xml:space="preserve">had </w:t>
      </w:r>
      <w:r w:rsidR="00705335" w:rsidRPr="009F337B">
        <w:rPr>
          <w:i w:val="0"/>
          <w:szCs w:val="20"/>
          <w:lang w:val="en-US"/>
        </w:rPr>
        <w:t xml:space="preserve">ordered the immediate transfer of a special </w:t>
      </w:r>
      <w:r w:rsidR="008F4D37" w:rsidRPr="009F337B">
        <w:rPr>
          <w:i w:val="0"/>
          <w:szCs w:val="20"/>
          <w:lang w:val="en-US"/>
        </w:rPr>
        <w:t>appropriation</w:t>
      </w:r>
      <w:r w:rsidR="00705335" w:rsidRPr="009F337B">
        <w:rPr>
          <w:i w:val="0"/>
          <w:szCs w:val="20"/>
          <w:lang w:val="en-US"/>
        </w:rPr>
        <w:t xml:space="preserve"> of five hundre</w:t>
      </w:r>
      <w:r w:rsidRPr="009F337B">
        <w:rPr>
          <w:i w:val="0"/>
          <w:szCs w:val="20"/>
          <w:lang w:val="en-US"/>
        </w:rPr>
        <w:t>d</w:t>
      </w:r>
      <w:r w:rsidR="00705335" w:rsidRPr="009F337B">
        <w:rPr>
          <w:i w:val="0"/>
          <w:szCs w:val="20"/>
          <w:lang w:val="en-US"/>
        </w:rPr>
        <w:t xml:space="preserve"> thousand quetzals </w:t>
      </w:r>
      <w:r w:rsidR="00383D9A" w:rsidRPr="009F337B">
        <w:rPr>
          <w:i w:val="0"/>
          <w:szCs w:val="20"/>
          <w:lang w:val="en-US"/>
        </w:rPr>
        <w:t xml:space="preserve">(Q.500,000.00) </w:t>
      </w:r>
      <w:r w:rsidR="00705335" w:rsidRPr="009F337B">
        <w:rPr>
          <w:i w:val="0"/>
          <w:szCs w:val="20"/>
          <w:lang w:val="en-US"/>
        </w:rPr>
        <w:t>for the treatment of people in need living with HIV/AIDS</w:t>
      </w:r>
      <w:r w:rsidRPr="009F337B">
        <w:rPr>
          <w:i w:val="0"/>
          <w:szCs w:val="20"/>
          <w:lang w:val="en-US"/>
        </w:rPr>
        <w:t xml:space="preserve"> for,</w:t>
      </w:r>
      <w:r w:rsidR="00705335" w:rsidRPr="009F337B">
        <w:rPr>
          <w:i w:val="0"/>
          <w:szCs w:val="20"/>
          <w:lang w:val="en-US"/>
        </w:rPr>
        <w:t xml:space="preserve"> at least</w:t>
      </w:r>
      <w:r w:rsidRPr="009F337B">
        <w:rPr>
          <w:i w:val="0"/>
          <w:szCs w:val="20"/>
          <w:lang w:val="en-US"/>
        </w:rPr>
        <w:t>,</w:t>
      </w:r>
      <w:r w:rsidR="00705335" w:rsidRPr="009F337B">
        <w:rPr>
          <w:i w:val="0"/>
          <w:szCs w:val="20"/>
          <w:lang w:val="en-US"/>
        </w:rPr>
        <w:t xml:space="preserve"> the last quarter of that year while the State developed a serious and committed policy </w:t>
      </w:r>
      <w:r w:rsidRPr="009F337B">
        <w:rPr>
          <w:i w:val="0"/>
          <w:szCs w:val="20"/>
          <w:lang w:val="en-US"/>
        </w:rPr>
        <w:t>in relation</w:t>
      </w:r>
      <w:r w:rsidR="00705335" w:rsidRPr="009F337B">
        <w:rPr>
          <w:i w:val="0"/>
          <w:szCs w:val="20"/>
          <w:lang w:val="en-US"/>
        </w:rPr>
        <w:t xml:space="preserve"> to the future situation of the applicants</w:t>
      </w:r>
      <w:r w:rsidR="00AC197D" w:rsidRPr="009F337B">
        <w:rPr>
          <w:i w:val="0"/>
          <w:szCs w:val="20"/>
          <w:lang w:val="en-US"/>
        </w:rPr>
        <w:t xml:space="preserve">, and that the said transfer had been made from the </w:t>
      </w:r>
      <w:r w:rsidR="00705335" w:rsidRPr="009F337B">
        <w:rPr>
          <w:i w:val="0"/>
          <w:szCs w:val="20"/>
          <w:lang w:val="en-US"/>
        </w:rPr>
        <w:t xml:space="preserve"> </w:t>
      </w:r>
      <w:r w:rsidR="00801AB2" w:rsidRPr="009F337B">
        <w:rPr>
          <w:i w:val="0"/>
          <w:szCs w:val="20"/>
          <w:lang w:val="en-US"/>
        </w:rPr>
        <w:t>Ministry of Public Finance</w:t>
      </w:r>
      <w:r w:rsidR="00383D9A" w:rsidRPr="009F337B">
        <w:rPr>
          <w:i w:val="0"/>
          <w:szCs w:val="20"/>
          <w:lang w:val="en-US"/>
        </w:rPr>
        <w:t xml:space="preserve"> </w:t>
      </w:r>
      <w:r w:rsidR="00AC197D" w:rsidRPr="009F337B">
        <w:rPr>
          <w:i w:val="0"/>
          <w:szCs w:val="20"/>
          <w:lang w:val="en-US"/>
        </w:rPr>
        <w:t>to the</w:t>
      </w:r>
      <w:r w:rsidR="00383D9A" w:rsidRPr="009F337B">
        <w:rPr>
          <w:i w:val="0"/>
          <w:szCs w:val="20"/>
          <w:lang w:val="en-US"/>
        </w:rPr>
        <w:t xml:space="preserve"> </w:t>
      </w:r>
      <w:r w:rsidR="005E44D9" w:rsidRPr="009F337B">
        <w:rPr>
          <w:i w:val="0"/>
          <w:szCs w:val="20"/>
          <w:lang w:val="en-US"/>
        </w:rPr>
        <w:t>Ministry of Public Health</w:t>
      </w:r>
      <w:r w:rsidR="00383D9A" w:rsidRPr="009F337B">
        <w:rPr>
          <w:i w:val="0"/>
          <w:szCs w:val="20"/>
          <w:lang w:val="en-US"/>
        </w:rPr>
        <w:t xml:space="preserve"> </w:t>
      </w:r>
      <w:r w:rsidR="00AC197D" w:rsidRPr="009F337B">
        <w:rPr>
          <w:i w:val="0"/>
          <w:szCs w:val="20"/>
          <w:lang w:val="en-US"/>
        </w:rPr>
        <w:t>on September 2, 2002. Consequently, it argued that the grievance had ceased and, therefore, the application filed was unsubstantiated</w:t>
      </w:r>
      <w:r w:rsidRPr="009F337B">
        <w:rPr>
          <w:i w:val="0"/>
          <w:szCs w:val="20"/>
          <w:lang w:val="en-US"/>
        </w:rPr>
        <w:t>. Accordingly,</w:t>
      </w:r>
      <w:r w:rsidR="00AC197D" w:rsidRPr="009F337B">
        <w:rPr>
          <w:i w:val="0"/>
          <w:szCs w:val="20"/>
          <w:lang w:val="en-US"/>
        </w:rPr>
        <w:t xml:space="preserve"> </w:t>
      </w:r>
      <w:r w:rsidRPr="009F337B">
        <w:rPr>
          <w:i w:val="0"/>
          <w:szCs w:val="20"/>
          <w:lang w:val="en-US"/>
        </w:rPr>
        <w:t>it</w:t>
      </w:r>
      <w:r w:rsidR="00AC197D" w:rsidRPr="009F337B">
        <w:rPr>
          <w:i w:val="0"/>
          <w:szCs w:val="20"/>
          <w:lang w:val="en-US"/>
        </w:rPr>
        <w:t xml:space="preserve"> declared that </w:t>
      </w:r>
      <w:r w:rsidRPr="009F337B">
        <w:rPr>
          <w:i w:val="0"/>
          <w:szCs w:val="20"/>
          <w:lang w:val="en-US"/>
        </w:rPr>
        <w:t>the application</w:t>
      </w:r>
      <w:r w:rsidR="00AC197D" w:rsidRPr="009F337B">
        <w:rPr>
          <w:i w:val="0"/>
          <w:szCs w:val="20"/>
          <w:lang w:val="en-US"/>
        </w:rPr>
        <w:t xml:space="preserve"> was </w:t>
      </w:r>
      <w:r w:rsidR="007D0275" w:rsidRPr="009F337B">
        <w:rPr>
          <w:i w:val="0"/>
          <w:szCs w:val="20"/>
          <w:lang w:val="en-US"/>
        </w:rPr>
        <w:t>without merit</w:t>
      </w:r>
      <w:r w:rsidR="00AC197D" w:rsidRPr="009F337B">
        <w:rPr>
          <w:i w:val="0"/>
          <w:szCs w:val="20"/>
          <w:lang w:val="en-US"/>
        </w:rPr>
        <w:t>.</w:t>
      </w:r>
      <w:r w:rsidR="00383D9A" w:rsidRPr="009F337B">
        <w:rPr>
          <w:rStyle w:val="Refdenotaalpie"/>
          <w:i w:val="0"/>
          <w:lang w:val="en-US"/>
        </w:rPr>
        <w:footnoteReference w:id="55"/>
      </w:r>
    </w:p>
    <w:p w14:paraId="48158CAA" w14:textId="77777777" w:rsidR="00AE2CE9" w:rsidRPr="009F337B" w:rsidRDefault="00AE2CE9" w:rsidP="00AE2CE9">
      <w:pPr>
        <w:pStyle w:val="Estilo1"/>
        <w:tabs>
          <w:tab w:val="left" w:pos="709"/>
          <w:tab w:val="left" w:pos="1134"/>
        </w:tabs>
        <w:spacing w:after="0"/>
        <w:ind w:left="0" w:right="-4" w:firstLine="0"/>
        <w:rPr>
          <w:i w:val="0"/>
          <w:szCs w:val="20"/>
          <w:lang w:val="en-US"/>
        </w:rPr>
      </w:pPr>
    </w:p>
    <w:p w14:paraId="4ECA28EF" w14:textId="4CC497BA" w:rsidR="00F46845" w:rsidRPr="009F337B" w:rsidRDefault="00F46845" w:rsidP="00AE2CE9">
      <w:pPr>
        <w:pStyle w:val="Ttulo1"/>
        <w:spacing w:before="0" w:after="0"/>
        <w:rPr>
          <w:lang w:val="en-US"/>
        </w:rPr>
      </w:pPr>
      <w:bookmarkStart w:id="69" w:name="_Toc527466485"/>
      <w:r w:rsidRPr="009F337B">
        <w:rPr>
          <w:lang w:val="en-US"/>
        </w:rPr>
        <w:t>VII</w:t>
      </w:r>
      <w:r w:rsidR="004576B1" w:rsidRPr="009F337B">
        <w:rPr>
          <w:lang w:val="en-US"/>
        </w:rPr>
        <w:t>i</w:t>
      </w:r>
      <w:r w:rsidR="00EE1E0E" w:rsidRPr="009F337B">
        <w:rPr>
          <w:lang w:val="en-US"/>
        </w:rPr>
        <w:t>.</w:t>
      </w:r>
      <w:r w:rsidRPr="009F337B">
        <w:rPr>
          <w:lang w:val="en-US"/>
        </w:rPr>
        <w:br/>
      </w:r>
      <w:r w:rsidR="00AC197D" w:rsidRPr="009F337B">
        <w:rPr>
          <w:lang w:val="en-US"/>
        </w:rPr>
        <w:t>MERITS</w:t>
      </w:r>
      <w:bookmarkEnd w:id="69"/>
    </w:p>
    <w:p w14:paraId="321FE1DC" w14:textId="77777777" w:rsidR="00AE2CE9" w:rsidRPr="009F337B" w:rsidRDefault="00AE2CE9" w:rsidP="00AE2CE9">
      <w:pPr>
        <w:rPr>
          <w:lang w:val="en-US" w:eastAsia="es-ES"/>
        </w:rPr>
      </w:pPr>
    </w:p>
    <w:p w14:paraId="022EB335" w14:textId="45297D17" w:rsidR="00016BDB" w:rsidRPr="009F337B" w:rsidRDefault="00AE5F9E" w:rsidP="00593E37">
      <w:pPr>
        <w:pStyle w:val="Prrafodelista"/>
        <w:numPr>
          <w:ilvl w:val="0"/>
          <w:numId w:val="1"/>
        </w:numPr>
        <w:ind w:left="0" w:firstLine="0"/>
        <w:rPr>
          <w:lang w:val="en-US"/>
        </w:rPr>
      </w:pPr>
      <w:r w:rsidRPr="009F337B">
        <w:rPr>
          <w:lang w:val="en-US"/>
        </w:rPr>
        <w:t>The Court</w:t>
      </w:r>
      <w:r w:rsidR="00115FFB" w:rsidRPr="009F337B">
        <w:rPr>
          <w:lang w:val="en-US"/>
        </w:rPr>
        <w:t xml:space="preserve"> rec</w:t>
      </w:r>
      <w:r w:rsidR="00AC197D" w:rsidRPr="009F337B">
        <w:rPr>
          <w:lang w:val="en-US"/>
        </w:rPr>
        <w:t xml:space="preserve">alls that this case refers to 49 people who are or were living with HIV in </w:t>
      </w:r>
      <w:r w:rsidR="008E2262" w:rsidRPr="009F337B">
        <w:rPr>
          <w:lang w:val="en-US"/>
        </w:rPr>
        <w:t>Guatemala</w:t>
      </w:r>
      <w:r w:rsidR="003950C2" w:rsidRPr="009F337B">
        <w:rPr>
          <w:lang w:val="en-US"/>
        </w:rPr>
        <w:t>,</w:t>
      </w:r>
      <w:r w:rsidR="003C46A3" w:rsidRPr="009F337B">
        <w:rPr>
          <w:lang w:val="en-US"/>
        </w:rPr>
        <w:t xml:space="preserve"> and </w:t>
      </w:r>
      <w:r w:rsidR="00BB0DF2" w:rsidRPr="009F337B">
        <w:rPr>
          <w:lang w:val="en-US"/>
        </w:rPr>
        <w:t>their next of kin</w:t>
      </w:r>
      <w:r w:rsidR="00115FFB" w:rsidRPr="009F337B">
        <w:rPr>
          <w:lang w:val="en-US"/>
        </w:rPr>
        <w:t xml:space="preserve">. </w:t>
      </w:r>
      <w:r w:rsidR="00AC197D" w:rsidRPr="009F337B">
        <w:rPr>
          <w:lang w:val="en-US"/>
        </w:rPr>
        <w:t>Of the</w:t>
      </w:r>
      <w:r w:rsidR="003950C2" w:rsidRPr="009F337B">
        <w:rPr>
          <w:lang w:val="en-US"/>
        </w:rPr>
        <w:t>se</w:t>
      </w:r>
      <w:r w:rsidR="00AC197D" w:rsidRPr="009F337B">
        <w:rPr>
          <w:lang w:val="en-US"/>
        </w:rPr>
        <w:t xml:space="preserve"> people, 15 were deceased, 34 were still alive, and</w:t>
      </w:r>
      <w:r w:rsidR="003950C2" w:rsidRPr="009F337B">
        <w:rPr>
          <w:lang w:val="en-US"/>
        </w:rPr>
        <w:t>, in its Merits Report,</w:t>
      </w:r>
      <w:r w:rsidR="00AC197D" w:rsidRPr="009F337B">
        <w:rPr>
          <w:lang w:val="en-US"/>
        </w:rPr>
        <w:t xml:space="preserve"> </w:t>
      </w:r>
      <w:r w:rsidR="003950C2" w:rsidRPr="009F337B">
        <w:rPr>
          <w:lang w:val="en-US"/>
        </w:rPr>
        <w:t xml:space="preserve">the Commission had considered </w:t>
      </w:r>
      <w:r w:rsidR="00AC197D" w:rsidRPr="009F337B">
        <w:rPr>
          <w:lang w:val="en-US"/>
        </w:rPr>
        <w:t xml:space="preserve">some of their next of kin </w:t>
      </w:r>
      <w:r w:rsidR="003950C2" w:rsidRPr="009F337B">
        <w:rPr>
          <w:lang w:val="en-US"/>
        </w:rPr>
        <w:t xml:space="preserve">as </w:t>
      </w:r>
      <w:r w:rsidR="00AC197D" w:rsidRPr="009F337B">
        <w:rPr>
          <w:lang w:val="en-US"/>
        </w:rPr>
        <w:t>presumed victims</w:t>
      </w:r>
      <w:r w:rsidR="00115FFB" w:rsidRPr="009F337B">
        <w:rPr>
          <w:lang w:val="en-US"/>
        </w:rPr>
        <w:t xml:space="preserve">. </w:t>
      </w:r>
      <w:r w:rsidR="00AC197D" w:rsidRPr="009F337B">
        <w:rPr>
          <w:lang w:val="en-US"/>
        </w:rPr>
        <w:t>It is a prove</w:t>
      </w:r>
      <w:r w:rsidR="003950C2" w:rsidRPr="009F337B">
        <w:rPr>
          <w:lang w:val="en-US"/>
        </w:rPr>
        <w:t>n</w:t>
      </w:r>
      <w:r w:rsidR="00AC197D" w:rsidRPr="009F337B">
        <w:rPr>
          <w:lang w:val="en-US"/>
        </w:rPr>
        <w:t xml:space="preserve"> fact that the </w:t>
      </w:r>
      <w:r w:rsidR="00115FFB" w:rsidRPr="009F337B">
        <w:rPr>
          <w:lang w:val="en-US"/>
        </w:rPr>
        <w:t xml:space="preserve">49 </w:t>
      </w:r>
      <w:r w:rsidR="003C46A3" w:rsidRPr="009F337B">
        <w:rPr>
          <w:lang w:val="en-US"/>
        </w:rPr>
        <w:t>presumed victims</w:t>
      </w:r>
      <w:r w:rsidR="00115FFB" w:rsidRPr="009F337B">
        <w:rPr>
          <w:lang w:val="en-US"/>
        </w:rPr>
        <w:t xml:space="preserve"> </w:t>
      </w:r>
      <w:r w:rsidR="00AC197D" w:rsidRPr="009F337B">
        <w:rPr>
          <w:lang w:val="en-US"/>
        </w:rPr>
        <w:t xml:space="preserve">were diagnosed with HIV between </w:t>
      </w:r>
      <w:r w:rsidR="00315C74" w:rsidRPr="009F337B">
        <w:rPr>
          <w:lang w:val="en-US"/>
        </w:rPr>
        <w:t>1992</w:t>
      </w:r>
      <w:r w:rsidR="003C46A3" w:rsidRPr="009F337B">
        <w:rPr>
          <w:lang w:val="en-US"/>
        </w:rPr>
        <w:t xml:space="preserve"> and </w:t>
      </w:r>
      <w:r w:rsidR="00315C74" w:rsidRPr="009F337B">
        <w:rPr>
          <w:lang w:val="en-US"/>
        </w:rPr>
        <w:t>2004</w:t>
      </w:r>
      <w:r w:rsidR="00115FFB" w:rsidRPr="009F337B">
        <w:rPr>
          <w:lang w:val="en-US"/>
        </w:rPr>
        <w:t>,</w:t>
      </w:r>
      <w:r w:rsidR="003C46A3" w:rsidRPr="009F337B">
        <w:rPr>
          <w:lang w:val="en-US"/>
        </w:rPr>
        <w:t xml:space="preserve"> and </w:t>
      </w:r>
      <w:r w:rsidR="00AC197D" w:rsidRPr="009F337B">
        <w:rPr>
          <w:lang w:val="en-US"/>
        </w:rPr>
        <w:t xml:space="preserve">that most of them </w:t>
      </w:r>
      <w:r w:rsidR="003950C2" w:rsidRPr="009F337B">
        <w:rPr>
          <w:lang w:val="en-US"/>
        </w:rPr>
        <w:t>had</w:t>
      </w:r>
      <w:r w:rsidR="00AC197D" w:rsidRPr="009F337B">
        <w:rPr>
          <w:lang w:val="en-US"/>
        </w:rPr>
        <w:t xml:space="preserve"> not receive</w:t>
      </w:r>
      <w:r w:rsidR="003950C2" w:rsidRPr="009F337B">
        <w:rPr>
          <w:lang w:val="en-US"/>
        </w:rPr>
        <w:t>d</w:t>
      </w:r>
      <w:r w:rsidR="00AC197D" w:rsidRPr="009F337B">
        <w:rPr>
          <w:lang w:val="en-US"/>
        </w:rPr>
        <w:t xml:space="preserve"> public medical care prior to 2004. In addition, it has been proved that some of them suffered from one or several of the following conditions: they had contracted opportunistic infections and, in some case</w:t>
      </w:r>
      <w:r w:rsidR="003950C2" w:rsidRPr="009F337B">
        <w:rPr>
          <w:lang w:val="en-US"/>
        </w:rPr>
        <w:t>s</w:t>
      </w:r>
      <w:r w:rsidR="00AC197D" w:rsidRPr="009F337B">
        <w:rPr>
          <w:lang w:val="en-US"/>
        </w:rPr>
        <w:t xml:space="preserve">, they had died </w:t>
      </w:r>
      <w:r w:rsidR="003950C2" w:rsidRPr="009F337B">
        <w:rPr>
          <w:lang w:val="en-US"/>
        </w:rPr>
        <w:t>due</w:t>
      </w:r>
      <w:r w:rsidR="00AC197D" w:rsidRPr="009F337B">
        <w:rPr>
          <w:lang w:val="en-US"/>
        </w:rPr>
        <w:t xml:space="preserve"> to </w:t>
      </w:r>
      <w:r w:rsidR="003950C2" w:rsidRPr="009F337B">
        <w:rPr>
          <w:lang w:val="en-US"/>
        </w:rPr>
        <w:t>such</w:t>
      </w:r>
      <w:r w:rsidR="00AC197D" w:rsidRPr="009F337B">
        <w:rPr>
          <w:lang w:val="en-US"/>
        </w:rPr>
        <w:t xml:space="preserve"> infections; they were people with limited resources; they were mothers or fathers who provided</w:t>
      </w:r>
      <w:r w:rsidR="003950C2" w:rsidRPr="009F337B">
        <w:rPr>
          <w:lang w:val="en-US"/>
        </w:rPr>
        <w:t xml:space="preserve"> their families with</w:t>
      </w:r>
      <w:r w:rsidR="00AC197D" w:rsidRPr="009F337B">
        <w:rPr>
          <w:lang w:val="en-US"/>
        </w:rPr>
        <w:t xml:space="preserve"> financial and/or moral support; they were poorly educat</w:t>
      </w:r>
      <w:r w:rsidR="003950C2" w:rsidRPr="009F337B">
        <w:rPr>
          <w:lang w:val="en-US"/>
        </w:rPr>
        <w:t>ed</w:t>
      </w:r>
      <w:r w:rsidR="00AC197D" w:rsidRPr="009F337B">
        <w:rPr>
          <w:lang w:val="en-US"/>
        </w:rPr>
        <w:t xml:space="preserve">; the effects of their condition as </w:t>
      </w:r>
      <w:r w:rsidR="00080A1E" w:rsidRPr="009F337B">
        <w:rPr>
          <w:lang w:val="en-US"/>
        </w:rPr>
        <w:t>people living with HIV</w:t>
      </w:r>
      <w:r w:rsidR="002A02DE" w:rsidRPr="009F337B">
        <w:rPr>
          <w:lang w:val="en-US"/>
        </w:rPr>
        <w:t xml:space="preserve"> </w:t>
      </w:r>
      <w:r w:rsidR="00AC197D" w:rsidRPr="009F337B">
        <w:rPr>
          <w:lang w:val="en-US"/>
        </w:rPr>
        <w:t xml:space="preserve">did not allow them to continue the activities they </w:t>
      </w:r>
      <w:r w:rsidR="003950C2" w:rsidRPr="009F337B">
        <w:rPr>
          <w:lang w:val="en-US"/>
        </w:rPr>
        <w:t xml:space="preserve">had </w:t>
      </w:r>
      <w:r w:rsidR="00AC197D" w:rsidRPr="009F337B">
        <w:rPr>
          <w:lang w:val="en-US"/>
        </w:rPr>
        <w:t xml:space="preserve">carried out before </w:t>
      </w:r>
      <w:r w:rsidR="003950C2" w:rsidRPr="009F337B">
        <w:rPr>
          <w:lang w:val="en-US"/>
        </w:rPr>
        <w:t>becoming infected</w:t>
      </w:r>
      <w:r w:rsidR="00AC197D" w:rsidRPr="009F337B">
        <w:rPr>
          <w:lang w:val="en-US"/>
        </w:rPr>
        <w:t>; they lived in areas located far from the clinics where they should receive medical care, and some of them were pregnant women. Taking the foregoing into consideration, the Court will examine and decide the merits of the dispute.</w:t>
      </w:r>
      <w:r w:rsidR="00016BDB" w:rsidRPr="009F337B">
        <w:rPr>
          <w:lang w:val="en-US"/>
        </w:rPr>
        <w:t xml:space="preserve"> </w:t>
      </w:r>
    </w:p>
    <w:p w14:paraId="590B6A5E" w14:textId="77777777" w:rsidR="00016BDB" w:rsidRPr="009F337B" w:rsidRDefault="00016BDB" w:rsidP="00016BDB">
      <w:pPr>
        <w:pStyle w:val="Prrafodelista"/>
        <w:rPr>
          <w:lang w:val="en-US"/>
        </w:rPr>
      </w:pPr>
    </w:p>
    <w:p w14:paraId="646CE451" w14:textId="028700D5" w:rsidR="00AC197D" w:rsidRPr="009F337B" w:rsidRDefault="00AC197D" w:rsidP="00593E37">
      <w:pPr>
        <w:pStyle w:val="Prrafodelista"/>
        <w:numPr>
          <w:ilvl w:val="0"/>
          <w:numId w:val="1"/>
        </w:numPr>
        <w:ind w:left="0" w:firstLine="0"/>
        <w:rPr>
          <w:lang w:val="en-US"/>
        </w:rPr>
      </w:pPr>
      <w:r w:rsidRPr="009F337B">
        <w:rPr>
          <w:lang w:val="en-US"/>
        </w:rPr>
        <w:t>Consequently, the Court will proceed to examine: (</w:t>
      </w:r>
      <w:proofErr w:type="spellStart"/>
      <w:r w:rsidRPr="009F337B">
        <w:rPr>
          <w:lang w:val="en-US"/>
        </w:rPr>
        <w:t>i</w:t>
      </w:r>
      <w:proofErr w:type="spellEnd"/>
      <w:r w:rsidRPr="009F337B">
        <w:rPr>
          <w:lang w:val="en-US"/>
        </w:rPr>
        <w:t xml:space="preserve">) whether the State is responsible for violating the right to health owing to the medical care – or lack of it – provided by the State to the 49 presumed victims as people living with HIV, and also (ii) whether the State violated the principle of progressivity owing to the alleged </w:t>
      </w:r>
      <w:r w:rsidR="009F1A03" w:rsidRPr="009F337B">
        <w:rPr>
          <w:lang w:val="en-US"/>
        </w:rPr>
        <w:t>retrogressive</w:t>
      </w:r>
      <w:r w:rsidRPr="009F337B">
        <w:rPr>
          <w:lang w:val="en-US"/>
        </w:rPr>
        <w:t xml:space="preserve"> measures it adopted that prejudiced the full </w:t>
      </w:r>
      <w:r w:rsidR="003950C2" w:rsidRPr="009F337B">
        <w:rPr>
          <w:lang w:val="en-US"/>
        </w:rPr>
        <w:t>realization</w:t>
      </w:r>
      <w:r w:rsidRPr="009F337B">
        <w:rPr>
          <w:lang w:val="en-US"/>
        </w:rPr>
        <w:t xml:space="preserve"> of the right to health in Guatemala. In addition, the Court will </w:t>
      </w:r>
      <w:r w:rsidR="007D0275" w:rsidRPr="009F337B">
        <w:rPr>
          <w:lang w:val="en-US"/>
        </w:rPr>
        <w:t>assess</w:t>
      </w:r>
      <w:r w:rsidRPr="009F337B">
        <w:rPr>
          <w:lang w:val="en-US"/>
        </w:rPr>
        <w:t xml:space="preserve"> whether the State (iii) violated the rights to personal integrity and to life of the 49 presumed victims, and (iv)</w:t>
      </w:r>
      <w:r w:rsidR="007D0275" w:rsidRPr="009F337B">
        <w:rPr>
          <w:lang w:val="en-US"/>
        </w:rPr>
        <w:t xml:space="preserve"> </w:t>
      </w:r>
      <w:r w:rsidRPr="009F337B">
        <w:rPr>
          <w:lang w:val="en-US"/>
        </w:rPr>
        <w:t xml:space="preserve">owing to the ruling of the Constitutional Court, it </w:t>
      </w:r>
      <w:r w:rsidRPr="009F337B">
        <w:rPr>
          <w:lang w:val="en-US"/>
        </w:rPr>
        <w:lastRenderedPageBreak/>
        <w:t>violated the right</w:t>
      </w:r>
      <w:r w:rsidR="007D0275" w:rsidRPr="009F337B">
        <w:rPr>
          <w:lang w:val="en-US"/>
        </w:rPr>
        <w:t>s</w:t>
      </w:r>
      <w:r w:rsidRPr="009F337B">
        <w:rPr>
          <w:lang w:val="en-US"/>
        </w:rPr>
        <w:t xml:space="preserve"> to judicial guarantees and to effective judicial protection of 13 presumed victims. Lastly, (v) the Court will determine whether the State violated the right to personal integrity of the next of kin of the presumed victims as a result of the suffering that may have been caused by the medical care received by their family members.</w:t>
      </w:r>
    </w:p>
    <w:p w14:paraId="64F2CF93" w14:textId="77777777" w:rsidR="00531298" w:rsidRPr="009F337B" w:rsidRDefault="00531298" w:rsidP="00531298">
      <w:pPr>
        <w:pStyle w:val="Prrafodelista"/>
        <w:rPr>
          <w:lang w:val="en-US"/>
        </w:rPr>
      </w:pPr>
    </w:p>
    <w:p w14:paraId="63C416D3" w14:textId="77777777" w:rsidR="00531298" w:rsidRPr="009F337B" w:rsidRDefault="00531298" w:rsidP="00531298">
      <w:pPr>
        <w:pStyle w:val="Ttulo1"/>
        <w:spacing w:before="0" w:after="0"/>
        <w:rPr>
          <w:lang w:val="en-US"/>
        </w:rPr>
      </w:pPr>
      <w:r w:rsidRPr="009F337B">
        <w:rPr>
          <w:lang w:val="en-US"/>
        </w:rPr>
        <w:t>VIIi-1</w:t>
      </w:r>
      <w:r w:rsidRPr="009F337B">
        <w:rPr>
          <w:lang w:val="en-US"/>
        </w:rPr>
        <w:br/>
        <w:t>RIGHT TO HEALTH, TO PERSONAL INTEGRITY AND TO LIFE IN RELATION TO THE OBLIGATIONS TO RESPECT AND ENSURE RIGHTS (ARTICLES 26,</w:t>
      </w:r>
      <w:r w:rsidRPr="009F337B">
        <w:rPr>
          <w:rStyle w:val="Refdenotaalpie"/>
          <w:lang w:val="en-US"/>
        </w:rPr>
        <w:footnoteReference w:id="56"/>
      </w:r>
      <w:r w:rsidRPr="009F337B">
        <w:rPr>
          <w:lang w:val="en-US"/>
        </w:rPr>
        <w:t xml:space="preserve"> 4,</w:t>
      </w:r>
      <w:r w:rsidRPr="009F337B">
        <w:rPr>
          <w:rStyle w:val="Refdenotaalpie"/>
          <w:lang w:val="en-US"/>
        </w:rPr>
        <w:footnoteReference w:id="57"/>
      </w:r>
      <w:r w:rsidRPr="009F337B">
        <w:rPr>
          <w:lang w:val="en-US"/>
        </w:rPr>
        <w:t xml:space="preserve"> 5</w:t>
      </w:r>
      <w:r w:rsidRPr="009F337B">
        <w:rPr>
          <w:rStyle w:val="Refdenotaalpie"/>
          <w:lang w:val="en-US"/>
        </w:rPr>
        <w:footnoteReference w:id="58"/>
      </w:r>
      <w:r w:rsidRPr="009F337B">
        <w:rPr>
          <w:lang w:val="en-US"/>
        </w:rPr>
        <w:t xml:space="preserve"> and 1(1)</w:t>
      </w:r>
      <w:r w:rsidRPr="009F337B">
        <w:rPr>
          <w:rStyle w:val="Refdenotaalpie"/>
          <w:lang w:val="en-US"/>
        </w:rPr>
        <w:footnoteReference w:id="59"/>
      </w:r>
      <w:r w:rsidRPr="009F337B">
        <w:rPr>
          <w:lang w:val="en-US"/>
        </w:rPr>
        <w:t xml:space="preserve"> of the AMERICAN CONVENTION)</w:t>
      </w:r>
    </w:p>
    <w:p w14:paraId="74AC8938" w14:textId="77777777" w:rsidR="00531298" w:rsidRPr="009F337B" w:rsidRDefault="00531298" w:rsidP="00531298">
      <w:pPr>
        <w:rPr>
          <w:lang w:val="en-US" w:eastAsia="es-ES"/>
        </w:rPr>
      </w:pPr>
    </w:p>
    <w:p w14:paraId="1A19311E" w14:textId="77777777" w:rsidR="00531298" w:rsidRPr="009F337B" w:rsidRDefault="00531298" w:rsidP="00593E37">
      <w:pPr>
        <w:pStyle w:val="Ttulo2"/>
        <w:numPr>
          <w:ilvl w:val="0"/>
          <w:numId w:val="10"/>
        </w:numPr>
        <w:spacing w:before="0" w:after="0"/>
        <w:rPr>
          <w:lang w:val="en-US"/>
        </w:rPr>
      </w:pPr>
      <w:r w:rsidRPr="009F337B">
        <w:rPr>
          <w:lang w:val="en-US"/>
        </w:rPr>
        <w:t>Arguments of the Commission and the parties</w:t>
      </w:r>
    </w:p>
    <w:p w14:paraId="5997A616" w14:textId="77777777" w:rsidR="00531298" w:rsidRPr="009F337B" w:rsidRDefault="00531298" w:rsidP="00531298">
      <w:pPr>
        <w:rPr>
          <w:lang w:val="en-US"/>
        </w:rPr>
      </w:pPr>
    </w:p>
    <w:p w14:paraId="3C426133" w14:textId="1175597A" w:rsidR="00531298" w:rsidRPr="009F337B" w:rsidRDefault="00531298" w:rsidP="00593E37">
      <w:pPr>
        <w:pStyle w:val="Prrafodelista"/>
        <w:numPr>
          <w:ilvl w:val="0"/>
          <w:numId w:val="1"/>
        </w:numPr>
        <w:ind w:left="0" w:firstLine="0"/>
        <w:rPr>
          <w:lang w:val="en-US"/>
        </w:rPr>
      </w:pPr>
      <w:r w:rsidRPr="009F337B">
        <w:rPr>
          <w:lang w:val="en-US"/>
        </w:rPr>
        <w:t xml:space="preserve">The </w:t>
      </w:r>
      <w:r w:rsidRPr="009F337B">
        <w:rPr>
          <w:b/>
          <w:i/>
          <w:lang w:val="en-US"/>
        </w:rPr>
        <w:t>Commission</w:t>
      </w:r>
      <w:r w:rsidRPr="009F337B">
        <w:rPr>
          <w:szCs w:val="20"/>
          <w:lang w:val="en-US"/>
        </w:rPr>
        <w:t xml:space="preserve"> examined the merits on two different occasion</w:t>
      </w:r>
      <w:r w:rsidR="002265E4" w:rsidRPr="009F337B">
        <w:rPr>
          <w:szCs w:val="20"/>
          <w:lang w:val="en-US"/>
        </w:rPr>
        <w:t>s</w:t>
      </w:r>
      <w:r w:rsidRPr="009F337B">
        <w:rPr>
          <w:szCs w:val="20"/>
          <w:lang w:val="en-US"/>
        </w:rPr>
        <w:t>: first, with regard to the situation prior to 2006</w:t>
      </w:r>
      <w:r w:rsidR="007D0275" w:rsidRPr="009F337B">
        <w:rPr>
          <w:szCs w:val="20"/>
          <w:lang w:val="en-US"/>
        </w:rPr>
        <w:t>/</w:t>
      </w:r>
      <w:r w:rsidRPr="009F337B">
        <w:rPr>
          <w:szCs w:val="20"/>
          <w:lang w:val="en-US"/>
        </w:rPr>
        <w:t xml:space="preserve">2007, when it alleged that the State had not provided any kind of medical care to the presumed victims, </w:t>
      </w:r>
      <w:r w:rsidR="00593D2D">
        <w:rPr>
          <w:szCs w:val="20"/>
          <w:lang w:val="en-US"/>
        </w:rPr>
        <w:t xml:space="preserve">and </w:t>
      </w:r>
      <w:r w:rsidRPr="009F337B">
        <w:rPr>
          <w:szCs w:val="20"/>
          <w:lang w:val="en-US"/>
        </w:rPr>
        <w:t xml:space="preserve">had not performed the required tests or delivered antiretroviral drugs, which had a serious impact of their health and, consequently, resulted in a violation of their right to life, in some cases in </w:t>
      </w:r>
      <w:r w:rsidR="007D0275" w:rsidRPr="009F337B">
        <w:rPr>
          <w:szCs w:val="20"/>
          <w:lang w:val="en-US"/>
        </w:rPr>
        <w:t>both</w:t>
      </w:r>
      <w:r w:rsidRPr="009F337B">
        <w:rPr>
          <w:szCs w:val="20"/>
          <w:lang w:val="en-US"/>
        </w:rPr>
        <w:t xml:space="preserve"> dimensions of this right (Article 4(1) in relation to Article 1(1)</w:t>
      </w:r>
      <w:r w:rsidR="004B31E3" w:rsidRPr="009F337B">
        <w:rPr>
          <w:szCs w:val="20"/>
          <w:lang w:val="en-US"/>
        </w:rPr>
        <w:t>)</w:t>
      </w:r>
      <w:r w:rsidRPr="009F337B">
        <w:rPr>
          <w:szCs w:val="20"/>
          <w:lang w:val="en-US"/>
        </w:rPr>
        <w:t>, and to personal integrity (Article 5(1) in relation to Article 1(1)). In this regard, the Commission alleged that the State was responsible for violating the right to life (Article 4(1) in relation to Article 1(1)), because some presumed victims</w:t>
      </w:r>
      <w:r w:rsidRPr="009F337B">
        <w:rPr>
          <w:lang w:val="en-US"/>
        </w:rPr>
        <w:t xml:space="preserve"> had died due to opportunistic infections as a result of the lack of comprehensive treatment of their HIV, and responsible for violating the right to personal integrity (Article 5(1) in relation to Article 1(1)), owing to the suffering </w:t>
      </w:r>
      <w:r w:rsidR="007F096F" w:rsidRPr="009F337B">
        <w:rPr>
          <w:lang w:val="en-US"/>
        </w:rPr>
        <w:t>experienced</w:t>
      </w:r>
      <w:r w:rsidRPr="009F337B">
        <w:rPr>
          <w:lang w:val="en-US"/>
        </w:rPr>
        <w:t xml:space="preserve"> </w:t>
      </w:r>
      <w:r w:rsidR="004B31E3" w:rsidRPr="009F337B">
        <w:rPr>
          <w:lang w:val="en-US"/>
        </w:rPr>
        <w:t>by the presumed victims.</w:t>
      </w:r>
    </w:p>
    <w:p w14:paraId="52E83AF2" w14:textId="77777777" w:rsidR="004A2C06" w:rsidRPr="009F337B" w:rsidRDefault="004A2C06" w:rsidP="004A2C06">
      <w:pPr>
        <w:pStyle w:val="Prrafodelista"/>
        <w:ind w:left="0"/>
        <w:rPr>
          <w:lang w:val="en-US"/>
        </w:rPr>
      </w:pPr>
    </w:p>
    <w:p w14:paraId="6411AC07" w14:textId="4D6252E6" w:rsidR="004A2C06" w:rsidRPr="009F337B" w:rsidRDefault="004A2C06" w:rsidP="00593E37">
      <w:pPr>
        <w:pStyle w:val="Prrafodelista"/>
        <w:numPr>
          <w:ilvl w:val="0"/>
          <w:numId w:val="1"/>
        </w:numPr>
        <w:ind w:left="0" w:firstLine="0"/>
        <w:rPr>
          <w:lang w:val="en-US"/>
        </w:rPr>
      </w:pPr>
      <w:r w:rsidRPr="009F337B">
        <w:rPr>
          <w:szCs w:val="20"/>
          <w:lang w:val="en-US"/>
        </w:rPr>
        <w:t xml:space="preserve">Second, the Commission examined the situation after 2006/2007, concluding that, even though the State had implemented some treatment in the public sector for people living with HIV, this treatment had not met the minimum standards to be considered </w:t>
      </w:r>
      <w:r w:rsidRPr="009F337B">
        <w:rPr>
          <w:szCs w:val="20"/>
          <w:lang w:val="en-US"/>
        </w:rPr>
        <w:lastRenderedPageBreak/>
        <w:t xml:space="preserve">comprehensive and adequate, because there were periods </w:t>
      </w:r>
      <w:r w:rsidR="00092EBD" w:rsidRPr="009F337B">
        <w:rPr>
          <w:szCs w:val="20"/>
          <w:lang w:val="en-US"/>
        </w:rPr>
        <w:t>when there were no</w:t>
      </w:r>
      <w:r w:rsidRPr="009F337B">
        <w:rPr>
          <w:szCs w:val="20"/>
          <w:lang w:val="en-US"/>
        </w:rPr>
        <w:t xml:space="preserve"> medicines, </w:t>
      </w:r>
      <w:r w:rsidR="00092EBD" w:rsidRPr="009F337B">
        <w:rPr>
          <w:szCs w:val="20"/>
          <w:lang w:val="en-US"/>
        </w:rPr>
        <w:t xml:space="preserve">no </w:t>
      </w:r>
      <w:r w:rsidRPr="009F337B">
        <w:rPr>
          <w:bCs/>
          <w:lang w:val="en-US"/>
        </w:rPr>
        <w:t>CD4 counts and viral load test</w:t>
      </w:r>
      <w:r w:rsidR="00092EBD" w:rsidRPr="009F337B">
        <w:rPr>
          <w:bCs/>
          <w:lang w:val="en-US"/>
        </w:rPr>
        <w:t>ing</w:t>
      </w:r>
      <w:r w:rsidRPr="009F337B">
        <w:rPr>
          <w:bCs/>
          <w:lang w:val="en-US"/>
        </w:rPr>
        <w:t xml:space="preserve">, problems of accessibility </w:t>
      </w:r>
      <w:r w:rsidR="00092EBD" w:rsidRPr="009F337B">
        <w:rPr>
          <w:bCs/>
          <w:lang w:val="en-US"/>
        </w:rPr>
        <w:t>because</w:t>
      </w:r>
      <w:r w:rsidRPr="009F337B">
        <w:rPr>
          <w:bCs/>
          <w:lang w:val="en-US"/>
        </w:rPr>
        <w:t xml:space="preserve"> very few public health centers provided the service, lack of the implements required to perform tests, absence of genotyping studies, failure to make timely diagnoses, and absence of psychological support, thus continuing the violation of the rights to life</w:t>
      </w:r>
      <w:r w:rsidRPr="009F337B">
        <w:rPr>
          <w:szCs w:val="20"/>
          <w:lang w:val="en-US"/>
        </w:rPr>
        <w:t xml:space="preserve"> (Article 4(1) in relation to Article 1(1)) and to personal integrity (Article 5(1) in relation to Article 1(1)) of the surviving presumed victims. Furthermore, the Commission took into account that the State had not provided differentiated treatment for women of child-bearing age, or adopted the necessary measures to eliminate the barriers erected by the situation of poverty and extreme poverty of the presumed victims, or</w:t>
      </w:r>
      <w:r w:rsidR="00092EBD" w:rsidRPr="009F337B">
        <w:rPr>
          <w:szCs w:val="20"/>
          <w:lang w:val="en-US"/>
        </w:rPr>
        <w:t xml:space="preserve"> in relation to</w:t>
      </w:r>
      <w:r w:rsidRPr="009F337B">
        <w:rPr>
          <w:szCs w:val="20"/>
          <w:lang w:val="en-US"/>
        </w:rPr>
        <w:t xml:space="preserve"> the indigenous population or</w:t>
      </w:r>
      <w:r w:rsidR="00092EBD" w:rsidRPr="009F337B">
        <w:rPr>
          <w:szCs w:val="20"/>
          <w:lang w:val="en-US"/>
        </w:rPr>
        <w:t xml:space="preserve"> </w:t>
      </w:r>
      <w:r w:rsidRPr="009F337B">
        <w:rPr>
          <w:szCs w:val="20"/>
          <w:lang w:val="en-US"/>
        </w:rPr>
        <w:t>those with diverse sexual orientation</w:t>
      </w:r>
      <w:r w:rsidR="00092EBD" w:rsidRPr="009F337B">
        <w:rPr>
          <w:szCs w:val="20"/>
          <w:lang w:val="en-US"/>
        </w:rPr>
        <w:t>s</w:t>
      </w:r>
      <w:r w:rsidRPr="009F337B">
        <w:rPr>
          <w:szCs w:val="20"/>
          <w:lang w:val="en-US"/>
        </w:rPr>
        <w:t>.</w:t>
      </w:r>
    </w:p>
    <w:p w14:paraId="3FB20C0A" w14:textId="77777777" w:rsidR="004A2C06" w:rsidRPr="009F337B" w:rsidRDefault="004A2C06" w:rsidP="004A2C06">
      <w:pPr>
        <w:pStyle w:val="Prrafodelista"/>
        <w:ind w:left="0"/>
        <w:rPr>
          <w:lang w:val="en-US"/>
        </w:rPr>
      </w:pPr>
    </w:p>
    <w:p w14:paraId="0BCA3356" w14:textId="50132223" w:rsidR="00E92CA8" w:rsidRPr="009F337B" w:rsidRDefault="004A2C06" w:rsidP="00593E37">
      <w:pPr>
        <w:pStyle w:val="Prrafodelista"/>
        <w:numPr>
          <w:ilvl w:val="0"/>
          <w:numId w:val="1"/>
        </w:numPr>
        <w:ind w:left="0" w:firstLine="0"/>
        <w:rPr>
          <w:lang w:val="en-US"/>
        </w:rPr>
      </w:pPr>
      <w:r w:rsidRPr="009F337B">
        <w:rPr>
          <w:lang w:val="en-US"/>
        </w:rPr>
        <w:t>I</w:t>
      </w:r>
      <w:r w:rsidRPr="009F337B">
        <w:rPr>
          <w:szCs w:val="20"/>
          <w:lang w:val="en-US"/>
        </w:rPr>
        <w:t>n relation to Article 26, the Commission considered that the human rights violations alleged in this case should be analyzed in the context of the evolution reflected in the judgments in the case</w:t>
      </w:r>
      <w:r w:rsidR="00092EBD" w:rsidRPr="009F337B">
        <w:rPr>
          <w:szCs w:val="20"/>
          <w:lang w:val="en-US"/>
        </w:rPr>
        <w:t>s</w:t>
      </w:r>
      <w:r w:rsidRPr="009F337B">
        <w:rPr>
          <w:szCs w:val="20"/>
          <w:lang w:val="en-US"/>
        </w:rPr>
        <w:t xml:space="preserve"> of </w:t>
      </w:r>
      <w:r w:rsidRPr="009F337B">
        <w:rPr>
          <w:i/>
          <w:szCs w:val="20"/>
          <w:lang w:val="en-US"/>
        </w:rPr>
        <w:t xml:space="preserve">Acevedo </w:t>
      </w:r>
      <w:proofErr w:type="spellStart"/>
      <w:r w:rsidRPr="009F337B">
        <w:rPr>
          <w:i/>
          <w:szCs w:val="20"/>
          <w:lang w:val="en-US"/>
        </w:rPr>
        <w:t>Buendía</w:t>
      </w:r>
      <w:proofErr w:type="spellEnd"/>
      <w:r w:rsidRPr="009F337B">
        <w:rPr>
          <w:i/>
          <w:szCs w:val="20"/>
          <w:lang w:val="en-US"/>
        </w:rPr>
        <w:t xml:space="preserve"> et al.,</w:t>
      </w:r>
      <w:r w:rsidRPr="009F337B">
        <w:rPr>
          <w:szCs w:val="20"/>
          <w:lang w:val="en-US"/>
        </w:rPr>
        <w:t xml:space="preserve"> </w:t>
      </w:r>
      <w:r w:rsidRPr="009F337B">
        <w:rPr>
          <w:i/>
          <w:szCs w:val="20"/>
          <w:lang w:val="en-US"/>
        </w:rPr>
        <w:t xml:space="preserve">Lagos del Campo </w:t>
      </w:r>
      <w:r w:rsidRPr="009F337B">
        <w:rPr>
          <w:szCs w:val="20"/>
          <w:lang w:val="en-US"/>
        </w:rPr>
        <w:t>and</w:t>
      </w:r>
      <w:r w:rsidRPr="009F337B">
        <w:rPr>
          <w:i/>
          <w:szCs w:val="20"/>
          <w:lang w:val="en-US"/>
        </w:rPr>
        <w:t xml:space="preserve"> the Dismissed Employees of </w:t>
      </w:r>
      <w:proofErr w:type="spellStart"/>
      <w:r w:rsidRPr="009F337B">
        <w:rPr>
          <w:i/>
          <w:szCs w:val="20"/>
          <w:lang w:val="en-US"/>
        </w:rPr>
        <w:t>PetroPeru</w:t>
      </w:r>
      <w:proofErr w:type="spellEnd"/>
      <w:r w:rsidRPr="009F337B">
        <w:rPr>
          <w:i/>
          <w:szCs w:val="20"/>
          <w:lang w:val="en-US"/>
        </w:rPr>
        <w:t xml:space="preserve"> et al.,</w:t>
      </w:r>
      <w:r w:rsidRPr="009F337B">
        <w:rPr>
          <w:szCs w:val="20"/>
          <w:lang w:val="en-US"/>
        </w:rPr>
        <w:t xml:space="preserve"> which entailed analyzing the right to health under Article 26.</w:t>
      </w:r>
    </w:p>
    <w:p w14:paraId="478E3B9A" w14:textId="77777777" w:rsidR="00E92CA8" w:rsidRPr="009F337B" w:rsidRDefault="00E92CA8" w:rsidP="00E92CA8">
      <w:pPr>
        <w:pStyle w:val="Estilo1"/>
        <w:tabs>
          <w:tab w:val="left" w:pos="709"/>
          <w:tab w:val="left" w:pos="1134"/>
        </w:tabs>
        <w:spacing w:after="0"/>
        <w:ind w:left="0" w:right="-4" w:firstLine="0"/>
        <w:rPr>
          <w:i w:val="0"/>
          <w:szCs w:val="20"/>
          <w:lang w:val="en-US"/>
        </w:rPr>
      </w:pPr>
    </w:p>
    <w:p w14:paraId="199F7691" w14:textId="13099245" w:rsidR="00F46845" w:rsidRPr="009F337B" w:rsidRDefault="007327F5" w:rsidP="00593E37">
      <w:pPr>
        <w:pStyle w:val="Estilo1"/>
        <w:numPr>
          <w:ilvl w:val="0"/>
          <w:numId w:val="1"/>
        </w:numPr>
        <w:tabs>
          <w:tab w:val="left" w:pos="709"/>
          <w:tab w:val="left" w:pos="1134"/>
        </w:tabs>
        <w:spacing w:after="0"/>
        <w:ind w:left="0" w:right="-4" w:firstLine="0"/>
        <w:rPr>
          <w:i w:val="0"/>
          <w:szCs w:val="20"/>
          <w:lang w:val="en-US"/>
        </w:rPr>
      </w:pPr>
      <w:r w:rsidRPr="009F337B">
        <w:rPr>
          <w:i w:val="0"/>
          <w:szCs w:val="20"/>
          <w:lang w:val="en-US"/>
        </w:rPr>
        <w:t xml:space="preserve">The </w:t>
      </w:r>
      <w:r w:rsidRPr="009F337B">
        <w:rPr>
          <w:b/>
          <w:i w:val="0"/>
          <w:szCs w:val="20"/>
          <w:lang w:val="en-US"/>
        </w:rPr>
        <w:t>representatives</w:t>
      </w:r>
      <w:r w:rsidR="00F46845" w:rsidRPr="009F337B">
        <w:rPr>
          <w:b/>
          <w:i w:val="0"/>
          <w:szCs w:val="20"/>
          <w:lang w:val="en-US"/>
        </w:rPr>
        <w:t xml:space="preserve"> </w:t>
      </w:r>
      <w:r w:rsidR="00F46845" w:rsidRPr="009F337B">
        <w:rPr>
          <w:i w:val="0"/>
          <w:szCs w:val="20"/>
          <w:lang w:val="en-US"/>
        </w:rPr>
        <w:t>consider</w:t>
      </w:r>
      <w:r w:rsidR="007E3CA0" w:rsidRPr="009F337B">
        <w:rPr>
          <w:i w:val="0"/>
          <w:szCs w:val="20"/>
          <w:lang w:val="en-US"/>
        </w:rPr>
        <w:t xml:space="preserve">ed that the analysis of the alleged violations in this case should be made as a whole, given the interdependence and indivisibility of the rights in question, as well as considering the particular situation of vulnerability of the presumed victims. Thus, they </w:t>
      </w:r>
      <w:r w:rsidR="00092EBD" w:rsidRPr="009F337B">
        <w:rPr>
          <w:i w:val="0"/>
          <w:szCs w:val="20"/>
          <w:lang w:val="en-US"/>
        </w:rPr>
        <w:t>contended</w:t>
      </w:r>
      <w:r w:rsidR="007E3CA0" w:rsidRPr="009F337B">
        <w:rPr>
          <w:i w:val="0"/>
          <w:szCs w:val="20"/>
          <w:lang w:val="en-US"/>
        </w:rPr>
        <w:t xml:space="preserve"> that the Court should consider the right to health as an autonomous right, which would allow it to define the measures that the State should take to guarantee the progressive development of this right. The representatives indicated that the recognition of the State’s obligations in relation to the right to health was based on what had already been acknowledged in light of the obligations </w:t>
      </w:r>
      <w:r w:rsidR="00092EBD" w:rsidRPr="009F337B">
        <w:rPr>
          <w:i w:val="0"/>
          <w:szCs w:val="20"/>
          <w:lang w:val="en-US"/>
        </w:rPr>
        <w:t>in relation to</w:t>
      </w:r>
      <w:r w:rsidR="007E3CA0" w:rsidRPr="009F337B">
        <w:rPr>
          <w:i w:val="0"/>
          <w:szCs w:val="20"/>
          <w:lang w:val="en-US"/>
        </w:rPr>
        <w:t xml:space="preserve"> the right</w:t>
      </w:r>
      <w:r w:rsidR="00B12CD2" w:rsidRPr="009F337B">
        <w:rPr>
          <w:i w:val="0"/>
          <w:szCs w:val="20"/>
          <w:lang w:val="en-US"/>
        </w:rPr>
        <w:t>s</w:t>
      </w:r>
      <w:r w:rsidR="007E3CA0" w:rsidRPr="009F337B">
        <w:rPr>
          <w:i w:val="0"/>
          <w:szCs w:val="20"/>
          <w:lang w:val="en-US"/>
        </w:rPr>
        <w:t xml:space="preserve"> to life and to personal integrity. In addition, they reiterated that, when analyzing the violations in this case, the Court should consider the existence of enhanced obligations to respect and to guarantee rights based on the</w:t>
      </w:r>
      <w:r w:rsidR="00B12CD2" w:rsidRPr="009F337B">
        <w:rPr>
          <w:i w:val="0"/>
          <w:szCs w:val="20"/>
          <w:lang w:val="en-US"/>
        </w:rPr>
        <w:t xml:space="preserve"> presumed victims’</w:t>
      </w:r>
      <w:r w:rsidR="007E3CA0" w:rsidRPr="009F337B">
        <w:rPr>
          <w:i w:val="0"/>
          <w:szCs w:val="20"/>
          <w:lang w:val="en-US"/>
        </w:rPr>
        <w:t xml:space="preserve"> situation of structural and intersectional discrimination owing to their condition as </w:t>
      </w:r>
      <w:r w:rsidR="00080A1E" w:rsidRPr="009F337B">
        <w:rPr>
          <w:i w:val="0"/>
          <w:szCs w:val="20"/>
          <w:lang w:val="en-US"/>
        </w:rPr>
        <w:t>people living with HIV</w:t>
      </w:r>
      <w:r w:rsidR="00F46845" w:rsidRPr="009F337B">
        <w:rPr>
          <w:i w:val="0"/>
          <w:szCs w:val="20"/>
          <w:lang w:val="en-US"/>
        </w:rPr>
        <w:t xml:space="preserve">, </w:t>
      </w:r>
      <w:r w:rsidR="007E3CA0" w:rsidRPr="009F337B">
        <w:rPr>
          <w:i w:val="0"/>
          <w:szCs w:val="20"/>
          <w:lang w:val="en-US"/>
        </w:rPr>
        <w:t>in poverty or extreme poverty, and based on gender and other factors.</w:t>
      </w:r>
    </w:p>
    <w:p w14:paraId="6F570851" w14:textId="77777777" w:rsidR="00E92CA8" w:rsidRPr="009F337B" w:rsidRDefault="00E92CA8" w:rsidP="00E92CA8">
      <w:pPr>
        <w:pStyle w:val="Estilo1"/>
        <w:tabs>
          <w:tab w:val="left" w:pos="709"/>
          <w:tab w:val="left" w:pos="1134"/>
        </w:tabs>
        <w:spacing w:after="0"/>
        <w:ind w:left="0" w:right="-4" w:firstLine="0"/>
        <w:rPr>
          <w:i w:val="0"/>
          <w:szCs w:val="20"/>
          <w:lang w:val="en-US"/>
        </w:rPr>
      </w:pPr>
    </w:p>
    <w:p w14:paraId="5CC74C06" w14:textId="1E06C2A5" w:rsidR="007E3CA0" w:rsidRPr="009F337B" w:rsidRDefault="000E73AE" w:rsidP="00593E37">
      <w:pPr>
        <w:pStyle w:val="Estilo1"/>
        <w:numPr>
          <w:ilvl w:val="0"/>
          <w:numId w:val="1"/>
        </w:numPr>
        <w:tabs>
          <w:tab w:val="left" w:pos="709"/>
          <w:tab w:val="left" w:pos="1134"/>
        </w:tabs>
        <w:spacing w:after="0"/>
        <w:ind w:left="0" w:right="-4" w:firstLine="0"/>
        <w:rPr>
          <w:i w:val="0"/>
          <w:szCs w:val="20"/>
          <w:lang w:val="en-US"/>
        </w:rPr>
      </w:pPr>
      <w:r w:rsidRPr="009F337B">
        <w:rPr>
          <w:i w:val="0"/>
          <w:szCs w:val="20"/>
          <w:lang w:val="en-US"/>
        </w:rPr>
        <w:t>In</w:t>
      </w:r>
      <w:r w:rsidR="007E3CA0" w:rsidRPr="009F337B">
        <w:rPr>
          <w:i w:val="0"/>
          <w:szCs w:val="20"/>
          <w:lang w:val="en-US"/>
        </w:rPr>
        <w:t xml:space="preserve"> this regard, </w:t>
      </w:r>
      <w:r w:rsidR="007327F5" w:rsidRPr="009F337B">
        <w:rPr>
          <w:i w:val="0"/>
          <w:szCs w:val="20"/>
          <w:lang w:val="en-US"/>
        </w:rPr>
        <w:t>the representatives</w:t>
      </w:r>
      <w:r w:rsidR="00F46845" w:rsidRPr="009F337B">
        <w:rPr>
          <w:b/>
          <w:i w:val="0"/>
          <w:szCs w:val="20"/>
          <w:lang w:val="en-US"/>
        </w:rPr>
        <w:t xml:space="preserve"> </w:t>
      </w:r>
      <w:r w:rsidR="007E3CA0" w:rsidRPr="009F337B">
        <w:rPr>
          <w:rFonts w:eastAsia="Arial" w:cs="Arial"/>
          <w:i w:val="0"/>
          <w:szCs w:val="20"/>
          <w:lang w:val="en-US"/>
        </w:rPr>
        <w:t>argued that</w:t>
      </w:r>
      <w:r w:rsidR="00F46845" w:rsidRPr="009F337B">
        <w:rPr>
          <w:rFonts w:eastAsia="Arial" w:cs="Arial"/>
          <w:i w:val="0"/>
          <w:szCs w:val="20"/>
          <w:lang w:val="en-US"/>
        </w:rPr>
        <w:t xml:space="preserve"> </w:t>
      </w:r>
      <w:r w:rsidR="003C46A3" w:rsidRPr="009F337B">
        <w:rPr>
          <w:rFonts w:eastAsia="Arial" w:cs="Arial"/>
          <w:i w:val="0"/>
          <w:szCs w:val="20"/>
          <w:lang w:val="en-US"/>
        </w:rPr>
        <w:t>the State</w:t>
      </w:r>
      <w:r w:rsidR="00F46845" w:rsidRPr="009F337B">
        <w:rPr>
          <w:rFonts w:eastAsia="Arial" w:cs="Arial"/>
          <w:i w:val="0"/>
          <w:szCs w:val="20"/>
          <w:lang w:val="en-US"/>
        </w:rPr>
        <w:t xml:space="preserve"> </w:t>
      </w:r>
      <w:r w:rsidR="007E3CA0" w:rsidRPr="009F337B">
        <w:rPr>
          <w:rFonts w:eastAsia="Arial" w:cs="Arial"/>
          <w:i w:val="0"/>
          <w:szCs w:val="20"/>
          <w:lang w:val="en-US"/>
        </w:rPr>
        <w:t xml:space="preserve">had violated the rights to life, a decent life, integrity and health </w:t>
      </w:r>
      <w:r w:rsidR="00F46845" w:rsidRPr="009F337B">
        <w:rPr>
          <w:rFonts w:eastAsia="Arial" w:cs="Arial"/>
          <w:i w:val="0"/>
          <w:szCs w:val="20"/>
          <w:lang w:val="en-US"/>
        </w:rPr>
        <w:t>(</w:t>
      </w:r>
      <w:r w:rsidR="00AE5F9E" w:rsidRPr="009F337B">
        <w:rPr>
          <w:rFonts w:eastAsia="Arial" w:cs="Arial"/>
          <w:i w:val="0"/>
          <w:szCs w:val="20"/>
          <w:lang w:val="en-US"/>
        </w:rPr>
        <w:t>Articles</w:t>
      </w:r>
      <w:r w:rsidR="00F46845" w:rsidRPr="009F337B">
        <w:rPr>
          <w:rFonts w:eastAsia="Arial" w:cs="Arial"/>
          <w:i w:val="0"/>
          <w:szCs w:val="20"/>
          <w:lang w:val="en-US"/>
        </w:rPr>
        <w:t xml:space="preserve"> 4, 5</w:t>
      </w:r>
      <w:r w:rsidR="003C46A3" w:rsidRPr="009F337B">
        <w:rPr>
          <w:rFonts w:eastAsia="Arial" w:cs="Arial"/>
          <w:i w:val="0"/>
          <w:szCs w:val="20"/>
          <w:lang w:val="en-US"/>
        </w:rPr>
        <w:t xml:space="preserve"> and </w:t>
      </w:r>
      <w:r w:rsidR="00F46845" w:rsidRPr="009F337B">
        <w:rPr>
          <w:rFonts w:eastAsia="Arial" w:cs="Arial"/>
          <w:i w:val="0"/>
          <w:szCs w:val="20"/>
          <w:lang w:val="en-US"/>
        </w:rPr>
        <w:t xml:space="preserve">26 </w:t>
      </w:r>
      <w:r w:rsidRPr="009F337B">
        <w:rPr>
          <w:rFonts w:eastAsia="Arial" w:cs="Arial"/>
          <w:i w:val="0"/>
          <w:szCs w:val="20"/>
          <w:lang w:val="en-US"/>
        </w:rPr>
        <w:t>in relation to</w:t>
      </w:r>
      <w:r w:rsidR="00F46845" w:rsidRPr="009F337B">
        <w:rPr>
          <w:rFonts w:eastAsia="Arial" w:cs="Arial"/>
          <w:i w:val="0"/>
          <w:szCs w:val="20"/>
          <w:lang w:val="en-US"/>
        </w:rPr>
        <w:t xml:space="preserve"> </w:t>
      </w:r>
      <w:r w:rsidR="00AE5F9E" w:rsidRPr="009F337B">
        <w:rPr>
          <w:rFonts w:eastAsia="Arial" w:cs="Arial"/>
          <w:i w:val="0"/>
          <w:szCs w:val="20"/>
          <w:lang w:val="en-US"/>
        </w:rPr>
        <w:t>Articles</w:t>
      </w:r>
      <w:r w:rsidR="003C46A3" w:rsidRPr="009F337B">
        <w:rPr>
          <w:rFonts w:eastAsia="Arial" w:cs="Arial"/>
          <w:i w:val="0"/>
          <w:szCs w:val="20"/>
          <w:lang w:val="en-US"/>
        </w:rPr>
        <w:t xml:space="preserve"> 1(1) and </w:t>
      </w:r>
      <w:r w:rsidR="00F46845" w:rsidRPr="009F337B">
        <w:rPr>
          <w:rFonts w:eastAsia="Arial" w:cs="Arial"/>
          <w:i w:val="0"/>
          <w:szCs w:val="20"/>
          <w:lang w:val="en-US"/>
        </w:rPr>
        <w:t xml:space="preserve">2 </w:t>
      </w:r>
      <w:r w:rsidR="007E3CA0" w:rsidRPr="009F337B">
        <w:rPr>
          <w:rFonts w:eastAsia="Arial" w:cs="Arial"/>
          <w:i w:val="0"/>
          <w:szCs w:val="20"/>
          <w:lang w:val="en-US"/>
        </w:rPr>
        <w:t>of the American Convention</w:t>
      </w:r>
      <w:r w:rsidR="00F46845" w:rsidRPr="009F337B">
        <w:rPr>
          <w:rFonts w:eastAsia="Arial" w:cs="Arial"/>
          <w:i w:val="0"/>
          <w:szCs w:val="20"/>
          <w:lang w:val="en-US"/>
        </w:rPr>
        <w:t>)</w:t>
      </w:r>
      <w:r w:rsidR="007E3CA0" w:rsidRPr="009F337B">
        <w:rPr>
          <w:rFonts w:eastAsia="Arial" w:cs="Arial"/>
          <w:i w:val="0"/>
          <w:szCs w:val="20"/>
          <w:lang w:val="en-US"/>
        </w:rPr>
        <w:t xml:space="preserve">, because it had failed to adopt positive and concrete measures to provide good quality, acceptable, accessible and comprehensive medical care to </w:t>
      </w:r>
      <w:r w:rsidR="00B12CD2" w:rsidRPr="009F337B">
        <w:rPr>
          <w:rFonts w:eastAsia="Arial" w:cs="Arial"/>
          <w:i w:val="0"/>
          <w:szCs w:val="20"/>
          <w:lang w:val="en-US"/>
        </w:rPr>
        <w:t>t</w:t>
      </w:r>
      <w:r w:rsidR="007E3CA0" w:rsidRPr="009F337B">
        <w:rPr>
          <w:rFonts w:eastAsia="Arial" w:cs="Arial"/>
          <w:i w:val="0"/>
          <w:szCs w:val="20"/>
          <w:lang w:val="en-US"/>
        </w:rPr>
        <w:t>he victims, bearing in mind that it was aware of their condition as</w:t>
      </w:r>
      <w:r w:rsidR="007E3CA0" w:rsidRPr="009F337B">
        <w:rPr>
          <w:i w:val="0"/>
          <w:szCs w:val="20"/>
          <w:lang w:val="en-US"/>
        </w:rPr>
        <w:t xml:space="preserve"> </w:t>
      </w:r>
      <w:r w:rsidR="00080A1E" w:rsidRPr="009F337B">
        <w:rPr>
          <w:rFonts w:eastAsia="Arial" w:cs="Arial"/>
          <w:i w:val="0"/>
          <w:szCs w:val="20"/>
          <w:lang w:val="en-US"/>
        </w:rPr>
        <w:t>people living with HIV</w:t>
      </w:r>
      <w:r w:rsidR="00F46845" w:rsidRPr="009F337B">
        <w:rPr>
          <w:rFonts w:eastAsia="Arial" w:cs="Arial"/>
          <w:i w:val="0"/>
          <w:szCs w:val="20"/>
          <w:lang w:val="en-US"/>
        </w:rPr>
        <w:t xml:space="preserve">. </w:t>
      </w:r>
      <w:r w:rsidRPr="009F337B">
        <w:rPr>
          <w:rFonts w:eastAsia="Arial" w:cs="Arial"/>
          <w:i w:val="0"/>
          <w:szCs w:val="20"/>
          <w:lang w:val="en-US"/>
        </w:rPr>
        <w:t>In relation to</w:t>
      </w:r>
      <w:r w:rsidR="00F46845" w:rsidRPr="009F337B">
        <w:rPr>
          <w:rFonts w:eastAsia="Arial" w:cs="Arial"/>
          <w:i w:val="0"/>
          <w:szCs w:val="20"/>
          <w:lang w:val="en-US"/>
        </w:rPr>
        <w:t xml:space="preserve"> </w:t>
      </w:r>
      <w:r w:rsidR="007E3CA0" w:rsidRPr="009F337B">
        <w:rPr>
          <w:rFonts w:eastAsia="Arial" w:cs="Arial"/>
          <w:i w:val="0"/>
          <w:szCs w:val="20"/>
          <w:lang w:val="en-US"/>
        </w:rPr>
        <w:t>the right to life, they argued that the State was responsible for the death of 13 people owing to the lack of adequate medical care</w:t>
      </w:r>
      <w:r w:rsidR="00F46845" w:rsidRPr="009F337B">
        <w:rPr>
          <w:rFonts w:eastAsia="Arial" w:cs="Arial"/>
          <w:i w:val="0"/>
          <w:szCs w:val="20"/>
          <w:lang w:val="en-US"/>
        </w:rPr>
        <w:t>, inclu</w:t>
      </w:r>
      <w:r w:rsidR="007E3CA0" w:rsidRPr="009F337B">
        <w:rPr>
          <w:rFonts w:eastAsia="Arial" w:cs="Arial"/>
          <w:i w:val="0"/>
          <w:szCs w:val="20"/>
          <w:lang w:val="en-US"/>
        </w:rPr>
        <w:t xml:space="preserve">ding the lack of access to </w:t>
      </w:r>
      <w:r w:rsidR="00D52F4C" w:rsidRPr="009F337B">
        <w:rPr>
          <w:rFonts w:eastAsia="Arial" w:cs="Arial"/>
          <w:i w:val="0"/>
          <w:szCs w:val="20"/>
          <w:lang w:val="en-US"/>
        </w:rPr>
        <w:t>antiretroviral drugs</w:t>
      </w:r>
      <w:r w:rsidR="003C46A3" w:rsidRPr="009F337B">
        <w:rPr>
          <w:rFonts w:eastAsia="Arial" w:cs="Arial"/>
          <w:i w:val="0"/>
          <w:szCs w:val="20"/>
          <w:lang w:val="en-US"/>
        </w:rPr>
        <w:t xml:space="preserve"> and </w:t>
      </w:r>
      <w:r w:rsidR="007E3CA0" w:rsidRPr="009F337B">
        <w:rPr>
          <w:rFonts w:eastAsia="Arial" w:cs="Arial"/>
          <w:i w:val="0"/>
          <w:szCs w:val="20"/>
          <w:lang w:val="en-US"/>
        </w:rPr>
        <w:t xml:space="preserve">the necessary tests to monitor the evolution of the infection, in addition to other components of comprehensive care. Regarding the right to </w:t>
      </w:r>
      <w:r w:rsidR="003C46A3" w:rsidRPr="009F337B">
        <w:rPr>
          <w:rFonts w:eastAsia="Arial" w:cs="Arial"/>
          <w:i w:val="0"/>
          <w:szCs w:val="20"/>
          <w:lang w:val="en-US"/>
        </w:rPr>
        <w:t xml:space="preserve">personal integrity and </w:t>
      </w:r>
      <w:r w:rsidR="007E3CA0" w:rsidRPr="009F337B">
        <w:rPr>
          <w:rFonts w:eastAsia="Arial" w:cs="Arial"/>
          <w:i w:val="0"/>
          <w:szCs w:val="20"/>
          <w:lang w:val="en-US"/>
        </w:rPr>
        <w:t xml:space="preserve">to a decent life, </w:t>
      </w:r>
      <w:r w:rsidR="007327F5" w:rsidRPr="009F337B">
        <w:rPr>
          <w:rFonts w:eastAsia="Arial" w:cs="Arial"/>
          <w:i w:val="0"/>
          <w:szCs w:val="20"/>
          <w:lang w:val="en-US"/>
        </w:rPr>
        <w:t>the representatives</w:t>
      </w:r>
      <w:r w:rsidR="00F46845" w:rsidRPr="009F337B">
        <w:rPr>
          <w:rFonts w:eastAsia="Arial" w:cs="Arial"/>
          <w:i w:val="0"/>
          <w:szCs w:val="20"/>
          <w:lang w:val="en-US"/>
        </w:rPr>
        <w:t xml:space="preserve"> a</w:t>
      </w:r>
      <w:r w:rsidR="007E3CA0" w:rsidRPr="009F337B">
        <w:rPr>
          <w:rFonts w:eastAsia="Arial" w:cs="Arial"/>
          <w:i w:val="0"/>
          <w:szCs w:val="20"/>
          <w:lang w:val="en-US"/>
        </w:rPr>
        <w:t xml:space="preserve">rgued that the State was responsible for the detrimental effects on the physical and psychological health of the presumed victims over the time during which they did not receive any medical treatment or during which the medical treatment was inadequate. In addition, they indicated that the State discriminated against the presumed victims by not guaranteeing them comprehensive medical care taking into account their different </w:t>
      </w:r>
      <w:r w:rsidR="00B12CD2" w:rsidRPr="009F337B">
        <w:rPr>
          <w:rFonts w:eastAsia="Arial" w:cs="Arial"/>
          <w:i w:val="0"/>
          <w:szCs w:val="20"/>
          <w:lang w:val="en-US"/>
        </w:rPr>
        <w:t xml:space="preserve">factors of </w:t>
      </w:r>
      <w:r w:rsidR="007E3CA0" w:rsidRPr="009F337B">
        <w:rPr>
          <w:rFonts w:eastAsia="Arial" w:cs="Arial"/>
          <w:i w:val="0"/>
          <w:szCs w:val="20"/>
          <w:lang w:val="en-US"/>
        </w:rPr>
        <w:t>vulnerability added to their HIV</w:t>
      </w:r>
      <w:r w:rsidR="00B12CD2" w:rsidRPr="009F337B">
        <w:rPr>
          <w:rFonts w:eastAsia="Arial" w:cs="Arial"/>
          <w:i w:val="0"/>
          <w:szCs w:val="20"/>
          <w:lang w:val="en-US"/>
        </w:rPr>
        <w:t>-</w:t>
      </w:r>
      <w:r w:rsidR="007E3CA0" w:rsidRPr="009F337B">
        <w:rPr>
          <w:rFonts w:eastAsia="Arial" w:cs="Arial"/>
          <w:i w:val="0"/>
          <w:szCs w:val="20"/>
          <w:lang w:val="en-US"/>
        </w:rPr>
        <w:t xml:space="preserve">positive status. Moreover, they argued that the State was responsible for failing to put in place measures to avoid </w:t>
      </w:r>
      <w:r w:rsidR="00593D2D">
        <w:rPr>
          <w:rFonts w:eastAsia="Arial" w:cs="Arial"/>
          <w:i w:val="0"/>
          <w:szCs w:val="20"/>
          <w:lang w:val="en-US"/>
        </w:rPr>
        <w:t>vertical</w:t>
      </w:r>
      <w:r w:rsidR="004D77FC" w:rsidRPr="009F337B">
        <w:rPr>
          <w:rFonts w:eastAsia="Arial" w:cs="Arial"/>
          <w:i w:val="0"/>
          <w:szCs w:val="20"/>
          <w:lang w:val="en-US"/>
        </w:rPr>
        <w:t xml:space="preserve"> transmission in the case of pregnant women.</w:t>
      </w:r>
    </w:p>
    <w:p w14:paraId="5A638880" w14:textId="77777777" w:rsidR="00E92CA8" w:rsidRPr="009F337B" w:rsidRDefault="00E92CA8" w:rsidP="00E92CA8">
      <w:pPr>
        <w:pStyle w:val="Estilo1"/>
        <w:tabs>
          <w:tab w:val="left" w:pos="709"/>
          <w:tab w:val="left" w:pos="1134"/>
        </w:tabs>
        <w:spacing w:after="0"/>
        <w:ind w:left="0" w:right="-4" w:firstLine="0"/>
        <w:rPr>
          <w:i w:val="0"/>
          <w:szCs w:val="20"/>
          <w:lang w:val="en-US"/>
        </w:rPr>
      </w:pPr>
    </w:p>
    <w:p w14:paraId="369184DC" w14:textId="4BF0A48E" w:rsidR="004D77FC" w:rsidRPr="009F337B" w:rsidRDefault="000E73AE" w:rsidP="00593E37">
      <w:pPr>
        <w:pStyle w:val="Estilo1"/>
        <w:numPr>
          <w:ilvl w:val="0"/>
          <w:numId w:val="1"/>
        </w:numPr>
        <w:tabs>
          <w:tab w:val="left" w:pos="709"/>
          <w:tab w:val="left" w:pos="1134"/>
        </w:tabs>
        <w:spacing w:after="0"/>
        <w:ind w:left="0" w:right="-4" w:firstLine="0"/>
        <w:rPr>
          <w:i w:val="0"/>
          <w:szCs w:val="20"/>
          <w:lang w:val="en-US"/>
        </w:rPr>
      </w:pPr>
      <w:r w:rsidRPr="009F337B">
        <w:rPr>
          <w:rFonts w:eastAsia="Arial" w:cs="Arial"/>
          <w:i w:val="0"/>
          <w:szCs w:val="20"/>
          <w:lang w:val="en-US"/>
        </w:rPr>
        <w:t>In relation to</w:t>
      </w:r>
      <w:r w:rsidR="00F46845" w:rsidRPr="009F337B">
        <w:rPr>
          <w:rFonts w:eastAsia="Arial" w:cs="Arial"/>
          <w:i w:val="0"/>
          <w:szCs w:val="20"/>
          <w:lang w:val="en-US"/>
        </w:rPr>
        <w:t xml:space="preserve"> </w:t>
      </w:r>
      <w:r w:rsidR="00AE5F9E" w:rsidRPr="009F337B">
        <w:rPr>
          <w:rFonts w:eastAsia="Arial" w:cs="Arial"/>
          <w:i w:val="0"/>
          <w:szCs w:val="20"/>
          <w:lang w:val="en-US"/>
        </w:rPr>
        <w:t>Article</w:t>
      </w:r>
      <w:r w:rsidR="00F46845" w:rsidRPr="009F337B">
        <w:rPr>
          <w:rFonts w:eastAsia="Arial" w:cs="Arial"/>
          <w:i w:val="0"/>
          <w:szCs w:val="20"/>
          <w:lang w:val="en-US"/>
        </w:rPr>
        <w:t xml:space="preserve"> 26, </w:t>
      </w:r>
      <w:r w:rsidR="007327F5" w:rsidRPr="009F337B">
        <w:rPr>
          <w:rFonts w:eastAsia="Arial" w:cs="Arial"/>
          <w:i w:val="0"/>
          <w:szCs w:val="20"/>
          <w:lang w:val="en-US"/>
        </w:rPr>
        <w:t>the representatives</w:t>
      </w:r>
      <w:r w:rsidR="00F46845" w:rsidRPr="009F337B">
        <w:rPr>
          <w:rFonts w:eastAsia="Arial" w:cs="Arial"/>
          <w:i w:val="0"/>
          <w:szCs w:val="20"/>
          <w:lang w:val="en-US"/>
        </w:rPr>
        <w:t xml:space="preserve"> </w:t>
      </w:r>
      <w:r w:rsidR="004D77FC" w:rsidRPr="009F337B">
        <w:rPr>
          <w:rFonts w:eastAsia="Arial" w:cs="Arial"/>
          <w:i w:val="0"/>
          <w:szCs w:val="20"/>
          <w:lang w:val="en-US"/>
        </w:rPr>
        <w:t>argued that</w:t>
      </w:r>
      <w:r w:rsidR="00F46845" w:rsidRPr="009F337B">
        <w:rPr>
          <w:rFonts w:eastAsia="Arial" w:cs="Arial"/>
          <w:i w:val="0"/>
          <w:szCs w:val="20"/>
          <w:lang w:val="en-US"/>
        </w:rPr>
        <w:t xml:space="preserve"> </w:t>
      </w:r>
      <w:r w:rsidR="003C46A3" w:rsidRPr="009F337B">
        <w:rPr>
          <w:rFonts w:eastAsia="Arial" w:cs="Arial"/>
          <w:i w:val="0"/>
          <w:szCs w:val="20"/>
          <w:lang w:val="en-US"/>
        </w:rPr>
        <w:t>the State</w:t>
      </w:r>
      <w:r w:rsidR="00F46845" w:rsidRPr="009F337B">
        <w:rPr>
          <w:rFonts w:eastAsia="Arial" w:cs="Arial"/>
          <w:i w:val="0"/>
          <w:szCs w:val="20"/>
          <w:lang w:val="en-US"/>
        </w:rPr>
        <w:t xml:space="preserve"> </w:t>
      </w:r>
      <w:r w:rsidR="004D77FC" w:rsidRPr="009F337B">
        <w:rPr>
          <w:rFonts w:eastAsia="Arial" w:cs="Arial"/>
          <w:i w:val="0"/>
          <w:szCs w:val="20"/>
          <w:lang w:val="en-US"/>
        </w:rPr>
        <w:t xml:space="preserve">was responsible for violating the right to health of the victims because, even though it was aware of the existence of an HIV epidemic in its territory, it adopted </w:t>
      </w:r>
      <w:r w:rsidR="009F1A03" w:rsidRPr="009F337B">
        <w:rPr>
          <w:rFonts w:eastAsia="Arial" w:cs="Arial"/>
          <w:i w:val="0"/>
          <w:szCs w:val="20"/>
          <w:lang w:val="en-US"/>
        </w:rPr>
        <w:t>retrogressive</w:t>
      </w:r>
      <w:r w:rsidR="004D77FC" w:rsidRPr="009F337B">
        <w:rPr>
          <w:rFonts w:eastAsia="Arial" w:cs="Arial"/>
          <w:i w:val="0"/>
          <w:szCs w:val="20"/>
          <w:lang w:val="en-US"/>
        </w:rPr>
        <w:t xml:space="preserve"> measures and did not make as many resources as possible available to prevent the propagation of the virus and to </w:t>
      </w:r>
      <w:r w:rsidR="004D77FC" w:rsidRPr="009F337B">
        <w:rPr>
          <w:rFonts w:eastAsia="Arial" w:cs="Arial"/>
          <w:i w:val="0"/>
          <w:szCs w:val="20"/>
          <w:lang w:val="en-US"/>
        </w:rPr>
        <w:lastRenderedPageBreak/>
        <w:t xml:space="preserve">ensure the right to health. Those measures included legal barriers </w:t>
      </w:r>
      <w:r w:rsidR="00B12CD2" w:rsidRPr="009F337B">
        <w:rPr>
          <w:rFonts w:eastAsia="Arial" w:cs="Arial"/>
          <w:i w:val="0"/>
          <w:szCs w:val="20"/>
          <w:lang w:val="en-US"/>
        </w:rPr>
        <w:t>concern</w:t>
      </w:r>
      <w:r w:rsidR="004D77FC" w:rsidRPr="009F337B">
        <w:rPr>
          <w:rFonts w:eastAsia="Arial" w:cs="Arial"/>
          <w:i w:val="0"/>
          <w:szCs w:val="20"/>
          <w:lang w:val="en-US"/>
        </w:rPr>
        <w:t xml:space="preserve">ing patents that prevented a permanent supply of low-cost drugs in the health system by not allowing the State to use its financial resources effectively. Specifically, they asserted that Guatemala had adopted regulations that made it impossible to access the drugs required by people living with HIV on a permanent basis, </w:t>
      </w:r>
      <w:r w:rsidR="00B12CD2" w:rsidRPr="009F337B">
        <w:rPr>
          <w:rFonts w:eastAsia="Arial" w:cs="Arial"/>
          <w:i w:val="0"/>
          <w:szCs w:val="20"/>
          <w:lang w:val="en-US"/>
        </w:rPr>
        <w:t>and this</w:t>
      </w:r>
      <w:r w:rsidR="004D77FC" w:rsidRPr="009F337B">
        <w:rPr>
          <w:rFonts w:eastAsia="Arial" w:cs="Arial"/>
          <w:i w:val="0"/>
          <w:szCs w:val="20"/>
          <w:lang w:val="en-US"/>
        </w:rPr>
        <w:t xml:space="preserve"> had had a direct impact on the presumed victims. In this regard, the Industrial Property Law established a limitation on the legitimate trade of generic drugs, with an impact on access to treatment for people living with HIV. </w:t>
      </w:r>
      <w:r w:rsidR="00B12CD2" w:rsidRPr="009F337B">
        <w:rPr>
          <w:rFonts w:eastAsia="Arial" w:cs="Arial"/>
          <w:i w:val="0"/>
          <w:szCs w:val="20"/>
          <w:lang w:val="en-US"/>
        </w:rPr>
        <w:t>They also</w:t>
      </w:r>
      <w:r w:rsidR="004D77FC" w:rsidRPr="009F337B">
        <w:rPr>
          <w:rFonts w:eastAsia="Arial" w:cs="Arial"/>
          <w:i w:val="0"/>
          <w:szCs w:val="20"/>
          <w:lang w:val="en-US"/>
        </w:rPr>
        <w:t xml:space="preserve"> argued that such measures have been accompanied by laws and practices in </w:t>
      </w:r>
      <w:r w:rsidR="00B12CD2" w:rsidRPr="009F337B">
        <w:rPr>
          <w:rFonts w:eastAsia="Arial" w:cs="Arial"/>
          <w:i w:val="0"/>
          <w:szCs w:val="20"/>
          <w:lang w:val="en-US"/>
        </w:rPr>
        <w:t xml:space="preserve">relation to </w:t>
      </w:r>
      <w:r w:rsidR="004D77FC" w:rsidRPr="009F337B">
        <w:rPr>
          <w:rFonts w:eastAsia="Arial" w:cs="Arial"/>
          <w:i w:val="0"/>
          <w:szCs w:val="20"/>
          <w:lang w:val="en-US"/>
        </w:rPr>
        <w:t xml:space="preserve">administrative contracts that had prevented an adequate distribution of available resources </w:t>
      </w:r>
      <w:r w:rsidR="00B12CD2" w:rsidRPr="009F337B">
        <w:rPr>
          <w:rFonts w:eastAsia="Arial" w:cs="Arial"/>
          <w:i w:val="0"/>
          <w:szCs w:val="20"/>
          <w:lang w:val="en-US"/>
        </w:rPr>
        <w:t xml:space="preserve">in order </w:t>
      </w:r>
      <w:r w:rsidR="004D77FC" w:rsidRPr="009F337B">
        <w:rPr>
          <w:rFonts w:eastAsia="Arial" w:cs="Arial"/>
          <w:i w:val="0"/>
          <w:szCs w:val="20"/>
          <w:lang w:val="en-US"/>
        </w:rPr>
        <w:t xml:space="preserve">to access </w:t>
      </w:r>
      <w:r w:rsidR="00B12CD2" w:rsidRPr="009F337B">
        <w:rPr>
          <w:rFonts w:eastAsia="Arial" w:cs="Arial"/>
          <w:i w:val="0"/>
          <w:szCs w:val="20"/>
          <w:lang w:val="en-US"/>
        </w:rPr>
        <w:t>drugs</w:t>
      </w:r>
      <w:r w:rsidR="004D77FC" w:rsidRPr="009F337B">
        <w:rPr>
          <w:rFonts w:eastAsia="Arial" w:cs="Arial"/>
          <w:i w:val="0"/>
          <w:szCs w:val="20"/>
          <w:lang w:val="en-US"/>
        </w:rPr>
        <w:t>. The representatives also argued that corruption had been an obstacle to the available resources being used effectively to guarantee the right to health.</w:t>
      </w:r>
    </w:p>
    <w:p w14:paraId="6B826831" w14:textId="77777777" w:rsidR="00E92CA8" w:rsidRPr="009F337B" w:rsidRDefault="00E92CA8" w:rsidP="00E92CA8">
      <w:pPr>
        <w:pStyle w:val="Estilo1"/>
        <w:tabs>
          <w:tab w:val="left" w:pos="709"/>
          <w:tab w:val="left" w:pos="1134"/>
        </w:tabs>
        <w:spacing w:after="0"/>
        <w:ind w:left="0" w:right="-4" w:firstLine="0"/>
        <w:rPr>
          <w:i w:val="0"/>
          <w:szCs w:val="20"/>
          <w:lang w:val="en-US"/>
        </w:rPr>
      </w:pPr>
    </w:p>
    <w:p w14:paraId="60812FC1" w14:textId="74CE928F" w:rsidR="004D77FC" w:rsidRPr="009F337B" w:rsidRDefault="004D77FC" w:rsidP="00593E37">
      <w:pPr>
        <w:pStyle w:val="Estilo1"/>
        <w:numPr>
          <w:ilvl w:val="0"/>
          <w:numId w:val="1"/>
        </w:numPr>
        <w:tabs>
          <w:tab w:val="left" w:pos="709"/>
          <w:tab w:val="left" w:pos="1134"/>
        </w:tabs>
        <w:spacing w:after="0"/>
        <w:ind w:left="0" w:right="-4" w:firstLine="0"/>
        <w:rPr>
          <w:i w:val="0"/>
          <w:szCs w:val="20"/>
          <w:lang w:val="en-US"/>
        </w:rPr>
      </w:pPr>
      <w:r w:rsidRPr="009F337B">
        <w:rPr>
          <w:i w:val="0"/>
          <w:szCs w:val="20"/>
          <w:lang w:val="en-US"/>
        </w:rPr>
        <w:t>The</w:t>
      </w:r>
      <w:r w:rsidR="00F46845" w:rsidRPr="009F337B">
        <w:rPr>
          <w:i w:val="0"/>
          <w:szCs w:val="20"/>
          <w:lang w:val="en-US"/>
        </w:rPr>
        <w:t xml:space="preserve"> </w:t>
      </w:r>
      <w:r w:rsidRPr="009F337B">
        <w:rPr>
          <w:b/>
          <w:szCs w:val="20"/>
          <w:lang w:val="en-US"/>
        </w:rPr>
        <w:t>State</w:t>
      </w:r>
      <w:r w:rsidR="00F46845" w:rsidRPr="009F337B">
        <w:rPr>
          <w:b/>
          <w:i w:val="0"/>
          <w:szCs w:val="20"/>
          <w:lang w:val="en-US"/>
        </w:rPr>
        <w:t xml:space="preserve"> </w:t>
      </w:r>
      <w:r w:rsidRPr="009F337B">
        <w:rPr>
          <w:rFonts w:eastAsia="Times New Roman" w:cs="Times New Roman"/>
          <w:i w:val="0"/>
          <w:szCs w:val="20"/>
          <w:lang w:val="en-US"/>
        </w:rPr>
        <w:t xml:space="preserve">indicated that it had </w:t>
      </w:r>
      <w:r w:rsidR="00B12CD2" w:rsidRPr="009F337B">
        <w:rPr>
          <w:rFonts w:eastAsia="Times New Roman" w:cs="Times New Roman"/>
          <w:i w:val="0"/>
          <w:szCs w:val="20"/>
          <w:lang w:val="en-US"/>
        </w:rPr>
        <w:t>taken</w:t>
      </w:r>
      <w:r w:rsidRPr="009F337B">
        <w:rPr>
          <w:rFonts w:eastAsia="Times New Roman" w:cs="Times New Roman"/>
          <w:i w:val="0"/>
          <w:szCs w:val="20"/>
          <w:lang w:val="en-US"/>
        </w:rPr>
        <w:t xml:space="preserve"> all possible </w:t>
      </w:r>
      <w:r w:rsidR="00B12CD2" w:rsidRPr="009F337B">
        <w:rPr>
          <w:rFonts w:eastAsia="Times New Roman" w:cs="Times New Roman"/>
          <w:i w:val="0"/>
          <w:szCs w:val="20"/>
          <w:lang w:val="en-US"/>
        </w:rPr>
        <w:t>steps</w:t>
      </w:r>
      <w:r w:rsidRPr="009F337B">
        <w:rPr>
          <w:rFonts w:eastAsia="Times New Roman" w:cs="Times New Roman"/>
          <w:i w:val="0"/>
          <w:szCs w:val="20"/>
          <w:lang w:val="en-US"/>
        </w:rPr>
        <w:t>, including advising patients what they should and should not do, and therefore, strictly speaking, it could not be found responsible if patients did not follow its recommendations. The State asserted that, without prejudice to the eventual responsibility that could be attributed to it owing to the lack of drugs, the psychological effects</w:t>
      </w:r>
      <w:r w:rsidR="00F3796E" w:rsidRPr="009F337B">
        <w:rPr>
          <w:rFonts w:eastAsia="Times New Roman" w:cs="Times New Roman"/>
          <w:i w:val="0"/>
          <w:szCs w:val="20"/>
          <w:lang w:val="en-US"/>
        </w:rPr>
        <w:t xml:space="preserve"> or habits</w:t>
      </w:r>
      <w:r w:rsidRPr="009F337B">
        <w:rPr>
          <w:rFonts w:eastAsia="Times New Roman" w:cs="Times New Roman"/>
          <w:i w:val="0"/>
          <w:szCs w:val="20"/>
          <w:lang w:val="en-US"/>
        </w:rPr>
        <w:t xml:space="preserve"> of a person living with HIV </w:t>
      </w:r>
      <w:r w:rsidR="00F3796E" w:rsidRPr="009F337B">
        <w:rPr>
          <w:rFonts w:eastAsia="Times New Roman" w:cs="Times New Roman"/>
          <w:i w:val="0"/>
          <w:szCs w:val="20"/>
          <w:lang w:val="en-US"/>
        </w:rPr>
        <w:t>that</w:t>
      </w:r>
      <w:r w:rsidRPr="009F337B">
        <w:rPr>
          <w:rFonts w:eastAsia="Times New Roman" w:cs="Times New Roman"/>
          <w:i w:val="0"/>
          <w:szCs w:val="20"/>
          <w:lang w:val="en-US"/>
        </w:rPr>
        <w:t xml:space="preserve"> would help the State comply with is international obligations</w:t>
      </w:r>
      <w:r w:rsidR="00F3796E" w:rsidRPr="009F337B">
        <w:rPr>
          <w:rFonts w:eastAsia="Times New Roman" w:cs="Times New Roman"/>
          <w:i w:val="0"/>
          <w:szCs w:val="20"/>
          <w:lang w:val="en-US"/>
        </w:rPr>
        <w:t xml:space="preserve"> should be taken into consideration</w:t>
      </w:r>
      <w:r w:rsidRPr="009F337B">
        <w:rPr>
          <w:rFonts w:eastAsia="Times New Roman" w:cs="Times New Roman"/>
          <w:i w:val="0"/>
          <w:szCs w:val="20"/>
          <w:lang w:val="en-US"/>
        </w:rPr>
        <w:t xml:space="preserve">. Regarding the arguments concerning Article 26, the State </w:t>
      </w:r>
      <w:r w:rsidR="00F3796E" w:rsidRPr="009F337B">
        <w:rPr>
          <w:rFonts w:eastAsia="Times New Roman" w:cs="Times New Roman"/>
          <w:i w:val="0"/>
          <w:szCs w:val="20"/>
          <w:lang w:val="en-US"/>
        </w:rPr>
        <w:t>agreed with</w:t>
      </w:r>
      <w:r w:rsidRPr="009F337B">
        <w:rPr>
          <w:rFonts w:eastAsia="Times New Roman" w:cs="Times New Roman"/>
          <w:i w:val="0"/>
          <w:szCs w:val="20"/>
          <w:lang w:val="en-US"/>
        </w:rPr>
        <w:t xml:space="preserve"> the </w:t>
      </w:r>
      <w:r w:rsidR="00F3796E" w:rsidRPr="009F337B">
        <w:rPr>
          <w:rFonts w:eastAsia="Times New Roman" w:cs="Times New Roman"/>
          <w:i w:val="0"/>
          <w:szCs w:val="20"/>
          <w:lang w:val="en-US"/>
        </w:rPr>
        <w:t xml:space="preserve">Commission’s </w:t>
      </w:r>
      <w:r w:rsidRPr="009F337B">
        <w:rPr>
          <w:rFonts w:eastAsia="Times New Roman" w:cs="Times New Roman"/>
          <w:i w:val="0"/>
          <w:szCs w:val="20"/>
          <w:lang w:val="en-US"/>
        </w:rPr>
        <w:t>decision</w:t>
      </w:r>
      <w:r w:rsidR="00F3796E" w:rsidRPr="009F337B">
        <w:rPr>
          <w:rFonts w:eastAsia="Times New Roman" w:cs="Times New Roman"/>
          <w:i w:val="0"/>
          <w:szCs w:val="20"/>
          <w:lang w:val="en-US"/>
        </w:rPr>
        <w:t xml:space="preserve"> and</w:t>
      </w:r>
      <w:r w:rsidRPr="009F337B">
        <w:rPr>
          <w:rFonts w:eastAsia="Times New Roman" w:cs="Times New Roman"/>
          <w:i w:val="0"/>
          <w:szCs w:val="20"/>
          <w:lang w:val="en-US"/>
        </w:rPr>
        <w:t xml:space="preserve"> consider</w:t>
      </w:r>
      <w:r w:rsidR="00F3796E" w:rsidRPr="009F337B">
        <w:rPr>
          <w:rFonts w:eastAsia="Times New Roman" w:cs="Times New Roman"/>
          <w:i w:val="0"/>
          <w:szCs w:val="20"/>
          <w:lang w:val="en-US"/>
        </w:rPr>
        <w:t>ed</w:t>
      </w:r>
      <w:r w:rsidRPr="009F337B">
        <w:rPr>
          <w:rFonts w:eastAsia="Times New Roman" w:cs="Times New Roman"/>
          <w:i w:val="0"/>
          <w:szCs w:val="20"/>
          <w:lang w:val="en-US"/>
        </w:rPr>
        <w:t xml:space="preserve"> that</w:t>
      </w:r>
      <w:r w:rsidR="00F3796E" w:rsidRPr="009F337B">
        <w:rPr>
          <w:rFonts w:eastAsia="Times New Roman" w:cs="Times New Roman"/>
          <w:i w:val="0"/>
          <w:szCs w:val="20"/>
          <w:lang w:val="en-US"/>
        </w:rPr>
        <w:t>,</w:t>
      </w:r>
      <w:r w:rsidRPr="009F337B">
        <w:rPr>
          <w:rFonts w:eastAsia="Times New Roman" w:cs="Times New Roman"/>
          <w:i w:val="0"/>
          <w:szCs w:val="20"/>
          <w:lang w:val="en-US"/>
        </w:rPr>
        <w:t xml:space="preserve"> in the case of the right to health, there </w:t>
      </w:r>
      <w:r w:rsidR="00F3796E" w:rsidRPr="009F337B">
        <w:rPr>
          <w:rFonts w:eastAsia="Times New Roman" w:cs="Times New Roman"/>
          <w:i w:val="0"/>
          <w:szCs w:val="20"/>
          <w:lang w:val="en-US"/>
        </w:rPr>
        <w:t>was</w:t>
      </w:r>
      <w:r w:rsidRPr="009F337B">
        <w:rPr>
          <w:rFonts w:eastAsia="Times New Roman" w:cs="Times New Roman"/>
          <w:i w:val="0"/>
          <w:szCs w:val="20"/>
          <w:lang w:val="en-US"/>
        </w:rPr>
        <w:t xml:space="preserve"> an obligation of progressive compliance</w:t>
      </w:r>
      <w:r w:rsidR="00F3796E" w:rsidRPr="009F337B">
        <w:rPr>
          <w:rFonts w:eastAsia="Times New Roman" w:cs="Times New Roman"/>
          <w:i w:val="0"/>
          <w:szCs w:val="20"/>
          <w:lang w:val="en-US"/>
        </w:rPr>
        <w:t xml:space="preserve">, and this </w:t>
      </w:r>
      <w:r w:rsidRPr="009F337B">
        <w:rPr>
          <w:rFonts w:eastAsia="Times New Roman" w:cs="Times New Roman"/>
          <w:i w:val="0"/>
          <w:szCs w:val="20"/>
          <w:lang w:val="en-US"/>
        </w:rPr>
        <w:t>refer</w:t>
      </w:r>
      <w:r w:rsidR="00F3796E" w:rsidRPr="009F337B">
        <w:rPr>
          <w:rFonts w:eastAsia="Times New Roman" w:cs="Times New Roman"/>
          <w:i w:val="0"/>
          <w:szCs w:val="20"/>
          <w:lang w:val="en-US"/>
        </w:rPr>
        <w:t>red</w:t>
      </w:r>
      <w:r w:rsidRPr="009F337B">
        <w:rPr>
          <w:rFonts w:eastAsia="Times New Roman" w:cs="Times New Roman"/>
          <w:i w:val="0"/>
          <w:szCs w:val="20"/>
          <w:lang w:val="en-US"/>
        </w:rPr>
        <w:t xml:space="preserve"> to the right to health in general, both preventive and curative, </w:t>
      </w:r>
      <w:r w:rsidR="00F3796E" w:rsidRPr="009F337B">
        <w:rPr>
          <w:rFonts w:eastAsia="Times New Roman" w:cs="Times New Roman"/>
          <w:i w:val="0"/>
          <w:szCs w:val="20"/>
          <w:lang w:val="en-US"/>
        </w:rPr>
        <w:t>that should be provided to the whole</w:t>
      </w:r>
      <w:r w:rsidRPr="009F337B">
        <w:rPr>
          <w:rFonts w:eastAsia="Times New Roman" w:cs="Times New Roman"/>
          <w:i w:val="0"/>
          <w:szCs w:val="20"/>
          <w:lang w:val="en-US"/>
        </w:rPr>
        <w:t xml:space="preserve"> population. However, </w:t>
      </w:r>
      <w:r w:rsidR="00F3796E" w:rsidRPr="009F337B">
        <w:rPr>
          <w:rFonts w:eastAsia="Times New Roman" w:cs="Times New Roman"/>
          <w:i w:val="0"/>
          <w:szCs w:val="20"/>
          <w:lang w:val="en-US"/>
        </w:rPr>
        <w:t>it</w:t>
      </w:r>
      <w:r w:rsidRPr="009F337B">
        <w:rPr>
          <w:rFonts w:eastAsia="Times New Roman" w:cs="Times New Roman"/>
          <w:i w:val="0"/>
          <w:szCs w:val="20"/>
          <w:lang w:val="en-US"/>
        </w:rPr>
        <w:t xml:space="preserve"> argued that the realization of </w:t>
      </w:r>
      <w:r w:rsidR="00F3796E" w:rsidRPr="009F337B">
        <w:rPr>
          <w:rFonts w:eastAsia="Times New Roman" w:cs="Times New Roman"/>
          <w:i w:val="0"/>
          <w:szCs w:val="20"/>
          <w:lang w:val="en-US"/>
        </w:rPr>
        <w:t xml:space="preserve">the </w:t>
      </w:r>
      <w:r w:rsidRPr="009F337B">
        <w:rPr>
          <w:rFonts w:eastAsia="Times New Roman" w:cs="Times New Roman"/>
          <w:i w:val="0"/>
          <w:szCs w:val="20"/>
          <w:lang w:val="en-US"/>
        </w:rPr>
        <w:t>social and economic rights depended on the situation of each State and, above all, on their financial situation and, therefore, such rights c</w:t>
      </w:r>
      <w:r w:rsidR="00F3796E" w:rsidRPr="009F337B">
        <w:rPr>
          <w:rFonts w:eastAsia="Times New Roman" w:cs="Times New Roman"/>
          <w:i w:val="0"/>
          <w:szCs w:val="20"/>
          <w:lang w:val="en-US"/>
        </w:rPr>
        <w:t>ould not</w:t>
      </w:r>
      <w:r w:rsidRPr="009F337B">
        <w:rPr>
          <w:rFonts w:eastAsia="Times New Roman" w:cs="Times New Roman"/>
          <w:i w:val="0"/>
          <w:szCs w:val="20"/>
          <w:lang w:val="en-US"/>
        </w:rPr>
        <w:t xml:space="preserve"> be realized </w:t>
      </w:r>
      <w:r w:rsidR="00F3796E" w:rsidRPr="009F337B">
        <w:rPr>
          <w:rFonts w:eastAsia="Times New Roman" w:cs="Times New Roman"/>
          <w:i w:val="0"/>
          <w:szCs w:val="20"/>
          <w:lang w:val="en-US"/>
        </w:rPr>
        <w:t>in the short-term</w:t>
      </w:r>
      <w:r w:rsidR="00401CBA" w:rsidRPr="009F337B">
        <w:rPr>
          <w:rFonts w:eastAsia="Times New Roman" w:cs="Times New Roman"/>
          <w:i w:val="0"/>
          <w:szCs w:val="20"/>
          <w:lang w:val="en-US"/>
        </w:rPr>
        <w:t>.</w:t>
      </w:r>
    </w:p>
    <w:p w14:paraId="6C4BC97A" w14:textId="77777777" w:rsidR="00E92CA8" w:rsidRPr="009F337B" w:rsidRDefault="00E92CA8" w:rsidP="00E92CA8">
      <w:pPr>
        <w:pStyle w:val="Estilo1"/>
        <w:tabs>
          <w:tab w:val="left" w:pos="709"/>
          <w:tab w:val="left" w:pos="1134"/>
        </w:tabs>
        <w:spacing w:after="0"/>
        <w:ind w:left="0" w:right="-4" w:firstLine="0"/>
        <w:rPr>
          <w:i w:val="0"/>
          <w:szCs w:val="20"/>
          <w:lang w:val="en-US"/>
        </w:rPr>
      </w:pPr>
    </w:p>
    <w:p w14:paraId="238CB7C7" w14:textId="1C918F53" w:rsidR="00E92CA8" w:rsidRPr="009F337B" w:rsidRDefault="00473F70" w:rsidP="00E92CA8">
      <w:pPr>
        <w:pStyle w:val="Ttulo2"/>
        <w:spacing w:before="0" w:after="0"/>
        <w:rPr>
          <w:lang w:val="en-US"/>
        </w:rPr>
      </w:pPr>
      <w:bookmarkStart w:id="70" w:name="_Toc527466488"/>
      <w:r w:rsidRPr="009F337B">
        <w:rPr>
          <w:lang w:val="en-US"/>
        </w:rPr>
        <w:t>Considerations</w:t>
      </w:r>
      <w:r w:rsidR="00AE5F9E" w:rsidRPr="009F337B">
        <w:rPr>
          <w:lang w:val="en-US"/>
        </w:rPr>
        <w:t xml:space="preserve"> of the Court</w:t>
      </w:r>
      <w:bookmarkEnd w:id="70"/>
    </w:p>
    <w:p w14:paraId="7BB90B79" w14:textId="77777777" w:rsidR="00E92CA8" w:rsidRPr="009F337B" w:rsidRDefault="00E92CA8" w:rsidP="00E92CA8">
      <w:pPr>
        <w:rPr>
          <w:lang w:val="en-US"/>
        </w:rPr>
      </w:pPr>
    </w:p>
    <w:p w14:paraId="6FA69816" w14:textId="7E0DC39E" w:rsidR="00F46845" w:rsidRPr="009F337B" w:rsidRDefault="00F3796E" w:rsidP="00593E37">
      <w:pPr>
        <w:pStyle w:val="Estilo1"/>
        <w:numPr>
          <w:ilvl w:val="0"/>
          <w:numId w:val="1"/>
        </w:numPr>
        <w:tabs>
          <w:tab w:val="left" w:pos="709"/>
          <w:tab w:val="left" w:pos="1134"/>
        </w:tabs>
        <w:spacing w:after="0"/>
        <w:ind w:left="0" w:right="-4" w:firstLine="0"/>
        <w:rPr>
          <w:rFonts w:eastAsia="Verdana"/>
          <w:bCs/>
          <w:i w:val="0"/>
          <w:szCs w:val="20"/>
          <w:lang w:val="en-US" w:eastAsia="x-none"/>
        </w:rPr>
      </w:pPr>
      <w:r w:rsidRPr="009F337B">
        <w:rPr>
          <w:rFonts w:eastAsia="Verdana"/>
          <w:bCs/>
          <w:i w:val="0"/>
          <w:szCs w:val="20"/>
          <w:lang w:val="en-US" w:eastAsia="x-none"/>
        </w:rPr>
        <w:t>Based on</w:t>
      </w:r>
      <w:r w:rsidR="00401CBA" w:rsidRPr="009F337B">
        <w:rPr>
          <w:rFonts w:eastAsia="Verdana"/>
          <w:bCs/>
          <w:i w:val="0"/>
          <w:szCs w:val="20"/>
          <w:lang w:val="en-US" w:eastAsia="x-none"/>
        </w:rPr>
        <w:t xml:space="preserve"> the positions of the parties and the proven facts, the Court notes that, in this case, the central dispute refers to whether the State is responsible for: (</w:t>
      </w:r>
      <w:proofErr w:type="spellStart"/>
      <w:r w:rsidR="00401CBA" w:rsidRPr="009F337B">
        <w:rPr>
          <w:rFonts w:eastAsia="Verdana"/>
          <w:bCs/>
          <w:i w:val="0"/>
          <w:szCs w:val="20"/>
          <w:lang w:val="en-US" w:eastAsia="x-none"/>
        </w:rPr>
        <w:t>i</w:t>
      </w:r>
      <w:proofErr w:type="spellEnd"/>
      <w:r w:rsidR="00401CBA" w:rsidRPr="009F337B">
        <w:rPr>
          <w:rFonts w:eastAsia="Verdana"/>
          <w:bCs/>
          <w:i w:val="0"/>
          <w:szCs w:val="20"/>
          <w:lang w:val="en-US" w:eastAsia="x-none"/>
        </w:rPr>
        <w:t>) the violation of</w:t>
      </w:r>
      <w:r w:rsidR="00F46845" w:rsidRPr="009F337B">
        <w:rPr>
          <w:rFonts w:eastAsia="Verdana"/>
          <w:bCs/>
          <w:i w:val="0"/>
          <w:szCs w:val="20"/>
          <w:lang w:val="en-US" w:eastAsia="x-none"/>
        </w:rPr>
        <w:t xml:space="preserve"> </w:t>
      </w:r>
      <w:r w:rsidR="00AE5F9E" w:rsidRPr="009F337B">
        <w:rPr>
          <w:rFonts w:eastAsia="Verdana"/>
          <w:bCs/>
          <w:i w:val="0"/>
          <w:szCs w:val="20"/>
          <w:lang w:val="en-US" w:eastAsia="x-none"/>
        </w:rPr>
        <w:t>Article</w:t>
      </w:r>
      <w:r w:rsidR="00F46845" w:rsidRPr="009F337B">
        <w:rPr>
          <w:rFonts w:eastAsia="Verdana"/>
          <w:bCs/>
          <w:i w:val="0"/>
          <w:szCs w:val="20"/>
          <w:lang w:val="en-US" w:eastAsia="x-none"/>
        </w:rPr>
        <w:t xml:space="preserve"> 26</w:t>
      </w:r>
      <w:r w:rsidR="00AE5F9E" w:rsidRPr="009F337B">
        <w:rPr>
          <w:rFonts w:eastAsia="Verdana"/>
          <w:bCs/>
          <w:i w:val="0"/>
          <w:szCs w:val="20"/>
          <w:lang w:val="en-US" w:eastAsia="x-none"/>
        </w:rPr>
        <w:t xml:space="preserve"> of the American Convention</w:t>
      </w:r>
      <w:r w:rsidR="00F46845" w:rsidRPr="009F337B">
        <w:rPr>
          <w:rFonts w:eastAsia="Verdana"/>
          <w:bCs/>
          <w:i w:val="0"/>
          <w:szCs w:val="20"/>
          <w:lang w:val="en-US" w:eastAsia="x-none"/>
        </w:rPr>
        <w:t xml:space="preserve">, </w:t>
      </w:r>
      <w:r w:rsidR="00401CBA" w:rsidRPr="009F337B">
        <w:rPr>
          <w:rFonts w:eastAsia="Verdana"/>
          <w:bCs/>
          <w:i w:val="0"/>
          <w:szCs w:val="20"/>
          <w:lang w:val="en-US" w:eastAsia="x-none"/>
        </w:rPr>
        <w:t xml:space="preserve">owing to the violation of the right to health </w:t>
      </w:r>
      <w:r w:rsidR="00CC6A68" w:rsidRPr="009F337B">
        <w:rPr>
          <w:rFonts w:eastAsia="Verdana"/>
          <w:bCs/>
          <w:i w:val="0"/>
          <w:szCs w:val="20"/>
          <w:lang w:val="en-US" w:eastAsia="x-none"/>
        </w:rPr>
        <w:t xml:space="preserve">of the </w:t>
      </w:r>
      <w:r w:rsidR="00A00EE5" w:rsidRPr="009F337B">
        <w:rPr>
          <w:rFonts w:eastAsia="Verdana"/>
          <w:bCs/>
          <w:i w:val="0"/>
          <w:szCs w:val="20"/>
          <w:lang w:val="en-US" w:eastAsia="x-none"/>
        </w:rPr>
        <w:t>presumed</w:t>
      </w:r>
      <w:r w:rsidR="003C46A3" w:rsidRPr="009F337B">
        <w:rPr>
          <w:rFonts w:eastAsia="Verdana"/>
          <w:bCs/>
          <w:i w:val="0"/>
          <w:szCs w:val="20"/>
          <w:lang w:val="en-US" w:eastAsia="x-none"/>
        </w:rPr>
        <w:t xml:space="preserve"> victims</w:t>
      </w:r>
      <w:r w:rsidR="00F46845" w:rsidRPr="009F337B">
        <w:rPr>
          <w:rFonts w:eastAsia="Verdana"/>
          <w:bCs/>
          <w:i w:val="0"/>
          <w:szCs w:val="20"/>
          <w:lang w:val="en-US" w:eastAsia="x-none"/>
        </w:rPr>
        <w:t xml:space="preserve"> </w:t>
      </w:r>
      <w:r w:rsidR="00401CBA" w:rsidRPr="009F337B">
        <w:rPr>
          <w:rFonts w:eastAsia="Verdana"/>
          <w:bCs/>
          <w:i w:val="0"/>
          <w:szCs w:val="20"/>
          <w:lang w:val="en-US" w:eastAsia="x-none"/>
        </w:rPr>
        <w:t>as</w:t>
      </w:r>
      <w:r w:rsidR="00F46845" w:rsidRPr="009F337B">
        <w:rPr>
          <w:rFonts w:eastAsia="Verdana"/>
          <w:bCs/>
          <w:i w:val="0"/>
          <w:szCs w:val="20"/>
          <w:lang w:val="en-US" w:eastAsia="x-none"/>
        </w:rPr>
        <w:t xml:space="preserve"> </w:t>
      </w:r>
      <w:r w:rsidR="00080A1E" w:rsidRPr="009F337B">
        <w:rPr>
          <w:rFonts w:eastAsia="Verdana"/>
          <w:bCs/>
          <w:i w:val="0"/>
          <w:szCs w:val="20"/>
          <w:lang w:val="en-US" w:eastAsia="x-none"/>
        </w:rPr>
        <w:t>people living with HIV</w:t>
      </w:r>
      <w:r w:rsidR="00F46845" w:rsidRPr="009F337B">
        <w:rPr>
          <w:rFonts w:eastAsia="Verdana"/>
          <w:bCs/>
          <w:i w:val="0"/>
          <w:szCs w:val="20"/>
          <w:lang w:val="en-US" w:eastAsia="x-none"/>
        </w:rPr>
        <w:t xml:space="preserve">; </w:t>
      </w:r>
      <w:r w:rsidR="00401CBA" w:rsidRPr="009F337B">
        <w:rPr>
          <w:rFonts w:eastAsia="Verdana"/>
          <w:bCs/>
          <w:i w:val="0"/>
          <w:szCs w:val="20"/>
          <w:lang w:val="en-US" w:eastAsia="x-none"/>
        </w:rPr>
        <w:t>(</w:t>
      </w:r>
      <w:r w:rsidR="00F46845" w:rsidRPr="009F337B">
        <w:rPr>
          <w:rFonts w:eastAsia="Verdana"/>
          <w:bCs/>
          <w:i w:val="0"/>
          <w:szCs w:val="20"/>
          <w:lang w:val="en-US" w:eastAsia="x-none"/>
        </w:rPr>
        <w:t xml:space="preserve">ii) </w:t>
      </w:r>
      <w:r w:rsidR="00401CBA" w:rsidRPr="009F337B">
        <w:rPr>
          <w:rFonts w:eastAsia="Verdana"/>
          <w:bCs/>
          <w:i w:val="0"/>
          <w:szCs w:val="20"/>
          <w:lang w:val="en-US" w:eastAsia="x-none"/>
        </w:rPr>
        <w:t>the violation of</w:t>
      </w:r>
      <w:r w:rsidR="00F46845" w:rsidRPr="009F337B">
        <w:rPr>
          <w:rFonts w:eastAsia="Verdana"/>
          <w:bCs/>
          <w:i w:val="0"/>
          <w:szCs w:val="20"/>
          <w:lang w:val="en-US" w:eastAsia="x-none"/>
        </w:rPr>
        <w:t xml:space="preserve"> </w:t>
      </w:r>
      <w:r w:rsidR="00AE5F9E" w:rsidRPr="009F337B">
        <w:rPr>
          <w:rFonts w:eastAsia="Verdana"/>
          <w:bCs/>
          <w:i w:val="0"/>
          <w:szCs w:val="20"/>
          <w:lang w:val="en-US" w:eastAsia="x-none"/>
        </w:rPr>
        <w:t>Articles</w:t>
      </w:r>
      <w:r w:rsidR="00F46845" w:rsidRPr="009F337B">
        <w:rPr>
          <w:rFonts w:eastAsia="Verdana"/>
          <w:bCs/>
          <w:i w:val="0"/>
          <w:szCs w:val="20"/>
          <w:lang w:val="en-US" w:eastAsia="x-none"/>
        </w:rPr>
        <w:t xml:space="preserve"> 4</w:t>
      </w:r>
      <w:r w:rsidR="003C46A3" w:rsidRPr="009F337B">
        <w:rPr>
          <w:rFonts w:eastAsia="Verdana"/>
          <w:bCs/>
          <w:i w:val="0"/>
          <w:szCs w:val="20"/>
          <w:lang w:val="en-US" w:eastAsia="x-none"/>
        </w:rPr>
        <w:t xml:space="preserve"> and </w:t>
      </w:r>
      <w:r w:rsidR="00F46845" w:rsidRPr="009F337B">
        <w:rPr>
          <w:rFonts w:eastAsia="Verdana"/>
          <w:bCs/>
          <w:i w:val="0"/>
          <w:szCs w:val="20"/>
          <w:lang w:val="en-US" w:eastAsia="x-none"/>
        </w:rPr>
        <w:t>5</w:t>
      </w:r>
      <w:r w:rsidR="00AE5F9E" w:rsidRPr="009F337B">
        <w:rPr>
          <w:rFonts w:eastAsia="Verdana"/>
          <w:bCs/>
          <w:i w:val="0"/>
          <w:szCs w:val="20"/>
          <w:lang w:val="en-US" w:eastAsia="x-none"/>
        </w:rPr>
        <w:t xml:space="preserve"> of the Convention</w:t>
      </w:r>
      <w:r w:rsidR="00F46845" w:rsidRPr="009F337B">
        <w:rPr>
          <w:rFonts w:eastAsia="Verdana"/>
          <w:bCs/>
          <w:i w:val="0"/>
          <w:szCs w:val="20"/>
          <w:lang w:val="en-US" w:eastAsia="x-none"/>
        </w:rPr>
        <w:t xml:space="preserve">, </w:t>
      </w:r>
      <w:r w:rsidR="00401CBA" w:rsidRPr="009F337B">
        <w:rPr>
          <w:rFonts w:eastAsia="Verdana"/>
          <w:bCs/>
          <w:i w:val="0"/>
          <w:szCs w:val="20"/>
          <w:lang w:val="en-US" w:eastAsia="x-none"/>
        </w:rPr>
        <w:t xml:space="preserve">owing to the impact that the medical care – or lack of it – could have had on the personal </w:t>
      </w:r>
      <w:r w:rsidR="003C46A3" w:rsidRPr="009F337B">
        <w:rPr>
          <w:rFonts w:eastAsia="Verdana"/>
          <w:bCs/>
          <w:i w:val="0"/>
          <w:szCs w:val="20"/>
          <w:lang w:val="en-US" w:eastAsia="x-none"/>
        </w:rPr>
        <w:t xml:space="preserve">integrity and </w:t>
      </w:r>
      <w:r w:rsidR="00401CBA" w:rsidRPr="009F337B">
        <w:rPr>
          <w:rFonts w:eastAsia="Verdana"/>
          <w:bCs/>
          <w:i w:val="0"/>
          <w:szCs w:val="20"/>
          <w:lang w:val="en-US" w:eastAsia="x-none"/>
        </w:rPr>
        <w:t>life</w:t>
      </w:r>
      <w:r w:rsidR="00CC6A68" w:rsidRPr="009F337B">
        <w:rPr>
          <w:rFonts w:eastAsia="Verdana"/>
          <w:bCs/>
          <w:i w:val="0"/>
          <w:szCs w:val="20"/>
          <w:lang w:val="en-US" w:eastAsia="x-none"/>
        </w:rPr>
        <w:t xml:space="preserve"> of the </w:t>
      </w:r>
      <w:r w:rsidR="00A00EE5" w:rsidRPr="009F337B">
        <w:rPr>
          <w:rFonts w:eastAsia="Verdana"/>
          <w:bCs/>
          <w:i w:val="0"/>
          <w:szCs w:val="20"/>
          <w:lang w:val="en-US" w:eastAsia="x-none"/>
        </w:rPr>
        <w:t>presumed</w:t>
      </w:r>
      <w:r w:rsidR="003C46A3" w:rsidRPr="009F337B">
        <w:rPr>
          <w:rFonts w:eastAsia="Verdana"/>
          <w:bCs/>
          <w:i w:val="0"/>
          <w:szCs w:val="20"/>
          <w:lang w:val="en-US" w:eastAsia="x-none"/>
        </w:rPr>
        <w:t xml:space="preserve"> victims</w:t>
      </w:r>
      <w:r w:rsidR="00F46845" w:rsidRPr="009F337B">
        <w:rPr>
          <w:rFonts w:eastAsia="Verdana"/>
          <w:bCs/>
          <w:i w:val="0"/>
          <w:szCs w:val="20"/>
          <w:lang w:val="en-US" w:eastAsia="x-none"/>
        </w:rPr>
        <w:t xml:space="preserve">; </w:t>
      </w:r>
      <w:r w:rsidR="00401CBA" w:rsidRPr="009F337B">
        <w:rPr>
          <w:rFonts w:eastAsia="Verdana"/>
          <w:bCs/>
          <w:i w:val="0"/>
          <w:szCs w:val="20"/>
          <w:lang w:val="en-US" w:eastAsia="x-none"/>
        </w:rPr>
        <w:t>(</w:t>
      </w:r>
      <w:r w:rsidR="00F46845" w:rsidRPr="009F337B">
        <w:rPr>
          <w:rFonts w:eastAsia="Verdana"/>
          <w:bCs/>
          <w:i w:val="0"/>
          <w:szCs w:val="20"/>
          <w:lang w:val="en-US" w:eastAsia="x-none"/>
        </w:rPr>
        <w:t xml:space="preserve">iii) </w:t>
      </w:r>
      <w:r w:rsidR="00401CBA" w:rsidRPr="009F337B">
        <w:rPr>
          <w:rFonts w:eastAsia="Verdana"/>
          <w:bCs/>
          <w:i w:val="0"/>
          <w:szCs w:val="20"/>
          <w:lang w:val="en-US" w:eastAsia="x-none"/>
        </w:rPr>
        <w:t xml:space="preserve">the violation of the principle of non-discrimination, in cases where </w:t>
      </w:r>
      <w:r w:rsidR="00A00EE5" w:rsidRPr="009F337B">
        <w:rPr>
          <w:rFonts w:eastAsia="Verdana"/>
          <w:bCs/>
          <w:i w:val="0"/>
          <w:szCs w:val="20"/>
          <w:lang w:val="en-US" w:eastAsia="x-none"/>
        </w:rPr>
        <w:t>the presumed</w:t>
      </w:r>
      <w:r w:rsidR="003C46A3" w:rsidRPr="009F337B">
        <w:rPr>
          <w:rFonts w:eastAsia="Verdana"/>
          <w:bCs/>
          <w:i w:val="0"/>
          <w:szCs w:val="20"/>
          <w:lang w:val="en-US" w:eastAsia="x-none"/>
        </w:rPr>
        <w:t xml:space="preserve"> victims</w:t>
      </w:r>
      <w:r w:rsidR="00401CBA" w:rsidRPr="009F337B">
        <w:rPr>
          <w:rFonts w:eastAsia="Verdana"/>
          <w:bCs/>
          <w:i w:val="0"/>
          <w:szCs w:val="20"/>
          <w:lang w:val="en-US" w:eastAsia="x-none"/>
        </w:rPr>
        <w:t xml:space="preserve"> </w:t>
      </w:r>
      <w:r w:rsidR="000C535D" w:rsidRPr="009F337B">
        <w:rPr>
          <w:rFonts w:eastAsia="Verdana"/>
          <w:bCs/>
          <w:i w:val="0"/>
          <w:szCs w:val="20"/>
          <w:lang w:val="en-US" w:eastAsia="x-none"/>
        </w:rPr>
        <w:t xml:space="preserve">had not been ensured </w:t>
      </w:r>
      <w:r w:rsidR="00401CBA" w:rsidRPr="009F337B">
        <w:rPr>
          <w:rFonts w:eastAsia="Verdana"/>
          <w:bCs/>
          <w:i w:val="0"/>
          <w:szCs w:val="20"/>
          <w:lang w:val="en-US" w:eastAsia="x-none"/>
        </w:rPr>
        <w:t xml:space="preserve">comprehensive medical care that took into account their different </w:t>
      </w:r>
      <w:r w:rsidR="000C535D" w:rsidRPr="009F337B">
        <w:rPr>
          <w:rFonts w:eastAsia="Verdana"/>
          <w:bCs/>
          <w:i w:val="0"/>
          <w:szCs w:val="20"/>
          <w:lang w:val="en-US" w:eastAsia="x-none"/>
        </w:rPr>
        <w:t xml:space="preserve">factors of </w:t>
      </w:r>
      <w:r w:rsidR="00401CBA" w:rsidRPr="009F337B">
        <w:rPr>
          <w:rFonts w:eastAsia="Verdana"/>
          <w:bCs/>
          <w:i w:val="0"/>
          <w:szCs w:val="20"/>
          <w:lang w:val="en-US" w:eastAsia="x-none"/>
        </w:rPr>
        <w:t xml:space="preserve">vulnerability such as </w:t>
      </w:r>
      <w:r w:rsidR="000C535D" w:rsidRPr="009F337B">
        <w:rPr>
          <w:rFonts w:eastAsia="Verdana"/>
          <w:bCs/>
          <w:i w:val="0"/>
          <w:szCs w:val="20"/>
          <w:lang w:val="en-US" w:eastAsia="x-none"/>
        </w:rPr>
        <w:t xml:space="preserve">being </w:t>
      </w:r>
      <w:r w:rsidR="00080A1E" w:rsidRPr="009F337B">
        <w:rPr>
          <w:rFonts w:eastAsia="Verdana"/>
          <w:bCs/>
          <w:i w:val="0"/>
          <w:szCs w:val="20"/>
          <w:lang w:val="en-US" w:eastAsia="x-none"/>
        </w:rPr>
        <w:t>people living with HIV</w:t>
      </w:r>
      <w:r w:rsidR="00F46845" w:rsidRPr="009F337B">
        <w:rPr>
          <w:rFonts w:eastAsia="Verdana"/>
          <w:bCs/>
          <w:i w:val="0"/>
          <w:szCs w:val="20"/>
          <w:lang w:val="en-US" w:eastAsia="x-none"/>
        </w:rPr>
        <w:t>, especial</w:t>
      </w:r>
      <w:r w:rsidR="00401CBA" w:rsidRPr="009F337B">
        <w:rPr>
          <w:rFonts w:eastAsia="Verdana"/>
          <w:bCs/>
          <w:i w:val="0"/>
          <w:szCs w:val="20"/>
          <w:lang w:val="en-US" w:eastAsia="x-none"/>
        </w:rPr>
        <w:t xml:space="preserve">ly in the case of pregnant women, and (iv) the violation of the principle of progressivity </w:t>
      </w:r>
      <w:r w:rsidR="00F46845" w:rsidRPr="009F337B">
        <w:rPr>
          <w:rFonts w:eastAsia="Verdana"/>
          <w:bCs/>
          <w:i w:val="0"/>
          <w:szCs w:val="20"/>
          <w:lang w:val="en-US" w:eastAsia="x-none"/>
        </w:rPr>
        <w:t>cont</w:t>
      </w:r>
      <w:r w:rsidR="00401CBA" w:rsidRPr="009F337B">
        <w:rPr>
          <w:rFonts w:eastAsia="Verdana"/>
          <w:bCs/>
          <w:i w:val="0"/>
          <w:szCs w:val="20"/>
          <w:lang w:val="en-US" w:eastAsia="x-none"/>
        </w:rPr>
        <w:t xml:space="preserve">ained in </w:t>
      </w:r>
      <w:r w:rsidR="00AE5F9E" w:rsidRPr="009F337B">
        <w:rPr>
          <w:rFonts w:eastAsia="Verdana"/>
          <w:bCs/>
          <w:i w:val="0"/>
          <w:szCs w:val="20"/>
          <w:lang w:val="en-US" w:eastAsia="x-none"/>
        </w:rPr>
        <w:t>Article</w:t>
      </w:r>
      <w:r w:rsidR="00F46845" w:rsidRPr="009F337B">
        <w:rPr>
          <w:rFonts w:eastAsia="Verdana"/>
          <w:bCs/>
          <w:i w:val="0"/>
          <w:szCs w:val="20"/>
          <w:lang w:val="en-US" w:eastAsia="x-none"/>
        </w:rPr>
        <w:t xml:space="preserve"> 26</w:t>
      </w:r>
      <w:r w:rsidR="00AE5F9E" w:rsidRPr="009F337B">
        <w:rPr>
          <w:rFonts w:eastAsia="Verdana"/>
          <w:bCs/>
          <w:i w:val="0"/>
          <w:szCs w:val="20"/>
          <w:lang w:val="en-US" w:eastAsia="x-none"/>
        </w:rPr>
        <w:t xml:space="preserve"> of the American Convention</w:t>
      </w:r>
      <w:r w:rsidR="00F46845" w:rsidRPr="009F337B">
        <w:rPr>
          <w:rFonts w:eastAsia="Verdana"/>
          <w:bCs/>
          <w:i w:val="0"/>
          <w:szCs w:val="20"/>
          <w:lang w:val="en-US" w:eastAsia="x-none"/>
        </w:rPr>
        <w:t xml:space="preserve">, </w:t>
      </w:r>
      <w:r w:rsidR="00401CBA" w:rsidRPr="009F337B">
        <w:rPr>
          <w:rFonts w:eastAsia="Verdana"/>
          <w:bCs/>
          <w:i w:val="0"/>
          <w:szCs w:val="20"/>
          <w:lang w:val="en-US" w:eastAsia="x-none"/>
        </w:rPr>
        <w:t xml:space="preserve">owing to the alleged </w:t>
      </w:r>
      <w:r w:rsidR="009F1A03" w:rsidRPr="009F337B">
        <w:rPr>
          <w:rFonts w:eastAsia="Verdana"/>
          <w:bCs/>
          <w:i w:val="0"/>
          <w:szCs w:val="20"/>
          <w:lang w:val="en-US" w:eastAsia="x-none"/>
        </w:rPr>
        <w:t>retrogressive</w:t>
      </w:r>
      <w:r w:rsidR="00401CBA" w:rsidRPr="009F337B">
        <w:rPr>
          <w:rFonts w:eastAsia="Verdana"/>
          <w:bCs/>
          <w:i w:val="0"/>
          <w:szCs w:val="20"/>
          <w:lang w:val="en-US" w:eastAsia="x-none"/>
        </w:rPr>
        <w:t xml:space="preserve"> measures adopted that prejudiced the full </w:t>
      </w:r>
      <w:r w:rsidR="000C535D" w:rsidRPr="009F337B">
        <w:rPr>
          <w:rFonts w:eastAsia="Verdana"/>
          <w:bCs/>
          <w:i w:val="0"/>
          <w:szCs w:val="20"/>
          <w:lang w:val="en-US" w:eastAsia="x-none"/>
        </w:rPr>
        <w:t>realization</w:t>
      </w:r>
      <w:r w:rsidR="00401CBA" w:rsidRPr="009F337B">
        <w:rPr>
          <w:rFonts w:eastAsia="Verdana"/>
          <w:bCs/>
          <w:i w:val="0"/>
          <w:szCs w:val="20"/>
          <w:lang w:val="en-US" w:eastAsia="x-none"/>
        </w:rPr>
        <w:t xml:space="preserve"> of the right to health of </w:t>
      </w:r>
      <w:r w:rsidR="00080A1E" w:rsidRPr="009F337B">
        <w:rPr>
          <w:rFonts w:eastAsia="Verdana"/>
          <w:bCs/>
          <w:i w:val="0"/>
          <w:szCs w:val="20"/>
          <w:lang w:val="en-US" w:eastAsia="x-none"/>
        </w:rPr>
        <w:t>people living with HIV</w:t>
      </w:r>
      <w:r w:rsidR="008E2262" w:rsidRPr="009F337B">
        <w:rPr>
          <w:rFonts w:eastAsia="Verdana"/>
          <w:bCs/>
          <w:i w:val="0"/>
          <w:szCs w:val="20"/>
          <w:lang w:val="en-US" w:eastAsia="x-none"/>
        </w:rPr>
        <w:t xml:space="preserve"> in Guatemala</w:t>
      </w:r>
      <w:r w:rsidR="00F46845" w:rsidRPr="009F337B">
        <w:rPr>
          <w:rFonts w:eastAsia="Verdana"/>
          <w:bCs/>
          <w:i w:val="0"/>
          <w:szCs w:val="20"/>
          <w:lang w:val="en-US" w:eastAsia="x-none"/>
        </w:rPr>
        <w:t>.</w:t>
      </w:r>
    </w:p>
    <w:p w14:paraId="49DDB866" w14:textId="77777777" w:rsidR="00C84C22" w:rsidRPr="009F337B" w:rsidRDefault="00C84C22" w:rsidP="00C84C22">
      <w:pPr>
        <w:pStyle w:val="Estilo1"/>
        <w:tabs>
          <w:tab w:val="left" w:pos="709"/>
          <w:tab w:val="left" w:pos="1134"/>
        </w:tabs>
        <w:spacing w:after="0"/>
        <w:ind w:left="0" w:right="-4" w:firstLine="0"/>
        <w:rPr>
          <w:rFonts w:eastAsia="Verdana"/>
          <w:bCs/>
          <w:i w:val="0"/>
          <w:szCs w:val="20"/>
          <w:lang w:val="en-US" w:eastAsia="x-none"/>
        </w:rPr>
      </w:pPr>
    </w:p>
    <w:p w14:paraId="652588B0" w14:textId="46E34E1D" w:rsidR="00F46845" w:rsidRPr="009F337B" w:rsidRDefault="00401CBA" w:rsidP="00593E37">
      <w:pPr>
        <w:pStyle w:val="Estilo1"/>
        <w:numPr>
          <w:ilvl w:val="0"/>
          <w:numId w:val="1"/>
        </w:numPr>
        <w:tabs>
          <w:tab w:val="left" w:pos="709"/>
          <w:tab w:val="left" w:pos="1134"/>
        </w:tabs>
        <w:spacing w:after="0"/>
        <w:ind w:left="0" w:right="-4" w:firstLine="0"/>
        <w:rPr>
          <w:rFonts w:eastAsia="Verdana"/>
          <w:bCs/>
          <w:i w:val="0"/>
          <w:szCs w:val="20"/>
          <w:lang w:val="en-US" w:eastAsia="x-none"/>
        </w:rPr>
      </w:pPr>
      <w:r w:rsidRPr="009F337B">
        <w:rPr>
          <w:rFonts w:eastAsia="Verdana"/>
          <w:bCs/>
          <w:i w:val="0"/>
          <w:szCs w:val="20"/>
          <w:lang w:val="en-US" w:eastAsia="x-none"/>
        </w:rPr>
        <w:t>In this regard</w:t>
      </w:r>
      <w:r w:rsidR="00F46845" w:rsidRPr="009F337B">
        <w:rPr>
          <w:rFonts w:eastAsia="Verdana"/>
          <w:bCs/>
          <w:i w:val="0"/>
          <w:szCs w:val="20"/>
          <w:lang w:val="en-US" w:eastAsia="x-none"/>
        </w:rPr>
        <w:t xml:space="preserve">, </w:t>
      </w:r>
      <w:r w:rsidR="00AE5F9E" w:rsidRPr="009F337B">
        <w:rPr>
          <w:rFonts w:eastAsia="Verdana"/>
          <w:bCs/>
          <w:i w:val="0"/>
          <w:szCs w:val="20"/>
          <w:lang w:val="en-US" w:eastAsia="x-none"/>
        </w:rPr>
        <w:t>the Court</w:t>
      </w:r>
      <w:r w:rsidR="00F46845" w:rsidRPr="009F337B">
        <w:rPr>
          <w:rFonts w:eastAsia="Verdana"/>
          <w:bCs/>
          <w:i w:val="0"/>
          <w:szCs w:val="20"/>
          <w:lang w:val="en-US" w:eastAsia="x-none"/>
        </w:rPr>
        <w:t xml:space="preserve"> </w:t>
      </w:r>
      <w:r w:rsidRPr="009F337B">
        <w:rPr>
          <w:rFonts w:eastAsia="Verdana"/>
          <w:bCs/>
          <w:i w:val="0"/>
          <w:szCs w:val="20"/>
          <w:lang w:val="en-US" w:eastAsia="x-none"/>
        </w:rPr>
        <w:t xml:space="preserve">notes that the main legal problem set forth by the parties to this case relates to the scope of the right to health, understood as an autonomous right derived from </w:t>
      </w:r>
      <w:r w:rsidR="003C46A3" w:rsidRPr="009F337B">
        <w:rPr>
          <w:rFonts w:eastAsia="Verdana"/>
          <w:bCs/>
          <w:i w:val="0"/>
          <w:szCs w:val="20"/>
          <w:lang w:val="en-US" w:eastAsia="x-none"/>
        </w:rPr>
        <w:t>Article</w:t>
      </w:r>
      <w:r w:rsidR="00F46845" w:rsidRPr="009F337B">
        <w:rPr>
          <w:rFonts w:eastAsia="Verdana"/>
          <w:bCs/>
          <w:i w:val="0"/>
          <w:szCs w:val="20"/>
          <w:lang w:val="en-US" w:eastAsia="x-none"/>
        </w:rPr>
        <w:t xml:space="preserve"> 26</w:t>
      </w:r>
      <w:r w:rsidR="00AE5F9E" w:rsidRPr="009F337B">
        <w:rPr>
          <w:rFonts w:eastAsia="Verdana"/>
          <w:bCs/>
          <w:i w:val="0"/>
          <w:szCs w:val="20"/>
          <w:lang w:val="en-US" w:eastAsia="x-none"/>
        </w:rPr>
        <w:t xml:space="preserve"> of the American Convention</w:t>
      </w:r>
      <w:r w:rsidR="00F46845" w:rsidRPr="009F337B">
        <w:rPr>
          <w:rFonts w:eastAsia="Verdana"/>
          <w:bCs/>
          <w:i w:val="0"/>
          <w:szCs w:val="20"/>
          <w:lang w:val="en-US" w:eastAsia="x-none"/>
        </w:rPr>
        <w:t>,</w:t>
      </w:r>
      <w:r w:rsidR="003C46A3" w:rsidRPr="009F337B">
        <w:rPr>
          <w:rFonts w:eastAsia="Verdana"/>
          <w:bCs/>
          <w:i w:val="0"/>
          <w:szCs w:val="20"/>
          <w:lang w:val="en-US" w:eastAsia="x-none"/>
        </w:rPr>
        <w:t xml:space="preserve"> and </w:t>
      </w:r>
      <w:r w:rsidRPr="009F337B">
        <w:rPr>
          <w:rFonts w:eastAsia="Verdana"/>
          <w:bCs/>
          <w:i w:val="0"/>
          <w:szCs w:val="20"/>
          <w:lang w:val="en-US" w:eastAsia="x-none"/>
        </w:rPr>
        <w:t xml:space="preserve">to the competence of this Court to rule on violations of this rights based on </w:t>
      </w:r>
      <w:r w:rsidR="00AE5F9E" w:rsidRPr="009F337B">
        <w:rPr>
          <w:rFonts w:eastAsia="Verdana"/>
          <w:bCs/>
          <w:i w:val="0"/>
          <w:szCs w:val="20"/>
          <w:lang w:val="en-US" w:eastAsia="x-none"/>
        </w:rPr>
        <w:t>Articles</w:t>
      </w:r>
      <w:r w:rsidR="00F46845" w:rsidRPr="009F337B">
        <w:rPr>
          <w:rFonts w:eastAsia="Verdana"/>
          <w:bCs/>
          <w:i w:val="0"/>
          <w:szCs w:val="20"/>
          <w:lang w:val="en-US" w:eastAsia="x-none"/>
        </w:rPr>
        <w:t xml:space="preserve"> 62</w:t>
      </w:r>
      <w:r w:rsidR="0042544F" w:rsidRPr="009F337B">
        <w:rPr>
          <w:rStyle w:val="Refdenotaalpie"/>
          <w:rFonts w:eastAsia="Verdana"/>
          <w:bCs/>
          <w:i w:val="0"/>
          <w:lang w:val="en-US" w:eastAsia="x-none"/>
        </w:rPr>
        <w:footnoteReference w:id="60"/>
      </w:r>
      <w:r w:rsidR="003C46A3" w:rsidRPr="009F337B">
        <w:rPr>
          <w:rFonts w:eastAsia="Verdana"/>
          <w:bCs/>
          <w:i w:val="0"/>
          <w:szCs w:val="20"/>
          <w:lang w:val="en-US" w:eastAsia="x-none"/>
        </w:rPr>
        <w:t xml:space="preserve"> and </w:t>
      </w:r>
      <w:r w:rsidR="00F46845" w:rsidRPr="009F337B">
        <w:rPr>
          <w:rFonts w:eastAsia="Verdana"/>
          <w:bCs/>
          <w:i w:val="0"/>
          <w:szCs w:val="20"/>
          <w:lang w:val="en-US" w:eastAsia="x-none"/>
        </w:rPr>
        <w:t>63</w:t>
      </w:r>
      <w:r w:rsidR="0042544F" w:rsidRPr="009F337B">
        <w:rPr>
          <w:rStyle w:val="Refdenotaalpie"/>
          <w:rFonts w:eastAsia="Verdana"/>
          <w:bCs/>
          <w:i w:val="0"/>
          <w:lang w:val="en-US" w:eastAsia="x-none"/>
        </w:rPr>
        <w:footnoteReference w:id="61"/>
      </w:r>
      <w:r w:rsidR="00AE5F9E" w:rsidRPr="009F337B">
        <w:rPr>
          <w:rFonts w:eastAsia="Verdana"/>
          <w:bCs/>
          <w:i w:val="0"/>
          <w:szCs w:val="20"/>
          <w:lang w:val="en-US" w:eastAsia="x-none"/>
        </w:rPr>
        <w:t xml:space="preserve"> of the Convention</w:t>
      </w:r>
      <w:r w:rsidR="00F46845" w:rsidRPr="009F337B">
        <w:rPr>
          <w:rFonts w:eastAsia="Verdana"/>
          <w:bCs/>
          <w:i w:val="0"/>
          <w:szCs w:val="20"/>
          <w:lang w:val="en-US" w:eastAsia="x-none"/>
        </w:rPr>
        <w:t xml:space="preserve">. </w:t>
      </w:r>
      <w:r w:rsidRPr="009F337B">
        <w:rPr>
          <w:rFonts w:eastAsia="Verdana"/>
          <w:bCs/>
          <w:i w:val="0"/>
          <w:szCs w:val="20"/>
          <w:lang w:val="en-US" w:eastAsia="x-none"/>
        </w:rPr>
        <w:t xml:space="preserve">In this </w:t>
      </w:r>
      <w:r w:rsidRPr="009F337B">
        <w:rPr>
          <w:rFonts w:eastAsia="Verdana"/>
          <w:bCs/>
          <w:i w:val="0"/>
          <w:szCs w:val="20"/>
          <w:lang w:val="en-US" w:eastAsia="x-none"/>
        </w:rPr>
        <w:lastRenderedPageBreak/>
        <w:t xml:space="preserve">regard, the arguments </w:t>
      </w:r>
      <w:r w:rsidR="00AE5F9E" w:rsidRPr="009F337B">
        <w:rPr>
          <w:rFonts w:eastAsia="Verdana"/>
          <w:bCs/>
          <w:i w:val="0"/>
          <w:szCs w:val="20"/>
          <w:lang w:val="en-US" w:eastAsia="x-none"/>
        </w:rPr>
        <w:t>of the Commission</w:t>
      </w:r>
      <w:r w:rsidR="003C46A3" w:rsidRPr="009F337B">
        <w:rPr>
          <w:rFonts w:eastAsia="Verdana"/>
          <w:bCs/>
          <w:i w:val="0"/>
          <w:szCs w:val="20"/>
          <w:lang w:val="en-US" w:eastAsia="x-none"/>
        </w:rPr>
        <w:t xml:space="preserve"> and</w:t>
      </w:r>
      <w:r w:rsidR="00CC6A68" w:rsidRPr="009F337B">
        <w:rPr>
          <w:rFonts w:eastAsia="Verdana"/>
          <w:bCs/>
          <w:i w:val="0"/>
          <w:szCs w:val="20"/>
          <w:lang w:val="en-US" w:eastAsia="x-none"/>
        </w:rPr>
        <w:t xml:space="preserve"> of the </w:t>
      </w:r>
      <w:r w:rsidR="007327F5" w:rsidRPr="009F337B">
        <w:rPr>
          <w:rFonts w:eastAsia="Verdana"/>
          <w:bCs/>
          <w:i w:val="0"/>
          <w:szCs w:val="20"/>
          <w:lang w:val="en-US" w:eastAsia="x-none"/>
        </w:rPr>
        <w:t>representatives</w:t>
      </w:r>
      <w:r w:rsidR="00F46845" w:rsidRPr="009F337B">
        <w:rPr>
          <w:rFonts w:eastAsia="Verdana"/>
          <w:bCs/>
          <w:i w:val="0"/>
          <w:szCs w:val="20"/>
          <w:lang w:val="en-US" w:eastAsia="x-none"/>
        </w:rPr>
        <w:t xml:space="preserve"> </w:t>
      </w:r>
      <w:r w:rsidRPr="009F337B">
        <w:rPr>
          <w:rFonts w:eastAsia="Verdana"/>
          <w:bCs/>
          <w:i w:val="0"/>
          <w:szCs w:val="20"/>
          <w:lang w:val="en-US" w:eastAsia="x-none"/>
        </w:rPr>
        <w:t xml:space="preserve">follow the approach adopted by the Court since the case of </w:t>
      </w:r>
      <w:r w:rsidR="00F46845" w:rsidRPr="009F337B">
        <w:rPr>
          <w:rFonts w:eastAsia="Verdana"/>
          <w:bCs/>
          <w:szCs w:val="20"/>
          <w:lang w:val="en-US" w:eastAsia="x-none"/>
        </w:rPr>
        <w:t xml:space="preserve">Lagos del Campo </w:t>
      </w:r>
      <w:r w:rsidRPr="009F337B">
        <w:rPr>
          <w:rFonts w:eastAsia="Verdana"/>
          <w:bCs/>
          <w:szCs w:val="20"/>
          <w:lang w:val="en-US" w:eastAsia="x-none"/>
        </w:rPr>
        <w:t>v.</w:t>
      </w:r>
      <w:r w:rsidR="00F46845" w:rsidRPr="009F337B">
        <w:rPr>
          <w:rFonts w:eastAsia="Verdana"/>
          <w:bCs/>
          <w:szCs w:val="20"/>
          <w:lang w:val="en-US" w:eastAsia="x-none"/>
        </w:rPr>
        <w:t xml:space="preserve"> Per</w:t>
      </w:r>
      <w:r w:rsidRPr="009F337B">
        <w:rPr>
          <w:rFonts w:eastAsia="Verdana"/>
          <w:bCs/>
          <w:szCs w:val="20"/>
          <w:lang w:val="en-US" w:eastAsia="x-none"/>
        </w:rPr>
        <w:t>u,</w:t>
      </w:r>
      <w:r w:rsidR="00F46845" w:rsidRPr="009F337B">
        <w:rPr>
          <w:rStyle w:val="Refdenotaalpie"/>
          <w:rFonts w:eastAsia="Verdana"/>
          <w:i w:val="0"/>
          <w:lang w:val="en-US" w:eastAsia="x-none"/>
        </w:rPr>
        <w:footnoteReference w:id="62"/>
      </w:r>
      <w:r w:rsidR="003C46A3" w:rsidRPr="009F337B">
        <w:rPr>
          <w:rFonts w:eastAsia="Verdana"/>
          <w:bCs/>
          <w:i w:val="0"/>
          <w:szCs w:val="20"/>
          <w:lang w:val="en-US" w:eastAsia="x-none"/>
        </w:rPr>
        <w:t xml:space="preserve"> </w:t>
      </w:r>
      <w:r w:rsidRPr="009F337B">
        <w:rPr>
          <w:rFonts w:eastAsia="Verdana"/>
          <w:bCs/>
          <w:i w:val="0"/>
          <w:szCs w:val="20"/>
          <w:lang w:val="en-US" w:eastAsia="x-none"/>
        </w:rPr>
        <w:t>which has subsisted in subsequent rulings.</w:t>
      </w:r>
      <w:r w:rsidR="00F46845" w:rsidRPr="009F337B">
        <w:rPr>
          <w:rStyle w:val="Refdenotaalpie"/>
          <w:rFonts w:eastAsia="Verdana"/>
          <w:i w:val="0"/>
          <w:lang w:val="en-US" w:eastAsia="x-none"/>
        </w:rPr>
        <w:footnoteReference w:id="63"/>
      </w:r>
      <w:r w:rsidRPr="009F337B">
        <w:rPr>
          <w:rFonts w:eastAsia="Verdana"/>
          <w:bCs/>
          <w:i w:val="0"/>
          <w:szCs w:val="20"/>
          <w:lang w:val="en-US" w:eastAsia="x-none"/>
        </w:rPr>
        <w:t xml:space="preserve"> Indeed, this approach represented a change in the Court’s case law in relation to previous cases where </w:t>
      </w:r>
      <w:r w:rsidR="00AE5F9E" w:rsidRPr="009F337B">
        <w:rPr>
          <w:rFonts w:eastAsia="Verdana"/>
          <w:bCs/>
          <w:i w:val="0"/>
          <w:szCs w:val="20"/>
          <w:lang w:val="en-US" w:eastAsia="x-none"/>
        </w:rPr>
        <w:t>the Commission</w:t>
      </w:r>
      <w:r w:rsidR="00F46845" w:rsidRPr="009F337B">
        <w:rPr>
          <w:rFonts w:eastAsia="Verdana"/>
          <w:bCs/>
          <w:i w:val="0"/>
          <w:szCs w:val="20"/>
          <w:lang w:val="en-US" w:eastAsia="x-none"/>
        </w:rPr>
        <w:t xml:space="preserve"> o</w:t>
      </w:r>
      <w:r w:rsidRPr="009F337B">
        <w:rPr>
          <w:rFonts w:eastAsia="Verdana"/>
          <w:bCs/>
          <w:i w:val="0"/>
          <w:szCs w:val="20"/>
          <w:lang w:val="en-US" w:eastAsia="x-none"/>
        </w:rPr>
        <w:t>r</w:t>
      </w:r>
      <w:r w:rsidR="00F46845" w:rsidRPr="009F337B">
        <w:rPr>
          <w:rFonts w:eastAsia="Verdana"/>
          <w:bCs/>
          <w:i w:val="0"/>
          <w:szCs w:val="20"/>
          <w:lang w:val="en-US" w:eastAsia="x-none"/>
        </w:rPr>
        <w:t xml:space="preserve"> </w:t>
      </w:r>
      <w:r w:rsidR="007327F5" w:rsidRPr="009F337B">
        <w:rPr>
          <w:rFonts w:eastAsia="Verdana"/>
          <w:bCs/>
          <w:i w:val="0"/>
          <w:szCs w:val="20"/>
          <w:lang w:val="en-US" w:eastAsia="x-none"/>
        </w:rPr>
        <w:t>the representatives</w:t>
      </w:r>
      <w:r w:rsidR="00F46845" w:rsidRPr="009F337B">
        <w:rPr>
          <w:rFonts w:eastAsia="Verdana"/>
          <w:bCs/>
          <w:i w:val="0"/>
          <w:szCs w:val="20"/>
          <w:lang w:val="en-US" w:eastAsia="x-none"/>
        </w:rPr>
        <w:t xml:space="preserve"> </w:t>
      </w:r>
      <w:r w:rsidRPr="009F337B">
        <w:rPr>
          <w:rFonts w:eastAsia="Verdana"/>
          <w:bCs/>
          <w:i w:val="0"/>
          <w:szCs w:val="20"/>
          <w:lang w:val="en-US" w:eastAsia="x-none"/>
        </w:rPr>
        <w:t>had argued violations of the economic, social, cultural and environmental rights</w:t>
      </w:r>
      <w:r w:rsidR="00CC5BF5" w:rsidRPr="009F337B">
        <w:rPr>
          <w:rFonts w:eastAsia="Verdana"/>
          <w:bCs/>
          <w:i w:val="0"/>
          <w:szCs w:val="20"/>
          <w:lang w:val="en-US" w:eastAsia="x-none"/>
        </w:rPr>
        <w:t xml:space="preserve"> (ESCER), which were analyzed based on their connectivity with a civil or political right.</w:t>
      </w:r>
      <w:r w:rsidR="00F46845" w:rsidRPr="009F337B">
        <w:rPr>
          <w:rStyle w:val="Refdenotaalpie"/>
          <w:rFonts w:eastAsia="Verdana"/>
          <w:i w:val="0"/>
          <w:lang w:val="en-US" w:eastAsia="x-none"/>
        </w:rPr>
        <w:footnoteReference w:id="64"/>
      </w:r>
      <w:r w:rsidR="00CC5BF5" w:rsidRPr="009F337B">
        <w:rPr>
          <w:rFonts w:eastAsia="Verdana"/>
          <w:bCs/>
          <w:i w:val="0"/>
          <w:szCs w:val="20"/>
          <w:lang w:val="en-US" w:eastAsia="x-none"/>
        </w:rPr>
        <w:t xml:space="preserve"> In this regard, the Court recalls that already in the case of </w:t>
      </w:r>
      <w:r w:rsidR="00634877" w:rsidRPr="009F337B">
        <w:rPr>
          <w:rFonts w:eastAsia="Verdana"/>
          <w:bCs/>
          <w:szCs w:val="20"/>
          <w:lang w:val="en-US" w:eastAsia="x-none"/>
        </w:rPr>
        <w:t xml:space="preserve">Poblete </w:t>
      </w:r>
      <w:proofErr w:type="spellStart"/>
      <w:r w:rsidR="00634877" w:rsidRPr="009F337B">
        <w:rPr>
          <w:rFonts w:eastAsia="Verdana"/>
          <w:bCs/>
          <w:szCs w:val="20"/>
          <w:lang w:val="en-US" w:eastAsia="x-none"/>
        </w:rPr>
        <w:t>Vilches</w:t>
      </w:r>
      <w:proofErr w:type="spellEnd"/>
      <w:r w:rsidR="003C46A3" w:rsidRPr="009F337B">
        <w:rPr>
          <w:rFonts w:eastAsia="Verdana"/>
          <w:bCs/>
          <w:szCs w:val="20"/>
          <w:lang w:val="en-US" w:eastAsia="x-none"/>
        </w:rPr>
        <w:t xml:space="preserve"> </w:t>
      </w:r>
      <w:r w:rsidR="00CC5BF5" w:rsidRPr="009F337B">
        <w:rPr>
          <w:rFonts w:eastAsia="Verdana"/>
          <w:bCs/>
          <w:szCs w:val="20"/>
          <w:lang w:val="en-US" w:eastAsia="x-none"/>
        </w:rPr>
        <w:t>et al.</w:t>
      </w:r>
      <w:r w:rsidR="00634877" w:rsidRPr="009F337B">
        <w:rPr>
          <w:rFonts w:eastAsia="Verdana"/>
          <w:bCs/>
          <w:szCs w:val="20"/>
          <w:lang w:val="en-US" w:eastAsia="x-none"/>
        </w:rPr>
        <w:t xml:space="preserve"> </w:t>
      </w:r>
      <w:r w:rsidRPr="009F337B">
        <w:rPr>
          <w:rFonts w:eastAsia="Verdana"/>
          <w:bCs/>
          <w:szCs w:val="20"/>
          <w:lang w:val="en-US" w:eastAsia="x-none"/>
        </w:rPr>
        <w:t>v.</w:t>
      </w:r>
      <w:r w:rsidR="00634877" w:rsidRPr="009F337B">
        <w:rPr>
          <w:rFonts w:eastAsia="Verdana"/>
          <w:bCs/>
          <w:szCs w:val="20"/>
          <w:lang w:val="en-US" w:eastAsia="x-none"/>
        </w:rPr>
        <w:t xml:space="preserve"> Chile</w:t>
      </w:r>
      <w:r w:rsidR="00CC5BF5" w:rsidRPr="009F337B">
        <w:rPr>
          <w:rFonts w:eastAsia="Verdana"/>
          <w:bCs/>
          <w:szCs w:val="20"/>
          <w:lang w:val="en-US" w:eastAsia="x-none"/>
        </w:rPr>
        <w:t>,</w:t>
      </w:r>
      <w:r w:rsidR="00634877" w:rsidRPr="009F337B">
        <w:rPr>
          <w:rFonts w:eastAsia="Verdana"/>
          <w:bCs/>
          <w:i w:val="0"/>
          <w:szCs w:val="20"/>
          <w:lang w:val="en-US" w:eastAsia="x-none"/>
        </w:rPr>
        <w:t xml:space="preserve"> </w:t>
      </w:r>
      <w:r w:rsidR="00CC5BF5" w:rsidRPr="009F337B">
        <w:rPr>
          <w:rFonts w:eastAsia="Verdana"/>
          <w:bCs/>
          <w:i w:val="0"/>
          <w:szCs w:val="20"/>
          <w:lang w:val="en-US" w:eastAsia="x-none"/>
        </w:rPr>
        <w:t>it had indicated the following:</w:t>
      </w:r>
    </w:p>
    <w:p w14:paraId="5739FC7D" w14:textId="77777777" w:rsidR="00E92CA8" w:rsidRPr="009F337B" w:rsidRDefault="00E92CA8" w:rsidP="00E92CA8">
      <w:pPr>
        <w:pStyle w:val="Estilo1"/>
        <w:tabs>
          <w:tab w:val="left" w:pos="709"/>
          <w:tab w:val="left" w:pos="1134"/>
        </w:tabs>
        <w:spacing w:after="0"/>
        <w:ind w:left="0" w:right="-4" w:firstLine="0"/>
        <w:rPr>
          <w:rFonts w:eastAsia="Verdana"/>
          <w:bCs/>
          <w:i w:val="0"/>
          <w:szCs w:val="20"/>
          <w:lang w:val="en-US" w:eastAsia="x-none"/>
        </w:rPr>
      </w:pPr>
    </w:p>
    <w:p w14:paraId="7CDA0906" w14:textId="68687532" w:rsidR="00634877" w:rsidRPr="009F337B" w:rsidRDefault="00792DB8" w:rsidP="00E92CA8">
      <w:pPr>
        <w:pStyle w:val="Estilo1"/>
        <w:tabs>
          <w:tab w:val="left" w:pos="709"/>
          <w:tab w:val="left" w:pos="1134"/>
          <w:tab w:val="left" w:pos="8505"/>
        </w:tabs>
        <w:spacing w:after="0"/>
        <w:ind w:left="709" w:right="855" w:firstLine="0"/>
        <w:rPr>
          <w:i w:val="0"/>
          <w:sz w:val="18"/>
          <w:szCs w:val="18"/>
          <w:lang w:val="en-US"/>
        </w:rPr>
      </w:pPr>
      <w:r w:rsidRPr="009F337B">
        <w:rPr>
          <w:i w:val="0"/>
          <w:sz w:val="18"/>
          <w:szCs w:val="18"/>
          <w:lang w:val="en-US"/>
        </w:rPr>
        <w:t xml:space="preserve">Thus, </w:t>
      </w:r>
      <w:r w:rsidR="00CA6A3C" w:rsidRPr="009F337B">
        <w:rPr>
          <w:i w:val="0"/>
          <w:sz w:val="18"/>
          <w:szCs w:val="18"/>
          <w:lang w:val="en-US"/>
        </w:rPr>
        <w:t xml:space="preserve">it is </w:t>
      </w:r>
      <w:r w:rsidR="000C535D" w:rsidRPr="009F337B">
        <w:rPr>
          <w:i w:val="0"/>
          <w:sz w:val="18"/>
          <w:szCs w:val="18"/>
          <w:lang w:val="en-US"/>
        </w:rPr>
        <w:t>clear</w:t>
      </w:r>
      <w:r w:rsidR="00CA6A3C" w:rsidRPr="009F337B">
        <w:rPr>
          <w:i w:val="0"/>
          <w:sz w:val="18"/>
          <w:szCs w:val="18"/>
          <w:lang w:val="en-US"/>
        </w:rPr>
        <w:t xml:space="preserve"> t</w:t>
      </w:r>
      <w:r w:rsidR="000E753B">
        <w:rPr>
          <w:i w:val="0"/>
          <w:sz w:val="18"/>
          <w:szCs w:val="18"/>
          <w:lang w:val="en-US"/>
        </w:rPr>
        <w:t>hat it can be</w:t>
      </w:r>
      <w:r w:rsidR="00CA6A3C" w:rsidRPr="009F337B">
        <w:rPr>
          <w:i w:val="0"/>
          <w:sz w:val="18"/>
          <w:szCs w:val="18"/>
          <w:lang w:val="en-US"/>
        </w:rPr>
        <w:t xml:space="preserve"> interpret</w:t>
      </w:r>
      <w:r w:rsidR="000E753B">
        <w:rPr>
          <w:i w:val="0"/>
          <w:sz w:val="18"/>
          <w:szCs w:val="18"/>
          <w:lang w:val="en-US"/>
        </w:rPr>
        <w:t>ed</w:t>
      </w:r>
      <w:r w:rsidR="00CA6A3C" w:rsidRPr="009F337B">
        <w:rPr>
          <w:i w:val="0"/>
          <w:sz w:val="18"/>
          <w:szCs w:val="18"/>
          <w:lang w:val="en-US"/>
        </w:rPr>
        <w:t xml:space="preserve"> that </w:t>
      </w:r>
      <w:r w:rsidR="00AE5F9E" w:rsidRPr="009F337B">
        <w:rPr>
          <w:i w:val="0"/>
          <w:sz w:val="18"/>
          <w:szCs w:val="18"/>
          <w:lang w:val="en-US"/>
        </w:rPr>
        <w:t>the American Convention</w:t>
      </w:r>
      <w:r w:rsidR="00634877" w:rsidRPr="009F337B">
        <w:rPr>
          <w:i w:val="0"/>
          <w:sz w:val="18"/>
          <w:szCs w:val="18"/>
          <w:lang w:val="en-US"/>
        </w:rPr>
        <w:t xml:space="preserve"> incorpor</w:t>
      </w:r>
      <w:r w:rsidR="00CA6A3C" w:rsidRPr="009F337B">
        <w:rPr>
          <w:i w:val="0"/>
          <w:sz w:val="18"/>
          <w:szCs w:val="18"/>
          <w:lang w:val="en-US"/>
        </w:rPr>
        <w:t>ated in</w:t>
      </w:r>
      <w:r w:rsidR="000C535D" w:rsidRPr="009F337B">
        <w:rPr>
          <w:i w:val="0"/>
          <w:sz w:val="18"/>
          <w:szCs w:val="18"/>
          <w:lang w:val="en-US"/>
        </w:rPr>
        <w:t>to</w:t>
      </w:r>
      <w:r w:rsidR="00CA6A3C" w:rsidRPr="009F337B">
        <w:rPr>
          <w:i w:val="0"/>
          <w:sz w:val="18"/>
          <w:szCs w:val="18"/>
          <w:lang w:val="en-US"/>
        </w:rPr>
        <w:t xml:space="preserve"> its list of protected rights the so-called economic, social, cultural and environmental rights </w:t>
      </w:r>
      <w:r w:rsidR="00634877" w:rsidRPr="009F337B">
        <w:rPr>
          <w:i w:val="0"/>
          <w:sz w:val="18"/>
          <w:szCs w:val="18"/>
          <w:lang w:val="en-US"/>
        </w:rPr>
        <w:t>(</w:t>
      </w:r>
      <w:r w:rsidR="00CC5BF5" w:rsidRPr="009F337B">
        <w:rPr>
          <w:i w:val="0"/>
          <w:sz w:val="18"/>
          <w:szCs w:val="18"/>
          <w:lang w:val="en-US"/>
        </w:rPr>
        <w:t>ESCER</w:t>
      </w:r>
      <w:r w:rsidR="00634877" w:rsidRPr="009F337B">
        <w:rPr>
          <w:i w:val="0"/>
          <w:sz w:val="18"/>
          <w:szCs w:val="18"/>
          <w:lang w:val="en-US"/>
        </w:rPr>
        <w:t xml:space="preserve">), </w:t>
      </w:r>
      <w:r w:rsidR="000C535D" w:rsidRPr="009F337B">
        <w:rPr>
          <w:i w:val="0"/>
          <w:sz w:val="18"/>
          <w:szCs w:val="18"/>
          <w:lang w:val="en-US"/>
        </w:rPr>
        <w:t>by</w:t>
      </w:r>
      <w:r w:rsidR="00CA6A3C" w:rsidRPr="009F337B">
        <w:rPr>
          <w:i w:val="0"/>
          <w:sz w:val="18"/>
          <w:szCs w:val="18"/>
          <w:lang w:val="en-US"/>
        </w:rPr>
        <w:t xml:space="preserve"> derivation </w:t>
      </w:r>
      <w:r w:rsidR="000C535D" w:rsidRPr="009F337B">
        <w:rPr>
          <w:i w:val="0"/>
          <w:sz w:val="18"/>
          <w:szCs w:val="18"/>
          <w:lang w:val="en-US"/>
        </w:rPr>
        <w:t>from</w:t>
      </w:r>
      <w:r w:rsidR="00CA6A3C" w:rsidRPr="009F337B">
        <w:rPr>
          <w:i w:val="0"/>
          <w:sz w:val="18"/>
          <w:szCs w:val="18"/>
          <w:lang w:val="en-US"/>
        </w:rPr>
        <w:t xml:space="preserve"> the norms recognized in the Charter of the Organization of American States (OAS), as well as</w:t>
      </w:r>
      <w:r w:rsidR="000E753B">
        <w:rPr>
          <w:i w:val="0"/>
          <w:sz w:val="18"/>
          <w:szCs w:val="18"/>
          <w:lang w:val="en-US"/>
        </w:rPr>
        <w:t xml:space="preserve"> from</w:t>
      </w:r>
      <w:r w:rsidR="00CA6A3C" w:rsidRPr="009F337B">
        <w:rPr>
          <w:i w:val="0"/>
          <w:sz w:val="18"/>
          <w:szCs w:val="18"/>
          <w:lang w:val="en-US"/>
        </w:rPr>
        <w:t xml:space="preserve"> the rules of interpretation established in </w:t>
      </w:r>
      <w:r w:rsidR="00AE5F9E" w:rsidRPr="009F337B">
        <w:rPr>
          <w:i w:val="0"/>
          <w:sz w:val="18"/>
          <w:szCs w:val="18"/>
          <w:lang w:val="en-US"/>
        </w:rPr>
        <w:t>Article</w:t>
      </w:r>
      <w:r w:rsidR="00634877" w:rsidRPr="009F337B">
        <w:rPr>
          <w:i w:val="0"/>
          <w:sz w:val="18"/>
          <w:szCs w:val="18"/>
          <w:lang w:val="en-US"/>
        </w:rPr>
        <w:t xml:space="preserve"> 29</w:t>
      </w:r>
      <w:r w:rsidR="00AE5F9E" w:rsidRPr="009F337B">
        <w:rPr>
          <w:i w:val="0"/>
          <w:sz w:val="18"/>
          <w:szCs w:val="18"/>
          <w:lang w:val="en-US"/>
        </w:rPr>
        <w:t xml:space="preserve"> of the Convention</w:t>
      </w:r>
      <w:r w:rsidR="00634877" w:rsidRPr="009F337B">
        <w:rPr>
          <w:i w:val="0"/>
          <w:sz w:val="18"/>
          <w:szCs w:val="18"/>
          <w:lang w:val="en-US"/>
        </w:rPr>
        <w:t>; particular</w:t>
      </w:r>
      <w:r w:rsidR="00CA6A3C" w:rsidRPr="009F337B">
        <w:rPr>
          <w:i w:val="0"/>
          <w:sz w:val="18"/>
          <w:szCs w:val="18"/>
          <w:lang w:val="en-US"/>
        </w:rPr>
        <w:t xml:space="preserve">ly, that </w:t>
      </w:r>
      <w:r w:rsidR="000E753B">
        <w:rPr>
          <w:i w:val="0"/>
          <w:sz w:val="18"/>
          <w:szCs w:val="18"/>
          <w:lang w:val="en-US"/>
        </w:rPr>
        <w:t>this prevents</w:t>
      </w:r>
      <w:r w:rsidR="00CA6A3C" w:rsidRPr="009F337B">
        <w:rPr>
          <w:i w:val="0"/>
          <w:sz w:val="18"/>
          <w:szCs w:val="18"/>
          <w:lang w:val="en-US"/>
        </w:rPr>
        <w:t xml:space="preserve"> limi</w:t>
      </w:r>
      <w:r w:rsidR="000E753B">
        <w:rPr>
          <w:i w:val="0"/>
          <w:sz w:val="18"/>
          <w:szCs w:val="18"/>
          <w:lang w:val="en-US"/>
        </w:rPr>
        <w:t>tations</w:t>
      </w:r>
      <w:r w:rsidR="00CA6A3C" w:rsidRPr="009F337B">
        <w:rPr>
          <w:i w:val="0"/>
          <w:sz w:val="18"/>
          <w:szCs w:val="18"/>
          <w:lang w:val="en-US"/>
        </w:rPr>
        <w:t xml:space="preserve"> or exclu</w:t>
      </w:r>
      <w:r w:rsidR="000E753B">
        <w:rPr>
          <w:i w:val="0"/>
          <w:sz w:val="18"/>
          <w:szCs w:val="18"/>
          <w:lang w:val="en-US"/>
        </w:rPr>
        <w:t>sions to</w:t>
      </w:r>
      <w:r w:rsidR="00CA6A3C" w:rsidRPr="009F337B">
        <w:rPr>
          <w:i w:val="0"/>
          <w:sz w:val="18"/>
          <w:szCs w:val="18"/>
          <w:lang w:val="en-US"/>
        </w:rPr>
        <w:t xml:space="preserve"> the enjoyment of the rights established in the American Declaration and even those recognized in the domestic sphere. Also, based on a systematic</w:t>
      </w:r>
      <w:r w:rsidR="000C535D" w:rsidRPr="009F337B">
        <w:rPr>
          <w:i w:val="0"/>
          <w:sz w:val="18"/>
          <w:szCs w:val="18"/>
          <w:lang w:val="en-US"/>
        </w:rPr>
        <w:t>,</w:t>
      </w:r>
      <w:r w:rsidR="00CA6A3C" w:rsidRPr="009F337B">
        <w:rPr>
          <w:i w:val="0"/>
          <w:sz w:val="18"/>
          <w:szCs w:val="18"/>
          <w:lang w:val="en-US"/>
        </w:rPr>
        <w:t xml:space="preserve"> teleological and evolutive interpretation, the Court has had recourse to the national and international </w:t>
      </w:r>
      <w:r w:rsidR="00634877" w:rsidRPr="009F337B">
        <w:rPr>
          <w:sz w:val="18"/>
          <w:szCs w:val="18"/>
          <w:lang w:val="en-US"/>
        </w:rPr>
        <w:t xml:space="preserve">corpus </w:t>
      </w:r>
      <w:proofErr w:type="spellStart"/>
      <w:r w:rsidR="00634877" w:rsidRPr="009F337B">
        <w:rPr>
          <w:sz w:val="18"/>
          <w:szCs w:val="18"/>
          <w:lang w:val="en-US"/>
        </w:rPr>
        <w:t>iuris</w:t>
      </w:r>
      <w:proofErr w:type="spellEnd"/>
      <w:r w:rsidR="00634877" w:rsidRPr="009F337B">
        <w:rPr>
          <w:i w:val="0"/>
          <w:sz w:val="18"/>
          <w:szCs w:val="18"/>
          <w:lang w:val="en-US"/>
        </w:rPr>
        <w:t xml:space="preserve"> </w:t>
      </w:r>
      <w:r w:rsidR="00CA6A3C" w:rsidRPr="009F337B">
        <w:rPr>
          <w:i w:val="0"/>
          <w:sz w:val="18"/>
          <w:szCs w:val="18"/>
          <w:lang w:val="en-US"/>
        </w:rPr>
        <w:t>on this matter to provide specific content to the scope of the rights protected by</w:t>
      </w:r>
      <w:r w:rsidR="00634877" w:rsidRPr="009F337B">
        <w:rPr>
          <w:i w:val="0"/>
          <w:sz w:val="18"/>
          <w:szCs w:val="18"/>
          <w:lang w:val="en-US"/>
        </w:rPr>
        <w:t xml:space="preserve"> </w:t>
      </w:r>
      <w:r w:rsidR="00AE5F9E" w:rsidRPr="009F337B">
        <w:rPr>
          <w:i w:val="0"/>
          <w:sz w:val="18"/>
          <w:szCs w:val="18"/>
          <w:lang w:val="en-US"/>
        </w:rPr>
        <w:t>the Convention</w:t>
      </w:r>
      <w:r w:rsidR="00CA6A3C" w:rsidRPr="009F337B">
        <w:rPr>
          <w:i w:val="0"/>
          <w:sz w:val="18"/>
          <w:szCs w:val="18"/>
          <w:lang w:val="en-US"/>
        </w:rPr>
        <w:t xml:space="preserve"> in order to define the scope of the specific obligations relating to each right.</w:t>
      </w:r>
      <w:r w:rsidR="005B56F4" w:rsidRPr="009F337B">
        <w:rPr>
          <w:rStyle w:val="Refdenotaalpie"/>
          <w:i w:val="0"/>
          <w:sz w:val="18"/>
          <w:lang w:val="en-US"/>
        </w:rPr>
        <w:footnoteReference w:id="65"/>
      </w:r>
    </w:p>
    <w:p w14:paraId="0653A4B8" w14:textId="77777777" w:rsidR="00E92CA8" w:rsidRPr="009F337B" w:rsidRDefault="00E92CA8" w:rsidP="00E92CA8">
      <w:pPr>
        <w:pStyle w:val="Estilo1"/>
        <w:tabs>
          <w:tab w:val="left" w:pos="709"/>
          <w:tab w:val="left" w:pos="1134"/>
          <w:tab w:val="left" w:pos="8505"/>
        </w:tabs>
        <w:spacing w:after="0"/>
        <w:ind w:left="0" w:right="855" w:firstLine="0"/>
        <w:rPr>
          <w:rFonts w:eastAsia="Verdana"/>
          <w:bCs/>
          <w:i w:val="0"/>
          <w:szCs w:val="20"/>
          <w:lang w:val="en-US" w:eastAsia="x-none"/>
        </w:rPr>
      </w:pPr>
    </w:p>
    <w:p w14:paraId="18AD812E" w14:textId="5D00F837" w:rsidR="002F4F3A" w:rsidRPr="009F337B" w:rsidRDefault="00CA6A3C" w:rsidP="00593E37">
      <w:pPr>
        <w:pStyle w:val="Estilo1"/>
        <w:numPr>
          <w:ilvl w:val="0"/>
          <w:numId w:val="1"/>
        </w:numPr>
        <w:tabs>
          <w:tab w:val="left" w:pos="709"/>
          <w:tab w:val="left" w:pos="1134"/>
        </w:tabs>
        <w:spacing w:after="0"/>
        <w:ind w:left="0" w:right="-4" w:firstLine="0"/>
        <w:rPr>
          <w:rFonts w:eastAsia="Times" w:cs="Arial"/>
          <w:i w:val="0"/>
          <w:szCs w:val="20"/>
          <w:lang w:val="en-US"/>
        </w:rPr>
      </w:pPr>
      <w:r w:rsidRPr="009F337B">
        <w:rPr>
          <w:rFonts w:eastAsia="Times" w:cs="Arial"/>
          <w:i w:val="0"/>
          <w:szCs w:val="20"/>
          <w:lang w:val="en-US"/>
        </w:rPr>
        <w:t xml:space="preserve">Based on the above, and owing to the importance of this matter for the legal certainty of the inter-American system, the Court finds it pertinent to clarify the change in its case law in this area by an interpretation </w:t>
      </w:r>
      <w:r w:rsidR="003C46A3" w:rsidRPr="009F337B">
        <w:rPr>
          <w:rFonts w:eastAsia="Verdana"/>
          <w:bCs/>
          <w:i w:val="0"/>
          <w:szCs w:val="20"/>
          <w:lang w:val="en-US" w:eastAsia="x-none"/>
        </w:rPr>
        <w:t>of Article</w:t>
      </w:r>
      <w:r w:rsidR="008631C9" w:rsidRPr="009F337B">
        <w:rPr>
          <w:rFonts w:eastAsia="Verdana"/>
          <w:bCs/>
          <w:i w:val="0"/>
          <w:szCs w:val="20"/>
          <w:lang w:val="en-US" w:eastAsia="x-none"/>
        </w:rPr>
        <w:t xml:space="preserve"> 26</w:t>
      </w:r>
      <w:r w:rsidR="00AE5F9E" w:rsidRPr="009F337B">
        <w:rPr>
          <w:rFonts w:eastAsia="Verdana"/>
          <w:bCs/>
          <w:i w:val="0"/>
          <w:szCs w:val="20"/>
          <w:lang w:val="en-US" w:eastAsia="x-none"/>
        </w:rPr>
        <w:t xml:space="preserve"> of the Convention</w:t>
      </w:r>
      <w:r w:rsidR="003C46A3" w:rsidRPr="009F337B">
        <w:rPr>
          <w:rFonts w:eastAsia="Verdana"/>
          <w:bCs/>
          <w:i w:val="0"/>
          <w:szCs w:val="20"/>
          <w:lang w:val="en-US" w:eastAsia="x-none"/>
        </w:rPr>
        <w:t xml:space="preserve"> and </w:t>
      </w:r>
      <w:r w:rsidRPr="009F337B">
        <w:rPr>
          <w:rFonts w:eastAsia="Verdana"/>
          <w:bCs/>
          <w:i w:val="0"/>
          <w:szCs w:val="20"/>
          <w:lang w:val="en-US" w:eastAsia="x-none"/>
        </w:rPr>
        <w:t xml:space="preserve">of its relationship to </w:t>
      </w:r>
      <w:r w:rsidR="00AE5F9E" w:rsidRPr="009F337B">
        <w:rPr>
          <w:rFonts w:eastAsia="Verdana"/>
          <w:bCs/>
          <w:i w:val="0"/>
          <w:szCs w:val="20"/>
          <w:lang w:val="en-US" w:eastAsia="x-none"/>
        </w:rPr>
        <w:t>Articles</w:t>
      </w:r>
      <w:r w:rsidR="003C46A3" w:rsidRPr="009F337B">
        <w:rPr>
          <w:rFonts w:eastAsia="Verdana"/>
          <w:bCs/>
          <w:i w:val="0"/>
          <w:szCs w:val="20"/>
          <w:lang w:val="en-US" w:eastAsia="x-none"/>
        </w:rPr>
        <w:t xml:space="preserve"> 1(1)</w:t>
      </w:r>
      <w:r w:rsidR="008631C9" w:rsidRPr="009F337B">
        <w:rPr>
          <w:rFonts w:eastAsia="Verdana"/>
          <w:bCs/>
          <w:i w:val="0"/>
          <w:szCs w:val="20"/>
          <w:lang w:val="en-US" w:eastAsia="x-none"/>
        </w:rPr>
        <w:t>, 2, 62</w:t>
      </w:r>
      <w:r w:rsidR="003C46A3" w:rsidRPr="009F337B">
        <w:rPr>
          <w:rFonts w:eastAsia="Verdana"/>
          <w:bCs/>
          <w:i w:val="0"/>
          <w:szCs w:val="20"/>
          <w:lang w:val="en-US" w:eastAsia="x-none"/>
        </w:rPr>
        <w:t xml:space="preserve"> and </w:t>
      </w:r>
      <w:r w:rsidR="008631C9" w:rsidRPr="009F337B">
        <w:rPr>
          <w:rFonts w:eastAsia="Verdana"/>
          <w:bCs/>
          <w:i w:val="0"/>
          <w:szCs w:val="20"/>
          <w:lang w:val="en-US" w:eastAsia="x-none"/>
        </w:rPr>
        <w:t xml:space="preserve">63 </w:t>
      </w:r>
      <w:r w:rsidRPr="009F337B">
        <w:rPr>
          <w:rFonts w:eastAsia="Verdana"/>
          <w:bCs/>
          <w:i w:val="0"/>
          <w:szCs w:val="20"/>
          <w:lang w:val="en-US" w:eastAsia="x-none"/>
        </w:rPr>
        <w:t xml:space="preserve">of this instrument. Consequently, in this section, the Court will rule as follows: (a) on the justiciability of the </w:t>
      </w:r>
      <w:r w:rsidR="00CC5BF5" w:rsidRPr="009F337B">
        <w:rPr>
          <w:rFonts w:eastAsia="Times" w:cs="Arial"/>
          <w:i w:val="0"/>
          <w:szCs w:val="20"/>
          <w:lang w:val="en-US"/>
        </w:rPr>
        <w:t>ESCER</w:t>
      </w:r>
      <w:r w:rsidRPr="009F337B">
        <w:rPr>
          <w:rFonts w:eastAsia="Times" w:cs="Arial"/>
          <w:i w:val="0"/>
          <w:szCs w:val="20"/>
          <w:lang w:val="en-US"/>
        </w:rPr>
        <w:t>;</w:t>
      </w:r>
      <w:r w:rsidR="00F46845" w:rsidRPr="009F337B">
        <w:rPr>
          <w:rFonts w:eastAsia="Times" w:cs="Arial"/>
          <w:i w:val="0"/>
          <w:szCs w:val="20"/>
          <w:lang w:val="en-US"/>
        </w:rPr>
        <w:t xml:space="preserve"> </w:t>
      </w:r>
      <w:r w:rsidRPr="009F337B">
        <w:rPr>
          <w:rFonts w:eastAsia="Times" w:cs="Arial"/>
          <w:i w:val="0"/>
          <w:szCs w:val="20"/>
          <w:lang w:val="en-US"/>
        </w:rPr>
        <w:t>(</w:t>
      </w:r>
      <w:r w:rsidR="00F46845" w:rsidRPr="009F337B">
        <w:rPr>
          <w:rFonts w:eastAsia="Times" w:cs="Arial"/>
          <w:i w:val="0"/>
          <w:szCs w:val="20"/>
          <w:lang w:val="en-US"/>
        </w:rPr>
        <w:t xml:space="preserve">b) </w:t>
      </w:r>
      <w:r w:rsidRPr="009F337B">
        <w:rPr>
          <w:rFonts w:eastAsia="Times" w:cs="Arial"/>
          <w:i w:val="0"/>
          <w:szCs w:val="20"/>
          <w:lang w:val="en-US"/>
        </w:rPr>
        <w:t xml:space="preserve">on the right to health as an autonomous and justiciable right; (c) on the violation of the right to health in this case, and (d) on the violation of the rights to </w:t>
      </w:r>
      <w:r w:rsidR="003C46A3" w:rsidRPr="009F337B">
        <w:rPr>
          <w:rFonts w:eastAsia="Times" w:cs="Arial"/>
          <w:i w:val="0"/>
          <w:szCs w:val="20"/>
          <w:lang w:val="en-US"/>
        </w:rPr>
        <w:t>personal integrity and</w:t>
      </w:r>
      <w:r w:rsidRPr="009F337B">
        <w:rPr>
          <w:rFonts w:eastAsia="Times" w:cs="Arial"/>
          <w:i w:val="0"/>
          <w:szCs w:val="20"/>
          <w:lang w:val="en-US"/>
        </w:rPr>
        <w:t xml:space="preserve"> to life in this case.</w:t>
      </w:r>
    </w:p>
    <w:p w14:paraId="21F44518" w14:textId="77777777" w:rsidR="00EE1E0E" w:rsidRPr="009F337B" w:rsidRDefault="00EE1E0E" w:rsidP="00E92CA8">
      <w:pPr>
        <w:rPr>
          <w:lang w:val="en-US"/>
        </w:rPr>
      </w:pPr>
    </w:p>
    <w:p w14:paraId="208F16C9" w14:textId="3B0B8720" w:rsidR="00F46845" w:rsidRPr="009F337B" w:rsidRDefault="00EE1E0E" w:rsidP="00E92CA8">
      <w:pPr>
        <w:pStyle w:val="Ttulo3"/>
        <w:spacing w:before="0"/>
        <w:rPr>
          <w:lang w:val="en-US"/>
        </w:rPr>
      </w:pPr>
      <w:r w:rsidRPr="009F337B">
        <w:rPr>
          <w:lang w:val="en-US"/>
        </w:rPr>
        <w:lastRenderedPageBreak/>
        <w:tab/>
      </w:r>
      <w:bookmarkStart w:id="72" w:name="_Toc527466489"/>
      <w:r w:rsidR="00F46845" w:rsidRPr="009F337B">
        <w:rPr>
          <w:lang w:val="en-US"/>
        </w:rPr>
        <w:t xml:space="preserve">B.1. </w:t>
      </w:r>
      <w:r w:rsidR="00BD4205" w:rsidRPr="009F337B">
        <w:rPr>
          <w:lang w:val="en-US"/>
        </w:rPr>
        <w:t>The justiciability of economic, social, cultural and environmental rights</w:t>
      </w:r>
      <w:bookmarkEnd w:id="72"/>
    </w:p>
    <w:p w14:paraId="26B84317" w14:textId="77777777" w:rsidR="00E92CA8" w:rsidRPr="009F337B" w:rsidRDefault="00E92CA8" w:rsidP="00E92CA8">
      <w:pPr>
        <w:rPr>
          <w:lang w:val="en-US"/>
        </w:rPr>
      </w:pPr>
    </w:p>
    <w:p w14:paraId="09EE68E3" w14:textId="419E4820" w:rsidR="002F4F3A" w:rsidRPr="009F337B" w:rsidRDefault="00AE5F9E" w:rsidP="00593E37">
      <w:pPr>
        <w:pStyle w:val="Estilo1"/>
        <w:numPr>
          <w:ilvl w:val="0"/>
          <w:numId w:val="1"/>
        </w:numPr>
        <w:tabs>
          <w:tab w:val="left" w:pos="709"/>
          <w:tab w:val="left" w:pos="1134"/>
        </w:tabs>
        <w:spacing w:after="0"/>
        <w:ind w:left="0" w:right="-4" w:firstLine="0"/>
        <w:rPr>
          <w:rFonts w:eastAsia="Verdana"/>
          <w:bCs/>
          <w:i w:val="0"/>
          <w:szCs w:val="20"/>
          <w:lang w:val="en-US" w:eastAsia="x-none"/>
        </w:rPr>
      </w:pPr>
      <w:r w:rsidRPr="009F337B">
        <w:rPr>
          <w:rFonts w:eastAsia="Verdana"/>
          <w:bCs/>
          <w:i w:val="0"/>
          <w:szCs w:val="20"/>
          <w:lang w:val="en-US" w:eastAsia="x-none"/>
        </w:rPr>
        <w:t>The Court</w:t>
      </w:r>
      <w:r w:rsidR="00F46845" w:rsidRPr="009F337B">
        <w:rPr>
          <w:rFonts w:eastAsia="Verdana"/>
          <w:bCs/>
          <w:i w:val="0"/>
          <w:szCs w:val="20"/>
          <w:lang w:val="en-US" w:eastAsia="x-none"/>
        </w:rPr>
        <w:t xml:space="preserve"> </w:t>
      </w:r>
      <w:r w:rsidR="00BD4205" w:rsidRPr="009F337B">
        <w:rPr>
          <w:rFonts w:eastAsia="Verdana"/>
          <w:bCs/>
          <w:i w:val="0"/>
          <w:szCs w:val="20"/>
          <w:lang w:val="en-US" w:eastAsia="x-none"/>
        </w:rPr>
        <w:t xml:space="preserve">will proceed to interpret </w:t>
      </w:r>
      <w:r w:rsidRPr="009F337B">
        <w:rPr>
          <w:rFonts w:eastAsia="Verdana"/>
          <w:bCs/>
          <w:i w:val="0"/>
          <w:szCs w:val="20"/>
          <w:lang w:val="en-US" w:eastAsia="x-none"/>
        </w:rPr>
        <w:t>Article</w:t>
      </w:r>
      <w:r w:rsidR="00F46845" w:rsidRPr="009F337B">
        <w:rPr>
          <w:rFonts w:eastAsia="Verdana"/>
          <w:bCs/>
          <w:i w:val="0"/>
          <w:szCs w:val="20"/>
          <w:lang w:val="en-US" w:eastAsia="x-none"/>
        </w:rPr>
        <w:t xml:space="preserve"> 26</w:t>
      </w:r>
      <w:r w:rsidRPr="009F337B">
        <w:rPr>
          <w:rFonts w:eastAsia="Verdana"/>
          <w:bCs/>
          <w:i w:val="0"/>
          <w:szCs w:val="20"/>
          <w:lang w:val="en-US" w:eastAsia="x-none"/>
        </w:rPr>
        <w:t xml:space="preserve"> of the Convention</w:t>
      </w:r>
      <w:r w:rsidR="003C46A3" w:rsidRPr="009F337B">
        <w:rPr>
          <w:rFonts w:eastAsia="Verdana"/>
          <w:bCs/>
          <w:i w:val="0"/>
          <w:szCs w:val="20"/>
          <w:lang w:val="en-US" w:eastAsia="x-none"/>
        </w:rPr>
        <w:t xml:space="preserve"> and </w:t>
      </w:r>
      <w:r w:rsidR="00BD4205" w:rsidRPr="009F337B">
        <w:rPr>
          <w:rFonts w:eastAsia="Verdana"/>
          <w:bCs/>
          <w:i w:val="0"/>
          <w:szCs w:val="20"/>
          <w:lang w:val="en-US" w:eastAsia="x-none"/>
        </w:rPr>
        <w:t xml:space="preserve">its relationship to </w:t>
      </w:r>
      <w:r w:rsidRPr="009F337B">
        <w:rPr>
          <w:rFonts w:eastAsia="Verdana"/>
          <w:bCs/>
          <w:i w:val="0"/>
          <w:szCs w:val="20"/>
          <w:lang w:val="en-US" w:eastAsia="x-none"/>
        </w:rPr>
        <w:t>Articles</w:t>
      </w:r>
      <w:r w:rsidR="003C46A3" w:rsidRPr="009F337B">
        <w:rPr>
          <w:rFonts w:eastAsia="Verdana"/>
          <w:bCs/>
          <w:i w:val="0"/>
          <w:szCs w:val="20"/>
          <w:lang w:val="en-US" w:eastAsia="x-none"/>
        </w:rPr>
        <w:t xml:space="preserve"> 1(1)</w:t>
      </w:r>
      <w:r w:rsidR="00F46845" w:rsidRPr="009F337B">
        <w:rPr>
          <w:rFonts w:eastAsia="Verdana"/>
          <w:bCs/>
          <w:i w:val="0"/>
          <w:szCs w:val="20"/>
          <w:lang w:val="en-US" w:eastAsia="x-none"/>
        </w:rPr>
        <w:t>, 2, 62</w:t>
      </w:r>
      <w:r w:rsidR="003C46A3" w:rsidRPr="009F337B">
        <w:rPr>
          <w:rFonts w:eastAsia="Verdana"/>
          <w:bCs/>
          <w:i w:val="0"/>
          <w:szCs w:val="20"/>
          <w:lang w:val="en-US" w:eastAsia="x-none"/>
        </w:rPr>
        <w:t xml:space="preserve"> and </w:t>
      </w:r>
      <w:r w:rsidR="00F46845" w:rsidRPr="009F337B">
        <w:rPr>
          <w:rFonts w:eastAsia="Verdana"/>
          <w:bCs/>
          <w:i w:val="0"/>
          <w:szCs w:val="20"/>
          <w:lang w:val="en-US" w:eastAsia="x-none"/>
        </w:rPr>
        <w:t>63</w:t>
      </w:r>
      <w:r w:rsidRPr="009F337B">
        <w:rPr>
          <w:rFonts w:eastAsia="Verdana"/>
          <w:bCs/>
          <w:i w:val="0"/>
          <w:szCs w:val="20"/>
          <w:lang w:val="en-US" w:eastAsia="x-none"/>
        </w:rPr>
        <w:t xml:space="preserve"> of the American Convention</w:t>
      </w:r>
      <w:r w:rsidR="00C84C22" w:rsidRPr="009F337B">
        <w:rPr>
          <w:rFonts w:eastAsia="Verdana"/>
          <w:bCs/>
          <w:i w:val="0"/>
          <w:szCs w:val="20"/>
          <w:lang w:val="en-US" w:eastAsia="x-none"/>
        </w:rPr>
        <w:t>,</w:t>
      </w:r>
      <w:r w:rsidR="00F46845" w:rsidRPr="009F337B">
        <w:rPr>
          <w:rFonts w:eastAsia="Verdana"/>
          <w:bCs/>
          <w:i w:val="0"/>
          <w:szCs w:val="20"/>
          <w:lang w:val="en-US" w:eastAsia="x-none"/>
        </w:rPr>
        <w:t xml:space="preserve"> </w:t>
      </w:r>
      <w:r w:rsidR="00BD4205" w:rsidRPr="009F337B">
        <w:rPr>
          <w:rFonts w:eastAsia="Verdana"/>
          <w:bCs/>
          <w:i w:val="0"/>
          <w:szCs w:val="20"/>
          <w:lang w:val="en-US" w:eastAsia="x-none"/>
        </w:rPr>
        <w:t>in order to decide the following: (</w:t>
      </w:r>
      <w:proofErr w:type="spellStart"/>
      <w:r w:rsidR="00BD4205" w:rsidRPr="009F337B">
        <w:rPr>
          <w:rFonts w:eastAsia="Verdana"/>
          <w:bCs/>
          <w:i w:val="0"/>
          <w:szCs w:val="20"/>
          <w:lang w:val="en-US" w:eastAsia="x-none"/>
        </w:rPr>
        <w:t>i</w:t>
      </w:r>
      <w:proofErr w:type="spellEnd"/>
      <w:r w:rsidR="00BD4205" w:rsidRPr="009F337B">
        <w:rPr>
          <w:rFonts w:eastAsia="Verdana"/>
          <w:bCs/>
          <w:i w:val="0"/>
          <w:szCs w:val="20"/>
          <w:lang w:val="en-US" w:eastAsia="x-none"/>
        </w:rPr>
        <w:t xml:space="preserve">) whether </w:t>
      </w:r>
      <w:r w:rsidRPr="009F337B">
        <w:rPr>
          <w:rFonts w:eastAsia="Verdana"/>
          <w:bCs/>
          <w:i w:val="0"/>
          <w:szCs w:val="20"/>
          <w:lang w:val="en-US" w:eastAsia="x-none"/>
        </w:rPr>
        <w:t>Article</w:t>
      </w:r>
      <w:r w:rsidR="00B7716C" w:rsidRPr="009F337B">
        <w:rPr>
          <w:rFonts w:eastAsia="Verdana"/>
          <w:bCs/>
          <w:i w:val="0"/>
          <w:szCs w:val="20"/>
          <w:lang w:val="en-US" w:eastAsia="x-none"/>
        </w:rPr>
        <w:t xml:space="preserve"> 26 </w:t>
      </w:r>
      <w:r w:rsidR="00BD4205" w:rsidRPr="009F337B">
        <w:rPr>
          <w:rFonts w:eastAsia="Verdana"/>
          <w:bCs/>
          <w:i w:val="0"/>
          <w:szCs w:val="20"/>
          <w:lang w:val="en-US" w:eastAsia="x-none"/>
        </w:rPr>
        <w:t>recognizes rights;</w:t>
      </w:r>
      <w:r w:rsidR="009214C0" w:rsidRPr="009F337B">
        <w:rPr>
          <w:rFonts w:eastAsia="Verdana"/>
          <w:bCs/>
          <w:i w:val="0"/>
          <w:szCs w:val="20"/>
          <w:lang w:val="en-US" w:eastAsia="x-none"/>
        </w:rPr>
        <w:t xml:space="preserve"> </w:t>
      </w:r>
      <w:r w:rsidR="00BD4205" w:rsidRPr="009F337B">
        <w:rPr>
          <w:rFonts w:eastAsia="Verdana"/>
          <w:bCs/>
          <w:i w:val="0"/>
          <w:szCs w:val="20"/>
          <w:lang w:val="en-US" w:eastAsia="x-none"/>
        </w:rPr>
        <w:t>(</w:t>
      </w:r>
      <w:r w:rsidR="009214C0" w:rsidRPr="009F337B">
        <w:rPr>
          <w:rFonts w:eastAsia="Verdana"/>
          <w:bCs/>
          <w:i w:val="0"/>
          <w:szCs w:val="20"/>
          <w:lang w:val="en-US" w:eastAsia="x-none"/>
        </w:rPr>
        <w:t>ii</w:t>
      </w:r>
      <w:r w:rsidR="00F46845" w:rsidRPr="009F337B">
        <w:rPr>
          <w:rFonts w:eastAsia="Verdana"/>
          <w:bCs/>
          <w:i w:val="0"/>
          <w:szCs w:val="20"/>
          <w:lang w:val="en-US" w:eastAsia="x-none"/>
        </w:rPr>
        <w:t xml:space="preserve">) </w:t>
      </w:r>
      <w:r w:rsidR="00BD4205" w:rsidRPr="009F337B">
        <w:rPr>
          <w:rFonts w:eastAsia="Verdana"/>
          <w:bCs/>
          <w:i w:val="0"/>
          <w:szCs w:val="20"/>
          <w:lang w:val="en-US" w:eastAsia="x-none"/>
        </w:rPr>
        <w:t>the scope of State obligations in relation to these rights, and (</w:t>
      </w:r>
      <w:r w:rsidR="009214C0" w:rsidRPr="009F337B">
        <w:rPr>
          <w:rFonts w:eastAsia="Verdana"/>
          <w:bCs/>
          <w:i w:val="0"/>
          <w:szCs w:val="20"/>
          <w:lang w:val="en-US" w:eastAsia="x-none"/>
        </w:rPr>
        <w:t>iii</w:t>
      </w:r>
      <w:r w:rsidR="00F46845" w:rsidRPr="009F337B">
        <w:rPr>
          <w:rFonts w:eastAsia="Verdana"/>
          <w:bCs/>
          <w:i w:val="0"/>
          <w:szCs w:val="20"/>
          <w:lang w:val="en-US" w:eastAsia="x-none"/>
        </w:rPr>
        <w:t xml:space="preserve">) </w:t>
      </w:r>
      <w:r w:rsidR="00BD4205" w:rsidRPr="009F337B">
        <w:rPr>
          <w:rFonts w:eastAsia="Verdana"/>
          <w:bCs/>
          <w:i w:val="0"/>
          <w:szCs w:val="20"/>
          <w:lang w:val="en-US" w:eastAsia="x-none"/>
        </w:rPr>
        <w:t>whether</w:t>
      </w:r>
      <w:r w:rsidR="00F46845" w:rsidRPr="009F337B">
        <w:rPr>
          <w:rFonts w:eastAsia="Verdana"/>
          <w:bCs/>
          <w:i w:val="0"/>
          <w:szCs w:val="20"/>
          <w:lang w:val="en-US" w:eastAsia="x-none"/>
        </w:rPr>
        <w:t xml:space="preserve"> </w:t>
      </w:r>
      <w:r w:rsidRPr="009F337B">
        <w:rPr>
          <w:rFonts w:eastAsia="Verdana"/>
          <w:bCs/>
          <w:i w:val="0"/>
          <w:szCs w:val="20"/>
          <w:lang w:val="en-US" w:eastAsia="x-none"/>
        </w:rPr>
        <w:t>the Court</w:t>
      </w:r>
      <w:r w:rsidR="00F46845" w:rsidRPr="009F337B">
        <w:rPr>
          <w:rFonts w:eastAsia="Verdana"/>
          <w:bCs/>
          <w:i w:val="0"/>
          <w:szCs w:val="20"/>
          <w:lang w:val="en-US" w:eastAsia="x-none"/>
        </w:rPr>
        <w:t xml:space="preserve"> </w:t>
      </w:r>
      <w:r w:rsidR="00BD4205" w:rsidRPr="009F337B">
        <w:rPr>
          <w:rFonts w:eastAsia="Verdana"/>
          <w:bCs/>
          <w:i w:val="0"/>
          <w:szCs w:val="20"/>
          <w:lang w:val="en-US" w:eastAsia="x-none"/>
        </w:rPr>
        <w:t xml:space="preserve">has competence to examine violations of such rights. To this end, the Court will have recourse to </w:t>
      </w:r>
      <w:r w:rsidRPr="009F337B">
        <w:rPr>
          <w:rFonts w:eastAsia="Verdana"/>
          <w:bCs/>
          <w:i w:val="0"/>
          <w:szCs w:val="20"/>
          <w:lang w:val="en-US" w:eastAsia="x-none"/>
        </w:rPr>
        <w:t xml:space="preserve">the </w:t>
      </w:r>
      <w:r w:rsidR="00BD4205" w:rsidRPr="009F337B">
        <w:rPr>
          <w:rFonts w:eastAsia="Verdana"/>
          <w:bCs/>
          <w:i w:val="0"/>
          <w:szCs w:val="20"/>
          <w:lang w:val="en-US" w:eastAsia="x-none"/>
        </w:rPr>
        <w:t>Vienna Convention on the Law of Treaties</w:t>
      </w:r>
      <w:r w:rsidR="00F46845" w:rsidRPr="009F337B">
        <w:rPr>
          <w:rFonts w:eastAsia="Verdana"/>
          <w:bCs/>
          <w:i w:val="0"/>
          <w:szCs w:val="20"/>
          <w:lang w:val="en-US" w:eastAsia="x-none"/>
        </w:rPr>
        <w:t xml:space="preserve"> (</w:t>
      </w:r>
      <w:r w:rsidRPr="009F337B">
        <w:rPr>
          <w:rFonts w:eastAsia="Verdana"/>
          <w:bCs/>
          <w:i w:val="0"/>
          <w:szCs w:val="20"/>
          <w:lang w:val="en-US" w:eastAsia="x-none"/>
        </w:rPr>
        <w:t>hereinafter</w:t>
      </w:r>
      <w:r w:rsidR="00F46845" w:rsidRPr="009F337B">
        <w:rPr>
          <w:rFonts w:eastAsia="Verdana"/>
          <w:bCs/>
          <w:i w:val="0"/>
          <w:szCs w:val="20"/>
          <w:lang w:val="en-US" w:eastAsia="x-none"/>
        </w:rPr>
        <w:t xml:space="preserve"> “</w:t>
      </w:r>
      <w:r w:rsidR="00BD4205" w:rsidRPr="009F337B">
        <w:rPr>
          <w:rFonts w:eastAsia="Verdana"/>
          <w:bCs/>
          <w:i w:val="0"/>
          <w:szCs w:val="20"/>
          <w:lang w:val="en-US" w:eastAsia="x-none"/>
        </w:rPr>
        <w:t>the Vienna Convention</w:t>
      </w:r>
      <w:r w:rsidR="00F46845" w:rsidRPr="009F337B">
        <w:rPr>
          <w:rFonts w:eastAsia="Verdana"/>
          <w:bCs/>
          <w:i w:val="0"/>
          <w:szCs w:val="20"/>
          <w:lang w:val="en-US" w:eastAsia="x-none"/>
        </w:rPr>
        <w:t xml:space="preserve">”), </w:t>
      </w:r>
      <w:r w:rsidR="00BD4205" w:rsidRPr="009F337B">
        <w:rPr>
          <w:rFonts w:eastAsia="Verdana"/>
          <w:bCs/>
          <w:i w:val="0"/>
          <w:szCs w:val="20"/>
          <w:lang w:val="en-US" w:eastAsia="x-none"/>
        </w:rPr>
        <w:t xml:space="preserve">which contains the general and customary rules for </w:t>
      </w:r>
      <w:r w:rsidR="00B13678" w:rsidRPr="009F337B">
        <w:rPr>
          <w:rFonts w:eastAsia="Verdana"/>
          <w:bCs/>
          <w:i w:val="0"/>
          <w:szCs w:val="20"/>
          <w:lang w:val="en-US" w:eastAsia="x-none"/>
        </w:rPr>
        <w:t xml:space="preserve">the </w:t>
      </w:r>
      <w:r w:rsidR="00BD4205" w:rsidRPr="009F337B">
        <w:rPr>
          <w:rFonts w:eastAsia="Verdana"/>
          <w:bCs/>
          <w:i w:val="0"/>
          <w:szCs w:val="20"/>
          <w:lang w:val="en-US" w:eastAsia="x-none"/>
        </w:rPr>
        <w:t xml:space="preserve">interpretation of international treaties </w:t>
      </w:r>
      <w:r w:rsidR="00B13678" w:rsidRPr="009F337B">
        <w:rPr>
          <w:rFonts w:eastAsia="Verdana"/>
          <w:bCs/>
          <w:i w:val="0"/>
          <w:szCs w:val="20"/>
          <w:lang w:val="en-US" w:eastAsia="x-none"/>
        </w:rPr>
        <w:t>which</w:t>
      </w:r>
      <w:r w:rsidR="00BD4205" w:rsidRPr="009F337B">
        <w:rPr>
          <w:rFonts w:eastAsia="Verdana"/>
          <w:bCs/>
          <w:i w:val="0"/>
          <w:szCs w:val="20"/>
          <w:lang w:val="en-US" w:eastAsia="x-none"/>
        </w:rPr>
        <w:t xml:space="preserve"> </w:t>
      </w:r>
      <w:r w:rsidR="00B13678" w:rsidRPr="009F337B">
        <w:rPr>
          <w:rFonts w:eastAsia="Verdana"/>
          <w:bCs/>
          <w:i w:val="0"/>
          <w:szCs w:val="20"/>
          <w:lang w:val="en-US" w:eastAsia="x-none"/>
        </w:rPr>
        <w:t>call for</w:t>
      </w:r>
      <w:r w:rsidR="00BD4205" w:rsidRPr="009F337B">
        <w:rPr>
          <w:rFonts w:eastAsia="Verdana"/>
          <w:bCs/>
          <w:i w:val="0"/>
          <w:szCs w:val="20"/>
          <w:lang w:val="en-US" w:eastAsia="x-none"/>
        </w:rPr>
        <w:t xml:space="preserve"> the simultaneous and joint application of good faith</w:t>
      </w:r>
      <w:r w:rsidR="00D03AD6" w:rsidRPr="009F337B">
        <w:rPr>
          <w:rFonts w:eastAsia="Verdana"/>
          <w:bCs/>
          <w:i w:val="0"/>
          <w:szCs w:val="20"/>
          <w:lang w:val="en-US" w:eastAsia="x-none"/>
        </w:rPr>
        <w:t xml:space="preserve"> and</w:t>
      </w:r>
      <w:r w:rsidR="00BD4205" w:rsidRPr="009F337B">
        <w:rPr>
          <w:rFonts w:eastAsia="Verdana"/>
          <w:bCs/>
          <w:i w:val="0"/>
          <w:szCs w:val="20"/>
          <w:lang w:val="en-US" w:eastAsia="x-none"/>
        </w:rPr>
        <w:t xml:space="preserve"> </w:t>
      </w:r>
      <w:r w:rsidR="00BD4205" w:rsidRPr="009F337B">
        <w:rPr>
          <w:rFonts w:cs="Times New Roman"/>
          <w:i w:val="0"/>
          <w:szCs w:val="20"/>
          <w:lang w:val="en-US"/>
        </w:rPr>
        <w:t xml:space="preserve">the ordinary meaning to be given to the terms of the treaty in their context and </w:t>
      </w:r>
      <w:r w:rsidR="00D03AD6" w:rsidRPr="009F337B">
        <w:rPr>
          <w:rFonts w:cs="Times New Roman"/>
          <w:i w:val="0"/>
          <w:szCs w:val="20"/>
          <w:lang w:val="en-US"/>
        </w:rPr>
        <w:t>in light of its</w:t>
      </w:r>
      <w:r w:rsidR="00BD4205" w:rsidRPr="009F337B">
        <w:rPr>
          <w:rFonts w:cs="Times New Roman"/>
          <w:i w:val="0"/>
          <w:szCs w:val="20"/>
          <w:lang w:val="en-US"/>
        </w:rPr>
        <w:t xml:space="preserve"> object and purpose</w:t>
      </w:r>
      <w:r w:rsidR="00D03AD6" w:rsidRPr="009F337B">
        <w:rPr>
          <w:rFonts w:cs="Times New Roman"/>
          <w:i w:val="0"/>
          <w:szCs w:val="20"/>
          <w:lang w:val="en-US"/>
        </w:rPr>
        <w:t>. Thus, in keeping with its consistent jurisprudence, the Court will use the interpretation methods stipulated in</w:t>
      </w:r>
      <w:r w:rsidR="00D03AD6" w:rsidRPr="009F337B">
        <w:rPr>
          <w:rFonts w:cs="Times New Roman"/>
          <w:sz w:val="16"/>
          <w:szCs w:val="16"/>
          <w:lang w:val="en-US"/>
        </w:rPr>
        <w:t xml:space="preserve"> </w:t>
      </w:r>
      <w:r w:rsidRPr="009F337B">
        <w:rPr>
          <w:rFonts w:eastAsia="Verdana"/>
          <w:bCs/>
          <w:i w:val="0"/>
          <w:szCs w:val="20"/>
          <w:lang w:val="en-US" w:eastAsia="x-none"/>
        </w:rPr>
        <w:t>Articles</w:t>
      </w:r>
      <w:r w:rsidR="00F46845" w:rsidRPr="009F337B">
        <w:rPr>
          <w:rFonts w:eastAsia="Verdana"/>
          <w:bCs/>
          <w:i w:val="0"/>
          <w:szCs w:val="20"/>
          <w:lang w:val="en-US" w:eastAsia="x-none"/>
        </w:rPr>
        <w:t xml:space="preserve"> 31</w:t>
      </w:r>
      <w:r w:rsidR="003C46A3" w:rsidRPr="009F337B">
        <w:rPr>
          <w:rFonts w:eastAsia="Verdana"/>
          <w:bCs/>
          <w:i w:val="0"/>
          <w:szCs w:val="20"/>
          <w:lang w:val="en-US" w:eastAsia="x-none"/>
        </w:rPr>
        <w:t xml:space="preserve"> and </w:t>
      </w:r>
      <w:r w:rsidR="00F46845" w:rsidRPr="009F337B">
        <w:rPr>
          <w:rFonts w:eastAsia="Verdana"/>
          <w:bCs/>
          <w:i w:val="0"/>
          <w:szCs w:val="20"/>
          <w:lang w:val="en-US" w:eastAsia="x-none"/>
        </w:rPr>
        <w:t>32</w:t>
      </w:r>
      <w:r w:rsidRPr="009F337B">
        <w:rPr>
          <w:rFonts w:eastAsia="Verdana"/>
          <w:bCs/>
          <w:i w:val="0"/>
          <w:szCs w:val="20"/>
          <w:lang w:val="en-US" w:eastAsia="x-none"/>
        </w:rPr>
        <w:t xml:space="preserve"> of the </w:t>
      </w:r>
      <w:r w:rsidR="00BD4205" w:rsidRPr="009F337B">
        <w:rPr>
          <w:rFonts w:eastAsia="Verdana"/>
          <w:bCs/>
          <w:i w:val="0"/>
          <w:szCs w:val="20"/>
          <w:lang w:val="en-US" w:eastAsia="x-none"/>
        </w:rPr>
        <w:t>Vienna Convention</w:t>
      </w:r>
      <w:r w:rsidR="00F46845" w:rsidRPr="009F337B">
        <w:rPr>
          <w:rFonts w:eastAsia="Verdana"/>
          <w:bCs/>
          <w:i w:val="0"/>
          <w:szCs w:val="20"/>
          <w:lang w:val="en-US" w:eastAsia="x-none"/>
        </w:rPr>
        <w:t xml:space="preserve"> </w:t>
      </w:r>
      <w:r w:rsidR="00D03AD6" w:rsidRPr="009F337B">
        <w:rPr>
          <w:rFonts w:eastAsia="Verdana"/>
          <w:bCs/>
          <w:i w:val="0"/>
          <w:szCs w:val="20"/>
          <w:lang w:val="en-US" w:eastAsia="x-none"/>
        </w:rPr>
        <w:t>to make this interpretation.</w:t>
      </w:r>
      <w:r w:rsidR="00F46845" w:rsidRPr="009F337B">
        <w:rPr>
          <w:rStyle w:val="Refdenotaalpie"/>
          <w:rFonts w:eastAsia="Verdana"/>
          <w:i w:val="0"/>
          <w:lang w:val="en-US" w:eastAsia="x-none"/>
        </w:rPr>
        <w:footnoteReference w:id="66"/>
      </w:r>
      <w:r w:rsidR="00D03AD6" w:rsidRPr="009F337B">
        <w:rPr>
          <w:rFonts w:eastAsia="Verdana"/>
          <w:bCs/>
          <w:i w:val="0"/>
          <w:szCs w:val="20"/>
          <w:lang w:val="en-US" w:eastAsia="x-none"/>
        </w:rPr>
        <w:t xml:space="preserve"> The Court will also use, as appropriate, the rules of interpretation that can be understood from </w:t>
      </w:r>
      <w:r w:rsidR="003C46A3" w:rsidRPr="009F337B">
        <w:rPr>
          <w:rFonts w:eastAsia="Verdana"/>
          <w:bCs/>
          <w:i w:val="0"/>
          <w:szCs w:val="20"/>
          <w:lang w:val="en-US" w:eastAsia="x-none"/>
        </w:rPr>
        <w:t>Article</w:t>
      </w:r>
      <w:r w:rsidR="00F46845" w:rsidRPr="009F337B">
        <w:rPr>
          <w:rFonts w:eastAsia="Verdana"/>
          <w:bCs/>
          <w:i w:val="0"/>
          <w:szCs w:val="20"/>
          <w:lang w:val="en-US" w:eastAsia="x-none"/>
        </w:rPr>
        <w:t xml:space="preserve"> 29</w:t>
      </w:r>
      <w:r w:rsidRPr="009F337B">
        <w:rPr>
          <w:rFonts w:eastAsia="Verdana"/>
          <w:bCs/>
          <w:i w:val="0"/>
          <w:szCs w:val="20"/>
          <w:lang w:val="en-US" w:eastAsia="x-none"/>
        </w:rPr>
        <w:t xml:space="preserve"> of the American Convention</w:t>
      </w:r>
      <w:r w:rsidR="00D03AD6" w:rsidRPr="009F337B">
        <w:rPr>
          <w:rFonts w:eastAsia="Verdana"/>
          <w:bCs/>
          <w:i w:val="0"/>
          <w:szCs w:val="20"/>
          <w:lang w:val="en-US" w:eastAsia="x-none"/>
        </w:rPr>
        <w:t>.</w:t>
      </w:r>
      <w:r w:rsidR="00E24818" w:rsidRPr="009F337B">
        <w:rPr>
          <w:rStyle w:val="Refdenotaalpie"/>
          <w:rFonts w:eastAsia="Verdana"/>
          <w:bCs/>
          <w:i w:val="0"/>
          <w:lang w:val="en-US" w:eastAsia="x-none"/>
        </w:rPr>
        <w:footnoteReference w:id="67"/>
      </w:r>
    </w:p>
    <w:p w14:paraId="7CDF2D7D" w14:textId="77777777" w:rsidR="00E92CA8" w:rsidRPr="009F337B" w:rsidRDefault="00E92CA8" w:rsidP="00E92CA8">
      <w:pPr>
        <w:pStyle w:val="Estilo1"/>
        <w:tabs>
          <w:tab w:val="left" w:pos="709"/>
          <w:tab w:val="left" w:pos="1134"/>
        </w:tabs>
        <w:spacing w:after="0"/>
        <w:ind w:left="0" w:right="-4" w:firstLine="0"/>
        <w:rPr>
          <w:rFonts w:eastAsia="Verdana"/>
          <w:bCs/>
          <w:i w:val="0"/>
          <w:szCs w:val="20"/>
          <w:lang w:val="en-US" w:eastAsia="x-none"/>
        </w:rPr>
      </w:pPr>
    </w:p>
    <w:p w14:paraId="74D269C8" w14:textId="46390C1C" w:rsidR="00F46845" w:rsidRPr="009F337B" w:rsidRDefault="00AC0BEF" w:rsidP="00E92CA8">
      <w:pPr>
        <w:pStyle w:val="Estilo1"/>
        <w:tabs>
          <w:tab w:val="left" w:pos="709"/>
          <w:tab w:val="left" w:pos="1134"/>
        </w:tabs>
        <w:spacing w:after="0"/>
        <w:ind w:left="0" w:right="-4" w:firstLine="0"/>
        <w:rPr>
          <w:rFonts w:eastAsia="Verdana"/>
          <w:b/>
          <w:bCs/>
          <w:szCs w:val="20"/>
          <w:lang w:val="en-US" w:eastAsia="x-none"/>
        </w:rPr>
      </w:pPr>
      <w:r w:rsidRPr="009F337B">
        <w:rPr>
          <w:rFonts w:eastAsia="Verdana"/>
          <w:bCs/>
          <w:i w:val="0"/>
          <w:szCs w:val="20"/>
          <w:lang w:val="en-US" w:eastAsia="x-none"/>
        </w:rPr>
        <w:tab/>
      </w:r>
      <w:r w:rsidRPr="009F337B">
        <w:rPr>
          <w:rFonts w:eastAsia="Verdana"/>
          <w:bCs/>
          <w:i w:val="0"/>
          <w:szCs w:val="20"/>
          <w:lang w:val="en-US" w:eastAsia="x-none"/>
        </w:rPr>
        <w:tab/>
      </w:r>
      <w:r w:rsidRPr="009F337B">
        <w:rPr>
          <w:rFonts w:eastAsia="Verdana"/>
          <w:bCs/>
          <w:i w:val="0"/>
          <w:szCs w:val="20"/>
          <w:lang w:val="en-US" w:eastAsia="x-none"/>
        </w:rPr>
        <w:tab/>
      </w:r>
      <w:r w:rsidR="00F46845" w:rsidRPr="009F337B">
        <w:rPr>
          <w:rFonts w:eastAsia="Verdana"/>
          <w:b/>
          <w:bCs/>
          <w:szCs w:val="20"/>
          <w:lang w:val="en-US" w:eastAsia="x-none"/>
        </w:rPr>
        <w:t xml:space="preserve">B.1.1. </w:t>
      </w:r>
      <w:r w:rsidR="00F73B69" w:rsidRPr="009F337B">
        <w:rPr>
          <w:rFonts w:eastAsia="Verdana"/>
          <w:b/>
          <w:bCs/>
          <w:szCs w:val="20"/>
          <w:lang w:val="en-US" w:eastAsia="x-none"/>
        </w:rPr>
        <w:t>Literal interpretation</w:t>
      </w:r>
    </w:p>
    <w:p w14:paraId="1F2BCAC6" w14:textId="77777777" w:rsidR="00E92CA8" w:rsidRPr="009F337B" w:rsidRDefault="00E92CA8" w:rsidP="00E92CA8">
      <w:pPr>
        <w:pStyle w:val="Estilo1"/>
        <w:tabs>
          <w:tab w:val="left" w:pos="709"/>
          <w:tab w:val="left" w:pos="1134"/>
        </w:tabs>
        <w:spacing w:after="0"/>
        <w:ind w:left="0" w:right="-4" w:firstLine="0"/>
        <w:rPr>
          <w:rFonts w:eastAsia="Verdana"/>
          <w:bCs/>
          <w:i w:val="0"/>
          <w:szCs w:val="20"/>
          <w:lang w:val="en-US" w:eastAsia="x-none"/>
        </w:rPr>
      </w:pPr>
    </w:p>
    <w:p w14:paraId="1B3BBBC7" w14:textId="2012C00E" w:rsidR="00F46845" w:rsidRPr="009F337B" w:rsidRDefault="00F73B69" w:rsidP="00593E37">
      <w:pPr>
        <w:pStyle w:val="Estilo1"/>
        <w:numPr>
          <w:ilvl w:val="0"/>
          <w:numId w:val="1"/>
        </w:numPr>
        <w:tabs>
          <w:tab w:val="left" w:pos="709"/>
          <w:tab w:val="left" w:pos="1134"/>
        </w:tabs>
        <w:spacing w:after="0"/>
        <w:ind w:left="0" w:right="-4" w:firstLine="0"/>
        <w:rPr>
          <w:rFonts w:eastAsia="Verdana"/>
          <w:bCs/>
          <w:i w:val="0"/>
          <w:szCs w:val="20"/>
          <w:lang w:val="en-US" w:eastAsia="x-none"/>
        </w:rPr>
      </w:pPr>
      <w:r w:rsidRPr="009F337B">
        <w:rPr>
          <w:rFonts w:eastAsia="Verdana"/>
          <w:bCs/>
          <w:i w:val="0"/>
          <w:szCs w:val="20"/>
          <w:lang w:val="en-US" w:eastAsia="x-none"/>
        </w:rPr>
        <w:t xml:space="preserve">First, the Court must make an interpretation based on the ordinary meaning of the terms set out in </w:t>
      </w:r>
      <w:r w:rsidR="00AE5F9E" w:rsidRPr="009F337B">
        <w:rPr>
          <w:rFonts w:eastAsia="Verdana"/>
          <w:bCs/>
          <w:i w:val="0"/>
          <w:szCs w:val="20"/>
          <w:lang w:val="en-US" w:eastAsia="x-none"/>
        </w:rPr>
        <w:t>Article</w:t>
      </w:r>
      <w:r w:rsidR="00F46845" w:rsidRPr="009F337B">
        <w:rPr>
          <w:rFonts w:eastAsia="Verdana"/>
          <w:bCs/>
          <w:i w:val="0"/>
          <w:szCs w:val="20"/>
          <w:lang w:val="en-US" w:eastAsia="x-none"/>
        </w:rPr>
        <w:t xml:space="preserve"> 26</w:t>
      </w:r>
      <w:r w:rsidR="00AE5F9E" w:rsidRPr="009F337B">
        <w:rPr>
          <w:rFonts w:eastAsia="Verdana"/>
          <w:bCs/>
          <w:i w:val="0"/>
          <w:szCs w:val="20"/>
          <w:lang w:val="en-US" w:eastAsia="x-none"/>
        </w:rPr>
        <w:t xml:space="preserve"> of the Convention</w:t>
      </w:r>
      <w:r w:rsidR="00F46845" w:rsidRPr="009F337B">
        <w:rPr>
          <w:rFonts w:eastAsia="Verdana"/>
          <w:bCs/>
          <w:i w:val="0"/>
          <w:szCs w:val="20"/>
          <w:lang w:val="en-US" w:eastAsia="x-none"/>
        </w:rPr>
        <w:t xml:space="preserve"> </w:t>
      </w:r>
      <w:r w:rsidRPr="009F337B">
        <w:rPr>
          <w:rFonts w:eastAsia="Verdana"/>
          <w:bCs/>
          <w:i w:val="0"/>
          <w:szCs w:val="20"/>
          <w:lang w:val="en-US" w:eastAsia="x-none"/>
        </w:rPr>
        <w:t>which stipulate</w:t>
      </w:r>
      <w:r w:rsidR="00795CA3">
        <w:rPr>
          <w:rFonts w:eastAsia="Verdana"/>
          <w:bCs/>
          <w:i w:val="0"/>
          <w:szCs w:val="20"/>
          <w:lang w:val="en-US" w:eastAsia="x-none"/>
        </w:rPr>
        <w:t>s</w:t>
      </w:r>
      <w:r w:rsidRPr="009F337B">
        <w:rPr>
          <w:rFonts w:eastAsia="Verdana"/>
          <w:bCs/>
          <w:i w:val="0"/>
          <w:szCs w:val="20"/>
          <w:lang w:val="en-US" w:eastAsia="x-none"/>
        </w:rPr>
        <w:t xml:space="preserve"> the following</w:t>
      </w:r>
      <w:r w:rsidR="00F46845" w:rsidRPr="009F337B">
        <w:rPr>
          <w:rFonts w:eastAsia="Verdana"/>
          <w:bCs/>
          <w:i w:val="0"/>
          <w:szCs w:val="20"/>
          <w:lang w:val="en-US" w:eastAsia="x-none"/>
        </w:rPr>
        <w:t>:</w:t>
      </w:r>
    </w:p>
    <w:p w14:paraId="06B4D610" w14:textId="77777777" w:rsidR="00E92CA8" w:rsidRPr="009F337B" w:rsidRDefault="00E92CA8" w:rsidP="00E92CA8">
      <w:pPr>
        <w:pStyle w:val="Estilo1"/>
        <w:tabs>
          <w:tab w:val="left" w:pos="709"/>
          <w:tab w:val="left" w:pos="1134"/>
        </w:tabs>
        <w:spacing w:after="0"/>
        <w:ind w:left="0" w:right="-4" w:firstLine="0"/>
        <w:rPr>
          <w:rFonts w:eastAsia="Verdana"/>
          <w:bCs/>
          <w:i w:val="0"/>
          <w:szCs w:val="20"/>
          <w:lang w:val="en-US" w:eastAsia="x-none"/>
        </w:rPr>
      </w:pPr>
    </w:p>
    <w:p w14:paraId="5D9F8BFF" w14:textId="231CF5FF" w:rsidR="00F46845" w:rsidRPr="009F337B" w:rsidRDefault="00F73B69" w:rsidP="00E92CA8">
      <w:pPr>
        <w:widowControl w:val="0"/>
        <w:autoSpaceDE w:val="0"/>
        <w:autoSpaceDN w:val="0"/>
        <w:adjustRightInd w:val="0"/>
        <w:ind w:left="708" w:right="900"/>
        <w:contextualSpacing/>
        <w:textAlignment w:val="baseline"/>
        <w:rPr>
          <w:rFonts w:cs="Tahoma"/>
          <w:color w:val="000000"/>
          <w:sz w:val="18"/>
          <w:szCs w:val="18"/>
          <w:lang w:val="en-US"/>
        </w:rPr>
      </w:pPr>
      <w:r w:rsidRPr="009F337B">
        <w:rPr>
          <w:sz w:val="18"/>
          <w:szCs w:val="18"/>
          <w:lang w:val="en-US"/>
        </w:rPr>
        <w:t>The States Parties undertake to adopt measures, both internally and through international cooperation, especially those of an economic and technical nature, with a view to achieving progressively</w:t>
      </w:r>
      <w:r w:rsidR="00B13678" w:rsidRPr="009F337B">
        <w:rPr>
          <w:sz w:val="18"/>
          <w:szCs w:val="18"/>
          <w:lang w:val="en-US"/>
        </w:rPr>
        <w:t xml:space="preserve">, </w:t>
      </w:r>
      <w:r w:rsidR="00B13678" w:rsidRPr="009F337B">
        <w:rPr>
          <w:spacing w:val="-3"/>
          <w:sz w:val="18"/>
          <w:szCs w:val="18"/>
          <w:lang w:val="en-US"/>
        </w:rPr>
        <w:t xml:space="preserve">subject to available resources, </w:t>
      </w:r>
      <w:r w:rsidRPr="009F337B">
        <w:rPr>
          <w:sz w:val="18"/>
          <w:szCs w:val="18"/>
          <w:lang w:val="en-US"/>
        </w:rPr>
        <w:t>by legislation or other appropriate means, the full realization of the rights implicit in the economic, social, educational, scientific, and cultural standards set forth in the Charter of the Organization of American States as amended by the Protocol of Buenos Aires</w:t>
      </w:r>
      <w:r w:rsidR="00F46845" w:rsidRPr="009F337B">
        <w:rPr>
          <w:rFonts w:cs="Tahoma"/>
          <w:color w:val="000000"/>
          <w:sz w:val="18"/>
          <w:szCs w:val="18"/>
          <w:lang w:val="en-US"/>
        </w:rPr>
        <w:t>.</w:t>
      </w:r>
    </w:p>
    <w:p w14:paraId="4C718EBD" w14:textId="77777777" w:rsidR="00E92CA8" w:rsidRPr="009F337B" w:rsidRDefault="00E92CA8" w:rsidP="00E92CA8">
      <w:pPr>
        <w:widowControl w:val="0"/>
        <w:autoSpaceDE w:val="0"/>
        <w:autoSpaceDN w:val="0"/>
        <w:adjustRightInd w:val="0"/>
        <w:ind w:right="900"/>
        <w:contextualSpacing/>
        <w:textAlignment w:val="baseline"/>
        <w:rPr>
          <w:rFonts w:eastAsia="Times" w:cs="Arial"/>
          <w:lang w:val="en-US"/>
        </w:rPr>
      </w:pPr>
    </w:p>
    <w:p w14:paraId="127BE6A9" w14:textId="233A0CFA" w:rsidR="00F46845" w:rsidRPr="009F337B" w:rsidRDefault="00AE5F9E" w:rsidP="00593E37">
      <w:pPr>
        <w:pStyle w:val="Estilo1"/>
        <w:numPr>
          <w:ilvl w:val="0"/>
          <w:numId w:val="1"/>
        </w:numPr>
        <w:tabs>
          <w:tab w:val="left" w:pos="709"/>
          <w:tab w:val="left" w:pos="1134"/>
        </w:tabs>
        <w:spacing w:after="0"/>
        <w:ind w:left="0" w:right="-4" w:firstLine="0"/>
        <w:rPr>
          <w:rFonts w:eastAsia="Times" w:cs="Arial"/>
          <w:i w:val="0"/>
          <w:szCs w:val="20"/>
          <w:lang w:val="en-US"/>
        </w:rPr>
      </w:pPr>
      <w:r w:rsidRPr="009F337B">
        <w:rPr>
          <w:rFonts w:eastAsia="Times" w:cs="Arial"/>
          <w:i w:val="0"/>
          <w:szCs w:val="20"/>
          <w:lang w:val="en-US"/>
        </w:rPr>
        <w:t>The Court</w:t>
      </w:r>
      <w:r w:rsidR="00F46845" w:rsidRPr="009F337B">
        <w:rPr>
          <w:rFonts w:eastAsia="Times" w:cs="Arial"/>
          <w:i w:val="0"/>
          <w:szCs w:val="20"/>
          <w:lang w:val="en-US"/>
        </w:rPr>
        <w:t xml:space="preserve"> rec</w:t>
      </w:r>
      <w:r w:rsidR="00F73B69" w:rsidRPr="009F337B">
        <w:rPr>
          <w:rFonts w:eastAsia="Times" w:cs="Arial"/>
          <w:i w:val="0"/>
          <w:szCs w:val="20"/>
          <w:lang w:val="en-US"/>
        </w:rPr>
        <w:t xml:space="preserve">alls that, according to </w:t>
      </w:r>
      <w:r w:rsidRPr="009F337B">
        <w:rPr>
          <w:rFonts w:eastAsia="Times" w:cs="Arial"/>
          <w:i w:val="0"/>
          <w:szCs w:val="20"/>
          <w:lang w:val="en-US"/>
        </w:rPr>
        <w:t xml:space="preserve">the </w:t>
      </w:r>
      <w:r w:rsidR="00BD4205" w:rsidRPr="009F337B">
        <w:rPr>
          <w:rFonts w:eastAsia="Times" w:cs="Arial"/>
          <w:i w:val="0"/>
          <w:szCs w:val="20"/>
          <w:lang w:val="en-US"/>
        </w:rPr>
        <w:t>Vienna Convention</w:t>
      </w:r>
      <w:r w:rsidR="00F46845" w:rsidRPr="009F337B">
        <w:rPr>
          <w:rFonts w:eastAsia="Times" w:cs="Arial"/>
          <w:i w:val="0"/>
          <w:szCs w:val="20"/>
          <w:lang w:val="en-US"/>
        </w:rPr>
        <w:t xml:space="preserve">, </w:t>
      </w:r>
      <w:r w:rsidR="00F73B69" w:rsidRPr="009F337B">
        <w:rPr>
          <w:rFonts w:eastAsia="Times" w:cs="Arial"/>
          <w:i w:val="0"/>
          <w:szCs w:val="20"/>
          <w:lang w:val="en-US"/>
        </w:rPr>
        <w:t>treaties must be interpreted “in good faith</w:t>
      </w:r>
      <w:r w:rsidR="00F73B69" w:rsidRPr="009F337B">
        <w:rPr>
          <w:rFonts w:cs="Times New Roman"/>
          <w:sz w:val="16"/>
          <w:szCs w:val="16"/>
          <w:lang w:val="en-US"/>
        </w:rPr>
        <w:t xml:space="preserve"> </w:t>
      </w:r>
      <w:r w:rsidR="00F73B69" w:rsidRPr="009F337B">
        <w:rPr>
          <w:rFonts w:cs="Times New Roman"/>
          <w:i w:val="0"/>
          <w:szCs w:val="20"/>
          <w:lang w:val="en-US"/>
        </w:rPr>
        <w:t>in accordance with the ordinary meaning to be given to the terms of the treaty in their context and in the light of its object and purpose</w:t>
      </w:r>
      <w:r w:rsidR="00F73B69" w:rsidRPr="009F337B">
        <w:rPr>
          <w:rFonts w:eastAsia="Times" w:cs="Arial"/>
          <w:i w:val="0"/>
          <w:szCs w:val="20"/>
          <w:lang w:val="en-US"/>
        </w:rPr>
        <w:t>.</w:t>
      </w:r>
      <w:r w:rsidR="00F46845" w:rsidRPr="009F337B">
        <w:rPr>
          <w:rFonts w:eastAsia="Times" w:cs="Arial"/>
          <w:i w:val="0"/>
          <w:szCs w:val="20"/>
          <w:lang w:val="en-US"/>
        </w:rPr>
        <w:t>”</w:t>
      </w:r>
      <w:r w:rsidR="00F46845" w:rsidRPr="009F337B">
        <w:rPr>
          <w:rStyle w:val="Refdenotaalpie"/>
          <w:rFonts w:eastAsia="Times"/>
          <w:i w:val="0"/>
          <w:lang w:val="en-US"/>
        </w:rPr>
        <w:footnoteReference w:id="68"/>
      </w:r>
      <w:r w:rsidR="00F73B69" w:rsidRPr="009F337B">
        <w:rPr>
          <w:rFonts w:eastAsia="Times" w:cs="Arial"/>
          <w:i w:val="0"/>
          <w:szCs w:val="20"/>
          <w:lang w:val="en-US"/>
        </w:rPr>
        <w:t xml:space="preserve"> Likewise, the Court has established that this method of interpretation adheres to the principle of the </w:t>
      </w:r>
      <w:r w:rsidR="00F73B69" w:rsidRPr="009F337B">
        <w:rPr>
          <w:rFonts w:eastAsia="Times" w:cs="Arial"/>
          <w:i w:val="0"/>
          <w:szCs w:val="20"/>
          <w:lang w:val="en-US"/>
        </w:rPr>
        <w:lastRenderedPageBreak/>
        <w:t>primacy of the text; in other words, t</w:t>
      </w:r>
      <w:r w:rsidR="0053185F">
        <w:rPr>
          <w:rFonts w:eastAsia="Times" w:cs="Arial"/>
          <w:i w:val="0"/>
          <w:szCs w:val="20"/>
          <w:lang w:val="en-US"/>
        </w:rPr>
        <w:t>he</w:t>
      </w:r>
      <w:r w:rsidR="00F73B69" w:rsidRPr="009F337B">
        <w:rPr>
          <w:rFonts w:eastAsia="Times" w:cs="Arial"/>
          <w:i w:val="0"/>
          <w:szCs w:val="20"/>
          <w:lang w:val="en-US"/>
        </w:rPr>
        <w:t xml:space="preserve"> appl</w:t>
      </w:r>
      <w:r w:rsidR="0053185F">
        <w:rPr>
          <w:rFonts w:eastAsia="Times" w:cs="Arial"/>
          <w:i w:val="0"/>
          <w:szCs w:val="20"/>
          <w:lang w:val="en-US"/>
        </w:rPr>
        <w:t>ication of</w:t>
      </w:r>
      <w:r w:rsidR="00F73B69" w:rsidRPr="009F337B">
        <w:rPr>
          <w:rFonts w:eastAsia="Times" w:cs="Arial"/>
          <w:i w:val="0"/>
          <w:szCs w:val="20"/>
          <w:lang w:val="en-US"/>
        </w:rPr>
        <w:t xml:space="preserve"> objective interpretation criteria.</w:t>
      </w:r>
      <w:r w:rsidR="00F46845" w:rsidRPr="009F337B">
        <w:rPr>
          <w:rStyle w:val="Refdenotaalpie"/>
          <w:rFonts w:eastAsia="Times"/>
          <w:i w:val="0"/>
          <w:lang w:val="en-US"/>
        </w:rPr>
        <w:footnoteReference w:id="69"/>
      </w:r>
      <w:r w:rsidR="00F73B69" w:rsidRPr="009F337B">
        <w:rPr>
          <w:rFonts w:eastAsia="Times" w:cs="Arial"/>
          <w:i w:val="0"/>
          <w:szCs w:val="20"/>
          <w:lang w:val="en-US"/>
        </w:rPr>
        <w:t xml:space="preserve"> Thus, in a text concerning human rights, the appropriate method involves an interpretation based on objective criteria related to the text itself, as opposed to </w:t>
      </w:r>
      <w:r w:rsidR="00F90566" w:rsidRPr="009F337B">
        <w:rPr>
          <w:rFonts w:eastAsia="Times" w:cs="Arial"/>
          <w:i w:val="0"/>
          <w:szCs w:val="20"/>
          <w:lang w:val="en-US"/>
        </w:rPr>
        <w:t>subjective criteria relating merely to the intention of the parties, because such treaties are not traditional multilateral treaties concluded on the basis of a reciprocal exchange of rights for the benefit of the contracting parties</w:t>
      </w:r>
      <w:r w:rsidR="0053185F">
        <w:rPr>
          <w:rFonts w:eastAsia="Times" w:cs="Arial"/>
          <w:i w:val="0"/>
          <w:szCs w:val="20"/>
          <w:lang w:val="en-US"/>
        </w:rPr>
        <w:t>; rather,</w:t>
      </w:r>
      <w:r w:rsidR="00F90566" w:rsidRPr="009F337B">
        <w:rPr>
          <w:rFonts w:eastAsia="Times" w:cs="Arial"/>
          <w:i w:val="0"/>
          <w:szCs w:val="20"/>
          <w:lang w:val="en-US"/>
        </w:rPr>
        <w:t xml:space="preserve"> their object and purpose are the protection of human rights before the State and before other States.</w:t>
      </w:r>
      <w:r w:rsidR="00F46845" w:rsidRPr="009F337B">
        <w:rPr>
          <w:rStyle w:val="Refdenotaalpie"/>
          <w:rFonts w:eastAsia="Times"/>
          <w:i w:val="0"/>
          <w:lang w:val="en-US"/>
        </w:rPr>
        <w:footnoteReference w:id="70"/>
      </w:r>
    </w:p>
    <w:p w14:paraId="194A764E" w14:textId="77777777" w:rsidR="00E92CA8" w:rsidRPr="009F337B" w:rsidRDefault="00E92CA8" w:rsidP="00E92CA8">
      <w:pPr>
        <w:pStyle w:val="Estilo1"/>
        <w:tabs>
          <w:tab w:val="left" w:pos="709"/>
          <w:tab w:val="left" w:pos="1134"/>
        </w:tabs>
        <w:spacing w:after="0"/>
        <w:ind w:left="0" w:right="-4" w:firstLine="0"/>
        <w:rPr>
          <w:rFonts w:eastAsia="Times" w:cs="Arial"/>
          <w:i w:val="0"/>
          <w:szCs w:val="20"/>
          <w:lang w:val="en-US"/>
        </w:rPr>
      </w:pPr>
    </w:p>
    <w:p w14:paraId="3162B2EB" w14:textId="293BF629" w:rsidR="00F46845" w:rsidRPr="009F337B" w:rsidRDefault="00664AA6" w:rsidP="00593E37">
      <w:pPr>
        <w:pStyle w:val="Estilo1"/>
        <w:numPr>
          <w:ilvl w:val="0"/>
          <w:numId w:val="1"/>
        </w:numPr>
        <w:tabs>
          <w:tab w:val="left" w:pos="709"/>
          <w:tab w:val="left" w:pos="1134"/>
        </w:tabs>
        <w:spacing w:after="0"/>
        <w:ind w:left="0" w:right="-4" w:firstLine="0"/>
        <w:rPr>
          <w:rFonts w:eastAsia="Times" w:cs="Arial"/>
          <w:i w:val="0"/>
          <w:szCs w:val="20"/>
          <w:lang w:val="en-US"/>
        </w:rPr>
      </w:pPr>
      <w:r w:rsidRPr="009F337B">
        <w:rPr>
          <w:rFonts w:eastAsia="Times" w:cs="Arial"/>
          <w:i w:val="0"/>
          <w:szCs w:val="20"/>
          <w:lang w:val="en-US"/>
        </w:rPr>
        <w:t xml:space="preserve">In this regard, the Court considers that the ordinary meaning that should be given to the rule established in </w:t>
      </w:r>
      <w:r w:rsidR="00AE5F9E" w:rsidRPr="009F337B">
        <w:rPr>
          <w:rFonts w:eastAsia="Times" w:cs="Arial"/>
          <w:i w:val="0"/>
          <w:szCs w:val="20"/>
          <w:lang w:val="en-US"/>
        </w:rPr>
        <w:t>Article</w:t>
      </w:r>
      <w:r w:rsidR="00F46845" w:rsidRPr="009F337B">
        <w:rPr>
          <w:rFonts w:eastAsia="Times" w:cs="Arial"/>
          <w:i w:val="0"/>
          <w:szCs w:val="20"/>
          <w:lang w:val="en-US"/>
        </w:rPr>
        <w:t xml:space="preserve"> 26</w:t>
      </w:r>
      <w:r w:rsidR="00AE5F9E" w:rsidRPr="009F337B">
        <w:rPr>
          <w:rFonts w:eastAsia="Times" w:cs="Arial"/>
          <w:i w:val="0"/>
          <w:szCs w:val="20"/>
          <w:lang w:val="en-US"/>
        </w:rPr>
        <w:t xml:space="preserve"> of the Convention</w:t>
      </w:r>
      <w:r w:rsidR="00F46845" w:rsidRPr="009F337B">
        <w:rPr>
          <w:rFonts w:eastAsia="Times" w:cs="Arial"/>
          <w:i w:val="0"/>
          <w:szCs w:val="20"/>
          <w:lang w:val="en-US"/>
        </w:rPr>
        <w:t xml:space="preserve"> </w:t>
      </w:r>
      <w:r w:rsidRPr="009F337B">
        <w:rPr>
          <w:rFonts w:eastAsia="Times" w:cs="Arial"/>
          <w:i w:val="0"/>
          <w:szCs w:val="20"/>
          <w:lang w:val="en-US"/>
        </w:rPr>
        <w:t xml:space="preserve">is that the States undertook to </w:t>
      </w:r>
      <w:r w:rsidR="00B13678" w:rsidRPr="009F337B">
        <w:rPr>
          <w:rFonts w:eastAsia="Times" w:cs="Arial"/>
          <w:i w:val="0"/>
          <w:szCs w:val="20"/>
          <w:lang w:val="en-US"/>
        </w:rPr>
        <w:t xml:space="preserve">realize </w:t>
      </w:r>
      <w:r w:rsidRPr="009F337B">
        <w:rPr>
          <w:rFonts w:eastAsia="Times" w:cs="Arial"/>
          <w:i w:val="0"/>
          <w:szCs w:val="20"/>
          <w:lang w:val="en-US"/>
        </w:rPr>
        <w:t>“rights</w:t>
      </w:r>
      <w:r w:rsidR="00B13678" w:rsidRPr="009F337B">
        <w:rPr>
          <w:rFonts w:eastAsia="Times" w:cs="Arial"/>
          <w:i w:val="0"/>
          <w:szCs w:val="20"/>
          <w:lang w:val="en-US"/>
        </w:rPr>
        <w:t>” derived</w:t>
      </w:r>
      <w:r w:rsidRPr="009F337B">
        <w:rPr>
          <w:rFonts w:eastAsia="Times" w:cs="Arial"/>
          <w:i w:val="0"/>
          <w:szCs w:val="20"/>
          <w:lang w:val="en-US"/>
        </w:rPr>
        <w:t xml:space="preserve"> from the economic, social, educational, scientific and cultural rights </w:t>
      </w:r>
      <w:r w:rsidR="0053185F">
        <w:rPr>
          <w:rFonts w:eastAsia="Times" w:cs="Arial"/>
          <w:i w:val="0"/>
          <w:szCs w:val="20"/>
          <w:lang w:val="en-US"/>
        </w:rPr>
        <w:t>set forth</w:t>
      </w:r>
      <w:r w:rsidRPr="009F337B">
        <w:rPr>
          <w:rFonts w:eastAsia="Times" w:cs="Arial"/>
          <w:i w:val="0"/>
          <w:szCs w:val="20"/>
          <w:lang w:val="en-US"/>
        </w:rPr>
        <w:t xml:space="preserve"> in the Charter of the Organization of American States</w:t>
      </w:r>
      <w:r w:rsidR="00F46845" w:rsidRPr="009F337B">
        <w:rPr>
          <w:rFonts w:eastAsia="Times" w:cs="Arial"/>
          <w:i w:val="0"/>
          <w:szCs w:val="20"/>
          <w:lang w:val="en-US"/>
        </w:rPr>
        <w:t xml:space="preserve"> (</w:t>
      </w:r>
      <w:r w:rsidR="00AE5F9E" w:rsidRPr="009F337B">
        <w:rPr>
          <w:rFonts w:eastAsia="Times" w:cs="Arial"/>
          <w:i w:val="0"/>
          <w:szCs w:val="20"/>
          <w:lang w:val="en-US"/>
        </w:rPr>
        <w:t>hereinafter</w:t>
      </w:r>
      <w:r w:rsidR="00F46845" w:rsidRPr="009F337B">
        <w:rPr>
          <w:rFonts w:eastAsia="Times" w:cs="Arial"/>
          <w:i w:val="0"/>
          <w:szCs w:val="20"/>
          <w:lang w:val="en-US"/>
        </w:rPr>
        <w:t xml:space="preserve"> “</w:t>
      </w:r>
      <w:r w:rsidRPr="009F337B">
        <w:rPr>
          <w:rFonts w:eastAsia="Times" w:cs="Arial"/>
          <w:i w:val="0"/>
          <w:szCs w:val="20"/>
          <w:lang w:val="en-US"/>
        </w:rPr>
        <w:t>the OAS Charter</w:t>
      </w:r>
      <w:r w:rsidR="00F46845" w:rsidRPr="009F337B">
        <w:rPr>
          <w:rFonts w:eastAsia="Times" w:cs="Arial"/>
          <w:i w:val="0"/>
          <w:szCs w:val="20"/>
          <w:lang w:val="en-US"/>
        </w:rPr>
        <w:t xml:space="preserve">”). </w:t>
      </w:r>
      <w:r w:rsidRPr="009F337B">
        <w:rPr>
          <w:rFonts w:eastAsia="Times" w:cs="Arial"/>
          <w:i w:val="0"/>
          <w:szCs w:val="20"/>
          <w:lang w:val="en-US"/>
        </w:rPr>
        <w:t>Accordingly, the Court notes that</w:t>
      </w:r>
      <w:r w:rsidR="000F3521" w:rsidRPr="009F337B">
        <w:rPr>
          <w:rFonts w:eastAsia="Times" w:cs="Arial"/>
          <w:i w:val="0"/>
          <w:szCs w:val="20"/>
          <w:lang w:val="en-US"/>
        </w:rPr>
        <w:t>,</w:t>
      </w:r>
      <w:r w:rsidRPr="009F337B">
        <w:rPr>
          <w:rFonts w:eastAsia="Times" w:cs="Arial"/>
          <w:i w:val="0"/>
          <w:szCs w:val="20"/>
          <w:lang w:val="en-US"/>
        </w:rPr>
        <w:t xml:space="preserve"> even though the OAS Charter</w:t>
      </w:r>
      <w:r w:rsidR="00F46845" w:rsidRPr="009F337B">
        <w:rPr>
          <w:rFonts w:eastAsia="Times" w:cs="Arial"/>
          <w:i w:val="0"/>
          <w:szCs w:val="20"/>
          <w:lang w:val="en-US"/>
        </w:rPr>
        <w:t xml:space="preserve"> </w:t>
      </w:r>
      <w:r w:rsidRPr="009F337B">
        <w:rPr>
          <w:rFonts w:eastAsia="Times" w:cs="Arial"/>
          <w:i w:val="0"/>
          <w:szCs w:val="20"/>
          <w:lang w:val="en-US"/>
        </w:rPr>
        <w:t>establishes “principles” and “goals” aimed at comprehensive development, it also refers to certain “rights” both explicitly and implicitly. In this way, from a literal interpretation of the text of Article 26</w:t>
      </w:r>
      <w:r w:rsidR="000F3521" w:rsidRPr="009F337B">
        <w:rPr>
          <w:rFonts w:eastAsia="Times" w:cs="Arial"/>
          <w:i w:val="0"/>
          <w:szCs w:val="20"/>
          <w:lang w:val="en-US"/>
        </w:rPr>
        <w:t>,</w:t>
      </w:r>
      <w:r w:rsidRPr="009F337B">
        <w:rPr>
          <w:rFonts w:eastAsia="Times" w:cs="Arial"/>
          <w:i w:val="0"/>
          <w:szCs w:val="20"/>
          <w:lang w:val="en-US"/>
        </w:rPr>
        <w:t xml:space="preserve"> it can be affirmed that it refers precisely to the obligation of the States to achieve the </w:t>
      </w:r>
      <w:r w:rsidR="000F3521" w:rsidRPr="009F337B">
        <w:rPr>
          <w:rFonts w:eastAsia="Times" w:cs="Arial"/>
          <w:i w:val="0"/>
          <w:szCs w:val="20"/>
          <w:lang w:val="en-US"/>
        </w:rPr>
        <w:t>realization</w:t>
      </w:r>
      <w:r w:rsidRPr="009F337B">
        <w:rPr>
          <w:rFonts w:eastAsia="Times" w:cs="Arial"/>
          <w:i w:val="0"/>
          <w:szCs w:val="20"/>
          <w:lang w:val="en-US"/>
        </w:rPr>
        <w:t xml:space="preserve"> of the “rights” that it is possible to derive from the OAS Charter</w:t>
      </w:r>
      <w:r w:rsidR="00F46845" w:rsidRPr="009F337B">
        <w:rPr>
          <w:rFonts w:eastAsia="Times" w:cs="Arial"/>
          <w:i w:val="0"/>
          <w:szCs w:val="20"/>
          <w:lang w:val="en-US"/>
        </w:rPr>
        <w:t xml:space="preserve">. </w:t>
      </w:r>
      <w:r w:rsidRPr="009F337B">
        <w:rPr>
          <w:rFonts w:eastAsia="Times" w:cs="Arial"/>
          <w:i w:val="0"/>
          <w:szCs w:val="20"/>
          <w:lang w:val="en-US"/>
        </w:rPr>
        <w:t xml:space="preserve">The text of the </w:t>
      </w:r>
      <w:r w:rsidR="0053185F">
        <w:rPr>
          <w:rFonts w:eastAsia="Times" w:cs="Arial"/>
          <w:i w:val="0"/>
          <w:szCs w:val="20"/>
          <w:lang w:val="en-US"/>
        </w:rPr>
        <w:t>provision</w:t>
      </w:r>
      <w:r w:rsidRPr="009F337B">
        <w:rPr>
          <w:rFonts w:eastAsia="Times" w:cs="Arial"/>
          <w:i w:val="0"/>
          <w:szCs w:val="20"/>
          <w:lang w:val="en-US"/>
        </w:rPr>
        <w:t xml:space="preserve"> should be interpreted in such a way that its terms acquire meaning and a specific significance, which, in the case of Article 2</w:t>
      </w:r>
      <w:r w:rsidR="000F3521" w:rsidRPr="009F337B">
        <w:rPr>
          <w:rFonts w:eastAsia="Times" w:cs="Arial"/>
          <w:i w:val="0"/>
          <w:szCs w:val="20"/>
          <w:lang w:val="en-US"/>
        </w:rPr>
        <w:t>6</w:t>
      </w:r>
      <w:r w:rsidRPr="009F337B">
        <w:rPr>
          <w:rFonts w:eastAsia="Times" w:cs="Arial"/>
          <w:i w:val="0"/>
          <w:szCs w:val="20"/>
          <w:lang w:val="en-US"/>
        </w:rPr>
        <w:t xml:space="preserve">, means understanding that the States agreed to adopt measures in order to </w:t>
      </w:r>
      <w:r w:rsidR="000F3521" w:rsidRPr="009F337B">
        <w:rPr>
          <w:rFonts w:eastAsia="Times" w:cs="Arial"/>
          <w:i w:val="0"/>
          <w:szCs w:val="20"/>
          <w:lang w:val="en-US"/>
        </w:rPr>
        <w:t>fully</w:t>
      </w:r>
      <w:r w:rsidRPr="009F337B">
        <w:rPr>
          <w:rFonts w:eastAsia="Times" w:cs="Arial"/>
          <w:i w:val="0"/>
          <w:szCs w:val="20"/>
          <w:lang w:val="en-US"/>
        </w:rPr>
        <w:t xml:space="preserve"> </w:t>
      </w:r>
      <w:r w:rsidR="000F3521" w:rsidRPr="009F337B">
        <w:rPr>
          <w:rFonts w:eastAsia="Times" w:cs="Arial"/>
          <w:i w:val="0"/>
          <w:szCs w:val="20"/>
          <w:lang w:val="en-US"/>
        </w:rPr>
        <w:t>realize</w:t>
      </w:r>
      <w:r w:rsidRPr="009F337B">
        <w:rPr>
          <w:rFonts w:eastAsia="Times" w:cs="Arial"/>
          <w:i w:val="0"/>
          <w:szCs w:val="20"/>
          <w:lang w:val="en-US"/>
        </w:rPr>
        <w:t xml:space="preserve"> the “rights” recognized in the OAS Charter</w:t>
      </w:r>
      <w:r w:rsidR="00F46845" w:rsidRPr="009F337B">
        <w:rPr>
          <w:rFonts w:eastAsia="Times" w:cs="Arial"/>
          <w:i w:val="0"/>
          <w:szCs w:val="20"/>
          <w:lang w:val="en-US"/>
        </w:rPr>
        <w:t>.</w:t>
      </w:r>
    </w:p>
    <w:p w14:paraId="0742AA62" w14:textId="77777777" w:rsidR="00E92CA8" w:rsidRPr="009F337B" w:rsidRDefault="00E92CA8" w:rsidP="00E92CA8">
      <w:pPr>
        <w:pStyle w:val="Estilo1"/>
        <w:tabs>
          <w:tab w:val="left" w:pos="709"/>
          <w:tab w:val="left" w:pos="1134"/>
        </w:tabs>
        <w:spacing w:after="0"/>
        <w:ind w:left="0" w:right="-4" w:firstLine="0"/>
        <w:rPr>
          <w:rFonts w:eastAsia="Times" w:cs="Arial"/>
          <w:i w:val="0"/>
          <w:szCs w:val="20"/>
          <w:lang w:val="en-US"/>
        </w:rPr>
      </w:pPr>
    </w:p>
    <w:p w14:paraId="10BF2F5E" w14:textId="41169A25" w:rsidR="00F46845" w:rsidRPr="009F337B" w:rsidRDefault="00664AA6" w:rsidP="00593E37">
      <w:pPr>
        <w:pStyle w:val="Estilo1"/>
        <w:numPr>
          <w:ilvl w:val="0"/>
          <w:numId w:val="1"/>
        </w:numPr>
        <w:tabs>
          <w:tab w:val="left" w:pos="709"/>
          <w:tab w:val="left" w:pos="1134"/>
        </w:tabs>
        <w:spacing w:after="0"/>
        <w:ind w:left="0" w:right="-4" w:firstLine="0"/>
        <w:rPr>
          <w:rFonts w:eastAsia="Times" w:cs="Arial"/>
          <w:i w:val="0"/>
          <w:szCs w:val="20"/>
          <w:lang w:val="en-US"/>
        </w:rPr>
      </w:pPr>
      <w:r w:rsidRPr="009F337B">
        <w:rPr>
          <w:rFonts w:eastAsia="Times" w:cs="Arial"/>
          <w:i w:val="0"/>
          <w:szCs w:val="20"/>
          <w:lang w:val="en-US"/>
        </w:rPr>
        <w:t>Furthermore, the Court considers that the mention in Article 26 that the States undertake “to adopt measure</w:t>
      </w:r>
      <w:r w:rsidR="00752F49" w:rsidRPr="009F337B">
        <w:rPr>
          <w:rFonts w:eastAsia="Times" w:cs="Arial"/>
          <w:i w:val="0"/>
          <w:szCs w:val="20"/>
          <w:lang w:val="en-US"/>
        </w:rPr>
        <w:t>s</w:t>
      </w:r>
      <w:r w:rsidR="004012D1" w:rsidRPr="009F337B">
        <w:rPr>
          <w:rFonts w:eastAsia="Times" w:cs="Arial"/>
          <w:i w:val="0"/>
          <w:szCs w:val="20"/>
          <w:lang w:val="en-US"/>
        </w:rPr>
        <w:t>,” “with a view to achieving progressively […] the full realization of the rights” derived from the OAS Charter should be understood as</w:t>
      </w:r>
      <w:r w:rsidR="000F3521" w:rsidRPr="009F337B">
        <w:rPr>
          <w:rFonts w:eastAsia="Times" w:cs="Arial"/>
          <w:i w:val="0"/>
          <w:szCs w:val="20"/>
          <w:lang w:val="en-US"/>
        </w:rPr>
        <w:t xml:space="preserve"> a</w:t>
      </w:r>
      <w:r w:rsidR="004012D1" w:rsidRPr="009F337B">
        <w:rPr>
          <w:rFonts w:eastAsia="Times" w:cs="Arial"/>
          <w:i w:val="0"/>
          <w:szCs w:val="20"/>
          <w:lang w:val="en-US"/>
        </w:rPr>
        <w:t xml:space="preserve"> </w:t>
      </w:r>
      <w:r w:rsidR="00341F67" w:rsidRPr="009F337B">
        <w:rPr>
          <w:rFonts w:eastAsia="Times" w:cs="Arial"/>
          <w:i w:val="0"/>
          <w:szCs w:val="20"/>
          <w:lang w:val="en-US"/>
        </w:rPr>
        <w:t xml:space="preserve"> formulation</w:t>
      </w:r>
      <w:r w:rsidR="004012D1" w:rsidRPr="009F337B">
        <w:rPr>
          <w:rFonts w:eastAsia="Times" w:cs="Arial"/>
          <w:i w:val="0"/>
          <w:szCs w:val="20"/>
          <w:lang w:val="en-US"/>
        </w:rPr>
        <w:t xml:space="preserve"> </w:t>
      </w:r>
      <w:r w:rsidR="00752F49" w:rsidRPr="009F337B">
        <w:rPr>
          <w:rFonts w:eastAsia="Times" w:cs="Arial"/>
          <w:i w:val="0"/>
          <w:szCs w:val="20"/>
          <w:lang w:val="en-US"/>
        </w:rPr>
        <w:t>referring to</w:t>
      </w:r>
      <w:r w:rsidR="004012D1" w:rsidRPr="009F337B">
        <w:rPr>
          <w:rFonts w:eastAsia="Times" w:cs="Arial"/>
          <w:i w:val="0"/>
          <w:szCs w:val="20"/>
          <w:lang w:val="en-US"/>
        </w:rPr>
        <w:t xml:space="preserve"> the nature of the obligation that emanates from this norm, and not</w:t>
      </w:r>
      <w:r w:rsidR="00752F49" w:rsidRPr="009F337B">
        <w:rPr>
          <w:rFonts w:eastAsia="Times" w:cs="Arial"/>
          <w:i w:val="0"/>
          <w:szCs w:val="20"/>
          <w:lang w:val="en-US"/>
        </w:rPr>
        <w:t xml:space="preserve"> to</w:t>
      </w:r>
      <w:r w:rsidR="004012D1" w:rsidRPr="009F337B">
        <w:rPr>
          <w:rFonts w:eastAsia="Times" w:cs="Arial"/>
          <w:i w:val="0"/>
          <w:szCs w:val="20"/>
          <w:lang w:val="en-US"/>
        </w:rPr>
        <w:t xml:space="preserve"> the inexistence of </w:t>
      </w:r>
      <w:r w:rsidR="00BC2424">
        <w:rPr>
          <w:rFonts w:eastAsia="Times" w:cs="Arial"/>
          <w:i w:val="0"/>
          <w:szCs w:val="20"/>
          <w:lang w:val="en-US"/>
        </w:rPr>
        <w:t xml:space="preserve">State </w:t>
      </w:r>
      <w:r w:rsidR="004012D1" w:rsidRPr="009F337B">
        <w:rPr>
          <w:rFonts w:eastAsia="Times" w:cs="Arial"/>
          <w:i w:val="0"/>
          <w:szCs w:val="20"/>
          <w:lang w:val="en-US"/>
        </w:rPr>
        <w:t>obligations</w:t>
      </w:r>
      <w:r w:rsidR="00752F49" w:rsidRPr="009F337B">
        <w:rPr>
          <w:rFonts w:eastAsia="Times" w:cs="Arial"/>
          <w:i w:val="0"/>
          <w:szCs w:val="20"/>
          <w:lang w:val="en-US"/>
        </w:rPr>
        <w:t>, strictly speaking</w:t>
      </w:r>
      <w:r w:rsidR="004012D1" w:rsidRPr="009F337B">
        <w:rPr>
          <w:rFonts w:eastAsia="Times" w:cs="Arial"/>
          <w:i w:val="0"/>
          <w:szCs w:val="20"/>
          <w:lang w:val="en-US"/>
        </w:rPr>
        <w:t xml:space="preserve">. </w:t>
      </w:r>
      <w:r w:rsidR="00AE5F9E" w:rsidRPr="009F337B">
        <w:rPr>
          <w:rFonts w:eastAsia="Times" w:cs="Arial"/>
          <w:i w:val="0"/>
          <w:szCs w:val="20"/>
          <w:lang w:val="en-US"/>
        </w:rPr>
        <w:t>The Court</w:t>
      </w:r>
      <w:r w:rsidR="00F46845" w:rsidRPr="009F337B">
        <w:rPr>
          <w:rFonts w:eastAsia="Times" w:cs="Arial"/>
          <w:i w:val="0"/>
          <w:szCs w:val="20"/>
          <w:lang w:val="en-US"/>
        </w:rPr>
        <w:t xml:space="preserve"> rec</w:t>
      </w:r>
      <w:r w:rsidR="004012D1" w:rsidRPr="009F337B">
        <w:rPr>
          <w:rFonts w:eastAsia="Times" w:cs="Arial"/>
          <w:i w:val="0"/>
          <w:szCs w:val="20"/>
          <w:lang w:val="en-US"/>
        </w:rPr>
        <w:t>alls that obligations</w:t>
      </w:r>
      <w:r w:rsidR="00BC2424">
        <w:rPr>
          <w:rFonts w:eastAsia="Times" w:cs="Arial"/>
          <w:i w:val="0"/>
          <w:szCs w:val="20"/>
          <w:lang w:val="en-US"/>
        </w:rPr>
        <w:t xml:space="preserve"> exist – word</w:t>
      </w:r>
      <w:r w:rsidR="004012D1" w:rsidRPr="009F337B">
        <w:rPr>
          <w:rFonts w:eastAsia="Times" w:cs="Arial"/>
          <w:i w:val="0"/>
          <w:szCs w:val="20"/>
          <w:lang w:val="en-US"/>
        </w:rPr>
        <w:t>ed in similar terms to Article 26</w:t>
      </w:r>
      <w:r w:rsidR="00BC2424">
        <w:rPr>
          <w:rFonts w:eastAsia="Times" w:cs="Arial"/>
          <w:i w:val="0"/>
          <w:szCs w:val="20"/>
          <w:lang w:val="en-US"/>
        </w:rPr>
        <w:t xml:space="preserve"> – that </w:t>
      </w:r>
      <w:r w:rsidR="004012D1" w:rsidRPr="009F337B">
        <w:rPr>
          <w:rFonts w:eastAsia="Times" w:cs="Arial"/>
          <w:i w:val="0"/>
          <w:szCs w:val="20"/>
          <w:lang w:val="en-US"/>
        </w:rPr>
        <w:t xml:space="preserve">are recognized in other articles of the Convention, without any dispute as to whether these impose obligations that can be enforced at the international level. In particular, the Court recalls that Article 2 of the Convention recognizes the existence of the programmatic commitment of the States to adopt “such legislative or other measures as may be necessary to give effect to </w:t>
      </w:r>
      <w:proofErr w:type="spellStart"/>
      <w:r w:rsidR="004012D1" w:rsidRPr="009F337B">
        <w:rPr>
          <w:rFonts w:eastAsia="Times" w:cs="Arial"/>
          <w:i w:val="0"/>
          <w:szCs w:val="20"/>
          <w:lang w:val="en-US"/>
        </w:rPr>
        <w:t>th</w:t>
      </w:r>
      <w:proofErr w:type="spellEnd"/>
      <w:r w:rsidR="004012D1" w:rsidRPr="009F337B">
        <w:rPr>
          <w:rFonts w:eastAsia="Times" w:cs="Arial"/>
          <w:i w:val="0"/>
          <w:szCs w:val="20"/>
          <w:lang w:val="en-US"/>
        </w:rPr>
        <w:t xml:space="preserve">[e] rights and freedoms” recognized by </w:t>
      </w:r>
      <w:r w:rsidR="00AE5F9E" w:rsidRPr="009F337B">
        <w:rPr>
          <w:rFonts w:eastAsia="Times" w:cs="Arial"/>
          <w:i w:val="0"/>
          <w:szCs w:val="20"/>
          <w:lang w:val="en-US"/>
        </w:rPr>
        <w:t>the Convention</w:t>
      </w:r>
      <w:r w:rsidR="00F46845" w:rsidRPr="009F337B">
        <w:rPr>
          <w:rFonts w:eastAsia="Times" w:cs="Arial"/>
          <w:i w:val="0"/>
          <w:szCs w:val="20"/>
          <w:lang w:val="en-US"/>
        </w:rPr>
        <w:t xml:space="preserve">, </w:t>
      </w:r>
      <w:r w:rsidR="004012D1" w:rsidRPr="009F337B">
        <w:rPr>
          <w:rFonts w:eastAsia="Times" w:cs="Arial"/>
          <w:i w:val="0"/>
          <w:szCs w:val="20"/>
          <w:lang w:val="en-US"/>
        </w:rPr>
        <w:t xml:space="preserve">which has led the Court </w:t>
      </w:r>
      <w:r w:rsidR="00752F49" w:rsidRPr="009F337B">
        <w:rPr>
          <w:rFonts w:eastAsia="Times" w:cs="Arial"/>
          <w:i w:val="0"/>
          <w:szCs w:val="20"/>
          <w:lang w:val="en-US"/>
        </w:rPr>
        <w:t xml:space="preserve">to </w:t>
      </w:r>
      <w:r w:rsidR="000F3521" w:rsidRPr="009F337B">
        <w:rPr>
          <w:rFonts w:eastAsia="Times" w:cs="Arial"/>
          <w:i w:val="0"/>
          <w:szCs w:val="20"/>
          <w:lang w:val="en-US"/>
        </w:rPr>
        <w:t>assess</w:t>
      </w:r>
      <w:r w:rsidR="00752F49" w:rsidRPr="009F337B">
        <w:rPr>
          <w:rFonts w:eastAsia="Times" w:cs="Arial"/>
          <w:i w:val="0"/>
          <w:szCs w:val="20"/>
          <w:lang w:val="en-US"/>
        </w:rPr>
        <w:t xml:space="preserve"> in its case law</w:t>
      </w:r>
      <w:r w:rsidR="004012D1" w:rsidRPr="009F337B">
        <w:rPr>
          <w:rFonts w:eastAsia="Times" w:cs="Arial"/>
          <w:i w:val="0"/>
          <w:szCs w:val="20"/>
          <w:lang w:val="en-US"/>
        </w:rPr>
        <w:t xml:space="preserve"> whether the State has complied with the adoption of such “measures</w:t>
      </w:r>
      <w:r w:rsidR="00752F49" w:rsidRPr="009F337B">
        <w:rPr>
          <w:rFonts w:eastAsia="Times" w:cs="Arial"/>
          <w:i w:val="0"/>
          <w:szCs w:val="20"/>
          <w:lang w:val="en-US"/>
        </w:rPr>
        <w:t>.</w:t>
      </w:r>
      <w:r w:rsidR="004012D1" w:rsidRPr="009F337B">
        <w:rPr>
          <w:rFonts w:eastAsia="Times" w:cs="Arial"/>
          <w:i w:val="0"/>
          <w:szCs w:val="20"/>
          <w:lang w:val="en-US"/>
        </w:rPr>
        <w:t>”</w:t>
      </w:r>
      <w:r w:rsidR="00F46845" w:rsidRPr="009F337B">
        <w:rPr>
          <w:rStyle w:val="Refdenotaalpie"/>
          <w:rFonts w:eastAsia="Times"/>
          <w:i w:val="0"/>
          <w:lang w:val="en-US"/>
        </w:rPr>
        <w:footnoteReference w:id="71"/>
      </w:r>
    </w:p>
    <w:p w14:paraId="45524436" w14:textId="77777777" w:rsidR="00E92CA8" w:rsidRPr="009F337B" w:rsidRDefault="00E92CA8" w:rsidP="00E92CA8">
      <w:pPr>
        <w:pStyle w:val="Estilo1"/>
        <w:tabs>
          <w:tab w:val="left" w:pos="709"/>
          <w:tab w:val="left" w:pos="1134"/>
        </w:tabs>
        <w:spacing w:after="0"/>
        <w:ind w:left="0" w:right="-4" w:firstLine="0"/>
        <w:rPr>
          <w:rFonts w:eastAsia="Times" w:cs="Arial"/>
          <w:i w:val="0"/>
          <w:szCs w:val="20"/>
          <w:lang w:val="en-US"/>
        </w:rPr>
      </w:pPr>
    </w:p>
    <w:p w14:paraId="4DD4B1A5" w14:textId="6437E2D7" w:rsidR="00F46845" w:rsidRPr="009F337B" w:rsidRDefault="00752F49" w:rsidP="00593E37">
      <w:pPr>
        <w:pStyle w:val="Estilo1"/>
        <w:numPr>
          <w:ilvl w:val="0"/>
          <w:numId w:val="1"/>
        </w:numPr>
        <w:tabs>
          <w:tab w:val="left" w:pos="709"/>
          <w:tab w:val="left" w:pos="1134"/>
        </w:tabs>
        <w:spacing w:after="0"/>
        <w:ind w:left="0" w:right="-4" w:firstLine="0"/>
        <w:rPr>
          <w:rFonts w:eastAsia="Times" w:cs="Arial"/>
          <w:i w:val="0"/>
          <w:szCs w:val="20"/>
          <w:lang w:val="en-US"/>
        </w:rPr>
      </w:pPr>
      <w:r w:rsidRPr="009F337B">
        <w:rPr>
          <w:rFonts w:eastAsia="Times" w:cs="Arial"/>
          <w:i w:val="0"/>
          <w:szCs w:val="20"/>
          <w:lang w:val="en-US"/>
        </w:rPr>
        <w:t>In this regard, the Court agree</w:t>
      </w:r>
      <w:r w:rsidR="008312FF" w:rsidRPr="009F337B">
        <w:rPr>
          <w:rFonts w:eastAsia="Times" w:cs="Arial"/>
          <w:i w:val="0"/>
          <w:szCs w:val="20"/>
          <w:lang w:val="en-US"/>
        </w:rPr>
        <w:t>s</w:t>
      </w:r>
      <w:r w:rsidRPr="009F337B">
        <w:rPr>
          <w:rFonts w:eastAsia="Times" w:cs="Arial"/>
          <w:i w:val="0"/>
          <w:szCs w:val="20"/>
          <w:lang w:val="en-US"/>
        </w:rPr>
        <w:t xml:space="preserve"> with the interpretation made by the Committee on Economic, Social and Cultural Rights</w:t>
      </w:r>
      <w:r w:rsidR="00F46845" w:rsidRPr="009F337B">
        <w:rPr>
          <w:rFonts w:eastAsia="Times" w:cs="Arial"/>
          <w:i w:val="0"/>
          <w:szCs w:val="20"/>
          <w:lang w:val="en-US"/>
        </w:rPr>
        <w:t xml:space="preserve"> (</w:t>
      </w:r>
      <w:r w:rsidR="00AE5F9E" w:rsidRPr="009F337B">
        <w:rPr>
          <w:rFonts w:eastAsia="Times" w:cs="Arial"/>
          <w:i w:val="0"/>
          <w:szCs w:val="20"/>
          <w:lang w:val="en-US"/>
        </w:rPr>
        <w:t>hereinafter</w:t>
      </w:r>
      <w:r w:rsidR="00F46845" w:rsidRPr="009F337B">
        <w:rPr>
          <w:rFonts w:eastAsia="Times" w:cs="Arial"/>
          <w:i w:val="0"/>
          <w:szCs w:val="20"/>
          <w:lang w:val="en-US"/>
        </w:rPr>
        <w:t xml:space="preserve"> “</w:t>
      </w:r>
      <w:r w:rsidR="008312FF" w:rsidRPr="009F337B">
        <w:rPr>
          <w:rFonts w:eastAsia="Times" w:cs="Arial"/>
          <w:i w:val="0"/>
          <w:szCs w:val="20"/>
          <w:lang w:val="en-US"/>
        </w:rPr>
        <w:t xml:space="preserve">the </w:t>
      </w:r>
      <w:r w:rsidRPr="009F337B">
        <w:rPr>
          <w:rFonts w:eastAsia="Times" w:cs="Arial"/>
          <w:i w:val="0"/>
          <w:szCs w:val="20"/>
          <w:lang w:val="en-US"/>
        </w:rPr>
        <w:t>CESCR</w:t>
      </w:r>
      <w:r w:rsidR="00F46845" w:rsidRPr="009F337B">
        <w:rPr>
          <w:rFonts w:eastAsia="Times" w:cs="Arial"/>
          <w:i w:val="0"/>
          <w:szCs w:val="20"/>
          <w:lang w:val="en-US"/>
        </w:rPr>
        <w:t xml:space="preserve">”) </w:t>
      </w:r>
      <w:r w:rsidRPr="009F337B">
        <w:rPr>
          <w:rFonts w:eastAsia="Times" w:cs="Arial"/>
          <w:i w:val="0"/>
          <w:szCs w:val="20"/>
          <w:lang w:val="en-US"/>
        </w:rPr>
        <w:t xml:space="preserve">of the scope and nature </w:t>
      </w:r>
      <w:r w:rsidR="003C46A3" w:rsidRPr="009F337B">
        <w:rPr>
          <w:rFonts w:eastAsia="Times" w:cs="Arial"/>
          <w:i w:val="0"/>
          <w:szCs w:val="20"/>
          <w:lang w:val="en-US"/>
        </w:rPr>
        <w:t>of Article</w:t>
      </w:r>
      <w:r w:rsidR="00F46845" w:rsidRPr="009F337B">
        <w:rPr>
          <w:rFonts w:eastAsia="Times" w:cs="Arial"/>
          <w:i w:val="0"/>
          <w:szCs w:val="20"/>
          <w:lang w:val="en-US"/>
        </w:rPr>
        <w:t xml:space="preserve"> 2</w:t>
      </w:r>
      <w:r w:rsidRPr="009F337B">
        <w:rPr>
          <w:rFonts w:eastAsia="Times" w:cs="Arial"/>
          <w:i w:val="0"/>
          <w:szCs w:val="20"/>
          <w:lang w:val="en-US"/>
        </w:rPr>
        <w:t>(1) of the</w:t>
      </w:r>
      <w:r w:rsidR="00F46845" w:rsidRPr="009F337B">
        <w:rPr>
          <w:rFonts w:eastAsia="Times" w:cs="Arial"/>
          <w:i w:val="0"/>
          <w:szCs w:val="20"/>
          <w:lang w:val="en-US"/>
        </w:rPr>
        <w:t xml:space="preserve"> </w:t>
      </w:r>
      <w:r w:rsidRPr="009F337B">
        <w:rPr>
          <w:rFonts w:eastAsia="Times" w:cs="Arial"/>
          <w:i w:val="0"/>
          <w:szCs w:val="20"/>
          <w:lang w:val="en-US"/>
        </w:rPr>
        <w:t>International Covenant on Economic, Social and Cultural Rights</w:t>
      </w:r>
      <w:r w:rsidR="00F46845" w:rsidRPr="009F337B">
        <w:rPr>
          <w:rFonts w:eastAsia="Times" w:cs="Arial"/>
          <w:i w:val="0"/>
          <w:szCs w:val="20"/>
          <w:lang w:val="en-US"/>
        </w:rPr>
        <w:t xml:space="preserve"> (</w:t>
      </w:r>
      <w:r w:rsidR="00AE5F9E" w:rsidRPr="009F337B">
        <w:rPr>
          <w:rFonts w:eastAsia="Times" w:cs="Arial"/>
          <w:i w:val="0"/>
          <w:szCs w:val="20"/>
          <w:lang w:val="en-US"/>
        </w:rPr>
        <w:t>hereinafter</w:t>
      </w:r>
      <w:r w:rsidR="00F46845" w:rsidRPr="009F337B">
        <w:rPr>
          <w:rFonts w:eastAsia="Times" w:cs="Arial"/>
          <w:i w:val="0"/>
          <w:szCs w:val="20"/>
          <w:lang w:val="en-US"/>
        </w:rPr>
        <w:t xml:space="preserve"> “</w:t>
      </w:r>
      <w:r w:rsidRPr="009F337B">
        <w:rPr>
          <w:rFonts w:eastAsia="Times" w:cs="Arial"/>
          <w:i w:val="0"/>
          <w:szCs w:val="20"/>
          <w:lang w:val="en-US"/>
        </w:rPr>
        <w:t>ICESCR</w:t>
      </w:r>
      <w:r w:rsidR="00F46845" w:rsidRPr="009F337B">
        <w:rPr>
          <w:rFonts w:eastAsia="Times" w:cs="Arial"/>
          <w:i w:val="0"/>
          <w:szCs w:val="20"/>
          <w:lang w:val="en-US"/>
        </w:rPr>
        <w:t xml:space="preserve">”). </w:t>
      </w:r>
      <w:r w:rsidRPr="009F337B">
        <w:rPr>
          <w:rFonts w:eastAsia="Times" w:cs="Arial"/>
          <w:i w:val="0"/>
          <w:szCs w:val="20"/>
          <w:lang w:val="en-US"/>
        </w:rPr>
        <w:t xml:space="preserve">This article establishes the undertaking of </w:t>
      </w:r>
      <w:r w:rsidR="00237FAA">
        <w:rPr>
          <w:rFonts w:eastAsia="Times" w:cs="Arial"/>
          <w:i w:val="0"/>
          <w:szCs w:val="20"/>
          <w:lang w:val="en-US"/>
        </w:rPr>
        <w:t>each St</w:t>
      </w:r>
      <w:r w:rsidRPr="009F337B">
        <w:rPr>
          <w:rFonts w:eastAsia="Times" w:cs="Arial"/>
          <w:i w:val="0"/>
          <w:szCs w:val="20"/>
          <w:lang w:val="en-US"/>
        </w:rPr>
        <w:t>ate</w:t>
      </w:r>
      <w:r w:rsidR="00237FAA">
        <w:rPr>
          <w:rFonts w:eastAsia="Times" w:cs="Arial"/>
          <w:i w:val="0"/>
          <w:szCs w:val="20"/>
          <w:lang w:val="en-US"/>
        </w:rPr>
        <w:t xml:space="preserve"> Party</w:t>
      </w:r>
      <w:r w:rsidRPr="009F337B">
        <w:rPr>
          <w:rFonts w:eastAsia="Times" w:cs="Arial"/>
          <w:i w:val="0"/>
          <w:szCs w:val="20"/>
          <w:lang w:val="en-US"/>
        </w:rPr>
        <w:t xml:space="preserve"> “</w:t>
      </w:r>
      <w:r w:rsidRPr="009F337B">
        <w:rPr>
          <w:i w:val="0"/>
          <w:szCs w:val="20"/>
          <w:lang w:val="en-US"/>
        </w:rPr>
        <w:t>to take steps, individually and through international assistance and co-operation, especially economic and technical, to the maximum of its available resources, with a view to achieving progressively the full realization of the rights recognized in the present Covenant by all appropriate means, including particularly the adoption of legislative measures</w:t>
      </w:r>
      <w:r w:rsidRPr="009F337B">
        <w:rPr>
          <w:rFonts w:eastAsia="Times" w:cs="Arial"/>
          <w:i w:val="0"/>
          <w:szCs w:val="20"/>
          <w:lang w:val="en-US"/>
        </w:rPr>
        <w:t>.</w:t>
      </w:r>
      <w:r w:rsidR="00F46845" w:rsidRPr="009F337B">
        <w:rPr>
          <w:i w:val="0"/>
          <w:szCs w:val="20"/>
          <w:shd w:val="clear" w:color="auto" w:fill="FFFFFF"/>
          <w:lang w:val="en-US"/>
        </w:rPr>
        <w:t>”</w:t>
      </w:r>
      <w:r w:rsidR="00F46845" w:rsidRPr="009F337B">
        <w:rPr>
          <w:rStyle w:val="Refdenotaalpie"/>
          <w:i w:val="0"/>
          <w:shd w:val="clear" w:color="auto" w:fill="FFFFFF"/>
          <w:lang w:val="en-US"/>
        </w:rPr>
        <w:footnoteReference w:id="72"/>
      </w:r>
      <w:r w:rsidR="00F46845" w:rsidRPr="009F337B">
        <w:rPr>
          <w:i w:val="0"/>
          <w:szCs w:val="20"/>
          <w:shd w:val="clear" w:color="auto" w:fill="FFFFFF"/>
          <w:lang w:val="en-US"/>
        </w:rPr>
        <w:t xml:space="preserve"> </w:t>
      </w:r>
      <w:r w:rsidRPr="009F337B">
        <w:rPr>
          <w:i w:val="0"/>
          <w:szCs w:val="20"/>
          <w:shd w:val="clear" w:color="auto" w:fill="FFFFFF"/>
          <w:lang w:val="en-US"/>
        </w:rPr>
        <w:t>The</w:t>
      </w:r>
      <w:r w:rsidR="00F46845" w:rsidRPr="009F337B">
        <w:rPr>
          <w:i w:val="0"/>
          <w:szCs w:val="20"/>
          <w:shd w:val="clear" w:color="auto" w:fill="FFFFFF"/>
          <w:lang w:val="en-US"/>
        </w:rPr>
        <w:t xml:space="preserve"> </w:t>
      </w:r>
      <w:r w:rsidRPr="009F337B">
        <w:rPr>
          <w:i w:val="0"/>
          <w:szCs w:val="20"/>
          <w:shd w:val="clear" w:color="auto" w:fill="FFFFFF"/>
          <w:lang w:val="en-US"/>
        </w:rPr>
        <w:t>CESCR</w:t>
      </w:r>
      <w:r w:rsidR="00F46845" w:rsidRPr="009F337B">
        <w:rPr>
          <w:i w:val="0"/>
          <w:szCs w:val="20"/>
          <w:shd w:val="clear" w:color="auto" w:fill="FFFFFF"/>
          <w:lang w:val="en-US"/>
        </w:rPr>
        <w:t xml:space="preserve"> ha</w:t>
      </w:r>
      <w:r w:rsidRPr="009F337B">
        <w:rPr>
          <w:i w:val="0"/>
          <w:szCs w:val="20"/>
          <w:shd w:val="clear" w:color="auto" w:fill="FFFFFF"/>
          <w:lang w:val="en-US"/>
        </w:rPr>
        <w:t xml:space="preserve">s interpreted that, </w:t>
      </w:r>
      <w:r w:rsidR="00341F67" w:rsidRPr="009F337B">
        <w:rPr>
          <w:i w:val="0"/>
          <w:szCs w:val="20"/>
          <w:shd w:val="clear" w:color="auto" w:fill="FFFFFF"/>
          <w:lang w:val="en-US"/>
        </w:rPr>
        <w:t>while</w:t>
      </w:r>
      <w:r w:rsidRPr="009F337B">
        <w:rPr>
          <w:i w:val="0"/>
          <w:szCs w:val="20"/>
          <w:shd w:val="clear" w:color="auto" w:fill="FFFFFF"/>
          <w:lang w:val="en-US"/>
        </w:rPr>
        <w:t xml:space="preserve"> the </w:t>
      </w:r>
      <w:r w:rsidRPr="009F337B">
        <w:rPr>
          <w:rFonts w:eastAsia="Times" w:cs="Arial"/>
          <w:i w:val="0"/>
          <w:szCs w:val="20"/>
          <w:lang w:val="en-US"/>
        </w:rPr>
        <w:t>ICESCR</w:t>
      </w:r>
      <w:r w:rsidR="00F46845" w:rsidRPr="009F337B">
        <w:rPr>
          <w:i w:val="0"/>
          <w:szCs w:val="20"/>
          <w:shd w:val="clear" w:color="auto" w:fill="FFFFFF"/>
          <w:lang w:val="en-US"/>
        </w:rPr>
        <w:t xml:space="preserve"> </w:t>
      </w:r>
      <w:r w:rsidR="00341F67" w:rsidRPr="009F337B">
        <w:rPr>
          <w:i w:val="0"/>
          <w:szCs w:val="20"/>
          <w:shd w:val="clear" w:color="auto" w:fill="FFFFFF"/>
          <w:lang w:val="en-US"/>
        </w:rPr>
        <w:t>“provides for progressive</w:t>
      </w:r>
      <w:r w:rsidRPr="009F337B">
        <w:rPr>
          <w:i w:val="0"/>
          <w:szCs w:val="20"/>
          <w:shd w:val="clear" w:color="auto" w:fill="FFFFFF"/>
          <w:lang w:val="en-US"/>
        </w:rPr>
        <w:t xml:space="preserve"> realization of the </w:t>
      </w:r>
      <w:r w:rsidRPr="009F337B">
        <w:rPr>
          <w:i w:val="0"/>
          <w:szCs w:val="20"/>
          <w:shd w:val="clear" w:color="auto" w:fill="FFFFFF"/>
          <w:lang w:val="en-US"/>
        </w:rPr>
        <w:lastRenderedPageBreak/>
        <w:t xml:space="preserve">rights recognized by this treaty, and </w:t>
      </w:r>
      <w:r w:rsidR="00341F67" w:rsidRPr="009F337B">
        <w:rPr>
          <w:i w:val="0"/>
          <w:szCs w:val="20"/>
          <w:shd w:val="clear" w:color="auto" w:fill="FFFFFF"/>
          <w:lang w:val="en-US"/>
        </w:rPr>
        <w:t>acknowledges the constraints due to the limits of available resources, it also imposes various obligations which are of immediate effect.”</w:t>
      </w:r>
      <w:r w:rsidR="00F46845" w:rsidRPr="009F337B">
        <w:rPr>
          <w:rStyle w:val="Refdenotaalpie"/>
          <w:i w:val="0"/>
          <w:shd w:val="clear" w:color="auto" w:fill="FFFFFF"/>
          <w:lang w:val="en-US"/>
        </w:rPr>
        <w:footnoteReference w:id="73"/>
      </w:r>
      <w:r w:rsidR="00341F67" w:rsidRPr="009F337B">
        <w:rPr>
          <w:i w:val="0"/>
          <w:szCs w:val="20"/>
          <w:shd w:val="clear" w:color="auto" w:fill="FFFFFF"/>
          <w:lang w:val="en-US"/>
        </w:rPr>
        <w:t xml:space="preserve"> Likewise, this Committee established that the concept of “</w:t>
      </w:r>
      <w:r w:rsidR="00A3141D" w:rsidRPr="009F337B">
        <w:rPr>
          <w:i w:val="0"/>
          <w:szCs w:val="20"/>
          <w:shd w:val="clear" w:color="auto" w:fill="FFFFFF"/>
          <w:lang w:val="en-US"/>
        </w:rPr>
        <w:t>progressive realization”</w:t>
      </w:r>
      <w:r w:rsidR="00341F67" w:rsidRPr="009F337B">
        <w:rPr>
          <w:i w:val="0"/>
          <w:szCs w:val="20"/>
          <w:shd w:val="clear" w:color="auto" w:fill="FFFFFF"/>
          <w:lang w:val="en-US"/>
        </w:rPr>
        <w:t xml:space="preserve"> constitute</w:t>
      </w:r>
      <w:r w:rsidR="00237FAA">
        <w:rPr>
          <w:i w:val="0"/>
          <w:szCs w:val="20"/>
          <w:shd w:val="clear" w:color="auto" w:fill="FFFFFF"/>
          <w:lang w:val="en-US"/>
        </w:rPr>
        <w:t>d</w:t>
      </w:r>
      <w:r w:rsidR="00341F67" w:rsidRPr="009F337B">
        <w:rPr>
          <w:i w:val="0"/>
          <w:szCs w:val="20"/>
          <w:shd w:val="clear" w:color="auto" w:fill="FFFFFF"/>
          <w:lang w:val="en-US"/>
        </w:rPr>
        <w:t xml:space="preserve"> a recognition</w:t>
      </w:r>
      <w:r w:rsidR="00A3141D" w:rsidRPr="009F337B">
        <w:rPr>
          <w:i w:val="0"/>
          <w:szCs w:val="20"/>
          <w:shd w:val="clear" w:color="auto" w:fill="FFFFFF"/>
          <w:lang w:val="en-US"/>
        </w:rPr>
        <w:t xml:space="preserve"> of the fact</w:t>
      </w:r>
      <w:r w:rsidR="00341F67" w:rsidRPr="009F337B">
        <w:rPr>
          <w:i w:val="0"/>
          <w:szCs w:val="20"/>
          <w:shd w:val="clear" w:color="auto" w:fill="FFFFFF"/>
          <w:lang w:val="en-US"/>
        </w:rPr>
        <w:t xml:space="preserve"> that </w:t>
      </w:r>
      <w:r w:rsidR="00A3141D" w:rsidRPr="009F337B">
        <w:rPr>
          <w:i w:val="0"/>
          <w:szCs w:val="20"/>
          <w:shd w:val="clear" w:color="auto" w:fill="FFFFFF"/>
          <w:lang w:val="en-US"/>
        </w:rPr>
        <w:t>full realization of</w:t>
      </w:r>
      <w:r w:rsidR="00341F67" w:rsidRPr="009F337B">
        <w:rPr>
          <w:i w:val="0"/>
          <w:szCs w:val="20"/>
          <w:shd w:val="clear" w:color="auto" w:fill="FFFFFF"/>
          <w:lang w:val="en-US"/>
        </w:rPr>
        <w:t xml:space="preserve"> the said rights </w:t>
      </w:r>
      <w:r w:rsidR="00237FAA">
        <w:rPr>
          <w:i w:val="0"/>
          <w:szCs w:val="20"/>
          <w:shd w:val="clear" w:color="auto" w:fill="FFFFFF"/>
          <w:lang w:val="en-US"/>
        </w:rPr>
        <w:t>would be</w:t>
      </w:r>
      <w:r w:rsidR="00341F67" w:rsidRPr="009F337B">
        <w:rPr>
          <w:i w:val="0"/>
          <w:szCs w:val="20"/>
          <w:shd w:val="clear" w:color="auto" w:fill="FFFFFF"/>
          <w:lang w:val="en-US"/>
        </w:rPr>
        <w:t xml:space="preserve"> achieved </w:t>
      </w:r>
      <w:r w:rsidR="00667903">
        <w:rPr>
          <w:i w:val="0"/>
          <w:szCs w:val="20"/>
          <w:shd w:val="clear" w:color="auto" w:fill="FFFFFF"/>
          <w:lang w:val="en-US"/>
        </w:rPr>
        <w:t>over time</w:t>
      </w:r>
      <w:r w:rsidR="00341F67" w:rsidRPr="009F337B">
        <w:rPr>
          <w:i w:val="0"/>
          <w:szCs w:val="20"/>
          <w:shd w:val="clear" w:color="auto" w:fill="FFFFFF"/>
          <w:lang w:val="en-US"/>
        </w:rPr>
        <w:t xml:space="preserve">. </w:t>
      </w:r>
      <w:r w:rsidR="00237FAA">
        <w:rPr>
          <w:i w:val="0"/>
          <w:szCs w:val="20"/>
          <w:shd w:val="clear" w:color="auto" w:fill="FFFFFF"/>
          <w:lang w:val="en-US"/>
        </w:rPr>
        <w:t>Nevertheless</w:t>
      </w:r>
      <w:r w:rsidR="00341F67" w:rsidRPr="009F337B">
        <w:rPr>
          <w:i w:val="0"/>
          <w:szCs w:val="20"/>
          <w:shd w:val="clear" w:color="auto" w:fill="FFFFFF"/>
          <w:lang w:val="en-US"/>
        </w:rPr>
        <w:t>, it also indicated that:</w:t>
      </w:r>
    </w:p>
    <w:p w14:paraId="79205B5C" w14:textId="77777777" w:rsidR="00E92CA8" w:rsidRPr="009F337B" w:rsidRDefault="00E92CA8" w:rsidP="00E92CA8">
      <w:pPr>
        <w:pStyle w:val="Estilo1"/>
        <w:tabs>
          <w:tab w:val="left" w:pos="709"/>
          <w:tab w:val="left" w:pos="1134"/>
        </w:tabs>
        <w:spacing w:after="0"/>
        <w:ind w:left="0" w:right="-4" w:firstLine="0"/>
        <w:rPr>
          <w:rFonts w:eastAsia="Times" w:cs="Arial"/>
          <w:i w:val="0"/>
          <w:szCs w:val="20"/>
          <w:lang w:val="en-US"/>
        </w:rPr>
      </w:pPr>
    </w:p>
    <w:p w14:paraId="3F06F68B" w14:textId="6D73FDAA" w:rsidR="00F46845" w:rsidRPr="009F337B" w:rsidRDefault="00A3141D" w:rsidP="00A3141D">
      <w:pPr>
        <w:tabs>
          <w:tab w:val="center" w:pos="4680"/>
        </w:tabs>
        <w:suppressAutoHyphens/>
        <w:ind w:left="720" w:right="900"/>
        <w:rPr>
          <w:b/>
          <w:sz w:val="18"/>
          <w:szCs w:val="18"/>
          <w:lang w:val="en-US"/>
        </w:rPr>
      </w:pPr>
      <w:r w:rsidRPr="009F337B">
        <w:rPr>
          <w:sz w:val="18"/>
          <w:szCs w:val="18"/>
          <w:lang w:val="en-US"/>
        </w:rPr>
        <w:t>the fact that realization over time, or in other words progressively, is foreseen under the Covenant should not be misinterpreted as depriving the obligation of all meaningful content. It is on the one hand a necessary flexibility device, reflecting the realities of the real world and the difficulties involved for any country in ensuring full realization of economic, social and cultural rights.</w:t>
      </w:r>
      <w:r w:rsidR="00F46845" w:rsidRPr="009F337B">
        <w:rPr>
          <w:rStyle w:val="Refdenotaalpie"/>
          <w:rFonts w:eastAsia="Times"/>
          <w:sz w:val="18"/>
          <w:szCs w:val="18"/>
          <w:lang w:val="en-US"/>
        </w:rPr>
        <w:footnoteReference w:id="74"/>
      </w:r>
    </w:p>
    <w:p w14:paraId="53827800" w14:textId="77777777" w:rsidR="00E92CA8" w:rsidRPr="009F337B" w:rsidRDefault="00E92CA8" w:rsidP="00E92CA8">
      <w:pPr>
        <w:widowControl w:val="0"/>
        <w:autoSpaceDE w:val="0"/>
        <w:autoSpaceDN w:val="0"/>
        <w:adjustRightInd w:val="0"/>
        <w:ind w:right="900"/>
        <w:textAlignment w:val="baseline"/>
        <w:rPr>
          <w:rFonts w:eastAsia="Times" w:cs="Arial"/>
          <w:szCs w:val="20"/>
          <w:lang w:val="en-US"/>
        </w:rPr>
      </w:pPr>
    </w:p>
    <w:p w14:paraId="75AD6B62" w14:textId="74ED6FE0" w:rsidR="002F4F3A" w:rsidRPr="009F337B" w:rsidRDefault="00AE5F9E" w:rsidP="00593E37">
      <w:pPr>
        <w:pStyle w:val="Estilo1"/>
        <w:numPr>
          <w:ilvl w:val="0"/>
          <w:numId w:val="1"/>
        </w:numPr>
        <w:tabs>
          <w:tab w:val="left" w:pos="709"/>
          <w:tab w:val="left" w:pos="1134"/>
        </w:tabs>
        <w:spacing w:after="0"/>
        <w:ind w:left="0" w:right="-4" w:firstLine="0"/>
        <w:rPr>
          <w:rFonts w:eastAsia="Times" w:cs="Arial"/>
          <w:i w:val="0"/>
          <w:szCs w:val="20"/>
          <w:lang w:val="en-US"/>
        </w:rPr>
      </w:pPr>
      <w:r w:rsidRPr="009F337B">
        <w:rPr>
          <w:rFonts w:eastAsia="Times" w:cs="Arial"/>
          <w:i w:val="0"/>
          <w:szCs w:val="20"/>
          <w:lang w:val="en-US"/>
        </w:rPr>
        <w:t>The Court</w:t>
      </w:r>
      <w:r w:rsidR="00F46845" w:rsidRPr="009F337B">
        <w:rPr>
          <w:rFonts w:eastAsia="Times" w:cs="Arial"/>
          <w:i w:val="0"/>
          <w:szCs w:val="20"/>
          <w:lang w:val="en-US"/>
        </w:rPr>
        <w:t xml:space="preserve"> reitera</w:t>
      </w:r>
      <w:r w:rsidR="00A3141D" w:rsidRPr="009F337B">
        <w:rPr>
          <w:rFonts w:eastAsia="Times" w:cs="Arial"/>
          <w:i w:val="0"/>
          <w:szCs w:val="20"/>
          <w:lang w:val="en-US"/>
        </w:rPr>
        <w:t>tes its case law</w:t>
      </w:r>
      <w:r w:rsidR="00F46845" w:rsidRPr="009F337B">
        <w:rPr>
          <w:rStyle w:val="Refdenotaalpie"/>
          <w:rFonts w:eastAsia="Times"/>
          <w:i w:val="0"/>
          <w:lang w:val="en-US"/>
        </w:rPr>
        <w:footnoteReference w:id="75"/>
      </w:r>
      <w:r w:rsidR="00A3141D" w:rsidRPr="009F337B">
        <w:rPr>
          <w:rFonts w:eastAsia="Times" w:cs="Arial"/>
          <w:i w:val="0"/>
          <w:szCs w:val="20"/>
          <w:lang w:val="en-US"/>
        </w:rPr>
        <w:t xml:space="preserve"> in the sense that the flexibility regarding the time frame and methods </w:t>
      </w:r>
      <w:r w:rsidR="00640E8C">
        <w:rPr>
          <w:rFonts w:eastAsia="Times" w:cs="Arial"/>
          <w:i w:val="0"/>
          <w:szCs w:val="20"/>
          <w:lang w:val="en-US"/>
        </w:rPr>
        <w:t>for</w:t>
      </w:r>
      <w:r w:rsidR="00A3141D" w:rsidRPr="009F337B">
        <w:rPr>
          <w:rFonts w:eastAsia="Times" w:cs="Arial"/>
          <w:i w:val="0"/>
          <w:szCs w:val="20"/>
          <w:lang w:val="en-US"/>
        </w:rPr>
        <w:t xml:space="preserve"> complying with the obligations of progressivity </w:t>
      </w:r>
      <w:r w:rsidR="00640E8C">
        <w:rPr>
          <w:rFonts w:eastAsia="Times" w:cs="Arial"/>
          <w:i w:val="0"/>
          <w:szCs w:val="20"/>
          <w:lang w:val="en-US"/>
        </w:rPr>
        <w:t>under</w:t>
      </w:r>
      <w:r w:rsidR="00A3141D" w:rsidRPr="009F337B">
        <w:rPr>
          <w:rFonts w:eastAsia="Times" w:cs="Arial"/>
          <w:i w:val="0"/>
          <w:szCs w:val="20"/>
          <w:lang w:val="en-US"/>
        </w:rPr>
        <w:t xml:space="preserve"> Article 26 entail</w:t>
      </w:r>
      <w:r w:rsidR="008312FF" w:rsidRPr="009F337B">
        <w:rPr>
          <w:rFonts w:eastAsia="Times" w:cs="Arial"/>
          <w:i w:val="0"/>
          <w:szCs w:val="20"/>
          <w:lang w:val="en-US"/>
        </w:rPr>
        <w:t>s</w:t>
      </w:r>
      <w:r w:rsidR="00A3141D" w:rsidRPr="009F337B">
        <w:rPr>
          <w:rFonts w:eastAsia="Times" w:cs="Arial"/>
          <w:i w:val="0"/>
          <w:szCs w:val="20"/>
          <w:lang w:val="en-US"/>
        </w:rPr>
        <w:t xml:space="preserve">, essentially although not exclusively, an obligation to act; that is, to take measures and provide the necessary means and elements to respond to the requirements of </w:t>
      </w:r>
      <w:r w:rsidR="008312FF" w:rsidRPr="009F337B">
        <w:rPr>
          <w:rFonts w:eastAsia="Times" w:cs="Arial"/>
          <w:i w:val="0"/>
          <w:szCs w:val="20"/>
          <w:lang w:val="en-US"/>
        </w:rPr>
        <w:t>the realization</w:t>
      </w:r>
      <w:r w:rsidR="00A3141D" w:rsidRPr="009F337B">
        <w:rPr>
          <w:rFonts w:eastAsia="Times" w:cs="Arial"/>
          <w:i w:val="0"/>
          <w:szCs w:val="20"/>
          <w:lang w:val="en-US"/>
        </w:rPr>
        <w:t xml:space="preserve"> of the rights involved, always to the extent permitted by the economic and financial resources available to comply with the respective international commitment. Thus, the progressive implementation of such measures may be subject to accountability and, if appropriate, compliance with the respective commitment made by the State may be claimed before the courts called on to decide eventual human rights violations.</w:t>
      </w:r>
      <w:r w:rsidR="00F46845" w:rsidRPr="009F337B">
        <w:rPr>
          <w:rStyle w:val="Refdenotaalpie"/>
          <w:i w:val="0"/>
          <w:lang w:val="en-US"/>
        </w:rPr>
        <w:footnoteReference w:id="76"/>
      </w:r>
    </w:p>
    <w:p w14:paraId="3F0DFE02" w14:textId="77777777" w:rsidR="00E92CA8" w:rsidRPr="009F337B" w:rsidRDefault="00E92CA8" w:rsidP="00E92CA8">
      <w:pPr>
        <w:pStyle w:val="Estilo1"/>
        <w:tabs>
          <w:tab w:val="left" w:pos="709"/>
          <w:tab w:val="left" w:pos="1134"/>
        </w:tabs>
        <w:spacing w:after="0"/>
        <w:ind w:left="0" w:right="-4" w:firstLine="0"/>
        <w:rPr>
          <w:rFonts w:eastAsia="Times" w:cs="Arial"/>
          <w:i w:val="0"/>
          <w:szCs w:val="20"/>
          <w:lang w:val="en-US"/>
        </w:rPr>
      </w:pPr>
    </w:p>
    <w:p w14:paraId="331D963B" w14:textId="06C2B073" w:rsidR="00E92CA8" w:rsidRPr="009F337B" w:rsidRDefault="00AC0BEF" w:rsidP="00E92CA8">
      <w:pPr>
        <w:pStyle w:val="Estilo1"/>
        <w:tabs>
          <w:tab w:val="left" w:pos="709"/>
          <w:tab w:val="left" w:pos="1134"/>
        </w:tabs>
        <w:spacing w:after="0"/>
        <w:ind w:left="0" w:right="-4" w:firstLine="0"/>
        <w:rPr>
          <w:rFonts w:eastAsia="Times" w:cs="Arial"/>
          <w:b/>
          <w:szCs w:val="20"/>
          <w:lang w:val="en-US"/>
        </w:rPr>
      </w:pPr>
      <w:r w:rsidRPr="009F337B">
        <w:rPr>
          <w:i w:val="0"/>
          <w:szCs w:val="20"/>
          <w:lang w:val="en-US"/>
        </w:rPr>
        <w:tab/>
      </w:r>
      <w:r w:rsidRPr="009F337B">
        <w:rPr>
          <w:i w:val="0"/>
          <w:szCs w:val="20"/>
          <w:lang w:val="en-US"/>
        </w:rPr>
        <w:tab/>
      </w:r>
      <w:r w:rsidRPr="009F337B">
        <w:rPr>
          <w:i w:val="0"/>
          <w:szCs w:val="20"/>
          <w:lang w:val="en-US"/>
        </w:rPr>
        <w:tab/>
      </w:r>
      <w:r w:rsidR="00F46845" w:rsidRPr="009F337B">
        <w:rPr>
          <w:rFonts w:eastAsia="Times" w:cs="Arial"/>
          <w:b/>
          <w:szCs w:val="20"/>
          <w:lang w:val="en-US"/>
        </w:rPr>
        <w:t xml:space="preserve">B.1.2. </w:t>
      </w:r>
      <w:r w:rsidR="00CE4DB0" w:rsidRPr="009F337B">
        <w:rPr>
          <w:rFonts w:eastAsia="Times" w:cs="Arial"/>
          <w:b/>
          <w:szCs w:val="20"/>
          <w:lang w:val="en-US"/>
        </w:rPr>
        <w:t>Internal context - systematic interpretation</w:t>
      </w:r>
    </w:p>
    <w:p w14:paraId="67E3EDC1" w14:textId="77777777" w:rsidR="00E92CA8" w:rsidRPr="009F337B" w:rsidRDefault="00E92CA8" w:rsidP="00E92CA8">
      <w:pPr>
        <w:pStyle w:val="Estilo1"/>
        <w:tabs>
          <w:tab w:val="left" w:pos="709"/>
          <w:tab w:val="left" w:pos="1134"/>
        </w:tabs>
        <w:spacing w:after="0"/>
        <w:ind w:left="0" w:right="-4" w:firstLine="0"/>
        <w:rPr>
          <w:rFonts w:eastAsia="Times" w:cs="Arial"/>
          <w:b/>
          <w:szCs w:val="20"/>
          <w:lang w:val="en-US"/>
        </w:rPr>
      </w:pPr>
    </w:p>
    <w:p w14:paraId="2E7FF208" w14:textId="7740716D" w:rsidR="00F46845" w:rsidRPr="009F337B" w:rsidRDefault="00DD3A7B" w:rsidP="00593E37">
      <w:pPr>
        <w:pStyle w:val="Estilo1"/>
        <w:numPr>
          <w:ilvl w:val="0"/>
          <w:numId w:val="1"/>
        </w:numPr>
        <w:tabs>
          <w:tab w:val="left" w:pos="709"/>
          <w:tab w:val="left" w:pos="1134"/>
        </w:tabs>
        <w:spacing w:after="0"/>
        <w:ind w:left="0" w:right="-4" w:firstLine="0"/>
        <w:rPr>
          <w:rFonts w:eastAsia="Times" w:cs="Arial"/>
          <w:i w:val="0"/>
          <w:szCs w:val="20"/>
          <w:lang w:val="en-US"/>
        </w:rPr>
      </w:pPr>
      <w:r w:rsidRPr="009F337B">
        <w:rPr>
          <w:i w:val="0"/>
          <w:szCs w:val="20"/>
          <w:lang w:val="en-US"/>
        </w:rPr>
        <w:t>Second</w:t>
      </w:r>
      <w:r w:rsidR="00F46845" w:rsidRPr="009F337B">
        <w:rPr>
          <w:i w:val="0"/>
          <w:szCs w:val="20"/>
          <w:lang w:val="en-US"/>
        </w:rPr>
        <w:t xml:space="preserve">, </w:t>
      </w:r>
      <w:r w:rsidR="00AE5F9E" w:rsidRPr="009F337B">
        <w:rPr>
          <w:i w:val="0"/>
          <w:szCs w:val="20"/>
          <w:lang w:val="en-US"/>
        </w:rPr>
        <w:t>the Court</w:t>
      </w:r>
      <w:r w:rsidR="00F46845" w:rsidRPr="009F337B">
        <w:rPr>
          <w:i w:val="0"/>
          <w:szCs w:val="20"/>
          <w:lang w:val="en-US"/>
        </w:rPr>
        <w:t xml:space="preserve"> </w:t>
      </w:r>
      <w:r w:rsidR="00CE4DB0" w:rsidRPr="009F337B">
        <w:rPr>
          <w:i w:val="0"/>
          <w:szCs w:val="20"/>
          <w:lang w:val="en-US"/>
        </w:rPr>
        <w:t xml:space="preserve">finds it pertinent to refer to the context of </w:t>
      </w:r>
      <w:r w:rsidR="00AE5F9E" w:rsidRPr="009F337B">
        <w:rPr>
          <w:i w:val="0"/>
          <w:szCs w:val="20"/>
          <w:lang w:val="en-US"/>
        </w:rPr>
        <w:t>Article</w:t>
      </w:r>
      <w:r w:rsidR="00F46845" w:rsidRPr="009F337B">
        <w:rPr>
          <w:i w:val="0"/>
          <w:szCs w:val="20"/>
          <w:lang w:val="en-US"/>
        </w:rPr>
        <w:t xml:space="preserve"> 26</w:t>
      </w:r>
      <w:r w:rsidR="00AE5F9E" w:rsidRPr="009F337B">
        <w:rPr>
          <w:i w:val="0"/>
          <w:szCs w:val="20"/>
          <w:lang w:val="en-US"/>
        </w:rPr>
        <w:t xml:space="preserve"> of the Convention</w:t>
      </w:r>
      <w:r w:rsidR="00F46845" w:rsidRPr="009F337B">
        <w:rPr>
          <w:i w:val="0"/>
          <w:szCs w:val="20"/>
          <w:lang w:val="en-US"/>
        </w:rPr>
        <w:t xml:space="preserve">. </w:t>
      </w:r>
      <w:r w:rsidR="00CE4DB0" w:rsidRPr="009F337B">
        <w:rPr>
          <w:i w:val="0"/>
          <w:szCs w:val="20"/>
          <w:lang w:val="en-US"/>
        </w:rPr>
        <w:t>In this regard, the Court underlines that, according to the systematic criterion, norms must be interpreted as part of a whole, the meaning and scope of which must be established based on the legal system to which they belong.</w:t>
      </w:r>
      <w:r w:rsidR="00F46845" w:rsidRPr="009F337B">
        <w:rPr>
          <w:rStyle w:val="Refdenotaalpie"/>
          <w:i w:val="0"/>
          <w:lang w:val="en-US"/>
        </w:rPr>
        <w:footnoteReference w:id="77"/>
      </w:r>
      <w:r w:rsidR="00CE4DB0" w:rsidRPr="009F337B">
        <w:rPr>
          <w:i w:val="0"/>
          <w:szCs w:val="20"/>
          <w:lang w:val="en-US"/>
        </w:rPr>
        <w:t xml:space="preserve"> In this regard, the Court has considered that, when interpreting a treaty, it should take into account not only the agreements and instruments formally related to it</w:t>
      </w:r>
      <w:r w:rsidR="00F46845" w:rsidRPr="009F337B">
        <w:rPr>
          <w:i w:val="0"/>
          <w:szCs w:val="20"/>
          <w:lang w:val="en-US"/>
        </w:rPr>
        <w:t xml:space="preserve"> (</w:t>
      </w:r>
      <w:r w:rsidR="003C46A3" w:rsidRPr="009F337B">
        <w:rPr>
          <w:i w:val="0"/>
          <w:szCs w:val="20"/>
          <w:lang w:val="en-US"/>
        </w:rPr>
        <w:t>Article</w:t>
      </w:r>
      <w:r w:rsidR="00F46845" w:rsidRPr="009F337B">
        <w:rPr>
          <w:i w:val="0"/>
          <w:szCs w:val="20"/>
          <w:lang w:val="en-US"/>
        </w:rPr>
        <w:t xml:space="preserve"> 31</w:t>
      </w:r>
      <w:r w:rsidR="008312FF" w:rsidRPr="009F337B">
        <w:rPr>
          <w:i w:val="0"/>
          <w:szCs w:val="20"/>
          <w:lang w:val="en-US"/>
        </w:rPr>
        <w:t>.2</w:t>
      </w:r>
      <w:r w:rsidR="00AE5F9E" w:rsidRPr="009F337B">
        <w:rPr>
          <w:i w:val="0"/>
          <w:szCs w:val="20"/>
          <w:lang w:val="en-US"/>
        </w:rPr>
        <w:t xml:space="preserve"> of the </w:t>
      </w:r>
      <w:r w:rsidR="00BD4205" w:rsidRPr="009F337B">
        <w:rPr>
          <w:i w:val="0"/>
          <w:szCs w:val="20"/>
          <w:lang w:val="en-US"/>
        </w:rPr>
        <w:t>Vienna Convention</w:t>
      </w:r>
      <w:r w:rsidR="00F46845" w:rsidRPr="009F337B">
        <w:rPr>
          <w:i w:val="0"/>
          <w:szCs w:val="20"/>
          <w:lang w:val="en-US"/>
        </w:rPr>
        <w:t xml:space="preserve">), </w:t>
      </w:r>
      <w:r w:rsidR="00CE4DB0" w:rsidRPr="009F337B">
        <w:rPr>
          <w:i w:val="0"/>
          <w:szCs w:val="20"/>
          <w:lang w:val="en-US"/>
        </w:rPr>
        <w:t xml:space="preserve">but also the system of which it forms part </w:t>
      </w:r>
      <w:r w:rsidR="00F46845" w:rsidRPr="009F337B">
        <w:rPr>
          <w:i w:val="0"/>
          <w:szCs w:val="20"/>
          <w:lang w:val="en-US"/>
        </w:rPr>
        <w:t>(</w:t>
      </w:r>
      <w:r w:rsidR="003C46A3" w:rsidRPr="009F337B">
        <w:rPr>
          <w:i w:val="0"/>
          <w:szCs w:val="20"/>
          <w:lang w:val="en-US"/>
        </w:rPr>
        <w:t>Article</w:t>
      </w:r>
      <w:r w:rsidR="00F46845" w:rsidRPr="009F337B">
        <w:rPr>
          <w:i w:val="0"/>
          <w:szCs w:val="20"/>
          <w:lang w:val="en-US"/>
        </w:rPr>
        <w:t xml:space="preserve"> 31</w:t>
      </w:r>
      <w:r w:rsidR="008312FF" w:rsidRPr="009F337B">
        <w:rPr>
          <w:i w:val="0"/>
          <w:szCs w:val="20"/>
          <w:lang w:val="en-US"/>
        </w:rPr>
        <w:t>.3</w:t>
      </w:r>
      <w:r w:rsidR="00F46845" w:rsidRPr="009F337B">
        <w:rPr>
          <w:i w:val="0"/>
          <w:szCs w:val="20"/>
          <w:lang w:val="en-US"/>
        </w:rPr>
        <w:t>)</w:t>
      </w:r>
      <w:r w:rsidR="00CE4DB0" w:rsidRPr="009F337B">
        <w:rPr>
          <w:i w:val="0"/>
          <w:szCs w:val="20"/>
          <w:lang w:val="en-US"/>
        </w:rPr>
        <w:t>; that is, the inter-American system for the protection of</w:t>
      </w:r>
      <w:r w:rsidR="00F46845" w:rsidRPr="009F337B">
        <w:rPr>
          <w:i w:val="0"/>
          <w:szCs w:val="20"/>
          <w:lang w:val="en-US"/>
        </w:rPr>
        <w:t xml:space="preserve"> </w:t>
      </w:r>
      <w:r w:rsidR="00CC5BF5" w:rsidRPr="009F337B">
        <w:rPr>
          <w:i w:val="0"/>
          <w:szCs w:val="20"/>
          <w:lang w:val="en-US"/>
        </w:rPr>
        <w:t>human rights</w:t>
      </w:r>
      <w:r w:rsidR="00CE4DB0" w:rsidRPr="009F337B">
        <w:rPr>
          <w:i w:val="0"/>
          <w:szCs w:val="20"/>
          <w:lang w:val="en-US"/>
        </w:rPr>
        <w:t>.</w:t>
      </w:r>
      <w:r w:rsidR="00F46845" w:rsidRPr="009F337B">
        <w:rPr>
          <w:rStyle w:val="Refdenotaalpie"/>
          <w:i w:val="0"/>
          <w:lang w:val="en-US"/>
        </w:rPr>
        <w:footnoteReference w:id="78"/>
      </w:r>
      <w:r w:rsidR="00F46845" w:rsidRPr="009F337B">
        <w:rPr>
          <w:i w:val="0"/>
          <w:szCs w:val="20"/>
          <w:lang w:val="en-US"/>
        </w:rPr>
        <w:t xml:space="preserve"> </w:t>
      </w:r>
      <w:r w:rsidR="00CE4DB0" w:rsidRPr="009F337B">
        <w:rPr>
          <w:i w:val="0"/>
          <w:szCs w:val="20"/>
          <w:lang w:val="en-US"/>
        </w:rPr>
        <w:t xml:space="preserve">When making a systematic interpretation </w:t>
      </w:r>
      <w:r w:rsidR="00AE5F9E" w:rsidRPr="009F337B">
        <w:rPr>
          <w:i w:val="0"/>
          <w:szCs w:val="20"/>
          <w:lang w:val="en-US"/>
        </w:rPr>
        <w:t xml:space="preserve">of the </w:t>
      </w:r>
      <w:r w:rsidR="00AE5F9E" w:rsidRPr="009F337B">
        <w:rPr>
          <w:i w:val="0"/>
          <w:szCs w:val="20"/>
          <w:lang w:val="en-US"/>
        </w:rPr>
        <w:lastRenderedPageBreak/>
        <w:t>Convention</w:t>
      </w:r>
      <w:r w:rsidR="00CE4DB0" w:rsidRPr="009F337B">
        <w:rPr>
          <w:i w:val="0"/>
          <w:szCs w:val="20"/>
          <w:lang w:val="en-US"/>
        </w:rPr>
        <w:t xml:space="preserve">, it is necessary to take into account all the provisions </w:t>
      </w:r>
      <w:r w:rsidR="00252110" w:rsidRPr="009F337B">
        <w:rPr>
          <w:i w:val="0"/>
          <w:szCs w:val="20"/>
          <w:lang w:val="en-US"/>
        </w:rPr>
        <w:t>of which it is composed and the agreements and instruments that are formally related to it, such as the</w:t>
      </w:r>
      <w:r w:rsidR="00F46845" w:rsidRPr="009F337B">
        <w:rPr>
          <w:i w:val="0"/>
          <w:szCs w:val="20"/>
          <w:lang w:val="en-US"/>
        </w:rPr>
        <w:t xml:space="preserve"> </w:t>
      </w:r>
      <w:r w:rsidR="00CE4DB0" w:rsidRPr="009F337B">
        <w:rPr>
          <w:i w:val="0"/>
          <w:szCs w:val="20"/>
          <w:lang w:val="en-US"/>
        </w:rPr>
        <w:t>American Declaration of the Rights and Duties of Man</w:t>
      </w:r>
      <w:r w:rsidR="00F46845" w:rsidRPr="009F337B">
        <w:rPr>
          <w:i w:val="0"/>
          <w:szCs w:val="20"/>
          <w:lang w:val="en-US"/>
        </w:rPr>
        <w:t xml:space="preserve"> (</w:t>
      </w:r>
      <w:r w:rsidR="00252110" w:rsidRPr="009F337B">
        <w:rPr>
          <w:i w:val="0"/>
          <w:szCs w:val="20"/>
          <w:lang w:val="en-US"/>
        </w:rPr>
        <w:t>hereinafter</w:t>
      </w:r>
      <w:r w:rsidR="00F46845" w:rsidRPr="009F337B">
        <w:rPr>
          <w:i w:val="0"/>
          <w:szCs w:val="20"/>
          <w:lang w:val="en-US"/>
        </w:rPr>
        <w:t xml:space="preserve"> “</w:t>
      </w:r>
      <w:r w:rsidR="00252110" w:rsidRPr="009F337B">
        <w:rPr>
          <w:i w:val="0"/>
          <w:szCs w:val="20"/>
          <w:lang w:val="en-US"/>
        </w:rPr>
        <w:t xml:space="preserve">the </w:t>
      </w:r>
      <w:r w:rsidR="00CE4DB0" w:rsidRPr="009F337B">
        <w:rPr>
          <w:i w:val="0"/>
          <w:szCs w:val="20"/>
          <w:lang w:val="en-US"/>
        </w:rPr>
        <w:t>American Declaration</w:t>
      </w:r>
      <w:r w:rsidR="00F46845" w:rsidRPr="009F337B">
        <w:rPr>
          <w:i w:val="0"/>
          <w:szCs w:val="20"/>
          <w:lang w:val="en-US"/>
        </w:rPr>
        <w:t xml:space="preserve">”), </w:t>
      </w:r>
      <w:r w:rsidR="00252110" w:rsidRPr="009F337B">
        <w:rPr>
          <w:i w:val="0"/>
          <w:szCs w:val="20"/>
          <w:lang w:val="en-US"/>
        </w:rPr>
        <w:t>because they permit verification of whether the interpretation given to a specific norm or term is coherent with the meaning of the other provisions.</w:t>
      </w:r>
      <w:r w:rsidR="00F46845" w:rsidRPr="009F337B">
        <w:rPr>
          <w:rStyle w:val="Refdenotaalpie"/>
          <w:i w:val="0"/>
          <w:lang w:val="en-US"/>
        </w:rPr>
        <w:footnoteReference w:id="79"/>
      </w:r>
    </w:p>
    <w:p w14:paraId="2579C499" w14:textId="77777777" w:rsidR="00E92CA8" w:rsidRPr="009F337B" w:rsidRDefault="00E92CA8" w:rsidP="00E92CA8">
      <w:pPr>
        <w:pStyle w:val="Estilo1"/>
        <w:tabs>
          <w:tab w:val="left" w:pos="709"/>
          <w:tab w:val="left" w:pos="1134"/>
        </w:tabs>
        <w:spacing w:after="0"/>
        <w:ind w:left="0" w:right="-4" w:firstLine="0"/>
        <w:rPr>
          <w:rFonts w:eastAsia="Times" w:cs="Arial"/>
          <w:i w:val="0"/>
          <w:szCs w:val="20"/>
          <w:lang w:val="en-US"/>
        </w:rPr>
      </w:pPr>
    </w:p>
    <w:p w14:paraId="06C121E3" w14:textId="03A920E5" w:rsidR="00F46845" w:rsidRPr="009F337B" w:rsidRDefault="00252110" w:rsidP="00593E37">
      <w:pPr>
        <w:pStyle w:val="Estilo1"/>
        <w:numPr>
          <w:ilvl w:val="0"/>
          <w:numId w:val="1"/>
        </w:numPr>
        <w:tabs>
          <w:tab w:val="left" w:pos="709"/>
          <w:tab w:val="left" w:pos="1134"/>
        </w:tabs>
        <w:spacing w:after="0"/>
        <w:ind w:left="0" w:right="-4" w:firstLine="0"/>
        <w:rPr>
          <w:rFonts w:eastAsia="Times" w:cs="Arial"/>
          <w:i w:val="0"/>
          <w:szCs w:val="20"/>
          <w:lang w:val="en-US"/>
        </w:rPr>
      </w:pPr>
      <w:r w:rsidRPr="009F337B">
        <w:rPr>
          <w:i w:val="0"/>
          <w:szCs w:val="20"/>
          <w:lang w:val="en-US"/>
        </w:rPr>
        <w:t xml:space="preserve">In this regard, the Court underscores that the scope of the rights derived from </w:t>
      </w:r>
      <w:r w:rsidR="003C46A3" w:rsidRPr="009F337B">
        <w:rPr>
          <w:i w:val="0"/>
          <w:szCs w:val="20"/>
          <w:lang w:val="en-US"/>
        </w:rPr>
        <w:t>Article</w:t>
      </w:r>
      <w:r w:rsidR="00F46845" w:rsidRPr="009F337B">
        <w:rPr>
          <w:i w:val="0"/>
          <w:szCs w:val="20"/>
          <w:lang w:val="en-US"/>
        </w:rPr>
        <w:t xml:space="preserve"> 26</w:t>
      </w:r>
      <w:r w:rsidR="00AE5F9E" w:rsidRPr="009F337B">
        <w:rPr>
          <w:i w:val="0"/>
          <w:szCs w:val="20"/>
          <w:lang w:val="en-US"/>
        </w:rPr>
        <w:t xml:space="preserve"> of the Convention</w:t>
      </w:r>
      <w:r w:rsidR="00B7716C" w:rsidRPr="009F337B">
        <w:rPr>
          <w:i w:val="0"/>
          <w:szCs w:val="20"/>
          <w:lang w:val="en-US"/>
        </w:rPr>
        <w:t xml:space="preserve"> </w:t>
      </w:r>
      <w:r w:rsidRPr="009F337B">
        <w:rPr>
          <w:i w:val="0"/>
          <w:szCs w:val="20"/>
          <w:lang w:val="en-US"/>
        </w:rPr>
        <w:t xml:space="preserve">should be understood in relation to the other articles </w:t>
      </w:r>
      <w:r w:rsidR="00AE5F9E" w:rsidRPr="009F337B">
        <w:rPr>
          <w:i w:val="0"/>
          <w:szCs w:val="20"/>
          <w:lang w:val="en-US"/>
        </w:rPr>
        <w:t>of the American Convention</w:t>
      </w:r>
      <w:r w:rsidR="003C46A3" w:rsidRPr="009F337B">
        <w:rPr>
          <w:i w:val="0"/>
          <w:szCs w:val="20"/>
          <w:lang w:val="en-US"/>
        </w:rPr>
        <w:t xml:space="preserve"> and </w:t>
      </w:r>
      <w:r w:rsidRPr="009F337B">
        <w:rPr>
          <w:i w:val="0"/>
          <w:szCs w:val="20"/>
          <w:lang w:val="en-US"/>
        </w:rPr>
        <w:t>other instruments that are relevant for its interpretation. Accordingly, the Court has noted that</w:t>
      </w:r>
      <w:r w:rsidR="008312FF" w:rsidRPr="009F337B">
        <w:rPr>
          <w:i w:val="0"/>
          <w:szCs w:val="20"/>
          <w:lang w:val="en-US"/>
        </w:rPr>
        <w:t>,</w:t>
      </w:r>
      <w:r w:rsidRPr="009F337B">
        <w:rPr>
          <w:i w:val="0"/>
          <w:szCs w:val="20"/>
          <w:lang w:val="en-US"/>
        </w:rPr>
        <w:t xml:space="preserve"> although </w:t>
      </w:r>
      <w:r w:rsidR="00AE5F9E" w:rsidRPr="009F337B">
        <w:rPr>
          <w:i w:val="0"/>
          <w:szCs w:val="20"/>
          <w:lang w:val="en-US"/>
        </w:rPr>
        <w:t>Article</w:t>
      </w:r>
      <w:r w:rsidR="00F46845" w:rsidRPr="009F337B">
        <w:rPr>
          <w:i w:val="0"/>
          <w:szCs w:val="20"/>
          <w:lang w:val="en-US"/>
        </w:rPr>
        <w:t xml:space="preserve"> 26 </w:t>
      </w:r>
      <w:r w:rsidRPr="009F337B">
        <w:rPr>
          <w:i w:val="0"/>
          <w:szCs w:val="20"/>
          <w:lang w:val="en-US"/>
        </w:rPr>
        <w:t>is located in</w:t>
      </w:r>
      <w:r w:rsidR="00F46845" w:rsidRPr="009F337B">
        <w:rPr>
          <w:i w:val="0"/>
          <w:szCs w:val="20"/>
          <w:lang w:val="en-US"/>
        </w:rPr>
        <w:t xml:space="preserve"> C</w:t>
      </w:r>
      <w:r w:rsidRPr="009F337B">
        <w:rPr>
          <w:i w:val="0"/>
          <w:szCs w:val="20"/>
          <w:lang w:val="en-US"/>
        </w:rPr>
        <w:t>hapter</w:t>
      </w:r>
      <w:r w:rsidR="00F46845" w:rsidRPr="009F337B">
        <w:rPr>
          <w:i w:val="0"/>
          <w:szCs w:val="20"/>
          <w:lang w:val="en-US"/>
        </w:rPr>
        <w:t xml:space="preserve"> III</w:t>
      </w:r>
      <w:r w:rsidR="00AE5F9E" w:rsidRPr="009F337B">
        <w:rPr>
          <w:i w:val="0"/>
          <w:szCs w:val="20"/>
          <w:lang w:val="en-US"/>
        </w:rPr>
        <w:t xml:space="preserve"> of the Convention</w:t>
      </w:r>
      <w:r w:rsidR="00F46845" w:rsidRPr="009F337B">
        <w:rPr>
          <w:i w:val="0"/>
          <w:szCs w:val="20"/>
          <w:lang w:val="en-US"/>
        </w:rPr>
        <w:t xml:space="preserve"> </w:t>
      </w:r>
      <w:r w:rsidRPr="009F337B">
        <w:rPr>
          <w:i w:val="0"/>
          <w:szCs w:val="20"/>
          <w:lang w:val="en-US"/>
        </w:rPr>
        <w:t>entitled</w:t>
      </w:r>
      <w:r w:rsidR="00F46845" w:rsidRPr="009F337B">
        <w:rPr>
          <w:i w:val="0"/>
          <w:szCs w:val="20"/>
          <w:lang w:val="en-US"/>
        </w:rPr>
        <w:t xml:space="preserve"> “</w:t>
      </w:r>
      <w:r w:rsidRPr="009F337B">
        <w:rPr>
          <w:i w:val="0"/>
          <w:szCs w:val="20"/>
          <w:lang w:val="en-US"/>
        </w:rPr>
        <w:t xml:space="preserve">Economic, Social and Cultural Rights,” it is also </w:t>
      </w:r>
      <w:r w:rsidR="008312FF" w:rsidRPr="009F337B">
        <w:rPr>
          <w:i w:val="0"/>
          <w:szCs w:val="20"/>
          <w:lang w:val="en-US"/>
        </w:rPr>
        <w:t>placed</w:t>
      </w:r>
      <w:r w:rsidRPr="009F337B">
        <w:rPr>
          <w:i w:val="0"/>
          <w:szCs w:val="20"/>
          <w:lang w:val="en-US"/>
        </w:rPr>
        <w:t xml:space="preserve"> in Part I of this instrument entitled </w:t>
      </w:r>
      <w:r w:rsidR="00F46845" w:rsidRPr="009F337B">
        <w:rPr>
          <w:i w:val="0"/>
          <w:szCs w:val="20"/>
          <w:lang w:val="en-US"/>
        </w:rPr>
        <w:t>“</w:t>
      </w:r>
      <w:r w:rsidRPr="009F337B">
        <w:rPr>
          <w:i w:val="0"/>
          <w:szCs w:val="20"/>
          <w:lang w:val="en-US"/>
        </w:rPr>
        <w:t xml:space="preserve">State Obligations and Rights Protected” and, consequently, it is subject to the general obligations contained in </w:t>
      </w:r>
      <w:r w:rsidR="00AE5F9E" w:rsidRPr="009F337B">
        <w:rPr>
          <w:i w:val="0"/>
          <w:szCs w:val="20"/>
          <w:lang w:val="en-US"/>
        </w:rPr>
        <w:t>Articles</w:t>
      </w:r>
      <w:r w:rsidR="003C46A3" w:rsidRPr="009F337B">
        <w:rPr>
          <w:i w:val="0"/>
          <w:szCs w:val="20"/>
          <w:lang w:val="en-US"/>
        </w:rPr>
        <w:t xml:space="preserve"> 1(1) and </w:t>
      </w:r>
      <w:r w:rsidR="00F46845" w:rsidRPr="009F337B">
        <w:rPr>
          <w:i w:val="0"/>
          <w:szCs w:val="20"/>
          <w:lang w:val="en-US"/>
        </w:rPr>
        <w:t xml:space="preserve">2 </w:t>
      </w:r>
      <w:r w:rsidRPr="009F337B">
        <w:rPr>
          <w:i w:val="0"/>
          <w:szCs w:val="20"/>
          <w:lang w:val="en-US"/>
        </w:rPr>
        <w:t>in Chapter</w:t>
      </w:r>
      <w:r w:rsidR="00F46845" w:rsidRPr="009F337B">
        <w:rPr>
          <w:i w:val="0"/>
          <w:szCs w:val="20"/>
          <w:lang w:val="en-US"/>
        </w:rPr>
        <w:t xml:space="preserve"> I (</w:t>
      </w:r>
      <w:r w:rsidRPr="009F337B">
        <w:rPr>
          <w:i w:val="0"/>
          <w:szCs w:val="20"/>
          <w:lang w:val="en-US"/>
        </w:rPr>
        <w:t>entitled</w:t>
      </w:r>
      <w:r w:rsidR="00F46845" w:rsidRPr="009F337B">
        <w:rPr>
          <w:i w:val="0"/>
          <w:szCs w:val="20"/>
          <w:lang w:val="en-US"/>
        </w:rPr>
        <w:t xml:space="preserve"> “</w:t>
      </w:r>
      <w:r w:rsidRPr="009F337B">
        <w:rPr>
          <w:i w:val="0"/>
          <w:szCs w:val="20"/>
          <w:lang w:val="en-US"/>
        </w:rPr>
        <w:t>General Obligations</w:t>
      </w:r>
      <w:r w:rsidR="00F46845" w:rsidRPr="009F337B">
        <w:rPr>
          <w:i w:val="0"/>
          <w:szCs w:val="20"/>
          <w:lang w:val="en-US"/>
        </w:rPr>
        <w:t>”), a</w:t>
      </w:r>
      <w:r w:rsidRPr="009F337B">
        <w:rPr>
          <w:i w:val="0"/>
          <w:szCs w:val="20"/>
          <w:lang w:val="en-US"/>
        </w:rPr>
        <w:t xml:space="preserve">s are </w:t>
      </w:r>
      <w:r w:rsidR="00AE5F9E" w:rsidRPr="009F337B">
        <w:rPr>
          <w:i w:val="0"/>
          <w:szCs w:val="20"/>
          <w:lang w:val="en-US"/>
        </w:rPr>
        <w:t>Articles</w:t>
      </w:r>
      <w:r w:rsidR="00F46845" w:rsidRPr="009F337B">
        <w:rPr>
          <w:i w:val="0"/>
          <w:szCs w:val="20"/>
          <w:lang w:val="en-US"/>
        </w:rPr>
        <w:t xml:space="preserve"> 3 </w:t>
      </w:r>
      <w:r w:rsidRPr="009F337B">
        <w:rPr>
          <w:i w:val="0"/>
          <w:szCs w:val="20"/>
          <w:lang w:val="en-US"/>
        </w:rPr>
        <w:t>to</w:t>
      </w:r>
      <w:r w:rsidR="00F46845" w:rsidRPr="009F337B">
        <w:rPr>
          <w:i w:val="0"/>
          <w:szCs w:val="20"/>
          <w:lang w:val="en-US"/>
        </w:rPr>
        <w:t xml:space="preserve"> 25 </w:t>
      </w:r>
      <w:r w:rsidRPr="009F337B">
        <w:rPr>
          <w:i w:val="0"/>
          <w:szCs w:val="20"/>
          <w:lang w:val="en-US"/>
        </w:rPr>
        <w:t>contained in Chapter II (entitled “Civil and Political Rights</w:t>
      </w:r>
      <w:r w:rsidR="00F46845" w:rsidRPr="009F337B">
        <w:rPr>
          <w:i w:val="0"/>
          <w:szCs w:val="20"/>
          <w:lang w:val="en-US"/>
        </w:rPr>
        <w:t xml:space="preserve">”). </w:t>
      </w:r>
      <w:r w:rsidRPr="009F337B">
        <w:rPr>
          <w:i w:val="0"/>
          <w:szCs w:val="20"/>
          <w:lang w:val="en-US"/>
        </w:rPr>
        <w:t xml:space="preserve">Thus, the Court considers that the general obligations “to respect” and “to ensure” rights, together with the obligation relating to “domestic legal effects” </w:t>
      </w:r>
      <w:r w:rsidR="003C46A3" w:rsidRPr="009F337B">
        <w:rPr>
          <w:i w:val="0"/>
          <w:szCs w:val="20"/>
          <w:lang w:val="en-US"/>
        </w:rPr>
        <w:t>of Article</w:t>
      </w:r>
      <w:r w:rsidR="00F46845" w:rsidRPr="009F337B">
        <w:rPr>
          <w:i w:val="0"/>
          <w:szCs w:val="20"/>
          <w:lang w:val="en-US"/>
        </w:rPr>
        <w:t xml:space="preserve"> 2 </w:t>
      </w:r>
      <w:r w:rsidRPr="009F337B">
        <w:rPr>
          <w:i w:val="0"/>
          <w:szCs w:val="20"/>
          <w:lang w:val="en-US"/>
        </w:rPr>
        <w:t>of the Convention, apply to all rights, whether civil and political, or economic, social, cultural and environmental.</w:t>
      </w:r>
      <w:r w:rsidR="00F46845" w:rsidRPr="009F337B">
        <w:rPr>
          <w:rStyle w:val="Refdenotaalpie"/>
          <w:i w:val="0"/>
          <w:lang w:val="en-US"/>
        </w:rPr>
        <w:footnoteReference w:id="80"/>
      </w:r>
    </w:p>
    <w:p w14:paraId="786DAA17" w14:textId="77777777" w:rsidR="00E92CA8" w:rsidRPr="009F337B" w:rsidRDefault="00E92CA8" w:rsidP="00E92CA8">
      <w:pPr>
        <w:pStyle w:val="Estilo1"/>
        <w:tabs>
          <w:tab w:val="left" w:pos="709"/>
          <w:tab w:val="left" w:pos="1134"/>
        </w:tabs>
        <w:spacing w:after="0"/>
        <w:ind w:left="0" w:right="-4" w:firstLine="0"/>
        <w:rPr>
          <w:rFonts w:eastAsia="Times" w:cs="Arial"/>
          <w:i w:val="0"/>
          <w:szCs w:val="20"/>
          <w:lang w:val="en-US"/>
        </w:rPr>
      </w:pPr>
    </w:p>
    <w:p w14:paraId="7AFA41DF" w14:textId="4D2D5FAD" w:rsidR="00F46845" w:rsidRPr="009F337B" w:rsidRDefault="00252110" w:rsidP="00593E37">
      <w:pPr>
        <w:pStyle w:val="Estilo1"/>
        <w:numPr>
          <w:ilvl w:val="0"/>
          <w:numId w:val="1"/>
        </w:numPr>
        <w:tabs>
          <w:tab w:val="left" w:pos="709"/>
          <w:tab w:val="left" w:pos="1134"/>
        </w:tabs>
        <w:spacing w:after="0"/>
        <w:ind w:left="0" w:right="-4" w:firstLine="0"/>
        <w:rPr>
          <w:rFonts w:eastAsia="Times" w:cs="Arial"/>
          <w:i w:val="0"/>
          <w:szCs w:val="20"/>
          <w:lang w:val="en-US"/>
        </w:rPr>
      </w:pPr>
      <w:r w:rsidRPr="009F337B">
        <w:rPr>
          <w:rFonts w:eastAsia="Times" w:cs="Arial"/>
          <w:i w:val="0"/>
          <w:szCs w:val="20"/>
          <w:lang w:val="en-US"/>
        </w:rPr>
        <w:t xml:space="preserve">Consequently, since States have an obligation to respect and ensure the rights indicated in </w:t>
      </w:r>
      <w:r w:rsidR="00AE5F9E" w:rsidRPr="009F337B">
        <w:rPr>
          <w:rFonts w:eastAsia="Times" w:cs="Arial"/>
          <w:i w:val="0"/>
          <w:szCs w:val="20"/>
          <w:lang w:val="en-US"/>
        </w:rPr>
        <w:t>Article</w:t>
      </w:r>
      <w:r w:rsidR="00F46845" w:rsidRPr="009F337B">
        <w:rPr>
          <w:rFonts w:eastAsia="Times" w:cs="Arial"/>
          <w:i w:val="0"/>
          <w:szCs w:val="20"/>
          <w:lang w:val="en-US"/>
        </w:rPr>
        <w:t xml:space="preserve"> 26, </w:t>
      </w:r>
      <w:r w:rsidRPr="009F337B">
        <w:rPr>
          <w:rFonts w:eastAsia="Times" w:cs="Arial"/>
          <w:i w:val="0"/>
          <w:szCs w:val="20"/>
          <w:lang w:val="en-US"/>
        </w:rPr>
        <w:t>in the terms</w:t>
      </w:r>
      <w:r w:rsidR="00F46845" w:rsidRPr="009F337B">
        <w:rPr>
          <w:rFonts w:eastAsia="Times" w:cs="Arial"/>
          <w:i w:val="0"/>
          <w:szCs w:val="20"/>
          <w:lang w:val="en-US"/>
        </w:rPr>
        <w:t xml:space="preserve"> </w:t>
      </w:r>
      <w:r w:rsidR="003C46A3" w:rsidRPr="009F337B">
        <w:rPr>
          <w:rFonts w:eastAsia="Times" w:cs="Arial"/>
          <w:i w:val="0"/>
          <w:szCs w:val="20"/>
          <w:lang w:val="en-US"/>
        </w:rPr>
        <w:t>of Article 1(1)</w:t>
      </w:r>
      <w:r w:rsidR="00AE5F9E" w:rsidRPr="009F337B">
        <w:rPr>
          <w:rFonts w:eastAsia="Times" w:cs="Arial"/>
          <w:i w:val="0"/>
          <w:szCs w:val="20"/>
          <w:lang w:val="en-US"/>
        </w:rPr>
        <w:t xml:space="preserve"> of the Convention</w:t>
      </w:r>
      <w:r w:rsidR="00F46845" w:rsidRPr="009F337B">
        <w:rPr>
          <w:rFonts w:eastAsia="Times" w:cs="Arial"/>
          <w:i w:val="0"/>
          <w:szCs w:val="20"/>
          <w:lang w:val="en-US"/>
        </w:rPr>
        <w:t xml:space="preserve">, </w:t>
      </w:r>
      <w:r w:rsidR="00AE5F9E" w:rsidRPr="009F337B">
        <w:rPr>
          <w:rFonts w:eastAsia="Times" w:cs="Arial"/>
          <w:i w:val="0"/>
          <w:szCs w:val="20"/>
          <w:lang w:val="en-US"/>
        </w:rPr>
        <w:t>the Court</w:t>
      </w:r>
      <w:r w:rsidR="00F46845" w:rsidRPr="009F337B">
        <w:rPr>
          <w:rFonts w:eastAsia="Times" w:cs="Arial"/>
          <w:i w:val="0"/>
          <w:szCs w:val="20"/>
          <w:lang w:val="en-US"/>
        </w:rPr>
        <w:t xml:space="preserve"> </w:t>
      </w:r>
      <w:r w:rsidRPr="009F337B">
        <w:rPr>
          <w:rFonts w:eastAsia="Times" w:cs="Arial"/>
          <w:i w:val="0"/>
          <w:szCs w:val="20"/>
          <w:lang w:val="en-US"/>
        </w:rPr>
        <w:t xml:space="preserve">is competent to assess whether there has been a violation of a right derived from </w:t>
      </w:r>
      <w:r w:rsidR="003C46A3" w:rsidRPr="009F337B">
        <w:rPr>
          <w:rFonts w:eastAsia="Times" w:cs="Arial"/>
          <w:i w:val="0"/>
          <w:szCs w:val="20"/>
          <w:lang w:val="en-US"/>
        </w:rPr>
        <w:t>Article</w:t>
      </w:r>
      <w:r w:rsidR="00F46845" w:rsidRPr="009F337B">
        <w:rPr>
          <w:rFonts w:eastAsia="Times" w:cs="Arial"/>
          <w:i w:val="0"/>
          <w:szCs w:val="20"/>
          <w:lang w:val="en-US"/>
        </w:rPr>
        <w:t xml:space="preserve"> 26 </w:t>
      </w:r>
      <w:r w:rsidRPr="009F337B">
        <w:rPr>
          <w:rFonts w:eastAsia="Times" w:cs="Arial"/>
          <w:i w:val="0"/>
          <w:szCs w:val="20"/>
          <w:lang w:val="en-US"/>
        </w:rPr>
        <w:t>in the terms of</w:t>
      </w:r>
      <w:r w:rsidR="00F46845" w:rsidRPr="009F337B">
        <w:rPr>
          <w:rFonts w:eastAsia="Times" w:cs="Arial"/>
          <w:i w:val="0"/>
          <w:szCs w:val="20"/>
          <w:lang w:val="en-US"/>
        </w:rPr>
        <w:t xml:space="preserve"> </w:t>
      </w:r>
      <w:r w:rsidR="00AE5F9E" w:rsidRPr="009F337B">
        <w:rPr>
          <w:rFonts w:eastAsia="Times" w:cs="Arial"/>
          <w:i w:val="0"/>
          <w:szCs w:val="20"/>
          <w:lang w:val="en-US"/>
        </w:rPr>
        <w:t>Articles</w:t>
      </w:r>
      <w:r w:rsidR="00F46845" w:rsidRPr="009F337B">
        <w:rPr>
          <w:rFonts w:eastAsia="Times" w:cs="Arial"/>
          <w:i w:val="0"/>
          <w:szCs w:val="20"/>
          <w:lang w:val="en-US"/>
        </w:rPr>
        <w:t xml:space="preserve"> 62</w:t>
      </w:r>
      <w:r w:rsidR="003C46A3" w:rsidRPr="009F337B">
        <w:rPr>
          <w:rFonts w:eastAsia="Times" w:cs="Arial"/>
          <w:i w:val="0"/>
          <w:szCs w:val="20"/>
          <w:lang w:val="en-US"/>
        </w:rPr>
        <w:t xml:space="preserve"> and </w:t>
      </w:r>
      <w:r w:rsidR="00F46845" w:rsidRPr="009F337B">
        <w:rPr>
          <w:rFonts w:eastAsia="Times" w:cs="Arial"/>
          <w:i w:val="0"/>
          <w:szCs w:val="20"/>
          <w:lang w:val="en-US"/>
        </w:rPr>
        <w:t>63</w:t>
      </w:r>
      <w:r w:rsidR="00AE5F9E" w:rsidRPr="009F337B">
        <w:rPr>
          <w:rFonts w:eastAsia="Times" w:cs="Arial"/>
          <w:i w:val="0"/>
          <w:szCs w:val="20"/>
          <w:lang w:val="en-US"/>
        </w:rPr>
        <w:t xml:space="preserve"> of the Convention</w:t>
      </w:r>
      <w:r w:rsidR="00F46845" w:rsidRPr="009F337B">
        <w:rPr>
          <w:rFonts w:eastAsia="Times" w:cs="Arial"/>
          <w:i w:val="0"/>
          <w:szCs w:val="20"/>
          <w:lang w:val="en-US"/>
        </w:rPr>
        <w:t xml:space="preserve">. </w:t>
      </w:r>
      <w:r w:rsidRPr="009F337B">
        <w:rPr>
          <w:rFonts w:eastAsia="Times" w:cs="Arial"/>
          <w:i w:val="0"/>
          <w:szCs w:val="20"/>
          <w:lang w:val="en-US"/>
        </w:rPr>
        <w:t>The latter</w:t>
      </w:r>
      <w:r w:rsidR="00F46845" w:rsidRPr="009F337B">
        <w:rPr>
          <w:rFonts w:eastAsia="Times" w:cs="Arial"/>
          <w:i w:val="0"/>
          <w:szCs w:val="20"/>
          <w:lang w:val="en-US"/>
        </w:rPr>
        <w:t xml:space="preserve"> </w:t>
      </w:r>
      <w:r w:rsidRPr="009F337B">
        <w:rPr>
          <w:rFonts w:eastAsia="Times" w:cs="Arial"/>
          <w:i w:val="0"/>
          <w:szCs w:val="20"/>
          <w:lang w:val="en-US"/>
        </w:rPr>
        <w:t>a</w:t>
      </w:r>
      <w:r w:rsidR="00AE5F9E" w:rsidRPr="009F337B">
        <w:rPr>
          <w:rFonts w:eastAsia="Times" w:cs="Arial"/>
          <w:i w:val="0"/>
          <w:szCs w:val="20"/>
          <w:lang w:val="en-US"/>
        </w:rPr>
        <w:t>rticle</w:t>
      </w:r>
      <w:r w:rsidR="00F46845" w:rsidRPr="009F337B">
        <w:rPr>
          <w:rFonts w:eastAsia="Times" w:cs="Arial"/>
          <w:i w:val="0"/>
          <w:szCs w:val="20"/>
          <w:lang w:val="en-US"/>
        </w:rPr>
        <w:t xml:space="preserve"> </w:t>
      </w:r>
      <w:r w:rsidR="008C399E" w:rsidRPr="009F337B">
        <w:rPr>
          <w:rFonts w:eastAsia="Times" w:cs="Arial"/>
          <w:i w:val="0"/>
          <w:szCs w:val="20"/>
          <w:lang w:val="en-US"/>
        </w:rPr>
        <w:t xml:space="preserve">establishes that when there has been a violation of a right or freedom protected by the Convention, the Court shall rule that the injured party be ensured the enjoyment of his right or freedom that was violated and that the consequences of the measure or situation that constituted the breach of such right or freedom be remedied. </w:t>
      </w:r>
      <w:r w:rsidR="00263046" w:rsidRPr="009F337B">
        <w:rPr>
          <w:rFonts w:eastAsia="Times" w:cs="Arial"/>
          <w:i w:val="0"/>
          <w:szCs w:val="20"/>
          <w:lang w:val="en-US"/>
        </w:rPr>
        <w:t>In addition, t</w:t>
      </w:r>
      <w:r w:rsidR="008C399E" w:rsidRPr="009F337B">
        <w:rPr>
          <w:rFonts w:eastAsia="Times" w:cs="Arial"/>
          <w:i w:val="0"/>
          <w:szCs w:val="20"/>
          <w:lang w:val="en-US"/>
        </w:rPr>
        <w:t>he Court has indicated on numerous occasions that, under Article 1(1), any violation of the human rights recognized in the Convention that can be attributed, pursuant to the rules of international law, to the act or omission of any public authority</w:t>
      </w:r>
      <w:r w:rsidR="00F46845" w:rsidRPr="009F337B">
        <w:rPr>
          <w:rFonts w:eastAsia="Times" w:cs="Arial"/>
          <w:i w:val="0"/>
          <w:szCs w:val="20"/>
          <w:lang w:val="en-US"/>
        </w:rPr>
        <w:t>, constitu</w:t>
      </w:r>
      <w:r w:rsidR="008C399E" w:rsidRPr="009F337B">
        <w:rPr>
          <w:rFonts w:eastAsia="Times" w:cs="Arial"/>
          <w:i w:val="0"/>
          <w:szCs w:val="20"/>
          <w:lang w:val="en-US"/>
        </w:rPr>
        <w:t xml:space="preserve">tes an act that can be attributed to the State </w:t>
      </w:r>
      <w:r w:rsidR="00263046" w:rsidRPr="009F337B">
        <w:rPr>
          <w:rFonts w:eastAsia="Times" w:cs="Arial"/>
          <w:i w:val="0"/>
          <w:szCs w:val="20"/>
          <w:lang w:val="en-US"/>
        </w:rPr>
        <w:t xml:space="preserve">and </w:t>
      </w:r>
      <w:r w:rsidR="008C399E" w:rsidRPr="009F337B">
        <w:rPr>
          <w:rFonts w:eastAsia="Times" w:cs="Arial"/>
          <w:i w:val="0"/>
          <w:szCs w:val="20"/>
          <w:lang w:val="en-US"/>
        </w:rPr>
        <w:t xml:space="preserve">that engages its responsibility in the terms established in </w:t>
      </w:r>
      <w:r w:rsidR="00AE5F9E" w:rsidRPr="009F337B">
        <w:rPr>
          <w:rFonts w:eastAsia="Times" w:cs="Arial"/>
          <w:i w:val="0"/>
          <w:szCs w:val="20"/>
          <w:lang w:val="en-US"/>
        </w:rPr>
        <w:t>the Convention</w:t>
      </w:r>
      <w:r w:rsidR="008C399E" w:rsidRPr="009F337B">
        <w:rPr>
          <w:rFonts w:eastAsia="Times" w:cs="Arial"/>
          <w:i w:val="0"/>
          <w:szCs w:val="20"/>
          <w:lang w:val="en-US"/>
        </w:rPr>
        <w:t>.</w:t>
      </w:r>
      <w:r w:rsidR="00F46845" w:rsidRPr="009F337B">
        <w:rPr>
          <w:rStyle w:val="Refdenotaalpie"/>
          <w:rFonts w:eastAsia="Times"/>
          <w:i w:val="0"/>
          <w:lang w:val="en-US"/>
        </w:rPr>
        <w:footnoteReference w:id="81"/>
      </w:r>
      <w:r w:rsidR="008C399E" w:rsidRPr="009F337B">
        <w:rPr>
          <w:rFonts w:eastAsia="Times" w:cs="Arial"/>
          <w:i w:val="0"/>
          <w:szCs w:val="20"/>
          <w:lang w:val="en-US"/>
        </w:rPr>
        <w:t xml:space="preserve"> Thus, the Court considers that, where it is possible to identify an act or omission that can be attributed to the State </w:t>
      </w:r>
      <w:r w:rsidR="001A2197">
        <w:rPr>
          <w:rFonts w:eastAsia="Times" w:cs="Arial"/>
          <w:i w:val="0"/>
          <w:szCs w:val="20"/>
          <w:lang w:val="en-US"/>
        </w:rPr>
        <w:t>which</w:t>
      </w:r>
      <w:r w:rsidR="008C399E" w:rsidRPr="009F337B">
        <w:rPr>
          <w:rFonts w:eastAsia="Times" w:cs="Arial"/>
          <w:i w:val="0"/>
          <w:szCs w:val="20"/>
          <w:lang w:val="en-US"/>
        </w:rPr>
        <w:t xml:space="preserve"> violates a right protected by </w:t>
      </w:r>
      <w:r w:rsidR="00AE5F9E" w:rsidRPr="009F337B">
        <w:rPr>
          <w:rFonts w:eastAsia="Times" w:cs="Arial"/>
          <w:i w:val="0"/>
          <w:szCs w:val="20"/>
          <w:lang w:val="en-US"/>
        </w:rPr>
        <w:t>Article</w:t>
      </w:r>
      <w:r w:rsidR="00F46845" w:rsidRPr="009F337B">
        <w:rPr>
          <w:rFonts w:eastAsia="Times" w:cs="Arial"/>
          <w:i w:val="0"/>
          <w:szCs w:val="20"/>
          <w:lang w:val="en-US"/>
        </w:rPr>
        <w:t xml:space="preserve"> 26, </w:t>
      </w:r>
      <w:r w:rsidR="00AE5F9E" w:rsidRPr="009F337B">
        <w:rPr>
          <w:rFonts w:eastAsia="Times" w:cs="Arial"/>
          <w:i w:val="0"/>
          <w:szCs w:val="20"/>
          <w:lang w:val="en-US"/>
        </w:rPr>
        <w:t>the Court</w:t>
      </w:r>
      <w:r w:rsidR="008C399E" w:rsidRPr="009F337B">
        <w:rPr>
          <w:rFonts w:eastAsia="Times" w:cs="Arial"/>
          <w:i w:val="0"/>
          <w:szCs w:val="20"/>
          <w:lang w:val="en-US"/>
        </w:rPr>
        <w:t xml:space="preserve"> may determine the State’s responsibility for this act and establish the appropriate remedy.</w:t>
      </w:r>
    </w:p>
    <w:p w14:paraId="68C339AE" w14:textId="77777777" w:rsidR="00E92CA8" w:rsidRPr="009F337B" w:rsidRDefault="00E92CA8" w:rsidP="00E92CA8">
      <w:pPr>
        <w:pStyle w:val="Estilo1"/>
        <w:tabs>
          <w:tab w:val="left" w:pos="709"/>
          <w:tab w:val="left" w:pos="1134"/>
        </w:tabs>
        <w:spacing w:after="0"/>
        <w:ind w:left="0" w:right="-4" w:firstLine="0"/>
        <w:rPr>
          <w:rFonts w:eastAsia="Times" w:cs="Arial"/>
          <w:i w:val="0"/>
          <w:szCs w:val="20"/>
          <w:lang w:val="en-US"/>
        </w:rPr>
      </w:pPr>
    </w:p>
    <w:p w14:paraId="2ECC720A" w14:textId="3B75864A" w:rsidR="00F46845" w:rsidRPr="009F337B" w:rsidRDefault="008C399E" w:rsidP="00593E37">
      <w:pPr>
        <w:pStyle w:val="Estilo1"/>
        <w:numPr>
          <w:ilvl w:val="0"/>
          <w:numId w:val="1"/>
        </w:numPr>
        <w:tabs>
          <w:tab w:val="left" w:pos="709"/>
          <w:tab w:val="left" w:pos="1134"/>
        </w:tabs>
        <w:spacing w:after="0"/>
        <w:ind w:left="0" w:right="-4" w:firstLine="0"/>
        <w:rPr>
          <w:rFonts w:eastAsia="Times" w:cs="Arial"/>
          <w:i w:val="0"/>
          <w:szCs w:val="20"/>
          <w:lang w:val="en-US"/>
        </w:rPr>
      </w:pPr>
      <w:r w:rsidRPr="009F337B">
        <w:rPr>
          <w:rFonts w:eastAsia="Times" w:cs="Arial"/>
          <w:i w:val="0"/>
          <w:szCs w:val="20"/>
          <w:lang w:val="en-US"/>
        </w:rPr>
        <w:t>The Court</w:t>
      </w:r>
      <w:r w:rsidR="00F46845" w:rsidRPr="009F337B">
        <w:rPr>
          <w:rFonts w:eastAsia="Times" w:cs="Arial"/>
          <w:i w:val="0"/>
          <w:szCs w:val="20"/>
          <w:lang w:val="en-US"/>
        </w:rPr>
        <w:t xml:space="preserve"> </w:t>
      </w:r>
      <w:r w:rsidRPr="009F337B">
        <w:rPr>
          <w:rFonts w:eastAsia="Times" w:cs="Arial"/>
          <w:i w:val="0"/>
          <w:szCs w:val="20"/>
          <w:lang w:val="en-US"/>
        </w:rPr>
        <w:t xml:space="preserve">notes that the fact that the rights derived from </w:t>
      </w:r>
      <w:r w:rsidR="003C46A3" w:rsidRPr="009F337B">
        <w:rPr>
          <w:rFonts w:eastAsia="Times" w:cs="Arial"/>
          <w:i w:val="0"/>
          <w:szCs w:val="20"/>
          <w:lang w:val="en-US"/>
        </w:rPr>
        <w:t>Article</w:t>
      </w:r>
      <w:r w:rsidR="00F46845" w:rsidRPr="009F337B">
        <w:rPr>
          <w:rFonts w:eastAsia="Times" w:cs="Arial"/>
          <w:i w:val="0"/>
          <w:szCs w:val="20"/>
          <w:lang w:val="en-US"/>
        </w:rPr>
        <w:t xml:space="preserve"> 26 </w:t>
      </w:r>
      <w:r w:rsidRPr="009F337B">
        <w:rPr>
          <w:rFonts w:eastAsia="Times" w:cs="Arial"/>
          <w:i w:val="0"/>
          <w:szCs w:val="20"/>
          <w:lang w:val="en-US"/>
        </w:rPr>
        <w:t xml:space="preserve">are subject to the general obligations </w:t>
      </w:r>
      <w:r w:rsidR="00AE5F9E" w:rsidRPr="009F337B">
        <w:rPr>
          <w:rFonts w:eastAsia="Times" w:cs="Arial"/>
          <w:i w:val="0"/>
          <w:szCs w:val="20"/>
          <w:lang w:val="en-US"/>
        </w:rPr>
        <w:t>of the American Convention</w:t>
      </w:r>
      <w:r w:rsidR="00F46845" w:rsidRPr="009F337B">
        <w:rPr>
          <w:rFonts w:eastAsia="Times" w:cs="Arial"/>
          <w:i w:val="0"/>
          <w:szCs w:val="20"/>
          <w:lang w:val="en-US"/>
        </w:rPr>
        <w:t xml:space="preserve"> </w:t>
      </w:r>
      <w:r w:rsidR="001A2197">
        <w:rPr>
          <w:rFonts w:eastAsia="Times" w:cs="Arial"/>
          <w:i w:val="0"/>
          <w:szCs w:val="20"/>
          <w:lang w:val="en-US"/>
        </w:rPr>
        <w:t xml:space="preserve">results </w:t>
      </w:r>
      <w:proofErr w:type="spellStart"/>
      <w:r w:rsidR="001A2197">
        <w:rPr>
          <w:rFonts w:eastAsia="Times" w:cs="Arial"/>
          <w:i w:val="0"/>
          <w:szCs w:val="20"/>
          <w:lang w:val="en-US"/>
        </w:rPr>
        <w:t>no</w:t>
      </w:r>
      <w:proofErr w:type="spellEnd"/>
      <w:r w:rsidR="001A2197">
        <w:rPr>
          <w:rFonts w:eastAsia="Times" w:cs="Arial"/>
          <w:i w:val="0"/>
          <w:szCs w:val="20"/>
          <w:lang w:val="en-US"/>
        </w:rPr>
        <w:t xml:space="preserve"> only</w:t>
      </w:r>
      <w:r w:rsidRPr="009F337B">
        <w:rPr>
          <w:rFonts w:eastAsia="Times" w:cs="Arial"/>
          <w:i w:val="0"/>
          <w:szCs w:val="20"/>
          <w:lang w:val="en-US"/>
        </w:rPr>
        <w:t xml:space="preserve"> </w:t>
      </w:r>
      <w:r w:rsidR="001A2197">
        <w:rPr>
          <w:rFonts w:eastAsia="Times" w:cs="Arial"/>
          <w:i w:val="0"/>
          <w:szCs w:val="20"/>
          <w:lang w:val="en-US"/>
        </w:rPr>
        <w:t>from</w:t>
      </w:r>
      <w:r w:rsidRPr="009F337B">
        <w:rPr>
          <w:rFonts w:eastAsia="Times" w:cs="Arial"/>
          <w:i w:val="0"/>
          <w:szCs w:val="20"/>
          <w:lang w:val="en-US"/>
        </w:rPr>
        <w:t xml:space="preserve"> formal </w:t>
      </w:r>
      <w:r w:rsidR="00263046" w:rsidRPr="009F337B">
        <w:rPr>
          <w:rFonts w:eastAsia="Times" w:cs="Arial"/>
          <w:i w:val="0"/>
          <w:szCs w:val="20"/>
          <w:lang w:val="en-US"/>
        </w:rPr>
        <w:t>matter</w:t>
      </w:r>
      <w:r w:rsidRPr="009F337B">
        <w:rPr>
          <w:rFonts w:eastAsia="Times" w:cs="Arial"/>
          <w:i w:val="0"/>
          <w:szCs w:val="20"/>
          <w:lang w:val="en-US"/>
        </w:rPr>
        <w:t>s, but also</w:t>
      </w:r>
      <w:r w:rsidR="001A2197">
        <w:rPr>
          <w:rFonts w:eastAsia="Times" w:cs="Arial"/>
          <w:i w:val="0"/>
          <w:szCs w:val="20"/>
          <w:lang w:val="en-US"/>
        </w:rPr>
        <w:t xml:space="preserve"> </w:t>
      </w:r>
      <w:r w:rsidRPr="009F337B">
        <w:rPr>
          <w:rFonts w:eastAsia="Times" w:cs="Arial"/>
          <w:i w:val="0"/>
          <w:szCs w:val="20"/>
          <w:lang w:val="en-US"/>
        </w:rPr>
        <w:t>from the reciprocal indivisibility and interdependence of the civil and political rights and the economic, social, cultural and environmental rights.</w:t>
      </w:r>
      <w:r w:rsidR="00F46845" w:rsidRPr="009F337B">
        <w:rPr>
          <w:rStyle w:val="Refdenotaalpie"/>
          <w:rFonts w:eastAsia="Times"/>
          <w:i w:val="0"/>
          <w:lang w:val="en-US"/>
        </w:rPr>
        <w:footnoteReference w:id="82"/>
      </w:r>
      <w:r w:rsidRPr="009F337B">
        <w:rPr>
          <w:rFonts w:eastAsia="Times" w:cs="Arial"/>
          <w:i w:val="0"/>
          <w:szCs w:val="20"/>
          <w:lang w:val="en-US"/>
        </w:rPr>
        <w:t xml:space="preserve"> In this regard, the Court has </w:t>
      </w:r>
      <w:r w:rsidRPr="009F337B">
        <w:rPr>
          <w:rFonts w:eastAsia="Times" w:cs="Arial"/>
          <w:i w:val="0"/>
          <w:szCs w:val="20"/>
          <w:lang w:val="en-US"/>
        </w:rPr>
        <w:lastRenderedPageBreak/>
        <w:t>recognized that both categories of rights should be understood integrally and</w:t>
      </w:r>
      <w:r w:rsidR="00263046" w:rsidRPr="009F337B">
        <w:rPr>
          <w:rFonts w:eastAsia="Times" w:cs="Arial"/>
          <w:i w:val="0"/>
          <w:szCs w:val="20"/>
          <w:lang w:val="en-US"/>
        </w:rPr>
        <w:t xml:space="preserve"> indivisibly</w:t>
      </w:r>
      <w:r w:rsidRPr="009F337B">
        <w:rPr>
          <w:rFonts w:eastAsia="Times" w:cs="Arial"/>
          <w:i w:val="0"/>
          <w:szCs w:val="20"/>
          <w:lang w:val="en-US"/>
        </w:rPr>
        <w:t xml:space="preserve"> as human rights, without any hierarchy between them</w:t>
      </w:r>
      <w:r w:rsidR="00263046" w:rsidRPr="009F337B">
        <w:rPr>
          <w:rFonts w:eastAsia="Times" w:cs="Arial"/>
          <w:i w:val="0"/>
          <w:szCs w:val="20"/>
          <w:lang w:val="en-US"/>
        </w:rPr>
        <w:t>,</w:t>
      </w:r>
      <w:r w:rsidRPr="009F337B">
        <w:rPr>
          <w:rFonts w:eastAsia="Times" w:cs="Arial"/>
          <w:i w:val="0"/>
          <w:szCs w:val="20"/>
          <w:lang w:val="en-US"/>
        </w:rPr>
        <w:t xml:space="preserve"> enforceable in all cases before the competent authorities.</w:t>
      </w:r>
      <w:r w:rsidR="00F46845" w:rsidRPr="009F337B">
        <w:rPr>
          <w:rStyle w:val="Refdenotaalpie"/>
          <w:rFonts w:eastAsia="Times"/>
          <w:i w:val="0"/>
          <w:lang w:val="en-US"/>
        </w:rPr>
        <w:footnoteReference w:id="83"/>
      </w:r>
      <w:r w:rsidRPr="009F337B">
        <w:rPr>
          <w:rFonts w:eastAsia="Times" w:cs="Arial"/>
          <w:i w:val="0"/>
          <w:szCs w:val="20"/>
          <w:lang w:val="en-US"/>
        </w:rPr>
        <w:t xml:space="preserve"> Similarly, the Court notes that the Preamble to </w:t>
      </w:r>
      <w:r w:rsidR="00AE5F9E" w:rsidRPr="009F337B">
        <w:rPr>
          <w:rFonts w:eastAsia="Times" w:cs="Arial"/>
          <w:i w:val="0"/>
          <w:szCs w:val="20"/>
          <w:lang w:val="en-US"/>
        </w:rPr>
        <w:t>the Convention</w:t>
      </w:r>
      <w:r w:rsidRPr="009F337B">
        <w:rPr>
          <w:rFonts w:eastAsia="Times" w:cs="Arial"/>
          <w:i w:val="0"/>
          <w:szCs w:val="20"/>
          <w:lang w:val="en-US"/>
        </w:rPr>
        <w:t>,</w:t>
      </w:r>
      <w:r w:rsidR="00F46845" w:rsidRPr="009F337B">
        <w:rPr>
          <w:rStyle w:val="Refdenotaalpie"/>
          <w:rFonts w:eastAsia="Times"/>
          <w:i w:val="0"/>
          <w:lang w:val="en-US"/>
        </w:rPr>
        <w:footnoteReference w:id="84"/>
      </w:r>
      <w:r w:rsidRPr="009F337B">
        <w:rPr>
          <w:rFonts w:eastAsia="Times" w:cs="Arial"/>
          <w:i w:val="0"/>
          <w:szCs w:val="20"/>
          <w:lang w:val="en-US"/>
        </w:rPr>
        <w:t xml:space="preserve"> </w:t>
      </w:r>
      <w:r w:rsidR="00263046" w:rsidRPr="009F337B">
        <w:rPr>
          <w:rFonts w:eastAsia="Times" w:cs="Arial"/>
          <w:i w:val="0"/>
          <w:szCs w:val="20"/>
          <w:lang w:val="en-US"/>
        </w:rPr>
        <w:t>as well as</w:t>
      </w:r>
      <w:r w:rsidRPr="009F337B">
        <w:rPr>
          <w:rFonts w:eastAsia="Times" w:cs="Arial"/>
          <w:i w:val="0"/>
          <w:szCs w:val="20"/>
          <w:lang w:val="en-US"/>
        </w:rPr>
        <w:t xml:space="preserve"> various articles of the </w:t>
      </w:r>
      <w:r w:rsidR="00CE4DB0" w:rsidRPr="009F337B">
        <w:rPr>
          <w:rFonts w:eastAsia="Times" w:cs="Arial"/>
          <w:i w:val="0"/>
          <w:szCs w:val="20"/>
          <w:lang w:val="en-US"/>
        </w:rPr>
        <w:t>American Declaration</w:t>
      </w:r>
      <w:r w:rsidR="00F46845" w:rsidRPr="009F337B">
        <w:rPr>
          <w:rFonts w:eastAsia="Times" w:cs="Arial"/>
          <w:i w:val="0"/>
          <w:szCs w:val="20"/>
          <w:lang w:val="en-US"/>
        </w:rPr>
        <w:t xml:space="preserve">, </w:t>
      </w:r>
      <w:r w:rsidRPr="009F337B">
        <w:rPr>
          <w:rFonts w:eastAsia="Times" w:cs="Arial"/>
          <w:i w:val="0"/>
          <w:szCs w:val="20"/>
          <w:lang w:val="en-US"/>
        </w:rPr>
        <w:t xml:space="preserve">reveal that both civil and political rights, and </w:t>
      </w:r>
      <w:r w:rsidR="00CC5BF5" w:rsidRPr="009F337B">
        <w:rPr>
          <w:rFonts w:eastAsia="Times" w:cs="Arial"/>
          <w:i w:val="0"/>
          <w:szCs w:val="20"/>
          <w:lang w:val="en-US"/>
        </w:rPr>
        <w:t>ESCER</w:t>
      </w:r>
      <w:r w:rsidRPr="009F337B">
        <w:rPr>
          <w:rFonts w:eastAsia="Times" w:cs="Arial"/>
          <w:i w:val="0"/>
          <w:szCs w:val="20"/>
          <w:lang w:val="en-US"/>
        </w:rPr>
        <w:t xml:space="preserve"> were recognized by the States in the region as essential rights of the individual. Likewise, the Preamble to the Additional Protocol to </w:t>
      </w:r>
      <w:r w:rsidR="00AE5F9E" w:rsidRPr="009F337B">
        <w:rPr>
          <w:rFonts w:eastAsia="Times" w:cs="Arial"/>
          <w:i w:val="0"/>
          <w:szCs w:val="20"/>
          <w:lang w:val="en-US"/>
        </w:rPr>
        <w:t>the American Convention on Human Rights</w:t>
      </w:r>
      <w:r w:rsidR="00852F98" w:rsidRPr="009F337B">
        <w:rPr>
          <w:rFonts w:eastAsia="Times" w:cs="Arial"/>
          <w:i w:val="0"/>
          <w:szCs w:val="20"/>
          <w:lang w:val="en-US"/>
        </w:rPr>
        <w:t xml:space="preserve"> </w:t>
      </w:r>
      <w:r w:rsidRPr="009F337B">
        <w:rPr>
          <w:rFonts w:eastAsia="Times" w:cs="Arial"/>
          <w:i w:val="0"/>
          <w:szCs w:val="20"/>
          <w:lang w:val="en-US"/>
        </w:rPr>
        <w:t>in the Area of</w:t>
      </w:r>
      <w:r w:rsidR="00852F98" w:rsidRPr="009F337B">
        <w:rPr>
          <w:rFonts w:eastAsia="Times" w:cs="Arial"/>
          <w:i w:val="0"/>
          <w:szCs w:val="20"/>
          <w:lang w:val="en-US"/>
        </w:rPr>
        <w:t xml:space="preserve"> </w:t>
      </w:r>
      <w:r w:rsidRPr="009F337B">
        <w:rPr>
          <w:rFonts w:eastAsia="Times" w:cs="Arial"/>
          <w:i w:val="0"/>
          <w:szCs w:val="20"/>
          <w:lang w:val="en-US"/>
        </w:rPr>
        <w:t xml:space="preserve">Economic, Social and Cultural Rights </w:t>
      </w:r>
      <w:r w:rsidR="00852F98" w:rsidRPr="009F337B">
        <w:rPr>
          <w:rFonts w:eastAsia="Times" w:cs="Arial"/>
          <w:i w:val="0"/>
          <w:szCs w:val="20"/>
          <w:lang w:val="en-US"/>
        </w:rPr>
        <w:t>“Protocol</w:t>
      </w:r>
      <w:r w:rsidRPr="009F337B">
        <w:rPr>
          <w:rFonts w:eastAsia="Times" w:cs="Arial"/>
          <w:i w:val="0"/>
          <w:szCs w:val="20"/>
          <w:lang w:val="en-US"/>
        </w:rPr>
        <w:t xml:space="preserve"> of</w:t>
      </w:r>
      <w:r w:rsidR="00852F98" w:rsidRPr="009F337B">
        <w:rPr>
          <w:rFonts w:eastAsia="Times" w:cs="Arial"/>
          <w:i w:val="0"/>
          <w:szCs w:val="20"/>
          <w:lang w:val="en-US"/>
        </w:rPr>
        <w:t xml:space="preserve"> San Salvador”</w:t>
      </w:r>
      <w:r w:rsidR="00F46845" w:rsidRPr="009F337B">
        <w:rPr>
          <w:rFonts w:eastAsia="Times" w:cs="Arial"/>
          <w:i w:val="0"/>
          <w:szCs w:val="20"/>
          <w:lang w:val="en-US"/>
        </w:rPr>
        <w:t xml:space="preserve"> (</w:t>
      </w:r>
      <w:r w:rsidR="00AE5F9E" w:rsidRPr="009F337B">
        <w:rPr>
          <w:rFonts w:eastAsia="Times" w:cs="Arial"/>
          <w:i w:val="0"/>
          <w:szCs w:val="20"/>
          <w:lang w:val="en-US"/>
        </w:rPr>
        <w:t>hereinafter</w:t>
      </w:r>
      <w:r w:rsidR="00F46845" w:rsidRPr="009F337B">
        <w:rPr>
          <w:rFonts w:eastAsia="Times" w:cs="Arial"/>
          <w:i w:val="0"/>
          <w:szCs w:val="20"/>
          <w:lang w:val="en-US"/>
        </w:rPr>
        <w:t xml:space="preserve"> “</w:t>
      </w:r>
      <w:r w:rsidRPr="009F337B">
        <w:rPr>
          <w:rFonts w:eastAsia="Times" w:cs="Arial"/>
          <w:i w:val="0"/>
          <w:szCs w:val="20"/>
          <w:lang w:val="en-US"/>
        </w:rPr>
        <w:t>Protocol of</w:t>
      </w:r>
      <w:r w:rsidR="00E92CA8" w:rsidRPr="009F337B">
        <w:rPr>
          <w:rFonts w:eastAsia="Times" w:cs="Arial"/>
          <w:i w:val="0"/>
          <w:szCs w:val="20"/>
          <w:lang w:val="en-US"/>
        </w:rPr>
        <w:t xml:space="preserve"> San Salvador”) re</w:t>
      </w:r>
      <w:r w:rsidRPr="009F337B">
        <w:rPr>
          <w:rFonts w:eastAsia="Times" w:cs="Arial"/>
          <w:i w:val="0"/>
          <w:szCs w:val="20"/>
          <w:lang w:val="en-US"/>
        </w:rPr>
        <w:t>cognizes</w:t>
      </w:r>
      <w:r w:rsidR="00E92CA8" w:rsidRPr="009F337B">
        <w:rPr>
          <w:rFonts w:eastAsia="Times" w:cs="Arial"/>
          <w:i w:val="0"/>
          <w:szCs w:val="20"/>
          <w:lang w:val="en-US"/>
        </w:rPr>
        <w:t>:</w:t>
      </w:r>
    </w:p>
    <w:p w14:paraId="32C14107" w14:textId="77777777" w:rsidR="00E92CA8" w:rsidRPr="009F337B" w:rsidRDefault="00E92CA8" w:rsidP="00E92CA8">
      <w:pPr>
        <w:pStyle w:val="Estilo1"/>
        <w:tabs>
          <w:tab w:val="left" w:pos="709"/>
          <w:tab w:val="left" w:pos="1134"/>
        </w:tabs>
        <w:spacing w:after="0"/>
        <w:ind w:left="0" w:right="-4" w:firstLine="0"/>
        <w:rPr>
          <w:rFonts w:eastAsia="Times" w:cs="Arial"/>
          <w:i w:val="0"/>
          <w:szCs w:val="20"/>
          <w:lang w:val="en-US"/>
        </w:rPr>
      </w:pPr>
    </w:p>
    <w:p w14:paraId="4A0A6F5B" w14:textId="42A25E5B" w:rsidR="00F46845" w:rsidRPr="009F337B" w:rsidRDefault="002560CD" w:rsidP="002560CD">
      <w:pPr>
        <w:tabs>
          <w:tab w:val="center" w:pos="4680"/>
        </w:tabs>
        <w:suppressAutoHyphens/>
        <w:ind w:left="720" w:right="900"/>
        <w:rPr>
          <w:sz w:val="18"/>
          <w:szCs w:val="18"/>
          <w:lang w:val="en-US"/>
        </w:rPr>
      </w:pPr>
      <w:r w:rsidRPr="009F337B">
        <w:rPr>
          <w:rFonts w:cs="Tahoma"/>
          <w:bCs/>
          <w:sz w:val="18"/>
          <w:szCs w:val="18"/>
          <w:lang w:val="en-US"/>
        </w:rPr>
        <w:t>the close relationship that exists between economic, social and cultural rights, and civil and political rights, in that the different categories of rights constitute an indivisible whole based on the recognition of the dignity of the human person, for which reason both require permanent protection and promotion if they are to be fully realized, and the violation of some rights in favor of the realization of others can never be justified</w:t>
      </w:r>
      <w:r w:rsidR="00F46845" w:rsidRPr="009F337B">
        <w:rPr>
          <w:rFonts w:cs="Tahoma"/>
          <w:sz w:val="18"/>
          <w:szCs w:val="18"/>
          <w:lang w:val="en-US"/>
        </w:rPr>
        <w:t>.</w:t>
      </w:r>
    </w:p>
    <w:p w14:paraId="700C3794" w14:textId="77777777" w:rsidR="00E92CA8" w:rsidRPr="009F337B" w:rsidRDefault="00E92CA8" w:rsidP="00E92CA8">
      <w:pPr>
        <w:widowControl w:val="0"/>
        <w:autoSpaceDE w:val="0"/>
        <w:autoSpaceDN w:val="0"/>
        <w:adjustRightInd w:val="0"/>
        <w:ind w:right="900"/>
        <w:textAlignment w:val="baseline"/>
        <w:rPr>
          <w:rFonts w:eastAsia="Times" w:cs="Arial"/>
          <w:szCs w:val="20"/>
          <w:lang w:val="en-US"/>
        </w:rPr>
      </w:pPr>
    </w:p>
    <w:p w14:paraId="0C3A5B1F" w14:textId="186465C5" w:rsidR="00F46845" w:rsidRPr="009F337B" w:rsidRDefault="002560CD" w:rsidP="00593E37">
      <w:pPr>
        <w:pStyle w:val="Estilo1"/>
        <w:numPr>
          <w:ilvl w:val="0"/>
          <w:numId w:val="1"/>
        </w:numPr>
        <w:tabs>
          <w:tab w:val="left" w:pos="709"/>
          <w:tab w:val="left" w:pos="1134"/>
        </w:tabs>
        <w:spacing w:after="0"/>
        <w:ind w:left="0" w:right="-4" w:firstLine="0"/>
        <w:rPr>
          <w:rFonts w:eastAsia="Times" w:cs="Arial"/>
          <w:i w:val="0"/>
          <w:szCs w:val="20"/>
          <w:lang w:val="en-US"/>
        </w:rPr>
      </w:pPr>
      <w:r w:rsidRPr="009F337B">
        <w:rPr>
          <w:rFonts w:eastAsia="Times" w:cs="Arial"/>
          <w:i w:val="0"/>
          <w:szCs w:val="20"/>
          <w:lang w:val="en-US"/>
        </w:rPr>
        <w:t xml:space="preserve">In this Court’s opinion, the interdependence and indivisibility of the rights recognized by </w:t>
      </w:r>
      <w:r w:rsidR="00AE5F9E" w:rsidRPr="009F337B">
        <w:rPr>
          <w:rFonts w:eastAsia="Times" w:cs="Arial"/>
          <w:i w:val="0"/>
          <w:szCs w:val="20"/>
          <w:lang w:val="en-US"/>
        </w:rPr>
        <w:t>the American Convention</w:t>
      </w:r>
      <w:r w:rsidR="00F46845" w:rsidRPr="009F337B">
        <w:rPr>
          <w:rFonts w:eastAsia="Times" w:cs="Arial"/>
          <w:i w:val="0"/>
          <w:szCs w:val="20"/>
          <w:lang w:val="en-US"/>
        </w:rPr>
        <w:t xml:space="preserve"> </w:t>
      </w:r>
      <w:r w:rsidRPr="009F337B">
        <w:rPr>
          <w:rFonts w:eastAsia="Times" w:cs="Arial"/>
          <w:i w:val="0"/>
          <w:szCs w:val="20"/>
          <w:lang w:val="en-US"/>
        </w:rPr>
        <w:t>denies any separation, categorization or hierarchy between rights for the effect</w:t>
      </w:r>
      <w:r w:rsidR="008F4C06" w:rsidRPr="009F337B">
        <w:rPr>
          <w:rFonts w:eastAsia="Times" w:cs="Arial"/>
          <w:i w:val="0"/>
          <w:szCs w:val="20"/>
          <w:lang w:val="en-US"/>
        </w:rPr>
        <w:t>s</w:t>
      </w:r>
      <w:r w:rsidRPr="009F337B">
        <w:rPr>
          <w:rFonts w:eastAsia="Times" w:cs="Arial"/>
          <w:i w:val="0"/>
          <w:szCs w:val="20"/>
          <w:lang w:val="en-US"/>
        </w:rPr>
        <w:t xml:space="preserve"> of their respect, protection and guarantee. This condition refers not only to the recognition of</w:t>
      </w:r>
      <w:r w:rsidR="00472467" w:rsidRPr="009F337B">
        <w:rPr>
          <w:rFonts w:eastAsia="Times" w:cs="Arial"/>
          <w:i w:val="0"/>
          <w:szCs w:val="20"/>
          <w:lang w:val="en-US"/>
        </w:rPr>
        <w:t xml:space="preserve"> the</w:t>
      </w:r>
      <w:r w:rsidRPr="009F337B">
        <w:rPr>
          <w:rFonts w:eastAsia="Times" w:cs="Arial"/>
          <w:i w:val="0"/>
          <w:szCs w:val="20"/>
          <w:lang w:val="en-US"/>
        </w:rPr>
        <w:t xml:space="preserve"> </w:t>
      </w:r>
      <w:r w:rsidR="00CC5BF5" w:rsidRPr="009F337B">
        <w:rPr>
          <w:rFonts w:eastAsia="Times" w:cs="Arial"/>
          <w:i w:val="0"/>
          <w:szCs w:val="20"/>
          <w:lang w:val="en-US"/>
        </w:rPr>
        <w:t>ESCER</w:t>
      </w:r>
      <w:r w:rsidR="00F46845" w:rsidRPr="009F337B">
        <w:rPr>
          <w:rFonts w:eastAsia="Times" w:cs="Arial"/>
          <w:i w:val="0"/>
          <w:szCs w:val="20"/>
          <w:lang w:val="en-US"/>
        </w:rPr>
        <w:t xml:space="preserve"> </w:t>
      </w:r>
      <w:r w:rsidRPr="009F337B">
        <w:rPr>
          <w:rFonts w:eastAsia="Times" w:cs="Arial"/>
          <w:i w:val="0"/>
          <w:szCs w:val="20"/>
          <w:lang w:val="en-US"/>
        </w:rPr>
        <w:t>as</w:t>
      </w:r>
      <w:r w:rsidR="00F46845" w:rsidRPr="009F337B">
        <w:rPr>
          <w:rFonts w:eastAsia="Times" w:cs="Arial"/>
          <w:i w:val="0"/>
          <w:szCs w:val="20"/>
          <w:lang w:val="en-US"/>
        </w:rPr>
        <w:t xml:space="preserve"> </w:t>
      </w:r>
      <w:r w:rsidR="00CC5BF5" w:rsidRPr="009F337B">
        <w:rPr>
          <w:rFonts w:eastAsia="Times" w:cs="Arial"/>
          <w:i w:val="0"/>
          <w:szCs w:val="20"/>
          <w:lang w:val="en-US"/>
        </w:rPr>
        <w:t>human rights</w:t>
      </w:r>
      <w:r w:rsidR="00F46845" w:rsidRPr="009F337B">
        <w:rPr>
          <w:rFonts w:eastAsia="Times" w:cs="Arial"/>
          <w:i w:val="0"/>
          <w:szCs w:val="20"/>
          <w:lang w:val="en-US"/>
        </w:rPr>
        <w:t xml:space="preserve"> </w:t>
      </w:r>
      <w:r w:rsidRPr="009F337B">
        <w:rPr>
          <w:rFonts w:eastAsia="Times" w:cs="Arial"/>
          <w:i w:val="0"/>
          <w:szCs w:val="20"/>
          <w:lang w:val="en-US"/>
        </w:rPr>
        <w:t>protected by</w:t>
      </w:r>
      <w:r w:rsidR="00F46845" w:rsidRPr="009F337B">
        <w:rPr>
          <w:rFonts w:eastAsia="Times" w:cs="Arial"/>
          <w:i w:val="0"/>
          <w:szCs w:val="20"/>
          <w:lang w:val="en-US"/>
        </w:rPr>
        <w:t xml:space="preserve"> </w:t>
      </w:r>
      <w:r w:rsidR="00AE5F9E" w:rsidRPr="009F337B">
        <w:rPr>
          <w:rFonts w:eastAsia="Times" w:cs="Arial"/>
          <w:i w:val="0"/>
          <w:szCs w:val="20"/>
          <w:lang w:val="en-US"/>
        </w:rPr>
        <w:t>Article</w:t>
      </w:r>
      <w:r w:rsidR="00F46845" w:rsidRPr="009F337B">
        <w:rPr>
          <w:rFonts w:eastAsia="Times" w:cs="Arial"/>
          <w:i w:val="0"/>
          <w:szCs w:val="20"/>
          <w:lang w:val="en-US"/>
        </w:rPr>
        <w:t xml:space="preserve"> 26, </w:t>
      </w:r>
      <w:r w:rsidRPr="009F337B">
        <w:rPr>
          <w:rFonts w:eastAsia="Times" w:cs="Arial"/>
          <w:i w:val="0"/>
          <w:szCs w:val="20"/>
          <w:lang w:val="en-US"/>
        </w:rPr>
        <w:t>but also to aspects relating to the competence of this Court to examine violations of such rights based on this article. In this regard, the Court recalls that</w:t>
      </w:r>
      <w:r w:rsidR="00472467" w:rsidRPr="009F337B">
        <w:rPr>
          <w:rFonts w:eastAsia="Times" w:cs="Arial"/>
          <w:i w:val="0"/>
          <w:szCs w:val="20"/>
          <w:lang w:val="en-US"/>
        </w:rPr>
        <w:t>, based on Articles 62 and 63 of the Convention,</w:t>
      </w:r>
      <w:r w:rsidRPr="009F337B">
        <w:rPr>
          <w:rFonts w:eastAsia="Times" w:cs="Arial"/>
          <w:i w:val="0"/>
          <w:szCs w:val="20"/>
          <w:lang w:val="en-US"/>
        </w:rPr>
        <w:t xml:space="preserve"> it exercises full jurisdiction over all </w:t>
      </w:r>
      <w:r w:rsidR="00472467" w:rsidRPr="009F337B">
        <w:rPr>
          <w:rFonts w:eastAsia="Times" w:cs="Arial"/>
          <w:i w:val="0"/>
          <w:szCs w:val="20"/>
          <w:lang w:val="en-US"/>
        </w:rPr>
        <w:t>its</w:t>
      </w:r>
      <w:r w:rsidRPr="009F337B">
        <w:rPr>
          <w:rFonts w:eastAsia="Times" w:cs="Arial"/>
          <w:i w:val="0"/>
          <w:szCs w:val="20"/>
          <w:lang w:val="en-US"/>
        </w:rPr>
        <w:t xml:space="preserve"> articles and provisions</w:t>
      </w:r>
      <w:r w:rsidR="00F46845" w:rsidRPr="009F337B">
        <w:rPr>
          <w:rFonts w:eastAsia="Times" w:cs="Arial"/>
          <w:i w:val="0"/>
          <w:szCs w:val="20"/>
          <w:lang w:val="en-US"/>
        </w:rPr>
        <w:t xml:space="preserve"> </w:t>
      </w:r>
      <w:r w:rsidR="008F4C06" w:rsidRPr="009F337B">
        <w:rPr>
          <w:rFonts w:eastAsia="Times" w:cs="Arial"/>
          <w:i w:val="0"/>
          <w:szCs w:val="20"/>
          <w:lang w:val="en-US"/>
        </w:rPr>
        <w:t>and these</w:t>
      </w:r>
      <w:r w:rsidRPr="009F337B">
        <w:rPr>
          <w:rFonts w:eastAsia="Times" w:cs="Arial"/>
          <w:i w:val="0"/>
          <w:szCs w:val="20"/>
          <w:lang w:val="en-US"/>
        </w:rPr>
        <w:t xml:space="preserve"> include </w:t>
      </w:r>
      <w:r w:rsidR="00AE5F9E" w:rsidRPr="009F337B">
        <w:rPr>
          <w:rFonts w:eastAsia="Times" w:cs="Arial"/>
          <w:i w:val="0"/>
          <w:szCs w:val="20"/>
          <w:lang w:val="en-US"/>
        </w:rPr>
        <w:t>Article</w:t>
      </w:r>
      <w:r w:rsidR="00F46845" w:rsidRPr="009F337B">
        <w:rPr>
          <w:rFonts w:eastAsia="Times" w:cs="Arial"/>
          <w:i w:val="0"/>
          <w:szCs w:val="20"/>
          <w:lang w:val="en-US"/>
        </w:rPr>
        <w:t xml:space="preserve"> 26. A</w:t>
      </w:r>
      <w:r w:rsidRPr="009F337B">
        <w:rPr>
          <w:rFonts w:eastAsia="Times" w:cs="Arial"/>
          <w:i w:val="0"/>
          <w:szCs w:val="20"/>
          <w:lang w:val="en-US"/>
        </w:rPr>
        <w:t>lso, complement</w:t>
      </w:r>
      <w:r w:rsidR="009412F3">
        <w:rPr>
          <w:rFonts w:eastAsia="Times" w:cs="Arial"/>
          <w:i w:val="0"/>
          <w:szCs w:val="20"/>
          <w:lang w:val="en-US"/>
        </w:rPr>
        <w:t>ing</w:t>
      </w:r>
      <w:r w:rsidRPr="009F337B">
        <w:rPr>
          <w:rFonts w:eastAsia="Times" w:cs="Arial"/>
          <w:i w:val="0"/>
          <w:szCs w:val="20"/>
          <w:lang w:val="en-US"/>
        </w:rPr>
        <w:t xml:space="preserve"> this, the Court recalls that, as any other organ with jurisdictional functions, it has the inherent authority</w:t>
      </w:r>
      <w:r w:rsidR="008E648D" w:rsidRPr="009F337B">
        <w:rPr>
          <w:rFonts w:eastAsia="Times" w:cs="Arial"/>
          <w:i w:val="0"/>
          <w:szCs w:val="20"/>
          <w:lang w:val="en-US"/>
        </w:rPr>
        <w:t xml:space="preserve"> to determine the scope of its own competence </w:t>
      </w:r>
      <w:r w:rsidR="00F46845" w:rsidRPr="009F337B">
        <w:rPr>
          <w:rFonts w:eastAsia="Times" w:cs="Arial"/>
          <w:i w:val="0"/>
          <w:szCs w:val="20"/>
          <w:lang w:val="en-US"/>
        </w:rPr>
        <w:t>(</w:t>
      </w:r>
      <w:proofErr w:type="spellStart"/>
      <w:r w:rsidR="00852F98" w:rsidRPr="009F337B">
        <w:rPr>
          <w:rFonts w:eastAsia="Times" w:cs="Arial"/>
          <w:szCs w:val="20"/>
          <w:lang w:val="en-US"/>
        </w:rPr>
        <w:t>compétence</w:t>
      </w:r>
      <w:proofErr w:type="spellEnd"/>
      <w:r w:rsidR="00852F98" w:rsidRPr="009F337B">
        <w:rPr>
          <w:rFonts w:eastAsia="Times" w:cs="Arial"/>
          <w:szCs w:val="20"/>
          <w:lang w:val="en-US"/>
        </w:rPr>
        <w:t xml:space="preserve"> de la </w:t>
      </w:r>
      <w:proofErr w:type="spellStart"/>
      <w:r w:rsidR="00852F98" w:rsidRPr="009F337B">
        <w:rPr>
          <w:rFonts w:eastAsia="Times" w:cs="Arial"/>
          <w:szCs w:val="20"/>
          <w:lang w:val="en-US"/>
        </w:rPr>
        <w:t>compé</w:t>
      </w:r>
      <w:r w:rsidR="00F46845" w:rsidRPr="009F337B">
        <w:rPr>
          <w:rFonts w:eastAsia="Times" w:cs="Arial"/>
          <w:szCs w:val="20"/>
          <w:lang w:val="en-US"/>
        </w:rPr>
        <w:t>tence</w:t>
      </w:r>
      <w:proofErr w:type="spellEnd"/>
      <w:r w:rsidR="00F46845" w:rsidRPr="009F337B">
        <w:rPr>
          <w:rFonts w:eastAsia="Times" w:cs="Arial"/>
          <w:i w:val="0"/>
          <w:szCs w:val="20"/>
          <w:lang w:val="en-US"/>
        </w:rPr>
        <w:t xml:space="preserve">) </w:t>
      </w:r>
      <w:r w:rsidR="008E648D" w:rsidRPr="009F337B">
        <w:rPr>
          <w:rFonts w:eastAsia="Times" w:cs="Arial"/>
          <w:i w:val="0"/>
          <w:szCs w:val="20"/>
          <w:lang w:val="en-US"/>
        </w:rPr>
        <w:t>and, also</w:t>
      </w:r>
      <w:r w:rsidR="00F46845" w:rsidRPr="009F337B">
        <w:rPr>
          <w:rFonts w:eastAsia="Times" w:cs="Arial"/>
          <w:i w:val="0"/>
          <w:szCs w:val="20"/>
          <w:lang w:val="en-US"/>
        </w:rPr>
        <w:t>, “</w:t>
      </w:r>
      <w:r w:rsidR="008E648D" w:rsidRPr="009F337B">
        <w:rPr>
          <w:rFonts w:eastAsia="Times" w:cs="Arial"/>
          <w:i w:val="0"/>
          <w:szCs w:val="20"/>
          <w:lang w:val="en-US"/>
        </w:rPr>
        <w:t>that</w:t>
      </w:r>
      <w:r w:rsidR="00F46845" w:rsidRPr="009F337B">
        <w:rPr>
          <w:rFonts w:eastAsia="Times" w:cs="Arial"/>
          <w:i w:val="0"/>
          <w:szCs w:val="20"/>
          <w:lang w:val="en-US"/>
        </w:rPr>
        <w:t xml:space="preserve"> </w:t>
      </w:r>
      <w:r w:rsidR="00AE5F9E" w:rsidRPr="009F337B">
        <w:rPr>
          <w:rFonts w:eastAsia="Times" w:cs="Arial"/>
          <w:i w:val="0"/>
          <w:szCs w:val="20"/>
          <w:lang w:val="en-US"/>
        </w:rPr>
        <w:t>the Court</w:t>
      </w:r>
      <w:r w:rsidR="00F46845" w:rsidRPr="009F337B">
        <w:rPr>
          <w:rFonts w:eastAsia="Times" w:cs="Arial"/>
          <w:i w:val="0"/>
          <w:szCs w:val="20"/>
          <w:lang w:val="en-US"/>
        </w:rPr>
        <w:t xml:space="preserve"> </w:t>
      </w:r>
      <w:r w:rsidR="008E648D" w:rsidRPr="009F337B">
        <w:rPr>
          <w:rFonts w:eastAsia="Times" w:cs="Arial"/>
          <w:i w:val="0"/>
          <w:szCs w:val="20"/>
          <w:lang w:val="en-US"/>
        </w:rPr>
        <w:t xml:space="preserve">must take into account that the instruments accepting the optional clause on obligatory jurisdiction </w:t>
      </w:r>
      <w:r w:rsidR="00F46845" w:rsidRPr="009F337B">
        <w:rPr>
          <w:rFonts w:eastAsia="Times" w:cs="Arial"/>
          <w:i w:val="0"/>
          <w:szCs w:val="20"/>
          <w:lang w:val="en-US"/>
        </w:rPr>
        <w:t>(</w:t>
      </w:r>
      <w:r w:rsidR="00AE5F9E" w:rsidRPr="009F337B">
        <w:rPr>
          <w:rFonts w:eastAsia="Times" w:cs="Arial"/>
          <w:i w:val="0"/>
          <w:szCs w:val="20"/>
          <w:lang w:val="en-US"/>
        </w:rPr>
        <w:t>Article</w:t>
      </w:r>
      <w:r w:rsidR="00F46845" w:rsidRPr="009F337B">
        <w:rPr>
          <w:rFonts w:eastAsia="Times" w:cs="Arial"/>
          <w:i w:val="0"/>
          <w:szCs w:val="20"/>
          <w:lang w:val="en-US"/>
        </w:rPr>
        <w:t xml:space="preserve"> 62</w:t>
      </w:r>
      <w:r w:rsidR="008E648D" w:rsidRPr="009F337B">
        <w:rPr>
          <w:rFonts w:eastAsia="Times" w:cs="Arial"/>
          <w:i w:val="0"/>
          <w:szCs w:val="20"/>
          <w:lang w:val="en-US"/>
        </w:rPr>
        <w:t>(1)</w:t>
      </w:r>
      <w:r w:rsidR="00AE5F9E" w:rsidRPr="009F337B">
        <w:rPr>
          <w:rFonts w:eastAsia="Times" w:cs="Arial"/>
          <w:i w:val="0"/>
          <w:szCs w:val="20"/>
          <w:lang w:val="en-US"/>
        </w:rPr>
        <w:t xml:space="preserve"> of the Convention</w:t>
      </w:r>
      <w:r w:rsidR="00F46845" w:rsidRPr="009F337B">
        <w:rPr>
          <w:rFonts w:eastAsia="Times" w:cs="Arial"/>
          <w:i w:val="0"/>
          <w:szCs w:val="20"/>
          <w:lang w:val="en-US"/>
        </w:rPr>
        <w:t>) presup</w:t>
      </w:r>
      <w:r w:rsidR="008E648D" w:rsidRPr="009F337B">
        <w:rPr>
          <w:rFonts w:eastAsia="Times" w:cs="Arial"/>
          <w:i w:val="0"/>
          <w:szCs w:val="20"/>
          <w:lang w:val="en-US"/>
        </w:rPr>
        <w:t>pose the acceptance by the States that present them of the right of the Court to decide any dispute relating to its jurisdiction.</w:t>
      </w:r>
      <w:r w:rsidR="00F46845" w:rsidRPr="009F337B">
        <w:rPr>
          <w:rFonts w:eastAsia="Times" w:cs="Arial"/>
          <w:i w:val="0"/>
          <w:szCs w:val="20"/>
          <w:lang w:val="en-US"/>
        </w:rPr>
        <w:t>”</w:t>
      </w:r>
      <w:r w:rsidR="00F46845" w:rsidRPr="009F337B">
        <w:rPr>
          <w:rStyle w:val="Refdenotaalpie"/>
          <w:rFonts w:eastAsia="Times"/>
          <w:i w:val="0"/>
          <w:lang w:val="en-US"/>
        </w:rPr>
        <w:footnoteReference w:id="85"/>
      </w:r>
    </w:p>
    <w:p w14:paraId="5FDFEF96" w14:textId="77777777" w:rsidR="00E92CA8" w:rsidRPr="009F337B" w:rsidRDefault="00E92CA8" w:rsidP="00E92CA8">
      <w:pPr>
        <w:pStyle w:val="Estilo1"/>
        <w:tabs>
          <w:tab w:val="left" w:pos="709"/>
          <w:tab w:val="left" w:pos="1134"/>
        </w:tabs>
        <w:spacing w:after="0"/>
        <w:ind w:left="0" w:right="-4" w:firstLine="0"/>
        <w:rPr>
          <w:rFonts w:eastAsia="Times" w:cs="Arial"/>
          <w:i w:val="0"/>
          <w:szCs w:val="20"/>
          <w:lang w:val="en-US"/>
        </w:rPr>
      </w:pPr>
    </w:p>
    <w:p w14:paraId="1A552F01" w14:textId="74E82233" w:rsidR="00F46845" w:rsidRPr="009F337B" w:rsidRDefault="003260DC" w:rsidP="00593E37">
      <w:pPr>
        <w:pStyle w:val="Estilo1"/>
        <w:numPr>
          <w:ilvl w:val="0"/>
          <w:numId w:val="1"/>
        </w:numPr>
        <w:tabs>
          <w:tab w:val="left" w:pos="709"/>
          <w:tab w:val="left" w:pos="1134"/>
        </w:tabs>
        <w:spacing w:after="0"/>
        <w:ind w:left="0" w:right="-4" w:firstLine="0"/>
        <w:rPr>
          <w:rFonts w:eastAsia="Times" w:cs="Arial"/>
          <w:i w:val="0"/>
          <w:szCs w:val="20"/>
          <w:lang w:val="en-US"/>
        </w:rPr>
      </w:pPr>
      <w:r w:rsidRPr="009F337B">
        <w:rPr>
          <w:rFonts w:eastAsia="Times" w:cs="Arial"/>
          <w:i w:val="0"/>
          <w:szCs w:val="20"/>
          <w:lang w:val="en-US"/>
        </w:rPr>
        <w:t>Despite the foregoing, the Court recognizes that a systematic interpretation</w:t>
      </w:r>
      <w:r w:rsidR="00F46845" w:rsidRPr="009F337B">
        <w:rPr>
          <w:rFonts w:eastAsia="Times" w:cs="Arial"/>
          <w:i w:val="0"/>
          <w:szCs w:val="20"/>
          <w:lang w:val="en-US"/>
        </w:rPr>
        <w:t xml:space="preserve"> </w:t>
      </w:r>
      <w:r w:rsidR="003C46A3" w:rsidRPr="009F337B">
        <w:rPr>
          <w:rFonts w:eastAsia="Times" w:cs="Arial"/>
          <w:i w:val="0"/>
          <w:szCs w:val="20"/>
          <w:lang w:val="en-US"/>
        </w:rPr>
        <w:t>of Article</w:t>
      </w:r>
      <w:r w:rsidR="00F46845" w:rsidRPr="009F337B">
        <w:rPr>
          <w:rFonts w:eastAsia="Times" w:cs="Arial"/>
          <w:i w:val="0"/>
          <w:szCs w:val="20"/>
          <w:lang w:val="en-US"/>
        </w:rPr>
        <w:t xml:space="preserve"> 26</w:t>
      </w:r>
      <w:r w:rsidR="00AE5F9E" w:rsidRPr="009F337B">
        <w:rPr>
          <w:rFonts w:eastAsia="Times" w:cs="Arial"/>
          <w:i w:val="0"/>
          <w:szCs w:val="20"/>
          <w:lang w:val="en-US"/>
        </w:rPr>
        <w:t xml:space="preserve"> of the Convention</w:t>
      </w:r>
      <w:r w:rsidR="00F46845" w:rsidRPr="009F337B">
        <w:rPr>
          <w:rFonts w:eastAsia="Times" w:cs="Arial"/>
          <w:i w:val="0"/>
          <w:szCs w:val="20"/>
          <w:lang w:val="en-US"/>
        </w:rPr>
        <w:t xml:space="preserve"> </w:t>
      </w:r>
      <w:r w:rsidRPr="009F337B">
        <w:rPr>
          <w:rFonts w:eastAsia="Times" w:cs="Arial"/>
          <w:i w:val="0"/>
          <w:szCs w:val="20"/>
          <w:lang w:val="en-US"/>
        </w:rPr>
        <w:t xml:space="preserve">signifies </w:t>
      </w:r>
      <w:r w:rsidR="009412F3">
        <w:rPr>
          <w:rFonts w:eastAsia="Times" w:cs="Arial"/>
          <w:i w:val="0"/>
          <w:szCs w:val="20"/>
          <w:lang w:val="en-US"/>
        </w:rPr>
        <w:t>respecting</w:t>
      </w:r>
      <w:r w:rsidRPr="009F337B">
        <w:rPr>
          <w:rFonts w:eastAsia="Times" w:cs="Arial"/>
          <w:i w:val="0"/>
          <w:szCs w:val="20"/>
          <w:lang w:val="en-US"/>
        </w:rPr>
        <w:t xml:space="preserve"> the limits of the Court’s </w:t>
      </w:r>
      <w:r w:rsidR="00712752">
        <w:rPr>
          <w:rFonts w:eastAsia="Times" w:cs="Arial"/>
          <w:i w:val="0"/>
          <w:szCs w:val="20"/>
          <w:lang w:val="en-US"/>
        </w:rPr>
        <w:t>jurisdiction</w:t>
      </w:r>
      <w:r w:rsidRPr="009F337B">
        <w:rPr>
          <w:rFonts w:eastAsia="Times" w:cs="Arial"/>
          <w:i w:val="0"/>
          <w:szCs w:val="20"/>
          <w:lang w:val="en-US"/>
        </w:rPr>
        <w:t xml:space="preserve"> in relation to other instruments of the inter-American system that refer to the </w:t>
      </w:r>
      <w:r w:rsidR="00CC5BF5" w:rsidRPr="009F337B">
        <w:rPr>
          <w:rFonts w:eastAsia="Times" w:cs="Arial"/>
          <w:i w:val="0"/>
          <w:szCs w:val="20"/>
          <w:lang w:val="en-US"/>
        </w:rPr>
        <w:t>ESCER</w:t>
      </w:r>
      <w:r w:rsidR="00F46845" w:rsidRPr="009F337B">
        <w:rPr>
          <w:rFonts w:eastAsia="Times" w:cs="Arial"/>
          <w:i w:val="0"/>
          <w:szCs w:val="20"/>
          <w:lang w:val="en-US"/>
        </w:rPr>
        <w:t xml:space="preserve">. </w:t>
      </w:r>
      <w:r w:rsidRPr="009F337B">
        <w:rPr>
          <w:rFonts w:eastAsia="Times" w:cs="Arial"/>
          <w:i w:val="0"/>
          <w:szCs w:val="20"/>
          <w:lang w:val="en-US"/>
        </w:rPr>
        <w:t>In this regard, the Court notes the tension</w:t>
      </w:r>
      <w:r w:rsidR="00472467" w:rsidRPr="009F337B">
        <w:rPr>
          <w:rFonts w:eastAsia="Times" w:cs="Arial"/>
          <w:i w:val="0"/>
          <w:szCs w:val="20"/>
          <w:lang w:val="en-US"/>
        </w:rPr>
        <w:t>s</w:t>
      </w:r>
      <w:r w:rsidRPr="009F337B">
        <w:rPr>
          <w:rFonts w:eastAsia="Times" w:cs="Arial"/>
          <w:i w:val="0"/>
          <w:szCs w:val="20"/>
          <w:lang w:val="en-US"/>
        </w:rPr>
        <w:t xml:space="preserve"> that may exist as regards the Court’s competence to examine violations of rights derived from </w:t>
      </w:r>
      <w:r w:rsidR="00664AA6" w:rsidRPr="009F337B">
        <w:rPr>
          <w:rFonts w:eastAsia="Times" w:cs="Arial"/>
          <w:i w:val="0"/>
          <w:szCs w:val="20"/>
          <w:lang w:val="en-US"/>
        </w:rPr>
        <w:t>the OAS Charter</w:t>
      </w:r>
      <w:r w:rsidR="00F46845" w:rsidRPr="009F337B">
        <w:rPr>
          <w:rFonts w:eastAsia="Times" w:cs="Arial"/>
          <w:i w:val="0"/>
          <w:szCs w:val="20"/>
          <w:lang w:val="en-US"/>
        </w:rPr>
        <w:t xml:space="preserve">, </w:t>
      </w:r>
      <w:r w:rsidRPr="009F337B">
        <w:rPr>
          <w:rFonts w:eastAsia="Times" w:cs="Arial"/>
          <w:i w:val="0"/>
          <w:szCs w:val="20"/>
          <w:lang w:val="en-US"/>
        </w:rPr>
        <w:t xml:space="preserve">by application of </w:t>
      </w:r>
      <w:r w:rsidR="00AE5F9E" w:rsidRPr="009F337B">
        <w:rPr>
          <w:rFonts w:eastAsia="Times" w:cs="Arial"/>
          <w:i w:val="0"/>
          <w:szCs w:val="20"/>
          <w:lang w:val="en-US"/>
        </w:rPr>
        <w:t>Articles</w:t>
      </w:r>
      <w:r w:rsidR="00F46845" w:rsidRPr="009F337B">
        <w:rPr>
          <w:rFonts w:eastAsia="Times" w:cs="Arial"/>
          <w:i w:val="0"/>
          <w:szCs w:val="20"/>
          <w:lang w:val="en-US"/>
        </w:rPr>
        <w:t xml:space="preserve"> 26,</w:t>
      </w:r>
      <w:r w:rsidR="003C46A3" w:rsidRPr="009F337B">
        <w:rPr>
          <w:rFonts w:eastAsia="Times" w:cs="Arial"/>
          <w:i w:val="0"/>
          <w:szCs w:val="20"/>
          <w:lang w:val="en-US"/>
        </w:rPr>
        <w:t xml:space="preserve"> 1(1)</w:t>
      </w:r>
      <w:r w:rsidR="00F46845" w:rsidRPr="009F337B">
        <w:rPr>
          <w:rFonts w:eastAsia="Times" w:cs="Arial"/>
          <w:i w:val="0"/>
          <w:szCs w:val="20"/>
          <w:lang w:val="en-US"/>
        </w:rPr>
        <w:t>, 2, 62</w:t>
      </w:r>
      <w:r w:rsidR="003C46A3" w:rsidRPr="009F337B">
        <w:rPr>
          <w:rFonts w:eastAsia="Times" w:cs="Arial"/>
          <w:i w:val="0"/>
          <w:szCs w:val="20"/>
          <w:lang w:val="en-US"/>
        </w:rPr>
        <w:t xml:space="preserve"> and </w:t>
      </w:r>
      <w:r w:rsidR="00F46845" w:rsidRPr="009F337B">
        <w:rPr>
          <w:rFonts w:eastAsia="Times" w:cs="Arial"/>
          <w:i w:val="0"/>
          <w:szCs w:val="20"/>
          <w:lang w:val="en-US"/>
        </w:rPr>
        <w:t>63</w:t>
      </w:r>
      <w:r w:rsidR="00AE5F9E" w:rsidRPr="009F337B">
        <w:rPr>
          <w:rFonts w:eastAsia="Times" w:cs="Arial"/>
          <w:i w:val="0"/>
          <w:szCs w:val="20"/>
          <w:lang w:val="en-US"/>
        </w:rPr>
        <w:t xml:space="preserve"> of the Convention</w:t>
      </w:r>
      <w:r w:rsidR="00F46845" w:rsidRPr="009F337B">
        <w:rPr>
          <w:rFonts w:eastAsia="Times" w:cs="Arial"/>
          <w:i w:val="0"/>
          <w:szCs w:val="20"/>
          <w:lang w:val="en-US"/>
        </w:rPr>
        <w:t>,</w:t>
      </w:r>
      <w:r w:rsidR="003C46A3" w:rsidRPr="009F337B">
        <w:rPr>
          <w:rFonts w:eastAsia="Times" w:cs="Arial"/>
          <w:i w:val="0"/>
          <w:szCs w:val="20"/>
          <w:lang w:val="en-US"/>
        </w:rPr>
        <w:t xml:space="preserve"> and </w:t>
      </w:r>
      <w:r w:rsidRPr="009F337B">
        <w:rPr>
          <w:rFonts w:eastAsia="Times" w:cs="Arial"/>
          <w:i w:val="0"/>
          <w:szCs w:val="20"/>
          <w:lang w:val="en-US"/>
        </w:rPr>
        <w:t xml:space="preserve">the competence recognized by </w:t>
      </w:r>
      <w:r w:rsidR="00AE5F9E" w:rsidRPr="009F337B">
        <w:rPr>
          <w:rFonts w:eastAsia="Times" w:cs="Arial"/>
          <w:i w:val="0"/>
          <w:szCs w:val="20"/>
          <w:lang w:val="en-US"/>
        </w:rPr>
        <w:t>Article</w:t>
      </w:r>
      <w:r w:rsidR="00F46845" w:rsidRPr="009F337B">
        <w:rPr>
          <w:rFonts w:eastAsia="Times" w:cs="Arial"/>
          <w:i w:val="0"/>
          <w:szCs w:val="20"/>
          <w:lang w:val="en-US"/>
        </w:rPr>
        <w:t xml:space="preserve"> 19</w:t>
      </w:r>
      <w:r w:rsidRPr="009F337B">
        <w:rPr>
          <w:rFonts w:eastAsia="Times" w:cs="Arial"/>
          <w:i w:val="0"/>
          <w:szCs w:val="20"/>
          <w:lang w:val="en-US"/>
        </w:rPr>
        <w:t>(6)</w:t>
      </w:r>
      <w:r w:rsidR="00F46845" w:rsidRPr="009F337B">
        <w:rPr>
          <w:rFonts w:eastAsia="Times" w:cs="Arial"/>
          <w:i w:val="0"/>
          <w:szCs w:val="20"/>
          <w:lang w:val="en-US"/>
        </w:rPr>
        <w:t xml:space="preserve"> </w:t>
      </w:r>
      <w:r w:rsidRPr="009F337B">
        <w:rPr>
          <w:rFonts w:eastAsia="Times" w:cs="Arial"/>
          <w:i w:val="0"/>
          <w:szCs w:val="20"/>
          <w:lang w:val="en-US"/>
        </w:rPr>
        <w:t xml:space="preserve">of the </w:t>
      </w:r>
      <w:r w:rsidR="008C399E" w:rsidRPr="009F337B">
        <w:rPr>
          <w:rFonts w:eastAsia="Times" w:cs="Arial"/>
          <w:i w:val="0"/>
          <w:szCs w:val="20"/>
          <w:lang w:val="en-US"/>
        </w:rPr>
        <w:t>Protocol of</w:t>
      </w:r>
      <w:r w:rsidR="00F46845" w:rsidRPr="009F337B">
        <w:rPr>
          <w:rFonts w:eastAsia="Times" w:cs="Arial"/>
          <w:i w:val="0"/>
          <w:szCs w:val="20"/>
          <w:lang w:val="en-US"/>
        </w:rPr>
        <w:t xml:space="preserve"> </w:t>
      </w:r>
      <w:r w:rsidR="00F46845" w:rsidRPr="009F337B">
        <w:rPr>
          <w:rFonts w:eastAsia="Times" w:cs="Arial"/>
          <w:i w:val="0"/>
          <w:szCs w:val="20"/>
          <w:lang w:val="en-US"/>
        </w:rPr>
        <w:lastRenderedPageBreak/>
        <w:t>San Salvador</w:t>
      </w:r>
      <w:r w:rsidRPr="009F337B">
        <w:rPr>
          <w:rFonts w:eastAsia="Times" w:cs="Arial"/>
          <w:i w:val="0"/>
          <w:szCs w:val="20"/>
          <w:lang w:val="en-US"/>
        </w:rPr>
        <w:t>.</w:t>
      </w:r>
      <w:r w:rsidR="00F46845" w:rsidRPr="009F337B">
        <w:rPr>
          <w:rStyle w:val="Refdenotaalpie"/>
          <w:rFonts w:eastAsia="Times"/>
          <w:i w:val="0"/>
          <w:lang w:val="en-US"/>
        </w:rPr>
        <w:footnoteReference w:id="86"/>
      </w:r>
      <w:r w:rsidRPr="009F337B">
        <w:rPr>
          <w:rFonts w:eastAsia="Times" w:cs="Arial"/>
          <w:i w:val="0"/>
          <w:szCs w:val="20"/>
          <w:lang w:val="en-US"/>
        </w:rPr>
        <w:t xml:space="preserve"> Indeed, the latter instrument stipulates that </w:t>
      </w:r>
      <w:r w:rsidR="00472467" w:rsidRPr="009F337B">
        <w:rPr>
          <w:rFonts w:eastAsia="Times" w:cs="Arial"/>
          <w:i w:val="0"/>
          <w:szCs w:val="20"/>
          <w:lang w:val="en-US"/>
        </w:rPr>
        <w:t>“any instance in which</w:t>
      </w:r>
      <w:r w:rsidRPr="009F337B">
        <w:rPr>
          <w:rFonts w:eastAsia="Times" w:cs="Arial"/>
          <w:i w:val="0"/>
          <w:szCs w:val="20"/>
          <w:lang w:val="en-US"/>
        </w:rPr>
        <w:t xml:space="preserve"> the rights </w:t>
      </w:r>
      <w:r w:rsidR="00472467" w:rsidRPr="009F337B">
        <w:rPr>
          <w:rFonts w:eastAsia="Times" w:cs="Arial"/>
          <w:i w:val="0"/>
          <w:szCs w:val="20"/>
          <w:lang w:val="en-US"/>
        </w:rPr>
        <w:t>established</w:t>
      </w:r>
      <w:r w:rsidRPr="009F337B">
        <w:rPr>
          <w:rFonts w:eastAsia="Times" w:cs="Arial"/>
          <w:i w:val="0"/>
          <w:szCs w:val="20"/>
          <w:lang w:val="en-US"/>
        </w:rPr>
        <w:t xml:space="preserve"> in paragraph (a) </w:t>
      </w:r>
      <w:r w:rsidR="003C46A3" w:rsidRPr="009F337B">
        <w:rPr>
          <w:rFonts w:eastAsia="Times" w:cs="Arial"/>
          <w:i w:val="0"/>
          <w:szCs w:val="20"/>
          <w:lang w:val="en-US"/>
        </w:rPr>
        <w:t>of Article</w:t>
      </w:r>
      <w:r w:rsidR="00F46845" w:rsidRPr="009F337B">
        <w:rPr>
          <w:rFonts w:eastAsia="Times" w:cs="Arial"/>
          <w:i w:val="0"/>
          <w:szCs w:val="20"/>
          <w:lang w:val="en-US"/>
        </w:rPr>
        <w:t xml:space="preserve"> 8</w:t>
      </w:r>
      <w:r w:rsidR="003C46A3" w:rsidRPr="009F337B">
        <w:rPr>
          <w:rFonts w:eastAsia="Times" w:cs="Arial"/>
          <w:i w:val="0"/>
          <w:szCs w:val="20"/>
          <w:lang w:val="en-US"/>
        </w:rPr>
        <w:t xml:space="preserve"> and </w:t>
      </w:r>
      <w:r w:rsidRPr="009F337B">
        <w:rPr>
          <w:rFonts w:eastAsia="Times" w:cs="Arial"/>
          <w:i w:val="0"/>
          <w:szCs w:val="20"/>
          <w:lang w:val="en-US"/>
        </w:rPr>
        <w:t>i</w:t>
      </w:r>
      <w:r w:rsidR="00F46845" w:rsidRPr="009F337B">
        <w:rPr>
          <w:rFonts w:eastAsia="Times" w:cs="Arial"/>
          <w:i w:val="0"/>
          <w:szCs w:val="20"/>
          <w:lang w:val="en-US"/>
        </w:rPr>
        <w:t xml:space="preserve">n </w:t>
      </w:r>
      <w:r w:rsidR="00AE5F9E" w:rsidRPr="009F337B">
        <w:rPr>
          <w:rFonts w:eastAsia="Times" w:cs="Arial"/>
          <w:i w:val="0"/>
          <w:szCs w:val="20"/>
          <w:lang w:val="en-US"/>
        </w:rPr>
        <w:t>Article</w:t>
      </w:r>
      <w:r w:rsidR="00F46845" w:rsidRPr="009F337B">
        <w:rPr>
          <w:rFonts w:eastAsia="Times" w:cs="Arial"/>
          <w:i w:val="0"/>
          <w:szCs w:val="20"/>
          <w:lang w:val="en-US"/>
        </w:rPr>
        <w:t xml:space="preserve"> 13 </w:t>
      </w:r>
      <w:r w:rsidR="00472467" w:rsidRPr="009F337B">
        <w:rPr>
          <w:rFonts w:eastAsia="Times" w:cs="Arial"/>
          <w:i w:val="0"/>
          <w:szCs w:val="20"/>
          <w:lang w:val="en-US"/>
        </w:rPr>
        <w:t>[</w:t>
      </w:r>
      <w:r w:rsidRPr="009F337B">
        <w:rPr>
          <w:rFonts w:eastAsia="Times" w:cs="Arial"/>
          <w:i w:val="0"/>
          <w:szCs w:val="20"/>
          <w:lang w:val="en-US"/>
        </w:rPr>
        <w:t>of the Protocol</w:t>
      </w:r>
      <w:r w:rsidR="00472467" w:rsidRPr="009F337B">
        <w:rPr>
          <w:rFonts w:eastAsia="Times" w:cs="Arial"/>
          <w:i w:val="0"/>
          <w:szCs w:val="20"/>
          <w:lang w:val="en-US"/>
        </w:rPr>
        <w:t>] are</w:t>
      </w:r>
      <w:r w:rsidRPr="009F337B">
        <w:rPr>
          <w:rFonts w:eastAsia="Times" w:cs="Arial"/>
          <w:i w:val="0"/>
          <w:szCs w:val="20"/>
          <w:lang w:val="en-US"/>
        </w:rPr>
        <w:t xml:space="preserve"> violated by </w:t>
      </w:r>
      <w:r w:rsidR="00472467" w:rsidRPr="009F337B">
        <w:rPr>
          <w:rFonts w:eastAsia="Times" w:cs="Arial"/>
          <w:i w:val="0"/>
          <w:szCs w:val="20"/>
          <w:lang w:val="en-US"/>
        </w:rPr>
        <w:t>action directly attributable</w:t>
      </w:r>
      <w:r w:rsidRPr="009F337B">
        <w:rPr>
          <w:rFonts w:eastAsia="Times" w:cs="Arial"/>
          <w:i w:val="0"/>
          <w:szCs w:val="20"/>
          <w:lang w:val="en-US"/>
        </w:rPr>
        <w:t xml:space="preserve"> to </w:t>
      </w:r>
      <w:r w:rsidR="00472467" w:rsidRPr="009F337B">
        <w:rPr>
          <w:rFonts w:eastAsia="Times" w:cs="Arial"/>
          <w:i w:val="0"/>
          <w:szCs w:val="20"/>
          <w:lang w:val="en-US"/>
        </w:rPr>
        <w:t>a</w:t>
      </w:r>
      <w:r w:rsidRPr="009F337B">
        <w:rPr>
          <w:rFonts w:eastAsia="Times" w:cs="Arial"/>
          <w:i w:val="0"/>
          <w:szCs w:val="20"/>
          <w:lang w:val="en-US"/>
        </w:rPr>
        <w:t xml:space="preserve"> State Party</w:t>
      </w:r>
      <w:r w:rsidR="00472467" w:rsidRPr="009F337B">
        <w:rPr>
          <w:rFonts w:eastAsia="Times" w:cs="Arial"/>
          <w:i w:val="0"/>
          <w:szCs w:val="20"/>
          <w:lang w:val="en-US"/>
        </w:rPr>
        <w:t xml:space="preserve"> […] may give rise […] to </w:t>
      </w:r>
      <w:r w:rsidRPr="009F337B">
        <w:rPr>
          <w:rFonts w:eastAsia="Times" w:cs="Arial"/>
          <w:i w:val="0"/>
          <w:szCs w:val="20"/>
          <w:lang w:val="en-US"/>
        </w:rPr>
        <w:t xml:space="preserve">application of the system of individual petitions </w:t>
      </w:r>
      <w:r w:rsidR="00472467" w:rsidRPr="009F337B">
        <w:rPr>
          <w:rFonts w:eastAsia="Times" w:cs="Arial"/>
          <w:i w:val="0"/>
          <w:szCs w:val="20"/>
          <w:lang w:val="en-US"/>
        </w:rPr>
        <w:t>governed</w:t>
      </w:r>
      <w:r w:rsidRPr="009F337B">
        <w:rPr>
          <w:rFonts w:eastAsia="Times" w:cs="Arial"/>
          <w:i w:val="0"/>
          <w:szCs w:val="20"/>
          <w:lang w:val="en-US"/>
        </w:rPr>
        <w:t xml:space="preserve"> by</w:t>
      </w:r>
      <w:r w:rsidR="00F46845" w:rsidRPr="009F337B">
        <w:rPr>
          <w:rFonts w:eastAsia="Times" w:cs="Arial"/>
          <w:i w:val="0"/>
          <w:szCs w:val="20"/>
          <w:lang w:val="en-US"/>
        </w:rPr>
        <w:t xml:space="preserve"> </w:t>
      </w:r>
      <w:r w:rsidR="00AE5F9E" w:rsidRPr="009F337B">
        <w:rPr>
          <w:rFonts w:eastAsia="Times" w:cs="Arial"/>
          <w:i w:val="0"/>
          <w:szCs w:val="20"/>
          <w:lang w:val="en-US"/>
        </w:rPr>
        <w:t>Articles</w:t>
      </w:r>
      <w:r w:rsidR="00F46845" w:rsidRPr="009F337B">
        <w:rPr>
          <w:rFonts w:eastAsia="Times" w:cs="Arial"/>
          <w:i w:val="0"/>
          <w:szCs w:val="20"/>
          <w:lang w:val="en-US"/>
        </w:rPr>
        <w:t xml:space="preserve"> 44 </w:t>
      </w:r>
      <w:r w:rsidRPr="009F337B">
        <w:rPr>
          <w:rFonts w:eastAsia="Times" w:cs="Arial"/>
          <w:i w:val="0"/>
          <w:szCs w:val="20"/>
          <w:lang w:val="en-US"/>
        </w:rPr>
        <w:t>to</w:t>
      </w:r>
      <w:r w:rsidR="00F46845" w:rsidRPr="009F337B">
        <w:rPr>
          <w:rFonts w:eastAsia="Times" w:cs="Arial"/>
          <w:i w:val="0"/>
          <w:szCs w:val="20"/>
          <w:lang w:val="en-US"/>
        </w:rPr>
        <w:t xml:space="preserve"> 51</w:t>
      </w:r>
      <w:r w:rsidR="003C46A3" w:rsidRPr="009F337B">
        <w:rPr>
          <w:rFonts w:eastAsia="Times" w:cs="Arial"/>
          <w:i w:val="0"/>
          <w:szCs w:val="20"/>
          <w:lang w:val="en-US"/>
        </w:rPr>
        <w:t xml:space="preserve"> and </w:t>
      </w:r>
      <w:r w:rsidR="00F46845" w:rsidRPr="009F337B">
        <w:rPr>
          <w:rFonts w:eastAsia="Times" w:cs="Arial"/>
          <w:i w:val="0"/>
          <w:szCs w:val="20"/>
          <w:lang w:val="en-US"/>
        </w:rPr>
        <w:t xml:space="preserve">61 </w:t>
      </w:r>
      <w:r w:rsidRPr="009F337B">
        <w:rPr>
          <w:rFonts w:eastAsia="Times" w:cs="Arial"/>
          <w:i w:val="0"/>
          <w:szCs w:val="20"/>
          <w:lang w:val="en-US"/>
        </w:rPr>
        <w:t>t</w:t>
      </w:r>
      <w:r w:rsidR="00472467" w:rsidRPr="009F337B">
        <w:rPr>
          <w:rFonts w:eastAsia="Times" w:cs="Arial"/>
          <w:i w:val="0"/>
          <w:szCs w:val="20"/>
          <w:lang w:val="en-US"/>
        </w:rPr>
        <w:t>hrough</w:t>
      </w:r>
      <w:r w:rsidR="00F46845" w:rsidRPr="009F337B">
        <w:rPr>
          <w:rFonts w:eastAsia="Times" w:cs="Arial"/>
          <w:i w:val="0"/>
          <w:szCs w:val="20"/>
          <w:lang w:val="en-US"/>
        </w:rPr>
        <w:t xml:space="preserve"> 69</w:t>
      </w:r>
      <w:r w:rsidR="00AE5F9E" w:rsidRPr="009F337B">
        <w:rPr>
          <w:rFonts w:eastAsia="Times" w:cs="Arial"/>
          <w:i w:val="0"/>
          <w:szCs w:val="20"/>
          <w:lang w:val="en-US"/>
        </w:rPr>
        <w:t xml:space="preserve"> of the American Convention</w:t>
      </w:r>
      <w:r w:rsidR="00F46845" w:rsidRPr="009F337B">
        <w:rPr>
          <w:rFonts w:eastAsia="Times" w:cs="Arial"/>
          <w:i w:val="0"/>
          <w:szCs w:val="20"/>
          <w:lang w:val="en-US"/>
        </w:rPr>
        <w:t>.</w:t>
      </w:r>
      <w:r w:rsidR="00472467" w:rsidRPr="009F337B">
        <w:rPr>
          <w:rFonts w:eastAsia="Times" w:cs="Arial"/>
          <w:i w:val="0"/>
          <w:szCs w:val="20"/>
          <w:lang w:val="en-US"/>
        </w:rPr>
        <w:t>”</w:t>
      </w:r>
      <w:r w:rsidR="00F46845" w:rsidRPr="009F337B">
        <w:rPr>
          <w:rFonts w:eastAsia="Times" w:cs="Arial"/>
          <w:i w:val="0"/>
          <w:szCs w:val="20"/>
          <w:lang w:val="en-US"/>
        </w:rPr>
        <w:t xml:space="preserve"> </w:t>
      </w:r>
      <w:r w:rsidRPr="009F337B">
        <w:rPr>
          <w:rFonts w:eastAsia="Times" w:cs="Arial"/>
          <w:i w:val="0"/>
          <w:szCs w:val="20"/>
          <w:lang w:val="en-US"/>
        </w:rPr>
        <w:t xml:space="preserve">There can be no doubt that the intention of the States as regards the Court’s competence to rule on violations of the </w:t>
      </w:r>
      <w:r w:rsidR="008C399E" w:rsidRPr="009F337B">
        <w:rPr>
          <w:rFonts w:eastAsia="Times" w:cs="Arial"/>
          <w:i w:val="0"/>
          <w:szCs w:val="20"/>
          <w:lang w:val="en-US"/>
        </w:rPr>
        <w:t>Protocol of</w:t>
      </w:r>
      <w:r w:rsidR="00F46845" w:rsidRPr="009F337B">
        <w:rPr>
          <w:rFonts w:eastAsia="Times" w:cs="Arial"/>
          <w:i w:val="0"/>
          <w:szCs w:val="20"/>
          <w:lang w:val="en-US"/>
        </w:rPr>
        <w:t xml:space="preserve"> San Salvador </w:t>
      </w:r>
      <w:r w:rsidRPr="009F337B">
        <w:rPr>
          <w:rFonts w:eastAsia="Times" w:cs="Arial"/>
          <w:i w:val="0"/>
          <w:szCs w:val="20"/>
          <w:lang w:val="en-US"/>
        </w:rPr>
        <w:t>are restricted to trade union rights and the right to education.</w:t>
      </w:r>
    </w:p>
    <w:p w14:paraId="46AC57FA" w14:textId="77777777" w:rsidR="00E92CA8" w:rsidRPr="009F337B" w:rsidRDefault="00E92CA8" w:rsidP="00E92CA8">
      <w:pPr>
        <w:pStyle w:val="Estilo1"/>
        <w:tabs>
          <w:tab w:val="left" w:pos="709"/>
          <w:tab w:val="left" w:pos="1134"/>
        </w:tabs>
        <w:spacing w:after="0"/>
        <w:ind w:left="0" w:right="-4" w:firstLine="0"/>
        <w:rPr>
          <w:rFonts w:eastAsia="Times" w:cs="Arial"/>
          <w:i w:val="0"/>
          <w:szCs w:val="20"/>
          <w:lang w:val="en-US"/>
        </w:rPr>
      </w:pPr>
    </w:p>
    <w:p w14:paraId="79663CFB" w14:textId="5F2C5823" w:rsidR="00F46845" w:rsidRPr="009F337B" w:rsidRDefault="003260DC" w:rsidP="00593E37">
      <w:pPr>
        <w:pStyle w:val="Estilo1"/>
        <w:numPr>
          <w:ilvl w:val="0"/>
          <w:numId w:val="1"/>
        </w:numPr>
        <w:tabs>
          <w:tab w:val="left" w:pos="709"/>
          <w:tab w:val="left" w:pos="1134"/>
        </w:tabs>
        <w:spacing w:after="0"/>
        <w:ind w:left="0" w:right="-4" w:firstLine="0"/>
        <w:rPr>
          <w:rFonts w:eastAsia="Times" w:cs="Arial"/>
          <w:i w:val="0"/>
          <w:szCs w:val="20"/>
          <w:lang w:val="en-US"/>
        </w:rPr>
      </w:pPr>
      <w:r w:rsidRPr="009F337B">
        <w:rPr>
          <w:rFonts w:eastAsia="Times" w:cs="Arial"/>
          <w:i w:val="0"/>
          <w:szCs w:val="20"/>
          <w:lang w:val="en-US"/>
        </w:rPr>
        <w:t>Nevertheless</w:t>
      </w:r>
      <w:r w:rsidR="00F46845" w:rsidRPr="009F337B">
        <w:rPr>
          <w:rFonts w:eastAsia="Times" w:cs="Arial"/>
          <w:i w:val="0"/>
          <w:szCs w:val="20"/>
          <w:lang w:val="en-US"/>
        </w:rPr>
        <w:t xml:space="preserve">, </w:t>
      </w:r>
      <w:r w:rsidR="00AE5F9E" w:rsidRPr="009F337B">
        <w:rPr>
          <w:rFonts w:eastAsia="Times" w:cs="Arial"/>
          <w:i w:val="0"/>
          <w:szCs w:val="20"/>
          <w:lang w:val="en-US"/>
        </w:rPr>
        <w:t>the Court</w:t>
      </w:r>
      <w:r w:rsidR="00F46845" w:rsidRPr="009F337B">
        <w:rPr>
          <w:rFonts w:eastAsia="Times" w:cs="Arial"/>
          <w:i w:val="0"/>
          <w:szCs w:val="20"/>
          <w:lang w:val="en-US"/>
        </w:rPr>
        <w:t xml:space="preserve"> consider</w:t>
      </w:r>
      <w:r w:rsidRPr="009F337B">
        <w:rPr>
          <w:rFonts w:eastAsia="Times" w:cs="Arial"/>
          <w:i w:val="0"/>
          <w:szCs w:val="20"/>
          <w:lang w:val="en-US"/>
        </w:rPr>
        <w:t xml:space="preserve">s that the fact that </w:t>
      </w:r>
      <w:r w:rsidR="00AE5F9E" w:rsidRPr="009F337B">
        <w:rPr>
          <w:rFonts w:eastAsia="Times" w:cs="Arial"/>
          <w:i w:val="0"/>
          <w:szCs w:val="20"/>
          <w:lang w:val="en-US"/>
        </w:rPr>
        <w:t>Article</w:t>
      </w:r>
      <w:r w:rsidR="00F46845" w:rsidRPr="009F337B">
        <w:rPr>
          <w:rFonts w:eastAsia="Times" w:cs="Arial"/>
          <w:i w:val="0"/>
          <w:szCs w:val="20"/>
          <w:lang w:val="en-US"/>
        </w:rPr>
        <w:t xml:space="preserve"> 19</w:t>
      </w:r>
      <w:r w:rsidRPr="009F337B">
        <w:rPr>
          <w:rFonts w:eastAsia="Times" w:cs="Arial"/>
          <w:i w:val="0"/>
          <w:szCs w:val="20"/>
          <w:lang w:val="en-US"/>
        </w:rPr>
        <w:t>(6)</w:t>
      </w:r>
      <w:r w:rsidR="00F46845" w:rsidRPr="009F337B">
        <w:rPr>
          <w:rFonts w:eastAsia="Times" w:cs="Arial"/>
          <w:i w:val="0"/>
          <w:szCs w:val="20"/>
          <w:lang w:val="en-US"/>
        </w:rPr>
        <w:t xml:space="preserve"> </w:t>
      </w:r>
      <w:r w:rsidRPr="009F337B">
        <w:rPr>
          <w:rFonts w:eastAsia="Times" w:cs="Arial"/>
          <w:i w:val="0"/>
          <w:szCs w:val="20"/>
          <w:lang w:val="en-US"/>
        </w:rPr>
        <w:t>of the</w:t>
      </w:r>
      <w:r w:rsidR="00F46845" w:rsidRPr="009F337B">
        <w:rPr>
          <w:rFonts w:eastAsia="Times" w:cs="Arial"/>
          <w:i w:val="0"/>
          <w:szCs w:val="20"/>
          <w:lang w:val="en-US"/>
        </w:rPr>
        <w:t xml:space="preserve"> </w:t>
      </w:r>
      <w:r w:rsidR="008C399E" w:rsidRPr="009F337B">
        <w:rPr>
          <w:rFonts w:eastAsia="Times" w:cs="Arial"/>
          <w:i w:val="0"/>
          <w:szCs w:val="20"/>
          <w:lang w:val="en-US"/>
        </w:rPr>
        <w:t>Protocol of</w:t>
      </w:r>
      <w:r w:rsidR="00F46845" w:rsidRPr="009F337B">
        <w:rPr>
          <w:rFonts w:eastAsia="Times" w:cs="Arial"/>
          <w:i w:val="0"/>
          <w:szCs w:val="20"/>
          <w:lang w:val="en-US"/>
        </w:rPr>
        <w:t xml:space="preserve"> San Salvador </w:t>
      </w:r>
      <w:r w:rsidRPr="009F337B">
        <w:rPr>
          <w:rFonts w:eastAsia="Times" w:cs="Arial"/>
          <w:i w:val="0"/>
          <w:szCs w:val="20"/>
          <w:lang w:val="en-US"/>
        </w:rPr>
        <w:t>restricts the competence of this Court exclusively to examine violations of certain rights by means of the system of individual petitions, should not be interpreted as a precept that limits the scope of the rights protected by the Convention, or the possibility of the Court examining violations of those rights. To the contrary, the Court notes that a systematic interpretation of both treaties</w:t>
      </w:r>
      <w:r w:rsidR="00472467" w:rsidRPr="009F337B">
        <w:rPr>
          <w:rFonts w:eastAsia="Times" w:cs="Arial"/>
          <w:i w:val="0"/>
          <w:szCs w:val="20"/>
          <w:lang w:val="en-US"/>
        </w:rPr>
        <w:t>,</w:t>
      </w:r>
      <w:r w:rsidRPr="009F337B">
        <w:rPr>
          <w:rFonts w:eastAsia="Times" w:cs="Arial"/>
          <w:i w:val="0"/>
          <w:szCs w:val="20"/>
          <w:lang w:val="en-US"/>
        </w:rPr>
        <w:t xml:space="preserve"> made in good faith</w:t>
      </w:r>
      <w:r w:rsidR="00472467" w:rsidRPr="009F337B">
        <w:rPr>
          <w:rFonts w:eastAsia="Times" w:cs="Arial"/>
          <w:i w:val="0"/>
          <w:szCs w:val="20"/>
          <w:lang w:val="en-US"/>
        </w:rPr>
        <w:t>,</w:t>
      </w:r>
      <w:r w:rsidR="00182DD5" w:rsidRPr="009F337B">
        <w:rPr>
          <w:rFonts w:eastAsia="Times" w:cs="Arial"/>
          <w:i w:val="0"/>
          <w:szCs w:val="20"/>
          <w:lang w:val="en-US"/>
        </w:rPr>
        <w:t xml:space="preserve"> leads to the conclusion that, since there is no express restriction in the Protocol of San Salvador that limits the Court’s competence to examine violations of the Convention, the Court should not assume this limitation. Moreover, the Court recalls that the fact that States adopt protocols or treaties on specific matters, and define the competence of this Court to examine predefined aspects of such treaties</w:t>
      </w:r>
      <w:r w:rsidR="00472467" w:rsidRPr="009F337B">
        <w:rPr>
          <w:rFonts w:eastAsia="Times" w:cs="Arial"/>
          <w:i w:val="0"/>
          <w:szCs w:val="20"/>
          <w:lang w:val="en-US"/>
        </w:rPr>
        <w:t>,</w:t>
      </w:r>
      <w:r w:rsidR="00182DD5" w:rsidRPr="009F337B">
        <w:rPr>
          <w:rFonts w:eastAsia="Times" w:cs="Arial"/>
          <w:i w:val="0"/>
          <w:szCs w:val="20"/>
          <w:lang w:val="en-US"/>
        </w:rPr>
        <w:t xml:space="preserve"> does not entail a limitation of the Court’s competence to examine violations of the American Convention in relation to substantive aspects regulated in the two treaties.</w:t>
      </w:r>
      <w:r w:rsidR="00F46845" w:rsidRPr="009F337B">
        <w:rPr>
          <w:rStyle w:val="Refdenotaalpie"/>
          <w:rFonts w:eastAsia="Times"/>
          <w:i w:val="0"/>
          <w:lang w:val="en-US"/>
        </w:rPr>
        <w:footnoteReference w:id="87"/>
      </w:r>
      <w:r w:rsidR="00F46845" w:rsidRPr="009F337B">
        <w:rPr>
          <w:rFonts w:eastAsia="Times" w:cs="Arial"/>
          <w:i w:val="0"/>
          <w:szCs w:val="20"/>
          <w:lang w:val="en-US"/>
        </w:rPr>
        <w:t xml:space="preserve"> </w:t>
      </w:r>
      <w:r w:rsidR="00182DD5" w:rsidRPr="009F337B">
        <w:rPr>
          <w:rFonts w:eastAsia="Times" w:cs="Arial"/>
          <w:i w:val="0"/>
          <w:szCs w:val="20"/>
          <w:lang w:val="en-US"/>
        </w:rPr>
        <w:t>In this regard,</w:t>
      </w:r>
      <w:r w:rsidR="00D75E69" w:rsidRPr="009F337B">
        <w:rPr>
          <w:rFonts w:eastAsia="Times" w:cs="Arial"/>
          <w:i w:val="0"/>
          <w:szCs w:val="20"/>
          <w:lang w:val="en-US"/>
        </w:rPr>
        <w:t xml:space="preserve"> </w:t>
      </w:r>
      <w:r w:rsidR="00AE5F9E" w:rsidRPr="009F337B">
        <w:rPr>
          <w:rFonts w:eastAsia="Times" w:cs="Arial"/>
          <w:i w:val="0"/>
          <w:szCs w:val="20"/>
          <w:lang w:val="en-US"/>
        </w:rPr>
        <w:t>the Court</w:t>
      </w:r>
      <w:r w:rsidR="00D75E69" w:rsidRPr="009F337B">
        <w:rPr>
          <w:rFonts w:eastAsia="Times" w:cs="Arial"/>
          <w:i w:val="0"/>
          <w:szCs w:val="20"/>
          <w:lang w:val="en-US"/>
        </w:rPr>
        <w:t xml:space="preserve"> </w:t>
      </w:r>
      <w:r w:rsidR="00182DD5" w:rsidRPr="009F337B">
        <w:rPr>
          <w:rFonts w:eastAsia="Times" w:cs="Arial"/>
          <w:i w:val="0"/>
          <w:szCs w:val="20"/>
          <w:lang w:val="en-US"/>
        </w:rPr>
        <w:t>recalls that</w:t>
      </w:r>
      <w:r w:rsidR="00D75E69" w:rsidRPr="009F337B">
        <w:rPr>
          <w:rFonts w:eastAsia="Times" w:cs="Arial"/>
          <w:i w:val="0"/>
          <w:szCs w:val="20"/>
          <w:lang w:val="en-US"/>
        </w:rPr>
        <w:t xml:space="preserve"> </w:t>
      </w:r>
      <w:r w:rsidR="00AE5F9E" w:rsidRPr="009F337B">
        <w:rPr>
          <w:rFonts w:eastAsia="Times" w:cs="Arial"/>
          <w:i w:val="0"/>
          <w:szCs w:val="20"/>
          <w:lang w:val="en-US"/>
        </w:rPr>
        <w:t>Article</w:t>
      </w:r>
      <w:r w:rsidR="00D75E69" w:rsidRPr="009F337B">
        <w:rPr>
          <w:rFonts w:eastAsia="Times" w:cs="Arial"/>
          <w:i w:val="0"/>
          <w:szCs w:val="20"/>
          <w:lang w:val="en-US"/>
        </w:rPr>
        <w:t xml:space="preserve"> 77</w:t>
      </w:r>
      <w:r w:rsidR="00AE5F9E" w:rsidRPr="009F337B">
        <w:rPr>
          <w:rFonts w:eastAsia="Times" w:cs="Arial"/>
          <w:i w:val="0"/>
          <w:szCs w:val="20"/>
          <w:lang w:val="en-US"/>
        </w:rPr>
        <w:t xml:space="preserve"> of the Convention</w:t>
      </w:r>
      <w:r w:rsidR="00D75E69" w:rsidRPr="009F337B">
        <w:rPr>
          <w:rFonts w:eastAsia="Times" w:cs="Arial"/>
          <w:i w:val="0"/>
          <w:szCs w:val="20"/>
          <w:lang w:val="en-US"/>
        </w:rPr>
        <w:t xml:space="preserve"> </w:t>
      </w:r>
      <w:r w:rsidR="00182DD5" w:rsidRPr="009F337B">
        <w:rPr>
          <w:rFonts w:eastAsia="Times" w:cs="Arial"/>
          <w:i w:val="0"/>
          <w:szCs w:val="20"/>
          <w:lang w:val="en-US"/>
        </w:rPr>
        <w:t xml:space="preserve">establishes the possibility that any State Party or </w:t>
      </w:r>
      <w:r w:rsidR="00AE5F9E" w:rsidRPr="009F337B">
        <w:rPr>
          <w:rFonts w:eastAsia="Times" w:cs="Arial"/>
          <w:i w:val="0"/>
          <w:szCs w:val="20"/>
          <w:lang w:val="en-US"/>
        </w:rPr>
        <w:t>the Commission</w:t>
      </w:r>
      <w:r w:rsidR="00D75E69" w:rsidRPr="009F337B">
        <w:rPr>
          <w:rFonts w:eastAsia="Times" w:cs="Arial"/>
          <w:i w:val="0"/>
          <w:szCs w:val="20"/>
          <w:lang w:val="en-US"/>
        </w:rPr>
        <w:t xml:space="preserve"> </w:t>
      </w:r>
      <w:r w:rsidR="00182DD5" w:rsidRPr="009F337B">
        <w:rPr>
          <w:rFonts w:eastAsia="Times" w:cs="Arial"/>
          <w:i w:val="0"/>
          <w:szCs w:val="20"/>
          <w:lang w:val="en-US"/>
        </w:rPr>
        <w:t>may submit proposed protocols to the Convention “with a view to gradually including other rights and freedoms within its system of protection.”</w:t>
      </w:r>
    </w:p>
    <w:p w14:paraId="5687B827" w14:textId="77777777" w:rsidR="00E92CA8" w:rsidRPr="009F337B" w:rsidRDefault="00E92CA8" w:rsidP="00E92CA8">
      <w:pPr>
        <w:pStyle w:val="Estilo1"/>
        <w:tabs>
          <w:tab w:val="left" w:pos="709"/>
          <w:tab w:val="left" w:pos="1134"/>
        </w:tabs>
        <w:spacing w:after="0"/>
        <w:ind w:left="0" w:right="-4" w:firstLine="0"/>
        <w:rPr>
          <w:rFonts w:eastAsia="Times" w:cs="Arial"/>
          <w:i w:val="0"/>
          <w:szCs w:val="20"/>
          <w:lang w:val="en-US"/>
        </w:rPr>
      </w:pPr>
    </w:p>
    <w:p w14:paraId="7AFDD93A" w14:textId="0B73A63C" w:rsidR="002F4F3A" w:rsidRPr="009F337B" w:rsidRDefault="00182DD5" w:rsidP="00593E37">
      <w:pPr>
        <w:pStyle w:val="Estilo1"/>
        <w:numPr>
          <w:ilvl w:val="0"/>
          <w:numId w:val="1"/>
        </w:numPr>
        <w:tabs>
          <w:tab w:val="left" w:pos="709"/>
          <w:tab w:val="left" w:pos="1134"/>
        </w:tabs>
        <w:spacing w:after="0"/>
        <w:ind w:left="0" w:right="-4" w:firstLine="0"/>
        <w:rPr>
          <w:rFonts w:eastAsia="Times" w:cs="Arial"/>
          <w:i w:val="0"/>
          <w:szCs w:val="20"/>
          <w:lang w:val="en-US"/>
        </w:rPr>
      </w:pPr>
      <w:r w:rsidRPr="009F337B">
        <w:rPr>
          <w:rFonts w:eastAsia="Times" w:cs="Arial"/>
          <w:i w:val="0"/>
          <w:szCs w:val="20"/>
          <w:lang w:val="en-US"/>
        </w:rPr>
        <w:t xml:space="preserve">Accordingly, the Court considers that there are no indications that, with the adoption of the </w:t>
      </w:r>
      <w:r w:rsidR="008C399E" w:rsidRPr="009F337B">
        <w:rPr>
          <w:rFonts w:eastAsia="Times" w:cs="Arial"/>
          <w:i w:val="0"/>
          <w:szCs w:val="20"/>
          <w:lang w:val="en-US"/>
        </w:rPr>
        <w:t>Protocol of</w:t>
      </w:r>
      <w:r w:rsidR="00F46845" w:rsidRPr="009F337B">
        <w:rPr>
          <w:rFonts w:eastAsia="Times" w:cs="Arial"/>
          <w:i w:val="0"/>
          <w:szCs w:val="20"/>
          <w:lang w:val="en-US"/>
        </w:rPr>
        <w:t xml:space="preserve"> San Salvador, </w:t>
      </w:r>
      <w:r w:rsidRPr="009F337B">
        <w:rPr>
          <w:rFonts w:eastAsia="Times" w:cs="Arial"/>
          <w:i w:val="0"/>
          <w:szCs w:val="20"/>
          <w:lang w:val="en-US"/>
        </w:rPr>
        <w:t>the State</w:t>
      </w:r>
      <w:r w:rsidR="00E00596" w:rsidRPr="009F337B">
        <w:rPr>
          <w:rFonts w:eastAsia="Times" w:cs="Arial"/>
          <w:i w:val="0"/>
          <w:szCs w:val="20"/>
          <w:lang w:val="en-US"/>
        </w:rPr>
        <w:t>s</w:t>
      </w:r>
      <w:r w:rsidRPr="009F337B">
        <w:rPr>
          <w:rFonts w:eastAsia="Times" w:cs="Arial"/>
          <w:i w:val="0"/>
          <w:szCs w:val="20"/>
          <w:lang w:val="en-US"/>
        </w:rPr>
        <w:t xml:space="preserve"> sought to limit the Court’s competence to examine violations of</w:t>
      </w:r>
      <w:r w:rsidR="00F46845" w:rsidRPr="009F337B">
        <w:rPr>
          <w:rFonts w:eastAsia="Times" w:cs="Arial"/>
          <w:i w:val="0"/>
          <w:szCs w:val="20"/>
          <w:lang w:val="en-US"/>
        </w:rPr>
        <w:t xml:space="preserve"> </w:t>
      </w:r>
      <w:r w:rsidR="00AE5F9E" w:rsidRPr="009F337B">
        <w:rPr>
          <w:rFonts w:eastAsia="Times" w:cs="Arial"/>
          <w:i w:val="0"/>
          <w:szCs w:val="20"/>
          <w:lang w:val="en-US"/>
        </w:rPr>
        <w:t>Article</w:t>
      </w:r>
      <w:r w:rsidR="00F46845" w:rsidRPr="009F337B">
        <w:rPr>
          <w:rFonts w:eastAsia="Times" w:cs="Arial"/>
          <w:i w:val="0"/>
          <w:szCs w:val="20"/>
          <w:lang w:val="en-US"/>
        </w:rPr>
        <w:t xml:space="preserve"> 26</w:t>
      </w:r>
      <w:r w:rsidR="00AE5F9E" w:rsidRPr="009F337B">
        <w:rPr>
          <w:rFonts w:eastAsia="Times" w:cs="Arial"/>
          <w:i w:val="0"/>
          <w:szCs w:val="20"/>
          <w:lang w:val="en-US"/>
        </w:rPr>
        <w:t xml:space="preserve"> of the American Convention</w:t>
      </w:r>
      <w:r w:rsidR="00F46845" w:rsidRPr="009F337B">
        <w:rPr>
          <w:rFonts w:eastAsia="Times" w:cs="Arial"/>
          <w:i w:val="0"/>
          <w:szCs w:val="20"/>
          <w:lang w:val="en-US"/>
        </w:rPr>
        <w:t xml:space="preserve">. </w:t>
      </w:r>
      <w:r w:rsidRPr="009F337B">
        <w:rPr>
          <w:rFonts w:eastAsia="Times" w:cs="Arial"/>
          <w:i w:val="0"/>
          <w:szCs w:val="20"/>
          <w:lang w:val="en-US"/>
        </w:rPr>
        <w:t>In this regard</w:t>
      </w:r>
      <w:r w:rsidR="00F46845" w:rsidRPr="009F337B">
        <w:rPr>
          <w:rFonts w:eastAsia="Times" w:cs="Arial"/>
          <w:i w:val="0"/>
          <w:szCs w:val="20"/>
          <w:lang w:val="en-US"/>
        </w:rPr>
        <w:t xml:space="preserve">, </w:t>
      </w:r>
      <w:r w:rsidR="00AE5F9E" w:rsidRPr="009F337B">
        <w:rPr>
          <w:rFonts w:eastAsia="Times" w:cs="Arial"/>
          <w:i w:val="0"/>
          <w:szCs w:val="20"/>
          <w:lang w:val="en-US"/>
        </w:rPr>
        <w:t>the Court</w:t>
      </w:r>
      <w:r w:rsidR="00F46845" w:rsidRPr="009F337B">
        <w:rPr>
          <w:rFonts w:eastAsia="Times" w:cs="Arial"/>
          <w:i w:val="0"/>
          <w:szCs w:val="20"/>
          <w:lang w:val="en-US"/>
        </w:rPr>
        <w:t xml:space="preserve"> </w:t>
      </w:r>
      <w:r w:rsidRPr="009F337B">
        <w:rPr>
          <w:rFonts w:eastAsia="Times" w:cs="Arial"/>
          <w:i w:val="0"/>
          <w:szCs w:val="20"/>
          <w:lang w:val="en-US"/>
        </w:rPr>
        <w:t>notes that if</w:t>
      </w:r>
      <w:r w:rsidR="00F46845" w:rsidRPr="009F337B">
        <w:rPr>
          <w:rFonts w:eastAsia="Times" w:cs="Arial"/>
          <w:i w:val="0"/>
          <w:szCs w:val="20"/>
          <w:lang w:val="en-US"/>
        </w:rPr>
        <w:t xml:space="preserve"> </w:t>
      </w:r>
      <w:r w:rsidR="00AE5F9E" w:rsidRPr="009F337B">
        <w:rPr>
          <w:rFonts w:eastAsia="Times" w:cs="Arial"/>
          <w:i w:val="0"/>
          <w:szCs w:val="20"/>
          <w:lang w:val="en-US"/>
        </w:rPr>
        <w:t>the American Convention</w:t>
      </w:r>
      <w:r w:rsidR="00F46845" w:rsidRPr="009F337B">
        <w:rPr>
          <w:rFonts w:eastAsia="Times" w:cs="Arial"/>
          <w:i w:val="0"/>
          <w:szCs w:val="20"/>
          <w:lang w:val="en-US"/>
        </w:rPr>
        <w:t xml:space="preserve"> </w:t>
      </w:r>
      <w:r w:rsidRPr="009F337B">
        <w:rPr>
          <w:rFonts w:eastAsia="Times" w:cs="Arial"/>
          <w:i w:val="0"/>
          <w:szCs w:val="20"/>
          <w:lang w:val="en-US"/>
        </w:rPr>
        <w:t xml:space="preserve">is not </w:t>
      </w:r>
      <w:r w:rsidR="00E00596" w:rsidRPr="009F337B">
        <w:rPr>
          <w:rFonts w:eastAsia="Times" w:cs="Arial"/>
          <w:i w:val="0"/>
          <w:szCs w:val="20"/>
          <w:lang w:val="en-US"/>
        </w:rPr>
        <w:t xml:space="preserve">expressly </w:t>
      </w:r>
      <w:r w:rsidRPr="009F337B">
        <w:rPr>
          <w:rFonts w:eastAsia="Times" w:cs="Arial"/>
          <w:i w:val="0"/>
          <w:szCs w:val="20"/>
          <w:lang w:val="en-US"/>
        </w:rPr>
        <w:t xml:space="preserve">amended by a subsequent act of the States, the corresponding </w:t>
      </w:r>
      <w:r w:rsidR="00D76645" w:rsidRPr="009F337B">
        <w:rPr>
          <w:rFonts w:eastAsia="Times" w:cs="Arial"/>
          <w:i w:val="0"/>
          <w:szCs w:val="20"/>
          <w:lang w:val="en-US"/>
        </w:rPr>
        <w:t xml:space="preserve">interpretation should be less restrictive as regards its scope </w:t>
      </w:r>
      <w:r w:rsidR="00E00596" w:rsidRPr="009F337B">
        <w:rPr>
          <w:rFonts w:eastAsia="Times" w:cs="Arial"/>
          <w:i w:val="0"/>
          <w:szCs w:val="20"/>
          <w:lang w:val="en-US"/>
        </w:rPr>
        <w:t xml:space="preserve">in relation to </w:t>
      </w:r>
      <w:r w:rsidR="00D76645" w:rsidRPr="009F337B">
        <w:rPr>
          <w:rFonts w:eastAsia="Times" w:cs="Arial"/>
          <w:i w:val="0"/>
          <w:szCs w:val="20"/>
          <w:lang w:val="en-US"/>
        </w:rPr>
        <w:t xml:space="preserve">the protection of human rights. Furthermore, the Court recalls that Article 76 of the American Convention establishes a specific procedure for amendments, which require the ratification of two-thirds of the States Parties to the Convention. Thus, it would be contradictory to consider that the adoption of the Additional Protocol, which did not require such a high margin of ratification as an amendment to the American Convention, could modify the content and scope of the latter’s effects. Consequently, the Court finds that the mere existence of </w:t>
      </w:r>
      <w:r w:rsidR="003C46A3" w:rsidRPr="009F337B">
        <w:rPr>
          <w:rFonts w:eastAsia="Times" w:cs="Arial"/>
          <w:i w:val="0"/>
          <w:szCs w:val="20"/>
          <w:lang w:val="en-US"/>
        </w:rPr>
        <w:t>Article</w:t>
      </w:r>
      <w:r w:rsidR="00F46845" w:rsidRPr="009F337B">
        <w:rPr>
          <w:rFonts w:eastAsia="Times" w:cs="Arial"/>
          <w:i w:val="0"/>
          <w:szCs w:val="20"/>
          <w:lang w:val="en-US"/>
        </w:rPr>
        <w:t xml:space="preserve"> 19</w:t>
      </w:r>
      <w:r w:rsidR="00D76645" w:rsidRPr="009F337B">
        <w:rPr>
          <w:rFonts w:eastAsia="Times" w:cs="Arial"/>
          <w:i w:val="0"/>
          <w:szCs w:val="20"/>
          <w:lang w:val="en-US"/>
        </w:rPr>
        <w:t>(6)</w:t>
      </w:r>
      <w:r w:rsidR="00F46845" w:rsidRPr="009F337B">
        <w:rPr>
          <w:rFonts w:eastAsia="Times" w:cs="Arial"/>
          <w:i w:val="0"/>
          <w:szCs w:val="20"/>
          <w:lang w:val="en-US"/>
        </w:rPr>
        <w:t xml:space="preserve"> </w:t>
      </w:r>
      <w:r w:rsidR="00D76645" w:rsidRPr="009F337B">
        <w:rPr>
          <w:rFonts w:eastAsia="Times" w:cs="Arial"/>
          <w:i w:val="0"/>
          <w:szCs w:val="20"/>
          <w:lang w:val="en-US"/>
        </w:rPr>
        <w:t>of the</w:t>
      </w:r>
      <w:r w:rsidR="00F46845" w:rsidRPr="009F337B">
        <w:rPr>
          <w:rFonts w:eastAsia="Times" w:cs="Arial"/>
          <w:i w:val="0"/>
          <w:szCs w:val="20"/>
          <w:lang w:val="en-US"/>
        </w:rPr>
        <w:t xml:space="preserve"> </w:t>
      </w:r>
      <w:r w:rsidR="008C399E" w:rsidRPr="009F337B">
        <w:rPr>
          <w:rFonts w:eastAsia="Times" w:cs="Arial"/>
          <w:i w:val="0"/>
          <w:szCs w:val="20"/>
          <w:lang w:val="en-US"/>
        </w:rPr>
        <w:t>Protocol of</w:t>
      </w:r>
      <w:r w:rsidR="00F46845" w:rsidRPr="009F337B">
        <w:rPr>
          <w:rFonts w:eastAsia="Times" w:cs="Arial"/>
          <w:i w:val="0"/>
          <w:szCs w:val="20"/>
          <w:lang w:val="en-US"/>
        </w:rPr>
        <w:t xml:space="preserve"> San Salvador </w:t>
      </w:r>
      <w:r w:rsidR="00D76645" w:rsidRPr="009F337B">
        <w:rPr>
          <w:rFonts w:eastAsia="Times" w:cs="Arial"/>
          <w:i w:val="0"/>
          <w:szCs w:val="20"/>
          <w:lang w:val="en-US"/>
        </w:rPr>
        <w:t xml:space="preserve">does not allow conclusions to be inferred that would establish restrictions to the relationship between </w:t>
      </w:r>
      <w:r w:rsidR="00AE5F9E" w:rsidRPr="009F337B">
        <w:rPr>
          <w:rFonts w:eastAsia="Times" w:cs="Arial"/>
          <w:i w:val="0"/>
          <w:szCs w:val="20"/>
          <w:lang w:val="en-US"/>
        </w:rPr>
        <w:t>Articles</w:t>
      </w:r>
      <w:r w:rsidR="00F46845" w:rsidRPr="009F337B">
        <w:rPr>
          <w:rFonts w:eastAsia="Times" w:cs="Arial"/>
          <w:i w:val="0"/>
          <w:szCs w:val="20"/>
          <w:lang w:val="en-US"/>
        </w:rPr>
        <w:t xml:space="preserve"> 26,</w:t>
      </w:r>
      <w:r w:rsidR="003C46A3" w:rsidRPr="009F337B">
        <w:rPr>
          <w:rFonts w:eastAsia="Times" w:cs="Arial"/>
          <w:i w:val="0"/>
          <w:szCs w:val="20"/>
          <w:lang w:val="en-US"/>
        </w:rPr>
        <w:t xml:space="preserve"> 1(1)</w:t>
      </w:r>
      <w:r w:rsidR="00F46845" w:rsidRPr="009F337B">
        <w:rPr>
          <w:rFonts w:eastAsia="Times" w:cs="Arial"/>
          <w:i w:val="0"/>
          <w:szCs w:val="20"/>
          <w:lang w:val="en-US"/>
        </w:rPr>
        <w:t>, 2, 62</w:t>
      </w:r>
      <w:r w:rsidR="003C46A3" w:rsidRPr="009F337B">
        <w:rPr>
          <w:rFonts w:eastAsia="Times" w:cs="Arial"/>
          <w:i w:val="0"/>
          <w:szCs w:val="20"/>
          <w:lang w:val="en-US"/>
        </w:rPr>
        <w:t xml:space="preserve"> and </w:t>
      </w:r>
      <w:r w:rsidR="00F46845" w:rsidRPr="009F337B">
        <w:rPr>
          <w:rFonts w:eastAsia="Times" w:cs="Arial"/>
          <w:i w:val="0"/>
          <w:szCs w:val="20"/>
          <w:lang w:val="en-US"/>
        </w:rPr>
        <w:t>63</w:t>
      </w:r>
      <w:r w:rsidR="00AE5F9E" w:rsidRPr="009F337B">
        <w:rPr>
          <w:rFonts w:eastAsia="Times" w:cs="Arial"/>
          <w:i w:val="0"/>
          <w:szCs w:val="20"/>
          <w:lang w:val="en-US"/>
        </w:rPr>
        <w:t xml:space="preserve"> of the Convention</w:t>
      </w:r>
      <w:r w:rsidR="00F46845" w:rsidRPr="009F337B">
        <w:rPr>
          <w:rFonts w:eastAsia="Times" w:cs="Arial"/>
          <w:i w:val="0"/>
          <w:szCs w:val="20"/>
          <w:lang w:val="en-US"/>
        </w:rPr>
        <w:t>.</w:t>
      </w:r>
    </w:p>
    <w:p w14:paraId="5B5EC69F" w14:textId="77777777" w:rsidR="00E92CA8" w:rsidRPr="009F337B" w:rsidRDefault="00E92CA8" w:rsidP="00E92CA8">
      <w:pPr>
        <w:pStyle w:val="Estilo1"/>
        <w:tabs>
          <w:tab w:val="left" w:pos="709"/>
          <w:tab w:val="left" w:pos="1134"/>
        </w:tabs>
        <w:spacing w:after="0"/>
        <w:ind w:left="0" w:right="-4" w:firstLine="0"/>
        <w:rPr>
          <w:rFonts w:eastAsia="Times" w:cs="Arial"/>
          <w:i w:val="0"/>
          <w:szCs w:val="20"/>
          <w:lang w:val="en-US"/>
        </w:rPr>
      </w:pPr>
    </w:p>
    <w:p w14:paraId="5C4F4B93" w14:textId="6B5CB796" w:rsidR="00F46845" w:rsidRPr="009F337B" w:rsidRDefault="00AC0BEF" w:rsidP="00E92CA8">
      <w:pPr>
        <w:pStyle w:val="Estilo1"/>
        <w:tabs>
          <w:tab w:val="left" w:pos="709"/>
          <w:tab w:val="left" w:pos="1134"/>
        </w:tabs>
        <w:spacing w:after="0"/>
        <w:ind w:left="0" w:right="-4" w:firstLine="0"/>
        <w:rPr>
          <w:rFonts w:eastAsia="Verdana"/>
          <w:b/>
          <w:bCs/>
          <w:szCs w:val="20"/>
          <w:lang w:val="en-US" w:eastAsia="x-none"/>
        </w:rPr>
      </w:pPr>
      <w:r w:rsidRPr="009F337B">
        <w:rPr>
          <w:rFonts w:eastAsia="Times" w:cs="Arial"/>
          <w:i w:val="0"/>
          <w:szCs w:val="20"/>
          <w:lang w:val="en-US"/>
        </w:rPr>
        <w:tab/>
      </w:r>
      <w:r w:rsidRPr="009F337B">
        <w:rPr>
          <w:rFonts w:eastAsia="Times" w:cs="Arial"/>
          <w:i w:val="0"/>
          <w:szCs w:val="20"/>
          <w:lang w:val="en-US"/>
        </w:rPr>
        <w:tab/>
      </w:r>
      <w:r w:rsidRPr="009F337B">
        <w:rPr>
          <w:rFonts w:eastAsia="Times" w:cs="Arial"/>
          <w:i w:val="0"/>
          <w:szCs w:val="20"/>
          <w:lang w:val="en-US"/>
        </w:rPr>
        <w:tab/>
      </w:r>
      <w:r w:rsidR="00F46845" w:rsidRPr="009F337B">
        <w:rPr>
          <w:rFonts w:eastAsia="Verdana"/>
          <w:b/>
          <w:bCs/>
          <w:szCs w:val="20"/>
          <w:lang w:val="en-US" w:eastAsia="x-none"/>
        </w:rPr>
        <w:t xml:space="preserve">B.1.3. </w:t>
      </w:r>
      <w:r w:rsidR="00D76645" w:rsidRPr="009F337B">
        <w:rPr>
          <w:rFonts w:eastAsia="Verdana"/>
          <w:b/>
          <w:bCs/>
          <w:szCs w:val="20"/>
          <w:lang w:val="en-US" w:eastAsia="x-none"/>
        </w:rPr>
        <w:t>Teleological interpretation</w:t>
      </w:r>
    </w:p>
    <w:p w14:paraId="3D374E54" w14:textId="77777777" w:rsidR="00E92CA8" w:rsidRPr="009F337B" w:rsidRDefault="00E92CA8" w:rsidP="00E92CA8">
      <w:pPr>
        <w:pStyle w:val="Estilo1"/>
        <w:tabs>
          <w:tab w:val="left" w:pos="709"/>
          <w:tab w:val="left" w:pos="1134"/>
        </w:tabs>
        <w:spacing w:after="0"/>
        <w:ind w:left="0" w:right="-4" w:firstLine="0"/>
        <w:rPr>
          <w:rFonts w:eastAsia="Times" w:cs="Arial"/>
          <w:i w:val="0"/>
          <w:szCs w:val="20"/>
          <w:lang w:val="en-US"/>
        </w:rPr>
      </w:pPr>
    </w:p>
    <w:p w14:paraId="20BCBA2F" w14:textId="1CAD5B52" w:rsidR="00F46845" w:rsidRPr="009F337B" w:rsidRDefault="00D76645" w:rsidP="00593E37">
      <w:pPr>
        <w:pStyle w:val="Estilo1"/>
        <w:numPr>
          <w:ilvl w:val="0"/>
          <w:numId w:val="1"/>
        </w:numPr>
        <w:tabs>
          <w:tab w:val="left" w:pos="709"/>
          <w:tab w:val="left" w:pos="1134"/>
        </w:tabs>
        <w:spacing w:after="0"/>
        <w:ind w:left="0" w:right="-4" w:firstLine="0"/>
        <w:rPr>
          <w:rFonts w:eastAsia="Times" w:cs="Arial"/>
          <w:i w:val="0"/>
          <w:szCs w:val="20"/>
          <w:lang w:val="en-US"/>
        </w:rPr>
      </w:pPr>
      <w:r w:rsidRPr="009F337B">
        <w:rPr>
          <w:rFonts w:eastAsia="Times" w:cs="Arial"/>
          <w:i w:val="0"/>
          <w:szCs w:val="20"/>
          <w:lang w:val="en-US"/>
        </w:rPr>
        <w:t>Third</w:t>
      </w:r>
      <w:r w:rsidR="00F46845" w:rsidRPr="009F337B">
        <w:rPr>
          <w:rFonts w:eastAsia="Times" w:cs="Arial"/>
          <w:i w:val="0"/>
          <w:szCs w:val="20"/>
          <w:lang w:val="en-US"/>
        </w:rPr>
        <w:t xml:space="preserve">, </w:t>
      </w:r>
      <w:r w:rsidRPr="009F337B">
        <w:rPr>
          <w:rFonts w:eastAsia="Times" w:cs="Arial"/>
          <w:i w:val="0"/>
          <w:szCs w:val="20"/>
          <w:lang w:val="en-US"/>
        </w:rPr>
        <w:t>the Court must make a teleological interpretation</w:t>
      </w:r>
      <w:r w:rsidR="00F46845" w:rsidRPr="009F337B">
        <w:rPr>
          <w:rFonts w:eastAsia="Times" w:cs="Arial"/>
          <w:i w:val="0"/>
          <w:szCs w:val="20"/>
          <w:lang w:val="en-US"/>
        </w:rPr>
        <w:t xml:space="preserve"> </w:t>
      </w:r>
      <w:r w:rsidR="003C46A3" w:rsidRPr="009F337B">
        <w:rPr>
          <w:rFonts w:eastAsia="Times" w:cs="Arial"/>
          <w:i w:val="0"/>
          <w:szCs w:val="20"/>
          <w:lang w:val="en-US"/>
        </w:rPr>
        <w:t>of Article</w:t>
      </w:r>
      <w:r w:rsidR="00F46845" w:rsidRPr="009F337B">
        <w:rPr>
          <w:rFonts w:eastAsia="Times" w:cs="Arial"/>
          <w:i w:val="0"/>
          <w:szCs w:val="20"/>
          <w:lang w:val="en-US"/>
        </w:rPr>
        <w:t xml:space="preserve"> 26</w:t>
      </w:r>
      <w:r w:rsidR="00AE5F9E" w:rsidRPr="009F337B">
        <w:rPr>
          <w:rFonts w:eastAsia="Times" w:cs="Arial"/>
          <w:i w:val="0"/>
          <w:szCs w:val="20"/>
          <w:lang w:val="en-US"/>
        </w:rPr>
        <w:t xml:space="preserve"> of the Convention</w:t>
      </w:r>
      <w:r w:rsidR="00F46845" w:rsidRPr="009F337B">
        <w:rPr>
          <w:rFonts w:eastAsia="Times" w:cs="Arial"/>
          <w:i w:val="0"/>
          <w:szCs w:val="20"/>
          <w:lang w:val="en-US"/>
        </w:rPr>
        <w:t xml:space="preserve">. </w:t>
      </w:r>
      <w:r w:rsidR="00AE5F9E" w:rsidRPr="009F337B">
        <w:rPr>
          <w:rFonts w:eastAsia="Times" w:cs="Arial"/>
          <w:i w:val="0"/>
          <w:szCs w:val="20"/>
          <w:lang w:val="en-US"/>
        </w:rPr>
        <w:t>The Court</w:t>
      </w:r>
      <w:r w:rsidR="00F46845" w:rsidRPr="009F337B">
        <w:rPr>
          <w:rFonts w:eastAsia="Times" w:cs="Arial"/>
          <w:i w:val="0"/>
          <w:szCs w:val="20"/>
          <w:lang w:val="en-US"/>
        </w:rPr>
        <w:t xml:space="preserve"> rec</w:t>
      </w:r>
      <w:r w:rsidRPr="009F337B">
        <w:rPr>
          <w:rFonts w:eastAsia="Times" w:cs="Arial"/>
          <w:i w:val="0"/>
          <w:szCs w:val="20"/>
          <w:lang w:val="en-US"/>
        </w:rPr>
        <w:t>alls that a teleological interpretation</w:t>
      </w:r>
      <w:r w:rsidR="00F46845" w:rsidRPr="009F337B">
        <w:rPr>
          <w:rFonts w:eastAsia="Times" w:cs="Arial"/>
          <w:i w:val="0"/>
          <w:szCs w:val="20"/>
          <w:lang w:val="en-US"/>
        </w:rPr>
        <w:t xml:space="preserve"> </w:t>
      </w:r>
      <w:r w:rsidRPr="009F337B">
        <w:rPr>
          <w:rFonts w:eastAsia="Times" w:cs="Arial"/>
          <w:i w:val="0"/>
          <w:szCs w:val="20"/>
          <w:lang w:val="en-US"/>
        </w:rPr>
        <w:t xml:space="preserve">examines the purpose of the </w:t>
      </w:r>
      <w:r w:rsidRPr="009F337B">
        <w:rPr>
          <w:rFonts w:eastAsia="Times" w:cs="Arial"/>
          <w:i w:val="0"/>
          <w:szCs w:val="20"/>
          <w:lang w:val="en-US"/>
        </w:rPr>
        <w:lastRenderedPageBreak/>
        <w:t>norms involved and, to this end, it is pertinent to analyze the object and purpose of the treaty itself and, if appropriate, the purposes of the regional system of protection.</w:t>
      </w:r>
      <w:r w:rsidR="00F46845" w:rsidRPr="009F337B">
        <w:rPr>
          <w:rStyle w:val="Refdenotaalpie"/>
          <w:rFonts w:eastAsia="Times"/>
          <w:i w:val="0"/>
          <w:lang w:val="en-US"/>
        </w:rPr>
        <w:footnoteReference w:id="88"/>
      </w:r>
    </w:p>
    <w:p w14:paraId="32360D57" w14:textId="77777777" w:rsidR="00E92CA8" w:rsidRPr="009F337B" w:rsidRDefault="00E92CA8" w:rsidP="00E92CA8">
      <w:pPr>
        <w:pStyle w:val="Estilo1"/>
        <w:tabs>
          <w:tab w:val="left" w:pos="709"/>
          <w:tab w:val="left" w:pos="1134"/>
        </w:tabs>
        <w:spacing w:after="0"/>
        <w:ind w:left="0" w:right="-4" w:firstLine="0"/>
        <w:rPr>
          <w:rFonts w:eastAsia="Times" w:cs="Arial"/>
          <w:i w:val="0"/>
          <w:szCs w:val="20"/>
          <w:lang w:val="en-US"/>
        </w:rPr>
      </w:pPr>
    </w:p>
    <w:p w14:paraId="333DB224" w14:textId="092A9E3C" w:rsidR="00F46845" w:rsidRPr="009F337B" w:rsidRDefault="00D76645" w:rsidP="00593E37">
      <w:pPr>
        <w:pStyle w:val="Estilo1"/>
        <w:numPr>
          <w:ilvl w:val="0"/>
          <w:numId w:val="1"/>
        </w:numPr>
        <w:tabs>
          <w:tab w:val="left" w:pos="709"/>
          <w:tab w:val="left" w:pos="1134"/>
        </w:tabs>
        <w:spacing w:after="0"/>
        <w:ind w:left="0" w:right="-4" w:firstLine="0"/>
        <w:rPr>
          <w:rFonts w:eastAsia="Times" w:cs="Arial"/>
          <w:i w:val="0"/>
          <w:szCs w:val="20"/>
          <w:lang w:val="en-US"/>
        </w:rPr>
      </w:pPr>
      <w:r w:rsidRPr="009F337B">
        <w:rPr>
          <w:rFonts w:eastAsia="Times" w:cs="Arial"/>
          <w:i w:val="0"/>
          <w:szCs w:val="20"/>
          <w:lang w:val="en-US"/>
        </w:rPr>
        <w:t>The Preamble to</w:t>
      </w:r>
      <w:r w:rsidR="00AE5F9E" w:rsidRPr="009F337B">
        <w:rPr>
          <w:rFonts w:eastAsia="Times" w:cs="Arial"/>
          <w:i w:val="0"/>
          <w:szCs w:val="20"/>
          <w:lang w:val="en-US"/>
        </w:rPr>
        <w:t xml:space="preserve"> the American Convention</w:t>
      </w:r>
      <w:r w:rsidR="00F46845" w:rsidRPr="009F337B">
        <w:rPr>
          <w:rFonts w:eastAsia="Times" w:cs="Arial"/>
          <w:i w:val="0"/>
          <w:szCs w:val="20"/>
          <w:lang w:val="en-US"/>
        </w:rPr>
        <w:t xml:space="preserve"> </w:t>
      </w:r>
      <w:r w:rsidRPr="009F337B">
        <w:rPr>
          <w:rFonts w:eastAsia="Times" w:cs="Arial"/>
          <w:i w:val="0"/>
          <w:szCs w:val="20"/>
          <w:lang w:val="en-US"/>
        </w:rPr>
        <w:t>contains several references that establish the object and purpose of the treaty:</w:t>
      </w:r>
    </w:p>
    <w:p w14:paraId="34FDF5AE" w14:textId="77777777" w:rsidR="00E92CA8" w:rsidRPr="009F337B" w:rsidRDefault="00E92CA8" w:rsidP="00E92CA8">
      <w:pPr>
        <w:pStyle w:val="Estilo1"/>
        <w:tabs>
          <w:tab w:val="left" w:pos="709"/>
          <w:tab w:val="left" w:pos="1134"/>
        </w:tabs>
        <w:spacing w:after="0"/>
        <w:ind w:left="0" w:right="-4" w:firstLine="0"/>
        <w:rPr>
          <w:rFonts w:eastAsia="Times" w:cs="Arial"/>
          <w:i w:val="0"/>
          <w:szCs w:val="20"/>
          <w:lang w:val="en-US"/>
        </w:rPr>
      </w:pPr>
    </w:p>
    <w:p w14:paraId="75967A88" w14:textId="77777777" w:rsidR="00F301A2" w:rsidRPr="009F337B" w:rsidRDefault="00F301A2" w:rsidP="00F301A2">
      <w:pPr>
        <w:tabs>
          <w:tab w:val="left" w:pos="-1440"/>
          <w:tab w:val="left" w:pos="-720"/>
        </w:tabs>
        <w:suppressAutoHyphens/>
        <w:ind w:left="720" w:right="720"/>
        <w:rPr>
          <w:sz w:val="18"/>
          <w:szCs w:val="18"/>
          <w:lang w:val="en-US"/>
        </w:rPr>
      </w:pPr>
      <w:r w:rsidRPr="009F337B">
        <w:rPr>
          <w:sz w:val="18"/>
          <w:szCs w:val="18"/>
          <w:lang w:val="en-US"/>
        </w:rPr>
        <w:t xml:space="preserve">Reaffirming their intention to consolidate in this hemisphere, within the framework of democratic institutions, a system of personal liberty and social justice </w:t>
      </w:r>
      <w:r w:rsidRPr="009F337B">
        <w:rPr>
          <w:sz w:val="18"/>
          <w:szCs w:val="18"/>
          <w:u w:val="single"/>
          <w:lang w:val="en-US"/>
        </w:rPr>
        <w:t>based on respect for the essential rights of man</w:t>
      </w:r>
      <w:r w:rsidRPr="009F337B">
        <w:rPr>
          <w:sz w:val="18"/>
          <w:szCs w:val="18"/>
          <w:lang w:val="en-US"/>
        </w:rPr>
        <w:t>;</w:t>
      </w:r>
    </w:p>
    <w:p w14:paraId="28E7AF6A" w14:textId="77777777" w:rsidR="00F301A2" w:rsidRPr="009F337B" w:rsidRDefault="00F301A2" w:rsidP="00F301A2">
      <w:pPr>
        <w:tabs>
          <w:tab w:val="left" w:pos="-1440"/>
          <w:tab w:val="left" w:pos="-720"/>
        </w:tabs>
        <w:suppressAutoHyphens/>
        <w:ind w:left="720" w:right="720"/>
        <w:rPr>
          <w:sz w:val="18"/>
          <w:szCs w:val="18"/>
          <w:lang w:val="en-US"/>
        </w:rPr>
      </w:pPr>
    </w:p>
    <w:p w14:paraId="5B4140A9" w14:textId="54E77487" w:rsidR="00F301A2" w:rsidRPr="009F337B" w:rsidRDefault="00F301A2" w:rsidP="00F301A2">
      <w:pPr>
        <w:tabs>
          <w:tab w:val="left" w:pos="-1440"/>
          <w:tab w:val="left" w:pos="-720"/>
        </w:tabs>
        <w:suppressAutoHyphens/>
        <w:ind w:left="720" w:right="720"/>
        <w:rPr>
          <w:sz w:val="18"/>
          <w:szCs w:val="18"/>
          <w:lang w:val="en-US"/>
        </w:rPr>
      </w:pPr>
      <w:r w:rsidRPr="009F337B">
        <w:rPr>
          <w:sz w:val="18"/>
          <w:szCs w:val="18"/>
          <w:u w:val="single"/>
          <w:lang w:val="en-US"/>
        </w:rPr>
        <w:t>Recognizing that  the essential rights of man</w:t>
      </w:r>
      <w:r w:rsidRPr="009F337B">
        <w:rPr>
          <w:sz w:val="18"/>
          <w:szCs w:val="18"/>
          <w:lang w:val="en-US"/>
        </w:rPr>
        <w:t xml:space="preserve"> are not derived from one's being a national of a certain state, </w:t>
      </w:r>
      <w:r w:rsidRPr="009F337B">
        <w:rPr>
          <w:sz w:val="18"/>
          <w:szCs w:val="18"/>
          <w:u w:val="single"/>
          <w:lang w:val="en-US"/>
        </w:rPr>
        <w:t>but are based upon attributes of the human personality</w:t>
      </w:r>
      <w:r w:rsidRPr="009F337B">
        <w:rPr>
          <w:sz w:val="18"/>
          <w:szCs w:val="18"/>
          <w:lang w:val="en-US"/>
        </w:rPr>
        <w:t>, and that they therefore justify international protection in the form of a convention reinforcing or complementing the protection provided by the domestic law of the American states; […]</w:t>
      </w:r>
    </w:p>
    <w:p w14:paraId="6BA603E8" w14:textId="77777777" w:rsidR="00F301A2" w:rsidRPr="009F337B" w:rsidRDefault="00F301A2" w:rsidP="00F301A2">
      <w:pPr>
        <w:tabs>
          <w:tab w:val="left" w:pos="-1440"/>
          <w:tab w:val="left" w:pos="-720"/>
        </w:tabs>
        <w:suppressAutoHyphens/>
        <w:ind w:left="720" w:right="720"/>
        <w:rPr>
          <w:sz w:val="18"/>
          <w:szCs w:val="18"/>
          <w:lang w:val="en-US"/>
        </w:rPr>
      </w:pPr>
    </w:p>
    <w:p w14:paraId="757FE768" w14:textId="1B1765B8" w:rsidR="00F301A2" w:rsidRPr="009F337B" w:rsidRDefault="00F301A2" w:rsidP="00F301A2">
      <w:pPr>
        <w:tabs>
          <w:tab w:val="left" w:pos="-1440"/>
          <w:tab w:val="left" w:pos="-720"/>
        </w:tabs>
        <w:suppressAutoHyphens/>
        <w:ind w:left="720" w:right="720"/>
        <w:rPr>
          <w:sz w:val="18"/>
          <w:szCs w:val="18"/>
          <w:lang w:val="en-US"/>
        </w:rPr>
      </w:pPr>
      <w:r w:rsidRPr="009F337B">
        <w:rPr>
          <w:sz w:val="18"/>
          <w:szCs w:val="18"/>
          <w:lang w:val="en-US"/>
        </w:rPr>
        <w:t>Reiterating that, in accordance with the Universal Declaration of Human Rights, t</w:t>
      </w:r>
      <w:r w:rsidRPr="009F337B">
        <w:rPr>
          <w:sz w:val="18"/>
          <w:szCs w:val="18"/>
          <w:u w:val="single"/>
          <w:lang w:val="en-US"/>
        </w:rPr>
        <w:t>he ideal of free men enjoying freedom from fear and want can be achieved only</w:t>
      </w:r>
      <w:r w:rsidRPr="009F337B">
        <w:rPr>
          <w:sz w:val="18"/>
          <w:szCs w:val="18"/>
          <w:lang w:val="en-US"/>
        </w:rPr>
        <w:t xml:space="preserve"> if conditions are created whereby everyone may enjoy his economic, social, and cultural rights, as well as his civil and political rights; and</w:t>
      </w:r>
    </w:p>
    <w:p w14:paraId="46DD71ED" w14:textId="77777777" w:rsidR="00F301A2" w:rsidRPr="009F337B" w:rsidRDefault="00F301A2" w:rsidP="00F301A2">
      <w:pPr>
        <w:tabs>
          <w:tab w:val="left" w:pos="-1440"/>
          <w:tab w:val="left" w:pos="-720"/>
        </w:tabs>
        <w:suppressAutoHyphens/>
        <w:ind w:left="720" w:right="720"/>
        <w:rPr>
          <w:sz w:val="18"/>
          <w:szCs w:val="18"/>
          <w:lang w:val="en-US"/>
        </w:rPr>
      </w:pPr>
    </w:p>
    <w:p w14:paraId="733A3030" w14:textId="49B99089" w:rsidR="00E92CA8" w:rsidRPr="009F337B" w:rsidRDefault="00F301A2" w:rsidP="00F301A2">
      <w:pPr>
        <w:pStyle w:val="NormalWeb"/>
        <w:spacing w:before="0" w:beforeAutospacing="0" w:after="0" w:afterAutospacing="0"/>
        <w:ind w:left="708" w:right="900"/>
        <w:jc w:val="both"/>
        <w:rPr>
          <w:rFonts w:ascii="Verdana" w:hAnsi="Verdana" w:cs="Tahoma"/>
          <w:color w:val="000000"/>
          <w:sz w:val="18"/>
          <w:szCs w:val="18"/>
        </w:rPr>
      </w:pPr>
      <w:r w:rsidRPr="009F337B">
        <w:rPr>
          <w:rFonts w:ascii="Verdana" w:hAnsi="Verdana"/>
          <w:sz w:val="18"/>
          <w:szCs w:val="18"/>
        </w:rPr>
        <w:t>Considering that the Third Special Inter</w:t>
      </w:r>
      <w:r w:rsidRPr="009F337B">
        <w:rPr>
          <w:rFonts w:ascii="Verdana" w:hAnsi="Verdana"/>
          <w:sz w:val="18"/>
          <w:szCs w:val="18"/>
        </w:rPr>
        <w:noBreakHyphen/>
        <w:t>American Conference (Buenos Aires, 1967) approved the incorporation into the Charter of the Organization itself of broader standards with respect to economic, social, and educational rights and resolved that an inter</w:t>
      </w:r>
      <w:r w:rsidRPr="009F337B">
        <w:rPr>
          <w:rFonts w:ascii="Verdana" w:hAnsi="Verdana"/>
          <w:sz w:val="18"/>
          <w:szCs w:val="18"/>
        </w:rPr>
        <w:noBreakHyphen/>
        <w:t>American convention on human rights should determine the structure, competence, and procedure of the organs responsible for these matters(underlining added).</w:t>
      </w:r>
    </w:p>
    <w:p w14:paraId="64C503B0" w14:textId="77777777" w:rsidR="00E92CA8" w:rsidRPr="009F337B" w:rsidRDefault="00E92CA8" w:rsidP="00E92CA8">
      <w:pPr>
        <w:widowControl w:val="0"/>
        <w:autoSpaceDE w:val="0"/>
        <w:autoSpaceDN w:val="0"/>
        <w:adjustRightInd w:val="0"/>
        <w:ind w:right="900"/>
        <w:textAlignment w:val="baseline"/>
        <w:rPr>
          <w:rFonts w:eastAsia="Times" w:cs="Arial"/>
          <w:szCs w:val="20"/>
          <w:lang w:val="en-US"/>
        </w:rPr>
      </w:pPr>
    </w:p>
    <w:p w14:paraId="00753A45" w14:textId="0718CED4" w:rsidR="00F46845" w:rsidRPr="009F337B" w:rsidRDefault="00F301A2" w:rsidP="00593E37">
      <w:pPr>
        <w:pStyle w:val="Estilo1"/>
        <w:numPr>
          <w:ilvl w:val="0"/>
          <w:numId w:val="1"/>
        </w:numPr>
        <w:tabs>
          <w:tab w:val="left" w:pos="709"/>
          <w:tab w:val="left" w:pos="1134"/>
        </w:tabs>
        <w:spacing w:after="0"/>
        <w:ind w:left="0" w:right="-4" w:firstLine="0"/>
        <w:rPr>
          <w:rFonts w:eastAsia="Times" w:cs="Arial"/>
          <w:i w:val="0"/>
          <w:szCs w:val="20"/>
          <w:lang w:val="en-US"/>
        </w:rPr>
      </w:pPr>
      <w:r w:rsidRPr="009F337B">
        <w:rPr>
          <w:rFonts w:eastAsia="Times" w:cs="Arial"/>
          <w:i w:val="0"/>
          <w:szCs w:val="20"/>
          <w:lang w:val="en-US"/>
        </w:rPr>
        <w:t xml:space="preserve">Based on the above, the Court has asserted that the object and purpose </w:t>
      </w:r>
      <w:r w:rsidR="00AE5F9E" w:rsidRPr="009F337B">
        <w:rPr>
          <w:rFonts w:eastAsia="Times" w:cs="Arial"/>
          <w:i w:val="0"/>
          <w:szCs w:val="20"/>
          <w:lang w:val="en-US"/>
        </w:rPr>
        <w:t>of the Convention</w:t>
      </w:r>
      <w:r w:rsidR="00F46845" w:rsidRPr="009F337B">
        <w:rPr>
          <w:rFonts w:eastAsia="Times" w:cs="Arial"/>
          <w:i w:val="0"/>
          <w:szCs w:val="20"/>
          <w:lang w:val="en-US"/>
        </w:rPr>
        <w:t xml:space="preserve"> </w:t>
      </w:r>
      <w:r w:rsidRPr="009F337B">
        <w:rPr>
          <w:rFonts w:eastAsia="Times" w:cs="Arial"/>
          <w:i w:val="0"/>
          <w:szCs w:val="20"/>
          <w:lang w:val="en-US"/>
        </w:rPr>
        <w:t>i</w:t>
      </w:r>
      <w:r w:rsidR="00F46845" w:rsidRPr="009F337B">
        <w:rPr>
          <w:rFonts w:eastAsia="Times" w:cs="Arial"/>
          <w:i w:val="0"/>
          <w:szCs w:val="20"/>
          <w:lang w:val="en-US"/>
        </w:rPr>
        <w:t>s “</w:t>
      </w:r>
      <w:r w:rsidRPr="009F337B">
        <w:rPr>
          <w:rFonts w:eastAsia="Times" w:cs="Arial"/>
          <w:i w:val="0"/>
          <w:szCs w:val="20"/>
          <w:lang w:val="en-US"/>
        </w:rPr>
        <w:t>the protection of the fundamental rights of the human being.</w:t>
      </w:r>
      <w:r w:rsidR="00F46845" w:rsidRPr="009F337B">
        <w:rPr>
          <w:rFonts w:eastAsia="Times" w:cs="Arial"/>
          <w:i w:val="0"/>
          <w:szCs w:val="20"/>
          <w:lang w:val="en-US"/>
        </w:rPr>
        <w:t>”</w:t>
      </w:r>
      <w:r w:rsidR="00F46845" w:rsidRPr="009F337B">
        <w:rPr>
          <w:rStyle w:val="Refdenotaalpie"/>
          <w:rFonts w:eastAsia="Times"/>
          <w:i w:val="0"/>
          <w:lang w:val="en-US"/>
        </w:rPr>
        <w:footnoteReference w:id="89"/>
      </w:r>
      <w:r w:rsidR="00F46845" w:rsidRPr="009F337B">
        <w:rPr>
          <w:rFonts w:eastAsia="Times" w:cs="Arial"/>
          <w:i w:val="0"/>
          <w:szCs w:val="20"/>
          <w:lang w:val="en-US"/>
        </w:rPr>
        <w:t xml:space="preserve"> </w:t>
      </w:r>
      <w:r w:rsidRPr="009F337B">
        <w:rPr>
          <w:i w:val="0"/>
          <w:szCs w:val="20"/>
          <w:lang w:val="en-US"/>
        </w:rPr>
        <w:t xml:space="preserve">In this regard, Article 29 of </w:t>
      </w:r>
      <w:r w:rsidR="00AE5F9E" w:rsidRPr="009F337B">
        <w:rPr>
          <w:i w:val="0"/>
          <w:szCs w:val="20"/>
          <w:lang w:val="en-US"/>
        </w:rPr>
        <w:t>the American Convention</w:t>
      </w:r>
      <w:r w:rsidR="00F46845" w:rsidRPr="009F337B">
        <w:rPr>
          <w:i w:val="0"/>
          <w:szCs w:val="20"/>
          <w:lang w:val="en-US"/>
        </w:rPr>
        <w:t xml:space="preserve"> </w:t>
      </w:r>
      <w:r w:rsidRPr="009F337B">
        <w:rPr>
          <w:i w:val="0"/>
          <w:szCs w:val="20"/>
          <w:lang w:val="en-US"/>
        </w:rPr>
        <w:t xml:space="preserve">expressly establishes certain interpretation standards, including the </w:t>
      </w:r>
      <w:r w:rsidRPr="009F337B">
        <w:rPr>
          <w:szCs w:val="20"/>
          <w:lang w:val="en-US"/>
        </w:rPr>
        <w:t>pro persona</w:t>
      </w:r>
      <w:r w:rsidRPr="009F337B">
        <w:rPr>
          <w:i w:val="0"/>
          <w:szCs w:val="20"/>
          <w:lang w:val="en-US"/>
        </w:rPr>
        <w:t xml:space="preserve"> principle, which signifies that no provision of this t</w:t>
      </w:r>
      <w:r w:rsidR="003B03C4" w:rsidRPr="009F337B">
        <w:rPr>
          <w:i w:val="0"/>
          <w:szCs w:val="20"/>
          <w:lang w:val="en-US"/>
        </w:rPr>
        <w:t>r</w:t>
      </w:r>
      <w:r w:rsidRPr="009F337B">
        <w:rPr>
          <w:i w:val="0"/>
          <w:szCs w:val="20"/>
          <w:lang w:val="en-US"/>
        </w:rPr>
        <w:t xml:space="preserve">eaty may be interpreted as </w:t>
      </w:r>
      <w:r w:rsidR="003B03C4" w:rsidRPr="009F337B">
        <w:rPr>
          <w:i w:val="0"/>
          <w:szCs w:val="20"/>
          <w:lang w:val="en-US"/>
        </w:rPr>
        <w:t>suppressing the enjoyment or exercise of any right or freedom that may be recognized by virtue of the laws of any State Party, or by virtue of any other convention to which the said State is a party, or excluding or limiting the effect that the American Declaration and other international instruments of the same nature may have.</w:t>
      </w:r>
      <w:r w:rsidR="00F46845" w:rsidRPr="009F337B">
        <w:rPr>
          <w:rStyle w:val="Refdenotaalpie"/>
          <w:i w:val="0"/>
          <w:lang w:val="en-US"/>
        </w:rPr>
        <w:footnoteReference w:id="90"/>
      </w:r>
    </w:p>
    <w:p w14:paraId="46116184" w14:textId="77777777" w:rsidR="00E92CA8" w:rsidRPr="009F337B" w:rsidRDefault="00E92CA8" w:rsidP="00E92CA8">
      <w:pPr>
        <w:pStyle w:val="Estilo1"/>
        <w:tabs>
          <w:tab w:val="left" w:pos="709"/>
          <w:tab w:val="left" w:pos="1134"/>
        </w:tabs>
        <w:spacing w:after="0"/>
        <w:ind w:left="0" w:right="-4" w:firstLine="0"/>
        <w:rPr>
          <w:rFonts w:eastAsia="Times" w:cs="Arial"/>
          <w:i w:val="0"/>
          <w:szCs w:val="20"/>
          <w:lang w:val="en-US"/>
        </w:rPr>
      </w:pPr>
    </w:p>
    <w:p w14:paraId="2E2C247E" w14:textId="396A02CD" w:rsidR="00887204" w:rsidRPr="009F337B" w:rsidRDefault="003B03C4" w:rsidP="00593E37">
      <w:pPr>
        <w:pStyle w:val="Estilo1"/>
        <w:numPr>
          <w:ilvl w:val="0"/>
          <w:numId w:val="1"/>
        </w:numPr>
        <w:tabs>
          <w:tab w:val="left" w:pos="709"/>
          <w:tab w:val="left" w:pos="1134"/>
        </w:tabs>
        <w:spacing w:after="0"/>
        <w:ind w:left="0" w:right="-4" w:firstLine="0"/>
        <w:rPr>
          <w:rFonts w:eastAsia="Times" w:cs="Arial"/>
          <w:i w:val="0"/>
          <w:szCs w:val="20"/>
          <w:lang w:val="en-US"/>
        </w:rPr>
      </w:pPr>
      <w:r w:rsidRPr="009F337B">
        <w:rPr>
          <w:i w:val="0"/>
          <w:szCs w:val="20"/>
          <w:lang w:val="en-US"/>
        </w:rPr>
        <w:t xml:space="preserve">As previously indicated, the object and purpose of the treaty is </w:t>
      </w:r>
      <w:r w:rsidRPr="009F337B">
        <w:rPr>
          <w:rFonts w:eastAsia="Times" w:cs="Arial"/>
          <w:i w:val="0"/>
          <w:szCs w:val="20"/>
          <w:lang w:val="en-US"/>
        </w:rPr>
        <w:t>“the protection of the fundamental rights of the human being</w:t>
      </w:r>
      <w:r w:rsidRPr="009F337B">
        <w:rPr>
          <w:i w:val="0"/>
          <w:szCs w:val="20"/>
          <w:lang w:val="en-US"/>
        </w:rPr>
        <w:t>.” A</w:t>
      </w:r>
      <w:r w:rsidR="00F46845" w:rsidRPr="009F337B">
        <w:rPr>
          <w:i w:val="0"/>
          <w:szCs w:val="20"/>
          <w:lang w:val="en-US"/>
        </w:rPr>
        <w:t xml:space="preserve"> </w:t>
      </w:r>
      <w:r w:rsidRPr="009F337B">
        <w:rPr>
          <w:i w:val="0"/>
          <w:szCs w:val="20"/>
          <w:lang w:val="en-US"/>
        </w:rPr>
        <w:t>t</w:t>
      </w:r>
      <w:r w:rsidR="00D76645" w:rsidRPr="009F337B">
        <w:rPr>
          <w:i w:val="0"/>
          <w:szCs w:val="20"/>
          <w:lang w:val="en-US"/>
        </w:rPr>
        <w:t>eleological interpretation</w:t>
      </w:r>
      <w:r w:rsidR="00F46845" w:rsidRPr="009F337B">
        <w:rPr>
          <w:i w:val="0"/>
          <w:szCs w:val="20"/>
          <w:lang w:val="en-US"/>
        </w:rPr>
        <w:t xml:space="preserve"> </w:t>
      </w:r>
      <w:r w:rsidRPr="009F337B">
        <w:rPr>
          <w:i w:val="0"/>
          <w:szCs w:val="20"/>
          <w:lang w:val="en-US"/>
        </w:rPr>
        <w:t xml:space="preserve">of the treaty would be similar to the conclusion reached by means of the literal and the systematic interpretation, </w:t>
      </w:r>
      <w:r w:rsidRPr="009F337B">
        <w:rPr>
          <w:i w:val="0"/>
          <w:szCs w:val="20"/>
          <w:lang w:val="en-US"/>
        </w:rPr>
        <w:lastRenderedPageBreak/>
        <w:t>in the sense that Article 26 recognizes the existence of “rights” that must be ensured by the State to all persons subject to their jurisdiction in the terms established by the American Convention. The purpose of the recognition of th</w:t>
      </w:r>
      <w:r w:rsidR="00712752">
        <w:rPr>
          <w:i w:val="0"/>
          <w:szCs w:val="20"/>
          <w:lang w:val="en-US"/>
        </w:rPr>
        <w:t>o</w:t>
      </w:r>
      <w:r w:rsidRPr="009F337B">
        <w:rPr>
          <w:i w:val="0"/>
          <w:szCs w:val="20"/>
          <w:lang w:val="en-US"/>
        </w:rPr>
        <w:t xml:space="preserve">se rights and of the Court’s </w:t>
      </w:r>
      <w:r w:rsidR="00712752">
        <w:rPr>
          <w:i w:val="0"/>
          <w:szCs w:val="20"/>
          <w:lang w:val="en-US"/>
        </w:rPr>
        <w:t>competence</w:t>
      </w:r>
      <w:r w:rsidRPr="009F337B">
        <w:rPr>
          <w:i w:val="0"/>
          <w:szCs w:val="20"/>
          <w:lang w:val="en-US"/>
        </w:rPr>
        <w:t xml:space="preserve"> to decide disputes regarding them is to consolidate a regime of personal liberty and social justice based on respect for the essential human rights recognized in</w:t>
      </w:r>
      <w:r w:rsidRPr="009F337B">
        <w:rPr>
          <w:rFonts w:eastAsia="Times" w:cs="Arial"/>
          <w:i w:val="0"/>
          <w:szCs w:val="20"/>
          <w:lang w:val="en-US"/>
        </w:rPr>
        <w:t xml:space="preserve"> </w:t>
      </w:r>
      <w:r w:rsidR="00664AA6" w:rsidRPr="009F337B">
        <w:rPr>
          <w:i w:val="0"/>
          <w:szCs w:val="20"/>
          <w:lang w:val="en-US"/>
        </w:rPr>
        <w:t>the OAS Charter</w:t>
      </w:r>
      <w:r w:rsidR="00F46845" w:rsidRPr="009F337B">
        <w:rPr>
          <w:i w:val="0"/>
          <w:szCs w:val="20"/>
          <w:lang w:val="en-US"/>
        </w:rPr>
        <w:t xml:space="preserve">, </w:t>
      </w:r>
      <w:r w:rsidRPr="009F337B">
        <w:rPr>
          <w:i w:val="0"/>
          <w:szCs w:val="20"/>
          <w:lang w:val="en-US"/>
        </w:rPr>
        <w:t xml:space="preserve">which is clearly compatible with the object and purpose </w:t>
      </w:r>
      <w:r w:rsidR="00AE5F9E" w:rsidRPr="009F337B">
        <w:rPr>
          <w:i w:val="0"/>
          <w:szCs w:val="20"/>
          <w:lang w:val="en-US"/>
        </w:rPr>
        <w:t>of the American Convention</w:t>
      </w:r>
      <w:r w:rsidR="00F46845" w:rsidRPr="009F337B">
        <w:rPr>
          <w:i w:val="0"/>
          <w:szCs w:val="20"/>
          <w:lang w:val="en-US"/>
        </w:rPr>
        <w:t>.</w:t>
      </w:r>
    </w:p>
    <w:p w14:paraId="090D5722" w14:textId="77777777" w:rsidR="00E92CA8" w:rsidRPr="009F337B" w:rsidRDefault="00E92CA8" w:rsidP="00E92CA8">
      <w:pPr>
        <w:pStyle w:val="Estilo1"/>
        <w:tabs>
          <w:tab w:val="left" w:pos="709"/>
          <w:tab w:val="left" w:pos="1134"/>
        </w:tabs>
        <w:spacing w:after="0"/>
        <w:ind w:left="0" w:right="-4" w:firstLine="0"/>
        <w:rPr>
          <w:rFonts w:eastAsia="Times" w:cs="Arial"/>
          <w:i w:val="0"/>
          <w:szCs w:val="20"/>
          <w:lang w:val="en-US"/>
        </w:rPr>
      </w:pPr>
    </w:p>
    <w:p w14:paraId="6108EF6C" w14:textId="57F296CF" w:rsidR="00F46845" w:rsidRPr="009F337B" w:rsidRDefault="00AC0BEF" w:rsidP="00E92CA8">
      <w:pPr>
        <w:pStyle w:val="Estilo1"/>
        <w:tabs>
          <w:tab w:val="left" w:pos="709"/>
          <w:tab w:val="left" w:pos="1134"/>
        </w:tabs>
        <w:spacing w:after="0"/>
        <w:ind w:left="0" w:right="-4" w:firstLine="0"/>
        <w:rPr>
          <w:rFonts w:eastAsia="Times" w:cs="Arial"/>
          <w:b/>
          <w:szCs w:val="20"/>
          <w:lang w:val="en-US"/>
        </w:rPr>
      </w:pPr>
      <w:r w:rsidRPr="009F337B">
        <w:rPr>
          <w:i w:val="0"/>
          <w:szCs w:val="20"/>
          <w:lang w:val="en-US"/>
        </w:rPr>
        <w:tab/>
      </w:r>
      <w:r w:rsidRPr="009F337B">
        <w:rPr>
          <w:i w:val="0"/>
          <w:szCs w:val="20"/>
          <w:lang w:val="en-US"/>
        </w:rPr>
        <w:tab/>
      </w:r>
      <w:r w:rsidRPr="009F337B">
        <w:rPr>
          <w:i w:val="0"/>
          <w:szCs w:val="20"/>
          <w:lang w:val="en-US"/>
        </w:rPr>
        <w:tab/>
      </w:r>
      <w:r w:rsidR="00F46845" w:rsidRPr="009F337B">
        <w:rPr>
          <w:rFonts w:eastAsia="Times" w:cs="Arial"/>
          <w:b/>
          <w:szCs w:val="20"/>
          <w:lang w:val="en-US"/>
        </w:rPr>
        <w:t xml:space="preserve">B.1.4. </w:t>
      </w:r>
      <w:r w:rsidR="003B03C4" w:rsidRPr="009F337B">
        <w:rPr>
          <w:rFonts w:eastAsia="Times" w:cs="Arial"/>
          <w:b/>
          <w:szCs w:val="20"/>
          <w:lang w:val="en-US"/>
        </w:rPr>
        <w:t>Supplementary means of interpretation</w:t>
      </w:r>
    </w:p>
    <w:p w14:paraId="3F9594D0" w14:textId="77777777" w:rsidR="00E92CA8" w:rsidRPr="009F337B" w:rsidRDefault="00E92CA8" w:rsidP="00E92CA8">
      <w:pPr>
        <w:pStyle w:val="Estilo1"/>
        <w:tabs>
          <w:tab w:val="left" w:pos="709"/>
          <w:tab w:val="left" w:pos="1134"/>
        </w:tabs>
        <w:spacing w:after="0"/>
        <w:ind w:left="0" w:right="-4" w:firstLine="0"/>
        <w:rPr>
          <w:rFonts w:eastAsia="Times" w:cs="Arial"/>
          <w:i w:val="0"/>
          <w:szCs w:val="20"/>
          <w:lang w:val="en-US"/>
        </w:rPr>
      </w:pPr>
    </w:p>
    <w:p w14:paraId="5D10EA8E" w14:textId="2BB24BA1" w:rsidR="00F46845" w:rsidRPr="009F337B" w:rsidRDefault="003B03C4" w:rsidP="00593E37">
      <w:pPr>
        <w:pStyle w:val="Estilo1"/>
        <w:numPr>
          <w:ilvl w:val="0"/>
          <w:numId w:val="1"/>
        </w:numPr>
        <w:tabs>
          <w:tab w:val="left" w:pos="709"/>
          <w:tab w:val="left" w:pos="1134"/>
        </w:tabs>
        <w:spacing w:after="0"/>
        <w:ind w:left="0" w:right="-4" w:firstLine="0"/>
        <w:rPr>
          <w:rFonts w:eastAsia="Times" w:cs="Arial"/>
          <w:i w:val="0"/>
          <w:szCs w:val="20"/>
          <w:lang w:val="en-US"/>
        </w:rPr>
      </w:pPr>
      <w:r w:rsidRPr="009F337B">
        <w:rPr>
          <w:rFonts w:eastAsia="Times" w:cs="Arial"/>
          <w:i w:val="0"/>
          <w:szCs w:val="20"/>
          <w:lang w:val="en-US"/>
        </w:rPr>
        <w:t>Fourth</w:t>
      </w:r>
      <w:r w:rsidR="00F46845" w:rsidRPr="009F337B">
        <w:rPr>
          <w:rFonts w:eastAsia="Times" w:cs="Arial"/>
          <w:i w:val="0"/>
          <w:szCs w:val="20"/>
          <w:lang w:val="en-US"/>
        </w:rPr>
        <w:t xml:space="preserve">, </w:t>
      </w:r>
      <w:r w:rsidR="00AE5F9E" w:rsidRPr="009F337B">
        <w:rPr>
          <w:rFonts w:eastAsia="Times" w:cs="Arial"/>
          <w:i w:val="0"/>
          <w:szCs w:val="20"/>
          <w:lang w:val="en-US"/>
        </w:rPr>
        <w:t>the Court</w:t>
      </w:r>
      <w:r w:rsidR="00F46845" w:rsidRPr="009F337B">
        <w:rPr>
          <w:rFonts w:eastAsia="Times" w:cs="Arial"/>
          <w:i w:val="0"/>
          <w:szCs w:val="20"/>
          <w:lang w:val="en-US"/>
        </w:rPr>
        <w:t xml:space="preserve"> </w:t>
      </w:r>
      <w:r w:rsidRPr="009F337B">
        <w:rPr>
          <w:rFonts w:eastAsia="Times" w:cs="Arial"/>
          <w:i w:val="0"/>
          <w:szCs w:val="20"/>
          <w:lang w:val="en-US"/>
        </w:rPr>
        <w:t>recalls that</w:t>
      </w:r>
      <w:r w:rsidR="00F46845" w:rsidRPr="009F337B">
        <w:rPr>
          <w:rFonts w:eastAsia="Times" w:cs="Arial"/>
          <w:i w:val="0"/>
          <w:szCs w:val="20"/>
          <w:lang w:val="en-US"/>
        </w:rPr>
        <w:t xml:space="preserve">, </w:t>
      </w:r>
      <w:r w:rsidRPr="009F337B">
        <w:rPr>
          <w:rFonts w:eastAsia="Times" w:cs="Arial"/>
          <w:i w:val="0"/>
          <w:szCs w:val="20"/>
          <w:lang w:val="en-US"/>
        </w:rPr>
        <w:t>according to</w:t>
      </w:r>
      <w:r w:rsidR="00F46845" w:rsidRPr="009F337B">
        <w:rPr>
          <w:rFonts w:eastAsia="Times" w:cs="Arial"/>
          <w:i w:val="0"/>
          <w:szCs w:val="20"/>
          <w:lang w:val="en-US"/>
        </w:rPr>
        <w:t xml:space="preserve"> </w:t>
      </w:r>
      <w:r w:rsidR="00AE5F9E" w:rsidRPr="009F337B">
        <w:rPr>
          <w:rFonts w:eastAsia="Times" w:cs="Arial"/>
          <w:i w:val="0"/>
          <w:szCs w:val="20"/>
          <w:lang w:val="en-US"/>
        </w:rPr>
        <w:t>Article</w:t>
      </w:r>
      <w:r w:rsidR="00F46845" w:rsidRPr="009F337B">
        <w:rPr>
          <w:rFonts w:eastAsia="Times" w:cs="Arial"/>
          <w:i w:val="0"/>
          <w:szCs w:val="20"/>
          <w:lang w:val="en-US"/>
        </w:rPr>
        <w:t xml:space="preserve"> 32</w:t>
      </w:r>
      <w:r w:rsidR="00AE5F9E" w:rsidRPr="009F337B">
        <w:rPr>
          <w:rFonts w:eastAsia="Times" w:cs="Arial"/>
          <w:i w:val="0"/>
          <w:szCs w:val="20"/>
          <w:lang w:val="en-US"/>
        </w:rPr>
        <w:t xml:space="preserve"> of the </w:t>
      </w:r>
      <w:r w:rsidR="00BD4205" w:rsidRPr="009F337B">
        <w:rPr>
          <w:rFonts w:eastAsia="Times" w:cs="Arial"/>
          <w:i w:val="0"/>
          <w:szCs w:val="20"/>
          <w:lang w:val="en-US"/>
        </w:rPr>
        <w:t>Vienna Convention</w:t>
      </w:r>
      <w:r w:rsidR="00F46845" w:rsidRPr="009F337B">
        <w:rPr>
          <w:rFonts w:eastAsia="Times" w:cs="Arial"/>
          <w:i w:val="0"/>
          <w:szCs w:val="20"/>
          <w:lang w:val="en-US"/>
        </w:rPr>
        <w:t xml:space="preserve">, </w:t>
      </w:r>
      <w:r w:rsidRPr="009F337B">
        <w:rPr>
          <w:rFonts w:eastAsia="Times" w:cs="Arial"/>
          <w:i w:val="0"/>
          <w:szCs w:val="20"/>
          <w:lang w:val="en-US"/>
        </w:rPr>
        <w:t>supplementary means of interpretation</w:t>
      </w:r>
      <w:r w:rsidR="00F46845" w:rsidRPr="009F337B">
        <w:rPr>
          <w:rFonts w:eastAsia="Times" w:cs="Arial"/>
          <w:i w:val="0"/>
          <w:szCs w:val="20"/>
          <w:lang w:val="en-US"/>
        </w:rPr>
        <w:t xml:space="preserve">, </w:t>
      </w:r>
      <w:r w:rsidRPr="009F337B">
        <w:rPr>
          <w:rFonts w:eastAsia="Times" w:cs="Arial"/>
          <w:i w:val="0"/>
          <w:szCs w:val="20"/>
          <w:lang w:val="en-US"/>
        </w:rPr>
        <w:t xml:space="preserve">especially the preparatory work of </w:t>
      </w:r>
      <w:r w:rsidR="00E00596" w:rsidRPr="009F337B">
        <w:rPr>
          <w:rFonts w:eastAsia="Times" w:cs="Arial"/>
          <w:i w:val="0"/>
          <w:szCs w:val="20"/>
          <w:lang w:val="en-US"/>
        </w:rPr>
        <w:t>a</w:t>
      </w:r>
      <w:r w:rsidRPr="009F337B">
        <w:rPr>
          <w:rFonts w:eastAsia="Times" w:cs="Arial"/>
          <w:i w:val="0"/>
          <w:szCs w:val="20"/>
          <w:lang w:val="en-US"/>
        </w:rPr>
        <w:t xml:space="preserve"> treaty, may be used </w:t>
      </w:r>
      <w:r w:rsidR="0029700F" w:rsidRPr="009F337B">
        <w:rPr>
          <w:rFonts w:eastAsia="Times" w:cs="Arial"/>
          <w:i w:val="0"/>
          <w:szCs w:val="20"/>
          <w:lang w:val="en-US"/>
        </w:rPr>
        <w:t xml:space="preserve">“in order </w:t>
      </w:r>
      <w:r w:rsidRPr="009F337B">
        <w:rPr>
          <w:rFonts w:eastAsia="Times" w:cs="Arial"/>
          <w:i w:val="0"/>
          <w:szCs w:val="20"/>
          <w:lang w:val="en-US"/>
        </w:rPr>
        <w:t xml:space="preserve">to confirm the meaning resulting </w:t>
      </w:r>
      <w:r w:rsidR="0029700F" w:rsidRPr="009F337B">
        <w:rPr>
          <w:rFonts w:eastAsia="Times" w:cs="Arial"/>
          <w:i w:val="0"/>
          <w:szCs w:val="20"/>
          <w:lang w:val="en-US"/>
        </w:rPr>
        <w:t xml:space="preserve">from the application of </w:t>
      </w:r>
      <w:r w:rsidR="00AE5F9E" w:rsidRPr="009F337B">
        <w:rPr>
          <w:rFonts w:eastAsia="Times" w:cs="Arial"/>
          <w:i w:val="0"/>
          <w:szCs w:val="20"/>
          <w:lang w:val="en-US"/>
        </w:rPr>
        <w:t>Article</w:t>
      </w:r>
      <w:r w:rsidR="00F46845" w:rsidRPr="009F337B">
        <w:rPr>
          <w:rFonts w:eastAsia="Times" w:cs="Arial"/>
          <w:i w:val="0"/>
          <w:szCs w:val="20"/>
          <w:lang w:val="en-US"/>
        </w:rPr>
        <w:t xml:space="preserve"> 31.</w:t>
      </w:r>
      <w:r w:rsidR="0029700F" w:rsidRPr="009F337B">
        <w:rPr>
          <w:rFonts w:eastAsia="Times" w:cs="Arial"/>
          <w:i w:val="0"/>
          <w:szCs w:val="20"/>
          <w:lang w:val="en-US"/>
        </w:rPr>
        <w:t>”</w:t>
      </w:r>
      <w:r w:rsidR="00F46845" w:rsidRPr="009F337B">
        <w:rPr>
          <w:rFonts w:eastAsia="Times" w:cs="Arial"/>
          <w:i w:val="0"/>
          <w:szCs w:val="20"/>
          <w:lang w:val="en-US"/>
        </w:rPr>
        <w:t xml:space="preserve"> </w:t>
      </w:r>
      <w:r w:rsidR="0029700F" w:rsidRPr="009F337B">
        <w:rPr>
          <w:rFonts w:eastAsia="Times" w:cs="Arial"/>
          <w:i w:val="0"/>
          <w:szCs w:val="20"/>
          <w:lang w:val="en-US"/>
        </w:rPr>
        <w:t xml:space="preserve">This </w:t>
      </w:r>
      <w:r w:rsidR="00712752">
        <w:rPr>
          <w:rFonts w:eastAsia="Times" w:cs="Arial"/>
          <w:i w:val="0"/>
          <w:szCs w:val="20"/>
          <w:lang w:val="en-US"/>
        </w:rPr>
        <w:t>signifies</w:t>
      </w:r>
      <w:r w:rsidR="0029700F" w:rsidRPr="009F337B">
        <w:rPr>
          <w:rFonts w:eastAsia="Times" w:cs="Arial"/>
          <w:i w:val="0"/>
          <w:szCs w:val="20"/>
          <w:lang w:val="en-US"/>
        </w:rPr>
        <w:t xml:space="preserve"> that they are used in a supplementary manner. </w:t>
      </w:r>
    </w:p>
    <w:p w14:paraId="284C9F2C" w14:textId="77777777" w:rsidR="00E92CA8" w:rsidRPr="009F337B" w:rsidRDefault="00E92CA8" w:rsidP="00E92CA8">
      <w:pPr>
        <w:pStyle w:val="Estilo1"/>
        <w:tabs>
          <w:tab w:val="left" w:pos="709"/>
          <w:tab w:val="left" w:pos="1134"/>
        </w:tabs>
        <w:spacing w:after="0"/>
        <w:ind w:left="0" w:right="-4" w:firstLine="0"/>
        <w:rPr>
          <w:rFonts w:eastAsia="Times" w:cs="Arial"/>
          <w:i w:val="0"/>
          <w:szCs w:val="20"/>
          <w:lang w:val="en-US"/>
        </w:rPr>
      </w:pPr>
    </w:p>
    <w:p w14:paraId="2E7E06BC" w14:textId="36CBDFF1" w:rsidR="00F46845" w:rsidRPr="009F337B" w:rsidRDefault="0029700F" w:rsidP="00593E37">
      <w:pPr>
        <w:pStyle w:val="Estilo1"/>
        <w:numPr>
          <w:ilvl w:val="0"/>
          <w:numId w:val="1"/>
        </w:numPr>
        <w:tabs>
          <w:tab w:val="left" w:pos="709"/>
          <w:tab w:val="left" w:pos="1134"/>
        </w:tabs>
        <w:spacing w:after="0"/>
        <w:ind w:left="0" w:right="-4" w:firstLine="0"/>
        <w:rPr>
          <w:rFonts w:eastAsia="Times" w:cs="Arial"/>
          <w:i w:val="0"/>
          <w:szCs w:val="20"/>
          <w:lang w:val="en-US"/>
        </w:rPr>
      </w:pPr>
      <w:r w:rsidRPr="009F337B">
        <w:rPr>
          <w:rFonts w:eastAsia="Times" w:cs="Arial"/>
          <w:i w:val="0"/>
          <w:szCs w:val="20"/>
          <w:lang w:val="en-US"/>
        </w:rPr>
        <w:t>In this regard</w:t>
      </w:r>
      <w:r w:rsidR="00F46845" w:rsidRPr="009F337B">
        <w:rPr>
          <w:rFonts w:eastAsia="Times" w:cs="Arial"/>
          <w:i w:val="0"/>
          <w:szCs w:val="20"/>
          <w:lang w:val="en-US"/>
        </w:rPr>
        <w:t>,</w:t>
      </w:r>
      <w:r w:rsidR="00F46845" w:rsidRPr="009F337B">
        <w:rPr>
          <w:i w:val="0"/>
          <w:szCs w:val="20"/>
          <w:lang w:val="en-US"/>
        </w:rPr>
        <w:t xml:space="preserve"> </w:t>
      </w:r>
      <w:r w:rsidR="008C399E" w:rsidRPr="009F337B">
        <w:rPr>
          <w:i w:val="0"/>
          <w:szCs w:val="20"/>
          <w:lang w:val="en-US"/>
        </w:rPr>
        <w:t>the Court</w:t>
      </w:r>
      <w:r w:rsidR="00F46845" w:rsidRPr="009F337B">
        <w:rPr>
          <w:i w:val="0"/>
          <w:szCs w:val="20"/>
          <w:lang w:val="en-US"/>
        </w:rPr>
        <w:t xml:space="preserve"> rec</w:t>
      </w:r>
      <w:r w:rsidRPr="009F337B">
        <w:rPr>
          <w:i w:val="0"/>
          <w:szCs w:val="20"/>
          <w:lang w:val="en-US"/>
        </w:rPr>
        <w:t xml:space="preserve">alls that the content </w:t>
      </w:r>
      <w:r w:rsidR="003C46A3" w:rsidRPr="009F337B">
        <w:rPr>
          <w:i w:val="0"/>
          <w:szCs w:val="20"/>
          <w:lang w:val="en-US"/>
        </w:rPr>
        <w:t>of Article</w:t>
      </w:r>
      <w:r w:rsidR="00F46845" w:rsidRPr="009F337B">
        <w:rPr>
          <w:i w:val="0"/>
          <w:szCs w:val="20"/>
          <w:lang w:val="en-US"/>
        </w:rPr>
        <w:t xml:space="preserve"> 26</w:t>
      </w:r>
      <w:r w:rsidR="00AE5F9E" w:rsidRPr="009F337B">
        <w:rPr>
          <w:i w:val="0"/>
          <w:szCs w:val="20"/>
          <w:lang w:val="en-US"/>
        </w:rPr>
        <w:t xml:space="preserve"> of the Convention</w:t>
      </w:r>
      <w:r w:rsidR="00F46845" w:rsidRPr="009F337B">
        <w:rPr>
          <w:i w:val="0"/>
          <w:szCs w:val="20"/>
          <w:lang w:val="en-US"/>
        </w:rPr>
        <w:t xml:space="preserve"> </w:t>
      </w:r>
      <w:r w:rsidRPr="009F337B">
        <w:rPr>
          <w:i w:val="0"/>
          <w:szCs w:val="20"/>
          <w:lang w:val="en-US"/>
        </w:rPr>
        <w:t xml:space="preserve">was the </w:t>
      </w:r>
      <w:r w:rsidR="001C3741" w:rsidRPr="009F337B">
        <w:rPr>
          <w:i w:val="0"/>
          <w:szCs w:val="20"/>
          <w:lang w:val="en-US"/>
        </w:rPr>
        <w:t>su</w:t>
      </w:r>
      <w:r w:rsidRPr="009F337B">
        <w:rPr>
          <w:i w:val="0"/>
          <w:szCs w:val="20"/>
          <w:lang w:val="en-US"/>
        </w:rPr>
        <w:t>bject of intense debate during the preparatory work for the Convention</w:t>
      </w:r>
      <w:r w:rsidR="00E00596" w:rsidRPr="009F337B">
        <w:rPr>
          <w:i w:val="0"/>
          <w:szCs w:val="20"/>
          <w:lang w:val="en-US"/>
        </w:rPr>
        <w:t>. This arose</w:t>
      </w:r>
      <w:r w:rsidRPr="009F337B">
        <w:rPr>
          <w:i w:val="0"/>
          <w:szCs w:val="20"/>
          <w:lang w:val="en-US"/>
        </w:rPr>
        <w:t xml:space="preserve"> </w:t>
      </w:r>
      <w:r w:rsidR="00E00596" w:rsidRPr="009F337B">
        <w:rPr>
          <w:i w:val="0"/>
          <w:szCs w:val="20"/>
          <w:lang w:val="en-US"/>
        </w:rPr>
        <w:t>due to</w:t>
      </w:r>
      <w:r w:rsidRPr="009F337B">
        <w:rPr>
          <w:i w:val="0"/>
          <w:szCs w:val="20"/>
          <w:lang w:val="en-US"/>
        </w:rPr>
        <w:t xml:space="preserve"> the interest of the State</w:t>
      </w:r>
      <w:r w:rsidR="001C3741" w:rsidRPr="009F337B">
        <w:rPr>
          <w:i w:val="0"/>
          <w:szCs w:val="20"/>
          <w:lang w:val="en-US"/>
        </w:rPr>
        <w:t>s</w:t>
      </w:r>
      <w:r w:rsidRPr="009F337B">
        <w:rPr>
          <w:i w:val="0"/>
          <w:szCs w:val="20"/>
          <w:lang w:val="en-US"/>
        </w:rPr>
        <w:t xml:space="preserve"> in including a “direct mention” of the economic, social and cultural “rights”; “a provision that makes their application and compliance with them […] legally binding to a certain extent”; and also “the [respective] mechanisms [for their] promotion and protection,” because </w:t>
      </w:r>
      <w:r w:rsidR="001C3741" w:rsidRPr="009F337B">
        <w:rPr>
          <w:i w:val="0"/>
          <w:szCs w:val="20"/>
          <w:lang w:val="en-US"/>
        </w:rPr>
        <w:t xml:space="preserve">the draft treaty prepared by </w:t>
      </w:r>
      <w:r w:rsidR="00AE5F9E" w:rsidRPr="009F337B">
        <w:rPr>
          <w:i w:val="0"/>
          <w:szCs w:val="20"/>
          <w:lang w:val="en-US"/>
        </w:rPr>
        <w:t>the Inter-American Commission</w:t>
      </w:r>
      <w:r w:rsidR="00F46845" w:rsidRPr="009F337B">
        <w:rPr>
          <w:i w:val="0"/>
          <w:szCs w:val="20"/>
          <w:lang w:val="en-US"/>
        </w:rPr>
        <w:t xml:space="preserve"> </w:t>
      </w:r>
      <w:r w:rsidR="001C3741" w:rsidRPr="009F337B">
        <w:rPr>
          <w:i w:val="0"/>
          <w:szCs w:val="20"/>
          <w:lang w:val="en-US"/>
        </w:rPr>
        <w:t xml:space="preserve">referred to them in two articles that, according to some States, only “reflected conclusions </w:t>
      </w:r>
      <w:r w:rsidR="00E00596" w:rsidRPr="009F337B">
        <w:rPr>
          <w:i w:val="0"/>
          <w:szCs w:val="20"/>
          <w:lang w:val="en-US"/>
        </w:rPr>
        <w:t>reached</w:t>
      </w:r>
      <w:r w:rsidR="001C3741" w:rsidRPr="009F337B">
        <w:rPr>
          <w:i w:val="0"/>
          <w:szCs w:val="20"/>
          <w:lang w:val="en-US"/>
        </w:rPr>
        <w:t xml:space="preserve"> at the Buenos Aires Conference in a</w:t>
      </w:r>
      <w:r w:rsidR="00E00596" w:rsidRPr="009F337B">
        <w:rPr>
          <w:i w:val="0"/>
          <w:szCs w:val="20"/>
          <w:lang w:val="en-US"/>
        </w:rPr>
        <w:t xml:space="preserve"> text that is</w:t>
      </w:r>
      <w:r w:rsidR="001C3741" w:rsidRPr="009F337B">
        <w:rPr>
          <w:i w:val="0"/>
          <w:szCs w:val="20"/>
          <w:lang w:val="en-US"/>
        </w:rPr>
        <w:t xml:space="preserve"> merely declarative.</w:t>
      </w:r>
      <w:r w:rsidR="00F46845" w:rsidRPr="009F337B">
        <w:rPr>
          <w:i w:val="0"/>
          <w:szCs w:val="20"/>
          <w:lang w:val="en-US"/>
        </w:rPr>
        <w:t>”</w:t>
      </w:r>
      <w:r w:rsidR="00F46845" w:rsidRPr="009F337B">
        <w:rPr>
          <w:rStyle w:val="Refdenotaalpie"/>
          <w:i w:val="0"/>
          <w:lang w:val="en-US"/>
        </w:rPr>
        <w:footnoteReference w:id="91"/>
      </w:r>
    </w:p>
    <w:p w14:paraId="64BDC8FC" w14:textId="77777777" w:rsidR="00E92CA8" w:rsidRPr="009F337B" w:rsidRDefault="00E92CA8" w:rsidP="00E92CA8">
      <w:pPr>
        <w:pStyle w:val="Estilo1"/>
        <w:tabs>
          <w:tab w:val="left" w:pos="709"/>
          <w:tab w:val="left" w:pos="1134"/>
        </w:tabs>
        <w:spacing w:after="0"/>
        <w:ind w:left="0" w:right="-4" w:firstLine="0"/>
        <w:rPr>
          <w:rFonts w:eastAsia="Times" w:cs="Arial"/>
          <w:i w:val="0"/>
          <w:szCs w:val="20"/>
          <w:lang w:val="en-US"/>
        </w:rPr>
      </w:pPr>
    </w:p>
    <w:p w14:paraId="702C2027" w14:textId="7BB8D450" w:rsidR="00887204" w:rsidRPr="009F337B" w:rsidRDefault="001C3741" w:rsidP="00593E37">
      <w:pPr>
        <w:pStyle w:val="Estilo1"/>
        <w:numPr>
          <w:ilvl w:val="0"/>
          <w:numId w:val="1"/>
        </w:numPr>
        <w:tabs>
          <w:tab w:val="left" w:pos="709"/>
          <w:tab w:val="left" w:pos="1134"/>
        </w:tabs>
        <w:spacing w:after="0"/>
        <w:ind w:left="0" w:right="-4" w:firstLine="0"/>
        <w:rPr>
          <w:rFonts w:eastAsia="Times" w:cs="Arial"/>
          <w:i w:val="0"/>
          <w:szCs w:val="20"/>
          <w:lang w:val="en-US"/>
        </w:rPr>
      </w:pPr>
      <w:r w:rsidRPr="009F337B">
        <w:rPr>
          <w:i w:val="0"/>
          <w:szCs w:val="20"/>
          <w:lang w:val="en-US"/>
        </w:rPr>
        <w:t xml:space="preserve">A review of the preparatory work </w:t>
      </w:r>
      <w:r w:rsidR="00E00596" w:rsidRPr="009F337B">
        <w:rPr>
          <w:i w:val="0"/>
          <w:szCs w:val="20"/>
          <w:lang w:val="en-US"/>
        </w:rPr>
        <w:t>of</w:t>
      </w:r>
      <w:r w:rsidRPr="009F337B">
        <w:rPr>
          <w:i w:val="0"/>
          <w:szCs w:val="20"/>
          <w:lang w:val="en-US"/>
        </w:rPr>
        <w:t xml:space="preserve"> the Convention reveals also that the main </w:t>
      </w:r>
      <w:r w:rsidR="00E00596" w:rsidRPr="009F337B">
        <w:rPr>
          <w:i w:val="0"/>
          <w:szCs w:val="20"/>
          <w:lang w:val="en-US"/>
        </w:rPr>
        <w:t>considerations</w:t>
      </w:r>
      <w:r w:rsidRPr="009F337B">
        <w:rPr>
          <w:i w:val="0"/>
          <w:szCs w:val="20"/>
          <w:lang w:val="en-US"/>
        </w:rPr>
        <w:t xml:space="preserve"> based on which it was adopted placed special emphasis on “giving the economic, social and cultural rights the maximum protection compatible with the specific conditions of most of the States of the Americas.” Thus, </w:t>
      </w:r>
      <w:r w:rsidR="00712752">
        <w:rPr>
          <w:i w:val="0"/>
          <w:szCs w:val="20"/>
          <w:lang w:val="en-US"/>
        </w:rPr>
        <w:t>in the</w:t>
      </w:r>
      <w:r w:rsidRPr="009F337B">
        <w:rPr>
          <w:i w:val="0"/>
          <w:szCs w:val="20"/>
          <w:lang w:val="en-US"/>
        </w:rPr>
        <w:t xml:space="preserve"> </w:t>
      </w:r>
      <w:r w:rsidR="00712752">
        <w:rPr>
          <w:i w:val="0"/>
          <w:szCs w:val="20"/>
          <w:lang w:val="en-US"/>
        </w:rPr>
        <w:t>discussions</w:t>
      </w:r>
      <w:r w:rsidRPr="009F337B">
        <w:rPr>
          <w:i w:val="0"/>
          <w:szCs w:val="20"/>
          <w:lang w:val="en-US"/>
        </w:rPr>
        <w:t xml:space="preserve"> </w:t>
      </w:r>
      <w:r w:rsidR="00712752">
        <w:rPr>
          <w:i w:val="0"/>
          <w:szCs w:val="20"/>
          <w:lang w:val="en-US"/>
        </w:rPr>
        <w:t>during</w:t>
      </w:r>
      <w:r w:rsidRPr="009F337B">
        <w:rPr>
          <w:i w:val="0"/>
          <w:szCs w:val="20"/>
          <w:lang w:val="en-US"/>
        </w:rPr>
        <w:t xml:space="preserve"> the</w:t>
      </w:r>
      <w:r w:rsidR="00E00596" w:rsidRPr="009F337B">
        <w:rPr>
          <w:i w:val="0"/>
          <w:szCs w:val="20"/>
          <w:lang w:val="en-US"/>
        </w:rPr>
        <w:t xml:space="preserve"> course of the</w:t>
      </w:r>
      <w:r w:rsidRPr="009F337B">
        <w:rPr>
          <w:i w:val="0"/>
          <w:szCs w:val="20"/>
          <w:lang w:val="en-US"/>
        </w:rPr>
        <w:t xml:space="preserve"> preparatory work, it was also proposed to “enable the implementation [of those rights] by the action of the courts.” The Court considers that these declarations by the States do not contradict the thesis that </w:t>
      </w:r>
      <w:r w:rsidR="00AE5F9E" w:rsidRPr="009F337B">
        <w:rPr>
          <w:i w:val="0"/>
          <w:szCs w:val="20"/>
          <w:lang w:val="en-US"/>
        </w:rPr>
        <w:t>Article</w:t>
      </w:r>
      <w:r w:rsidR="00F46845" w:rsidRPr="009F337B">
        <w:rPr>
          <w:i w:val="0"/>
          <w:szCs w:val="20"/>
          <w:lang w:val="en-US"/>
        </w:rPr>
        <w:t xml:space="preserve"> 26 </w:t>
      </w:r>
      <w:r w:rsidRPr="009F337B">
        <w:rPr>
          <w:i w:val="0"/>
          <w:szCs w:val="20"/>
          <w:lang w:val="en-US"/>
        </w:rPr>
        <w:t xml:space="preserve">does, indeed, recognize “rights” that are subject to the general obligations of the States by virtue of </w:t>
      </w:r>
      <w:r w:rsidR="00AE5F9E" w:rsidRPr="009F337B">
        <w:rPr>
          <w:i w:val="0"/>
          <w:szCs w:val="20"/>
          <w:lang w:val="en-US"/>
        </w:rPr>
        <w:t>Articles</w:t>
      </w:r>
      <w:r w:rsidR="003C46A3" w:rsidRPr="009F337B">
        <w:rPr>
          <w:i w:val="0"/>
          <w:szCs w:val="20"/>
          <w:lang w:val="en-US"/>
        </w:rPr>
        <w:t xml:space="preserve"> 1(1) and </w:t>
      </w:r>
      <w:r w:rsidR="00F46845" w:rsidRPr="009F337B">
        <w:rPr>
          <w:i w:val="0"/>
          <w:szCs w:val="20"/>
          <w:lang w:val="en-US"/>
        </w:rPr>
        <w:t>2</w:t>
      </w:r>
      <w:r w:rsidR="00AE5F9E" w:rsidRPr="009F337B">
        <w:rPr>
          <w:i w:val="0"/>
          <w:szCs w:val="20"/>
          <w:lang w:val="en-US"/>
        </w:rPr>
        <w:t xml:space="preserve"> of the American Convention</w:t>
      </w:r>
      <w:r w:rsidR="003C46A3" w:rsidRPr="009F337B">
        <w:rPr>
          <w:i w:val="0"/>
          <w:szCs w:val="20"/>
          <w:lang w:val="en-US"/>
        </w:rPr>
        <w:t xml:space="preserve"> and </w:t>
      </w:r>
      <w:r w:rsidRPr="009F337B">
        <w:rPr>
          <w:i w:val="0"/>
          <w:szCs w:val="20"/>
          <w:lang w:val="en-US"/>
        </w:rPr>
        <w:t xml:space="preserve">that, consequently, they are </w:t>
      </w:r>
      <w:r w:rsidR="00B40D3A" w:rsidRPr="009F337B">
        <w:rPr>
          <w:i w:val="0"/>
          <w:szCs w:val="20"/>
          <w:lang w:val="en-US"/>
        </w:rPr>
        <w:t>justiciable</w:t>
      </w:r>
      <w:r w:rsidR="00F46845" w:rsidRPr="009F337B">
        <w:rPr>
          <w:i w:val="0"/>
          <w:szCs w:val="20"/>
          <w:lang w:val="en-US"/>
        </w:rPr>
        <w:t>.</w:t>
      </w:r>
    </w:p>
    <w:p w14:paraId="611BDA05" w14:textId="77777777" w:rsidR="00E92CA8" w:rsidRPr="009F337B" w:rsidRDefault="00E92CA8" w:rsidP="00E92CA8">
      <w:pPr>
        <w:pStyle w:val="Estilo1"/>
        <w:tabs>
          <w:tab w:val="left" w:pos="709"/>
          <w:tab w:val="left" w:pos="1134"/>
        </w:tabs>
        <w:spacing w:after="0"/>
        <w:ind w:left="0" w:right="-4" w:firstLine="0"/>
        <w:rPr>
          <w:rFonts w:eastAsia="Times" w:cs="Arial"/>
          <w:i w:val="0"/>
          <w:szCs w:val="20"/>
          <w:lang w:val="en-US"/>
        </w:rPr>
      </w:pPr>
    </w:p>
    <w:p w14:paraId="51115DE3" w14:textId="1112BDF5" w:rsidR="00F46845" w:rsidRPr="009F337B" w:rsidRDefault="00AC0BEF" w:rsidP="00E92CA8">
      <w:pPr>
        <w:pStyle w:val="Estilo1"/>
        <w:tabs>
          <w:tab w:val="left" w:pos="709"/>
          <w:tab w:val="left" w:pos="1134"/>
        </w:tabs>
        <w:spacing w:after="0"/>
        <w:ind w:left="0" w:right="-4" w:firstLine="0"/>
        <w:rPr>
          <w:rFonts w:eastAsia="Times" w:cs="Arial"/>
          <w:b/>
          <w:szCs w:val="20"/>
          <w:lang w:val="en-US"/>
        </w:rPr>
      </w:pPr>
      <w:r w:rsidRPr="009F337B">
        <w:rPr>
          <w:i w:val="0"/>
          <w:szCs w:val="20"/>
          <w:lang w:val="en-US"/>
        </w:rPr>
        <w:tab/>
      </w:r>
      <w:r w:rsidRPr="009F337B">
        <w:rPr>
          <w:i w:val="0"/>
          <w:szCs w:val="20"/>
          <w:lang w:val="en-US"/>
        </w:rPr>
        <w:tab/>
      </w:r>
      <w:r w:rsidRPr="009F337B">
        <w:rPr>
          <w:i w:val="0"/>
          <w:szCs w:val="20"/>
          <w:lang w:val="en-US"/>
        </w:rPr>
        <w:tab/>
      </w:r>
      <w:r w:rsidR="00F46845" w:rsidRPr="009F337B">
        <w:rPr>
          <w:rFonts w:eastAsia="Times" w:cs="Arial"/>
          <w:b/>
          <w:szCs w:val="20"/>
          <w:lang w:val="en-US"/>
        </w:rPr>
        <w:t xml:space="preserve">B.1.5. </w:t>
      </w:r>
      <w:r w:rsidR="00954E95" w:rsidRPr="009F337B">
        <w:rPr>
          <w:rFonts w:eastAsia="Times" w:cs="Arial"/>
          <w:b/>
          <w:szCs w:val="20"/>
          <w:lang w:val="en-US"/>
        </w:rPr>
        <w:t>Conclusion</w:t>
      </w:r>
    </w:p>
    <w:p w14:paraId="6C4F481B" w14:textId="77777777" w:rsidR="00E92CA8" w:rsidRPr="009F337B" w:rsidRDefault="00E92CA8" w:rsidP="00E92CA8">
      <w:pPr>
        <w:pStyle w:val="Estilo1"/>
        <w:tabs>
          <w:tab w:val="left" w:pos="709"/>
          <w:tab w:val="left" w:pos="1134"/>
        </w:tabs>
        <w:spacing w:after="0"/>
        <w:ind w:left="0" w:right="-4" w:firstLine="0"/>
        <w:rPr>
          <w:rFonts w:eastAsia="Times" w:cs="Arial"/>
          <w:i w:val="0"/>
          <w:szCs w:val="20"/>
          <w:lang w:val="en-US"/>
        </w:rPr>
      </w:pPr>
    </w:p>
    <w:p w14:paraId="7E3DA697" w14:textId="290E9EEF" w:rsidR="00A51F3B" w:rsidRPr="009F337B" w:rsidRDefault="00AE5F9E" w:rsidP="00593E37">
      <w:pPr>
        <w:pStyle w:val="Estilo1"/>
        <w:numPr>
          <w:ilvl w:val="0"/>
          <w:numId w:val="1"/>
        </w:numPr>
        <w:tabs>
          <w:tab w:val="left" w:pos="709"/>
          <w:tab w:val="left" w:pos="1134"/>
        </w:tabs>
        <w:spacing w:after="0"/>
        <w:ind w:left="0" w:right="-4" w:firstLine="0"/>
        <w:rPr>
          <w:rFonts w:eastAsia="Times" w:cs="Arial"/>
          <w:i w:val="0"/>
          <w:szCs w:val="20"/>
          <w:lang w:val="en-US"/>
        </w:rPr>
      </w:pPr>
      <w:r w:rsidRPr="009F337B">
        <w:rPr>
          <w:rFonts w:eastAsia="Times" w:cs="Arial"/>
          <w:i w:val="0"/>
          <w:szCs w:val="20"/>
          <w:lang w:val="en-US"/>
        </w:rPr>
        <w:t>The Court</w:t>
      </w:r>
      <w:r w:rsidR="00F46845" w:rsidRPr="009F337B">
        <w:rPr>
          <w:rFonts w:eastAsia="Times" w:cs="Arial"/>
          <w:i w:val="0"/>
          <w:szCs w:val="20"/>
          <w:lang w:val="en-US"/>
        </w:rPr>
        <w:t xml:space="preserve"> </w:t>
      </w:r>
      <w:r w:rsidR="00954E95" w:rsidRPr="009F337B">
        <w:rPr>
          <w:rFonts w:eastAsia="Times" w:cs="Arial"/>
          <w:i w:val="0"/>
          <w:szCs w:val="20"/>
          <w:lang w:val="en-US"/>
        </w:rPr>
        <w:t xml:space="preserve">notes that </w:t>
      </w:r>
      <w:r w:rsidR="00954E95" w:rsidRPr="009F337B">
        <w:rPr>
          <w:i w:val="0"/>
          <w:szCs w:val="20"/>
          <w:lang w:val="en-US"/>
        </w:rPr>
        <w:t xml:space="preserve">a literal, systematic and teleological interpretation </w:t>
      </w:r>
      <w:r w:rsidR="00A51F3B" w:rsidRPr="009F337B">
        <w:rPr>
          <w:i w:val="0"/>
          <w:szCs w:val="20"/>
          <w:lang w:val="en-US"/>
        </w:rPr>
        <w:t>leads to the conclusion that</w:t>
      </w:r>
      <w:r w:rsidR="00954E95" w:rsidRPr="009F337B">
        <w:rPr>
          <w:i w:val="0"/>
          <w:szCs w:val="20"/>
          <w:lang w:val="en-US"/>
        </w:rPr>
        <w:t xml:space="preserve"> Article 26 of the Convention</w:t>
      </w:r>
      <w:r w:rsidR="00A51F3B" w:rsidRPr="009F337B">
        <w:rPr>
          <w:i w:val="0"/>
          <w:szCs w:val="20"/>
          <w:lang w:val="en-US"/>
        </w:rPr>
        <w:t xml:space="preserve"> </w:t>
      </w:r>
      <w:r w:rsidR="00A51F3B" w:rsidRPr="009F337B">
        <w:rPr>
          <w:i w:val="0"/>
          <w:szCs w:val="20"/>
          <w:lang w:val="en-US" w:eastAsia="es-ES_tradnl"/>
        </w:rPr>
        <w:t xml:space="preserve">protects the rights derived from the economic, social, educational, scientific and cultural </w:t>
      </w:r>
      <w:r w:rsidR="00795CA3">
        <w:rPr>
          <w:i w:val="0"/>
          <w:szCs w:val="20"/>
          <w:lang w:val="en-US" w:eastAsia="es-ES_tradnl"/>
        </w:rPr>
        <w:t>standards set forth</w:t>
      </w:r>
      <w:r w:rsidR="00A51F3B" w:rsidRPr="009F337B">
        <w:rPr>
          <w:i w:val="0"/>
          <w:szCs w:val="20"/>
          <w:lang w:val="en-US" w:eastAsia="es-ES_tradnl"/>
        </w:rPr>
        <w:t xml:space="preserve"> in the OAS Charter. The scope of such rights should be understood in relation to the other articles of the American Convention and they are therefore subject to the general obligations contained in Article 1(1) and 2 of the Convention and may be supervised by the Court in the terms of Articles 62 and 63 of this instrument. This conclusion is based not only on formal issues, but results from the interdependence and indivisibility of civil and political rights and </w:t>
      </w:r>
      <w:r w:rsidR="00A51F3B" w:rsidRPr="009F337B">
        <w:rPr>
          <w:i w:val="0"/>
          <w:szCs w:val="20"/>
          <w:lang w:val="en-US"/>
        </w:rPr>
        <w:t xml:space="preserve">economic, social, cultural and environmental rights, as well as their compatibility with the object and purpose of the Convention, which is the protection of the fundamental rights of the human being. In each specific case that calls for an analysis of the ESCER, it will be necessary to determine whether a human right protected by </w:t>
      </w:r>
      <w:r w:rsidR="00A51F3B" w:rsidRPr="009F337B">
        <w:rPr>
          <w:rFonts w:eastAsia="Times" w:cs="Arial"/>
          <w:i w:val="0"/>
          <w:szCs w:val="20"/>
          <w:lang w:val="en-US"/>
        </w:rPr>
        <w:t>Article 26 of the American Convention can be explicitly derived from the OAS Charter, and also the scope of this protection.</w:t>
      </w:r>
    </w:p>
    <w:p w14:paraId="728E4634" w14:textId="77777777" w:rsidR="00EE1E0E" w:rsidRPr="009F337B" w:rsidRDefault="00EE1E0E" w:rsidP="00E92CA8">
      <w:pPr>
        <w:rPr>
          <w:rFonts w:eastAsia="Verdana"/>
          <w:bCs/>
          <w:lang w:val="en-US" w:eastAsia="x-none"/>
        </w:rPr>
      </w:pPr>
    </w:p>
    <w:p w14:paraId="2061B76D" w14:textId="6A6531B1" w:rsidR="00F46845" w:rsidRPr="009F337B" w:rsidRDefault="00AC0BEF" w:rsidP="00E92CA8">
      <w:pPr>
        <w:pStyle w:val="Ttulo3"/>
        <w:spacing w:before="0"/>
        <w:rPr>
          <w:lang w:val="en-US"/>
        </w:rPr>
      </w:pPr>
      <w:r w:rsidRPr="009F337B">
        <w:rPr>
          <w:lang w:val="en-US"/>
        </w:rPr>
        <w:tab/>
      </w:r>
      <w:bookmarkStart w:id="73" w:name="_Toc527466490"/>
      <w:r w:rsidR="00F46845" w:rsidRPr="009F337B">
        <w:rPr>
          <w:lang w:val="en-US"/>
        </w:rPr>
        <w:t xml:space="preserve">B.2. </w:t>
      </w:r>
      <w:r w:rsidR="00A51F3B" w:rsidRPr="009F337B">
        <w:rPr>
          <w:lang w:val="en-US"/>
        </w:rPr>
        <w:t>The right to health as an autonomous and justiciable right</w:t>
      </w:r>
      <w:bookmarkEnd w:id="73"/>
    </w:p>
    <w:p w14:paraId="2A7569BD" w14:textId="77777777" w:rsidR="00E92CA8" w:rsidRPr="009F337B" w:rsidRDefault="00E92CA8" w:rsidP="00E92CA8">
      <w:pPr>
        <w:rPr>
          <w:lang w:val="en-US"/>
        </w:rPr>
      </w:pPr>
    </w:p>
    <w:p w14:paraId="5FA888D9" w14:textId="1D6F8419" w:rsidR="00F46845" w:rsidRPr="009F337B" w:rsidRDefault="00AE5F9E" w:rsidP="00593E37">
      <w:pPr>
        <w:pStyle w:val="Estilo1"/>
        <w:numPr>
          <w:ilvl w:val="0"/>
          <w:numId w:val="1"/>
        </w:numPr>
        <w:tabs>
          <w:tab w:val="left" w:pos="720"/>
          <w:tab w:val="left" w:pos="1134"/>
        </w:tabs>
        <w:spacing w:after="0"/>
        <w:ind w:left="0" w:right="-4" w:firstLine="0"/>
        <w:rPr>
          <w:rFonts w:eastAsia="Times" w:cs="Arial"/>
          <w:i w:val="0"/>
          <w:szCs w:val="20"/>
          <w:lang w:val="en-US" w:eastAsia="es-CR"/>
        </w:rPr>
      </w:pPr>
      <w:r w:rsidRPr="009F337B">
        <w:rPr>
          <w:rFonts w:eastAsia="Times" w:cs="Arial"/>
          <w:i w:val="0"/>
          <w:szCs w:val="20"/>
          <w:lang w:val="en-US"/>
        </w:rPr>
        <w:t>The Court</w:t>
      </w:r>
      <w:r w:rsidR="00F46845" w:rsidRPr="009F337B">
        <w:rPr>
          <w:rFonts w:eastAsia="Times" w:cs="Arial"/>
          <w:i w:val="0"/>
          <w:szCs w:val="20"/>
          <w:lang w:val="en-US"/>
        </w:rPr>
        <w:t xml:space="preserve"> </w:t>
      </w:r>
      <w:r w:rsidR="000909F2" w:rsidRPr="009F337B">
        <w:rPr>
          <w:rFonts w:eastAsia="Times" w:cs="Arial"/>
          <w:i w:val="0"/>
          <w:szCs w:val="20"/>
          <w:lang w:val="en-US"/>
        </w:rPr>
        <w:t>reitera</w:t>
      </w:r>
      <w:r w:rsidR="00A53A32" w:rsidRPr="009F337B">
        <w:rPr>
          <w:rFonts w:eastAsia="Times" w:cs="Arial"/>
          <w:i w:val="0"/>
          <w:szCs w:val="20"/>
          <w:lang w:val="en-US"/>
        </w:rPr>
        <w:t>te</w:t>
      </w:r>
      <w:r w:rsidR="00E00596" w:rsidRPr="009F337B">
        <w:rPr>
          <w:rFonts w:eastAsia="Times" w:cs="Arial"/>
          <w:i w:val="0"/>
          <w:szCs w:val="20"/>
          <w:lang w:val="en-US"/>
        </w:rPr>
        <w:t>s</w:t>
      </w:r>
      <w:r w:rsidR="00A53A32" w:rsidRPr="009F337B">
        <w:rPr>
          <w:rFonts w:eastAsia="Times" w:cs="Arial"/>
          <w:i w:val="0"/>
          <w:szCs w:val="20"/>
          <w:lang w:val="en-US"/>
        </w:rPr>
        <w:t xml:space="preserve"> that the right to health is derived from</w:t>
      </w:r>
      <w:r w:rsidR="00F46845" w:rsidRPr="009F337B">
        <w:rPr>
          <w:rFonts w:eastAsia="Times" w:cs="Arial"/>
          <w:i w:val="0"/>
          <w:szCs w:val="20"/>
          <w:lang w:val="en-US"/>
        </w:rPr>
        <w:t xml:space="preserve"> </w:t>
      </w:r>
      <w:r w:rsidR="00A53A32" w:rsidRPr="009F337B">
        <w:rPr>
          <w:rFonts w:eastAsia="Times" w:cs="Arial"/>
          <w:i w:val="0"/>
          <w:szCs w:val="20"/>
          <w:lang w:val="en-US"/>
        </w:rPr>
        <w:t xml:space="preserve">the economic, social, educational, scientific and cultural </w:t>
      </w:r>
      <w:r w:rsidR="00795CA3">
        <w:rPr>
          <w:rFonts w:eastAsia="Times" w:cs="Arial"/>
          <w:i w:val="0"/>
          <w:szCs w:val="20"/>
          <w:lang w:val="en-US"/>
        </w:rPr>
        <w:t>standards set forth</w:t>
      </w:r>
      <w:r w:rsidR="00A53A32" w:rsidRPr="009F337B">
        <w:rPr>
          <w:rFonts w:eastAsia="Times" w:cs="Arial"/>
          <w:i w:val="0"/>
          <w:szCs w:val="20"/>
          <w:lang w:val="en-US"/>
        </w:rPr>
        <w:t xml:space="preserve"> in </w:t>
      </w:r>
      <w:r w:rsidR="00664AA6" w:rsidRPr="009F337B">
        <w:rPr>
          <w:rFonts w:eastAsia="Times" w:cs="Arial"/>
          <w:i w:val="0"/>
          <w:szCs w:val="20"/>
          <w:lang w:val="en-US"/>
        </w:rPr>
        <w:t>the OAS Charter</w:t>
      </w:r>
      <w:r w:rsidR="00A53A32" w:rsidRPr="009F337B">
        <w:rPr>
          <w:rFonts w:eastAsia="Times" w:cs="Arial"/>
          <w:i w:val="0"/>
          <w:szCs w:val="20"/>
          <w:lang w:val="en-US"/>
        </w:rPr>
        <w:t>.</w:t>
      </w:r>
      <w:r w:rsidR="000909F2" w:rsidRPr="009F337B">
        <w:rPr>
          <w:rStyle w:val="Refdenotaalpie"/>
          <w:i w:val="0"/>
          <w:lang w:val="en-US"/>
        </w:rPr>
        <w:footnoteReference w:id="92"/>
      </w:r>
      <w:r w:rsidR="00F46845" w:rsidRPr="009F337B">
        <w:rPr>
          <w:rFonts w:eastAsia="Times" w:cs="Arial"/>
          <w:i w:val="0"/>
          <w:szCs w:val="20"/>
          <w:lang w:val="en-US"/>
        </w:rPr>
        <w:t xml:space="preserve"> </w:t>
      </w:r>
      <w:r w:rsidR="003F6122" w:rsidRPr="009F337B">
        <w:rPr>
          <w:rFonts w:eastAsia="Times" w:cs="Arial"/>
          <w:i w:val="0"/>
          <w:szCs w:val="20"/>
          <w:lang w:val="en-US"/>
        </w:rPr>
        <w:t>It also</w:t>
      </w:r>
      <w:r w:rsidR="00852F98" w:rsidRPr="009F337B">
        <w:rPr>
          <w:rFonts w:eastAsia="Times" w:cs="Arial"/>
          <w:i w:val="0"/>
          <w:szCs w:val="20"/>
          <w:lang w:val="en-US"/>
        </w:rPr>
        <w:t xml:space="preserve"> reitera</w:t>
      </w:r>
      <w:r w:rsidR="00A53A32" w:rsidRPr="009F337B">
        <w:rPr>
          <w:rFonts w:eastAsia="Times" w:cs="Arial"/>
          <w:i w:val="0"/>
          <w:szCs w:val="20"/>
          <w:lang w:val="en-US"/>
        </w:rPr>
        <w:t>tes the nature and scope of the obligations that derive from the protection of this right, as regard</w:t>
      </w:r>
      <w:r w:rsidR="003F6122" w:rsidRPr="009F337B">
        <w:rPr>
          <w:rFonts w:eastAsia="Times" w:cs="Arial"/>
          <w:i w:val="0"/>
          <w:szCs w:val="20"/>
          <w:lang w:val="en-US"/>
        </w:rPr>
        <w:t>s both</w:t>
      </w:r>
      <w:r w:rsidR="00A53A32" w:rsidRPr="009F337B">
        <w:rPr>
          <w:rFonts w:eastAsia="Times" w:cs="Arial"/>
          <w:i w:val="0"/>
          <w:szCs w:val="20"/>
          <w:lang w:val="en-US"/>
        </w:rPr>
        <w:t xml:space="preserve"> those aspects that may be enforced immediately a</w:t>
      </w:r>
      <w:r w:rsidR="003F6122" w:rsidRPr="009F337B">
        <w:rPr>
          <w:rFonts w:eastAsia="Times" w:cs="Arial"/>
          <w:i w:val="0"/>
          <w:szCs w:val="20"/>
          <w:lang w:val="en-US"/>
        </w:rPr>
        <w:t>nd</w:t>
      </w:r>
      <w:r w:rsidR="00A53A32" w:rsidRPr="009F337B">
        <w:rPr>
          <w:rFonts w:eastAsia="Times" w:cs="Arial"/>
          <w:i w:val="0"/>
          <w:szCs w:val="20"/>
          <w:lang w:val="en-US"/>
        </w:rPr>
        <w:t xml:space="preserve"> those that </w:t>
      </w:r>
      <w:r w:rsidR="003F6122" w:rsidRPr="009F337B">
        <w:rPr>
          <w:rFonts w:eastAsia="Times" w:cs="Arial"/>
          <w:i w:val="0"/>
          <w:szCs w:val="20"/>
          <w:lang w:val="en-US"/>
        </w:rPr>
        <w:t>are of</w:t>
      </w:r>
      <w:r w:rsidR="00A53A32" w:rsidRPr="009F337B">
        <w:rPr>
          <w:rFonts w:eastAsia="Times" w:cs="Arial"/>
          <w:i w:val="0"/>
          <w:szCs w:val="20"/>
          <w:lang w:val="en-US"/>
        </w:rPr>
        <w:t xml:space="preserve"> a progressive nature.</w:t>
      </w:r>
      <w:r w:rsidR="00F46845" w:rsidRPr="009F337B">
        <w:rPr>
          <w:rStyle w:val="Refdenotaalpie"/>
          <w:rFonts w:eastAsia="Times"/>
          <w:i w:val="0"/>
          <w:lang w:val="en-US"/>
        </w:rPr>
        <w:footnoteReference w:id="93"/>
      </w:r>
      <w:r w:rsidR="00A53A32" w:rsidRPr="009F337B">
        <w:rPr>
          <w:rFonts w:eastAsia="Times" w:cs="Arial"/>
          <w:i w:val="0"/>
          <w:szCs w:val="20"/>
          <w:lang w:val="en-US"/>
        </w:rPr>
        <w:t xml:space="preserve"> In this regard, the Court recalls that, </w:t>
      </w:r>
      <w:r w:rsidR="003F6122" w:rsidRPr="009F337B">
        <w:rPr>
          <w:rFonts w:eastAsia="Times" w:cs="Arial"/>
          <w:i w:val="0"/>
          <w:szCs w:val="20"/>
          <w:lang w:val="en-US"/>
        </w:rPr>
        <w:t>in the case of</w:t>
      </w:r>
      <w:r w:rsidR="00A53A32" w:rsidRPr="009F337B">
        <w:rPr>
          <w:rFonts w:eastAsia="Times" w:cs="Arial"/>
          <w:i w:val="0"/>
          <w:szCs w:val="20"/>
          <w:lang w:val="en-US"/>
        </w:rPr>
        <w:t xml:space="preserve"> the former (obligations that are enforceable immediately), States must take effective measures to ensure access without discrimination to the services</w:t>
      </w:r>
      <w:r w:rsidR="003F6122" w:rsidRPr="009F337B">
        <w:rPr>
          <w:rFonts w:eastAsia="Times" w:cs="Arial"/>
          <w:i w:val="0"/>
          <w:szCs w:val="20"/>
          <w:lang w:val="en-US"/>
        </w:rPr>
        <w:t xml:space="preserve"> necessary</w:t>
      </w:r>
      <w:r w:rsidR="00A53A32" w:rsidRPr="009F337B">
        <w:rPr>
          <w:rFonts w:eastAsia="Times" w:cs="Arial"/>
          <w:i w:val="0"/>
          <w:szCs w:val="20"/>
          <w:lang w:val="en-US"/>
        </w:rPr>
        <w:t xml:space="preserve"> for </w:t>
      </w:r>
      <w:r w:rsidR="00A51F3B" w:rsidRPr="009F337B">
        <w:rPr>
          <w:i w:val="0"/>
          <w:szCs w:val="20"/>
          <w:lang w:val="en-US"/>
        </w:rPr>
        <w:t>the right to health</w:t>
      </w:r>
      <w:r w:rsidR="00A53A32" w:rsidRPr="009F337B">
        <w:rPr>
          <w:i w:val="0"/>
          <w:szCs w:val="20"/>
          <w:lang w:val="en-US"/>
        </w:rPr>
        <w:t>.</w:t>
      </w:r>
      <w:r w:rsidR="00F46845" w:rsidRPr="009F337B">
        <w:rPr>
          <w:rStyle w:val="Refdenotaalpie"/>
          <w:i w:val="0"/>
          <w:lang w:val="en-US"/>
        </w:rPr>
        <w:footnoteReference w:id="94"/>
      </w:r>
      <w:r w:rsidR="00A53A32" w:rsidRPr="009F337B">
        <w:rPr>
          <w:i w:val="0"/>
          <w:szCs w:val="20"/>
          <w:lang w:val="en-US"/>
        </w:rPr>
        <w:t xml:space="preserve"> </w:t>
      </w:r>
      <w:r w:rsidR="003F6122" w:rsidRPr="009F337B">
        <w:rPr>
          <w:i w:val="0"/>
          <w:szCs w:val="20"/>
          <w:lang w:val="en-US"/>
        </w:rPr>
        <w:t>In the case of</w:t>
      </w:r>
      <w:r w:rsidR="00A53A32" w:rsidRPr="009F337B">
        <w:rPr>
          <w:i w:val="0"/>
          <w:szCs w:val="20"/>
          <w:lang w:val="en-US"/>
        </w:rPr>
        <w:t xml:space="preserve"> the latter (obligations of a progressive nature), progressive realization means that States Parties have the concrete and constant obligation to make the most effective and rapid progress possible towards the full </w:t>
      </w:r>
      <w:r w:rsidR="003F6122" w:rsidRPr="009F337B">
        <w:rPr>
          <w:i w:val="0"/>
          <w:szCs w:val="20"/>
          <w:lang w:val="en-US"/>
        </w:rPr>
        <w:t>realization</w:t>
      </w:r>
      <w:r w:rsidR="00A53A32" w:rsidRPr="009F337B">
        <w:rPr>
          <w:i w:val="0"/>
          <w:szCs w:val="20"/>
          <w:lang w:val="en-US"/>
        </w:rPr>
        <w:t xml:space="preserve"> of th</w:t>
      </w:r>
      <w:r w:rsidR="003F6122" w:rsidRPr="009F337B">
        <w:rPr>
          <w:i w:val="0"/>
          <w:szCs w:val="20"/>
          <w:lang w:val="en-US"/>
        </w:rPr>
        <w:t>e</w:t>
      </w:r>
      <w:r w:rsidR="00A53A32" w:rsidRPr="009F337B">
        <w:rPr>
          <w:i w:val="0"/>
          <w:szCs w:val="20"/>
          <w:lang w:val="en-US"/>
        </w:rPr>
        <w:t xml:space="preserve"> right,</w:t>
      </w:r>
      <w:r w:rsidR="00F46845" w:rsidRPr="009F337B">
        <w:rPr>
          <w:rStyle w:val="Refdenotaalpie"/>
          <w:i w:val="0"/>
          <w:lang w:val="en-US"/>
        </w:rPr>
        <w:footnoteReference w:id="95"/>
      </w:r>
      <w:r w:rsidR="00F46845" w:rsidRPr="009F337B">
        <w:rPr>
          <w:i w:val="0"/>
          <w:szCs w:val="20"/>
          <w:lang w:val="en-US"/>
        </w:rPr>
        <w:t xml:space="preserve"> </w:t>
      </w:r>
      <w:r w:rsidR="003F6122" w:rsidRPr="009F337B">
        <w:rPr>
          <w:i w:val="0"/>
          <w:szCs w:val="20"/>
          <w:lang w:val="en-US"/>
        </w:rPr>
        <w:t>insofar as</w:t>
      </w:r>
      <w:r w:rsidR="00A53A32" w:rsidRPr="009F337B">
        <w:rPr>
          <w:i w:val="0"/>
          <w:szCs w:val="20"/>
          <w:lang w:val="en-US"/>
        </w:rPr>
        <w:t xml:space="preserve"> their available resources</w:t>
      </w:r>
      <w:r w:rsidR="003F6122" w:rsidRPr="009F337B">
        <w:rPr>
          <w:i w:val="0"/>
          <w:szCs w:val="20"/>
          <w:lang w:val="en-US"/>
        </w:rPr>
        <w:t xml:space="preserve"> permit</w:t>
      </w:r>
      <w:r w:rsidR="00A53A32" w:rsidRPr="009F337B">
        <w:rPr>
          <w:i w:val="0"/>
          <w:szCs w:val="20"/>
          <w:lang w:val="en-US"/>
        </w:rPr>
        <w:t>, by legislative or other appropriate means.</w:t>
      </w:r>
      <w:r w:rsidR="00F46845" w:rsidRPr="009F337B">
        <w:rPr>
          <w:rStyle w:val="Refdenotaalpie"/>
          <w:i w:val="0"/>
          <w:lang w:val="en-US"/>
        </w:rPr>
        <w:footnoteReference w:id="96"/>
      </w:r>
    </w:p>
    <w:p w14:paraId="41C6D8D6" w14:textId="77777777" w:rsidR="00E92CA8" w:rsidRPr="009F337B" w:rsidRDefault="00E92CA8" w:rsidP="00E92CA8">
      <w:pPr>
        <w:pStyle w:val="Estilo1"/>
        <w:tabs>
          <w:tab w:val="left" w:pos="709"/>
          <w:tab w:val="left" w:pos="1134"/>
        </w:tabs>
        <w:spacing w:after="0"/>
        <w:ind w:left="0" w:right="-4" w:firstLine="0"/>
        <w:rPr>
          <w:rFonts w:eastAsia="Times" w:cs="Arial"/>
          <w:i w:val="0"/>
          <w:szCs w:val="20"/>
          <w:lang w:val="en-US" w:eastAsia="es-CR"/>
        </w:rPr>
      </w:pPr>
    </w:p>
    <w:p w14:paraId="35FA4A09" w14:textId="0AA93F91" w:rsidR="00F46845" w:rsidRPr="009F337B" w:rsidRDefault="00A53A32" w:rsidP="00593E37">
      <w:pPr>
        <w:pStyle w:val="Estilo1"/>
        <w:numPr>
          <w:ilvl w:val="0"/>
          <w:numId w:val="1"/>
        </w:numPr>
        <w:tabs>
          <w:tab w:val="left" w:pos="720"/>
          <w:tab w:val="left" w:pos="1134"/>
        </w:tabs>
        <w:spacing w:after="0"/>
        <w:ind w:left="0" w:right="-4" w:firstLine="0"/>
        <w:rPr>
          <w:rFonts w:eastAsia="Times" w:cs="Arial"/>
          <w:i w:val="0"/>
          <w:szCs w:val="20"/>
          <w:lang w:val="en-US" w:eastAsia="es-CR"/>
        </w:rPr>
      </w:pPr>
      <w:r w:rsidRPr="009F337B">
        <w:rPr>
          <w:rFonts w:eastAsia="Times" w:cs="Arial"/>
          <w:i w:val="0"/>
          <w:szCs w:val="20"/>
          <w:lang w:val="en-US" w:eastAsia="es-CR"/>
        </w:rPr>
        <w:t xml:space="preserve">Consequently, first, the Court notes that </w:t>
      </w:r>
      <w:r w:rsidR="00AE5F9E" w:rsidRPr="009F337B">
        <w:rPr>
          <w:i w:val="0"/>
          <w:szCs w:val="20"/>
          <w:lang w:val="en-US"/>
        </w:rPr>
        <w:t>Article</w:t>
      </w:r>
      <w:r w:rsidR="00F46845" w:rsidRPr="009F337B">
        <w:rPr>
          <w:i w:val="0"/>
          <w:szCs w:val="20"/>
          <w:lang w:val="en-US"/>
        </w:rPr>
        <w:t xml:space="preserve"> 34</w:t>
      </w:r>
      <w:r w:rsidRPr="009F337B">
        <w:rPr>
          <w:i w:val="0"/>
          <w:szCs w:val="20"/>
          <w:lang w:val="en-US"/>
        </w:rPr>
        <w:t>(</w:t>
      </w:r>
      <w:proofErr w:type="spellStart"/>
      <w:r w:rsidR="00F46845" w:rsidRPr="009F337B">
        <w:rPr>
          <w:i w:val="0"/>
          <w:szCs w:val="20"/>
          <w:lang w:val="en-US"/>
        </w:rPr>
        <w:t>i</w:t>
      </w:r>
      <w:proofErr w:type="spellEnd"/>
      <w:r w:rsidRPr="009F337B">
        <w:rPr>
          <w:i w:val="0"/>
          <w:szCs w:val="20"/>
          <w:lang w:val="en-US"/>
        </w:rPr>
        <w:t>)</w:t>
      </w:r>
      <w:r w:rsidR="002D11A5" w:rsidRPr="009F337B">
        <w:rPr>
          <w:rStyle w:val="Refdenotaalpie"/>
          <w:i w:val="0"/>
          <w:lang w:val="en-US"/>
        </w:rPr>
        <w:footnoteReference w:id="97"/>
      </w:r>
      <w:r w:rsidR="003C46A3" w:rsidRPr="009F337B">
        <w:rPr>
          <w:i w:val="0"/>
          <w:szCs w:val="20"/>
          <w:lang w:val="en-US"/>
        </w:rPr>
        <w:t xml:space="preserve"> and </w:t>
      </w:r>
      <w:r w:rsidR="00F46845" w:rsidRPr="009F337B">
        <w:rPr>
          <w:i w:val="0"/>
          <w:szCs w:val="20"/>
          <w:lang w:val="en-US"/>
        </w:rPr>
        <w:t>34</w:t>
      </w:r>
      <w:r w:rsidRPr="009F337B">
        <w:rPr>
          <w:i w:val="0"/>
          <w:szCs w:val="20"/>
          <w:lang w:val="en-US"/>
        </w:rPr>
        <w:t>(</w:t>
      </w:r>
      <w:r w:rsidR="00F46845" w:rsidRPr="009F337B">
        <w:rPr>
          <w:i w:val="0"/>
          <w:szCs w:val="20"/>
          <w:lang w:val="en-US"/>
        </w:rPr>
        <w:t>l</w:t>
      </w:r>
      <w:r w:rsidRPr="009F337B">
        <w:rPr>
          <w:i w:val="0"/>
          <w:szCs w:val="20"/>
          <w:lang w:val="en-US"/>
        </w:rPr>
        <w:t>)</w:t>
      </w:r>
      <w:r w:rsidR="002D11A5" w:rsidRPr="009F337B">
        <w:rPr>
          <w:rStyle w:val="Refdenotaalpie"/>
          <w:i w:val="0"/>
          <w:lang w:val="en-US"/>
        </w:rPr>
        <w:footnoteReference w:id="98"/>
      </w:r>
      <w:r w:rsidR="00F46845" w:rsidRPr="009F337B">
        <w:rPr>
          <w:i w:val="0"/>
          <w:szCs w:val="20"/>
          <w:lang w:val="en-US"/>
        </w:rPr>
        <w:t xml:space="preserve"> </w:t>
      </w:r>
      <w:r w:rsidRPr="009F337B">
        <w:rPr>
          <w:i w:val="0"/>
          <w:szCs w:val="20"/>
          <w:lang w:val="en-US"/>
        </w:rPr>
        <w:t>of</w:t>
      </w:r>
      <w:r w:rsidR="00F46845" w:rsidRPr="009F337B">
        <w:rPr>
          <w:i w:val="0"/>
          <w:szCs w:val="20"/>
          <w:lang w:val="en-US"/>
        </w:rPr>
        <w:t xml:space="preserve"> </w:t>
      </w:r>
      <w:r w:rsidR="00664AA6" w:rsidRPr="009F337B">
        <w:rPr>
          <w:i w:val="0"/>
          <w:szCs w:val="20"/>
          <w:lang w:val="en-US"/>
        </w:rPr>
        <w:t>the OAS Charter</w:t>
      </w:r>
      <w:r w:rsidR="00F46845" w:rsidRPr="009F337B">
        <w:rPr>
          <w:i w:val="0"/>
          <w:szCs w:val="20"/>
          <w:lang w:val="en-US"/>
        </w:rPr>
        <w:t xml:space="preserve"> establ</w:t>
      </w:r>
      <w:r w:rsidRPr="009F337B">
        <w:rPr>
          <w:i w:val="0"/>
          <w:szCs w:val="20"/>
          <w:lang w:val="en-US"/>
        </w:rPr>
        <w:t>ish</w:t>
      </w:r>
      <w:r w:rsidR="003F6122" w:rsidRPr="009F337B">
        <w:rPr>
          <w:i w:val="0"/>
          <w:szCs w:val="20"/>
          <w:lang w:val="en-US"/>
        </w:rPr>
        <w:t>es</w:t>
      </w:r>
      <w:r w:rsidRPr="009F337B">
        <w:rPr>
          <w:i w:val="0"/>
          <w:szCs w:val="20"/>
          <w:lang w:val="en-US"/>
        </w:rPr>
        <w:t>, among the basic objective</w:t>
      </w:r>
      <w:r w:rsidR="003F6122" w:rsidRPr="009F337B">
        <w:rPr>
          <w:i w:val="0"/>
          <w:szCs w:val="20"/>
          <w:lang w:val="en-US"/>
        </w:rPr>
        <w:t>s</w:t>
      </w:r>
      <w:r w:rsidRPr="009F337B">
        <w:rPr>
          <w:i w:val="0"/>
          <w:szCs w:val="20"/>
          <w:lang w:val="en-US"/>
        </w:rPr>
        <w:t xml:space="preserve"> of integral development, </w:t>
      </w:r>
      <w:r w:rsidR="00371ADF" w:rsidRPr="009F337B">
        <w:rPr>
          <w:i w:val="0"/>
          <w:szCs w:val="20"/>
          <w:lang w:val="en-US"/>
        </w:rPr>
        <w:t>“[p]</w:t>
      </w:r>
      <w:proofErr w:type="spellStart"/>
      <w:r w:rsidR="00371ADF" w:rsidRPr="009F337B">
        <w:rPr>
          <w:i w:val="0"/>
          <w:szCs w:val="20"/>
          <w:lang w:val="en-US"/>
        </w:rPr>
        <w:t>rotection</w:t>
      </w:r>
      <w:proofErr w:type="spellEnd"/>
      <w:r w:rsidR="00371ADF" w:rsidRPr="009F337B">
        <w:rPr>
          <w:i w:val="0"/>
          <w:szCs w:val="20"/>
          <w:lang w:val="en-US"/>
        </w:rPr>
        <w:t xml:space="preserve"> of man's potential through the extension and application of modern medical science,</w:t>
      </w:r>
      <w:r w:rsidR="00F46845" w:rsidRPr="009F337B">
        <w:rPr>
          <w:i w:val="0"/>
          <w:szCs w:val="20"/>
          <w:lang w:val="en-US"/>
        </w:rPr>
        <w:t>” a</w:t>
      </w:r>
      <w:r w:rsidR="00371ADF" w:rsidRPr="009F337B">
        <w:rPr>
          <w:i w:val="0"/>
          <w:szCs w:val="20"/>
          <w:lang w:val="en-US"/>
        </w:rPr>
        <w:t xml:space="preserve">s well as </w:t>
      </w:r>
      <w:r w:rsidR="00852F98" w:rsidRPr="009F337B">
        <w:rPr>
          <w:i w:val="0"/>
          <w:szCs w:val="20"/>
          <w:lang w:val="en-US"/>
        </w:rPr>
        <w:t>“[c]</w:t>
      </w:r>
      <w:proofErr w:type="spellStart"/>
      <w:r w:rsidR="00371ADF" w:rsidRPr="009F337B">
        <w:rPr>
          <w:i w:val="0"/>
          <w:szCs w:val="20"/>
          <w:lang w:val="en-US"/>
        </w:rPr>
        <w:t>onditions</w:t>
      </w:r>
      <w:proofErr w:type="spellEnd"/>
      <w:r w:rsidR="00371ADF" w:rsidRPr="009F337B">
        <w:rPr>
          <w:i w:val="0"/>
          <w:szCs w:val="20"/>
          <w:lang w:val="en-US"/>
        </w:rPr>
        <w:t xml:space="preserve"> that offer the opportunity for a healthful, productive, and full life.” Mean</w:t>
      </w:r>
      <w:r w:rsidR="003F6122" w:rsidRPr="009F337B">
        <w:rPr>
          <w:i w:val="0"/>
          <w:szCs w:val="20"/>
          <w:lang w:val="en-US"/>
        </w:rPr>
        <w:t>w</w:t>
      </w:r>
      <w:r w:rsidR="00371ADF" w:rsidRPr="009F337B">
        <w:rPr>
          <w:i w:val="0"/>
          <w:szCs w:val="20"/>
          <w:lang w:val="en-US"/>
        </w:rPr>
        <w:t xml:space="preserve">hile, </w:t>
      </w:r>
      <w:r w:rsidR="00AE5F9E" w:rsidRPr="009F337B">
        <w:rPr>
          <w:i w:val="0"/>
          <w:szCs w:val="20"/>
          <w:lang w:val="en-US"/>
        </w:rPr>
        <w:t>Article</w:t>
      </w:r>
      <w:r w:rsidR="00F46845" w:rsidRPr="009F337B">
        <w:rPr>
          <w:i w:val="0"/>
          <w:szCs w:val="20"/>
          <w:lang w:val="en-US"/>
        </w:rPr>
        <w:t xml:space="preserve"> 45</w:t>
      </w:r>
      <w:r w:rsidR="00371ADF" w:rsidRPr="009F337B">
        <w:rPr>
          <w:i w:val="0"/>
          <w:szCs w:val="20"/>
          <w:lang w:val="en-US"/>
        </w:rPr>
        <w:t>(</w:t>
      </w:r>
      <w:r w:rsidR="00F46845" w:rsidRPr="009F337B">
        <w:rPr>
          <w:i w:val="0"/>
          <w:szCs w:val="20"/>
          <w:lang w:val="en-US"/>
        </w:rPr>
        <w:t>h</w:t>
      </w:r>
      <w:r w:rsidR="00371ADF" w:rsidRPr="009F337B">
        <w:rPr>
          <w:i w:val="0"/>
          <w:szCs w:val="20"/>
          <w:lang w:val="en-US"/>
        </w:rPr>
        <w:t>)</w:t>
      </w:r>
      <w:r w:rsidR="002D11A5" w:rsidRPr="009F337B">
        <w:rPr>
          <w:rStyle w:val="Refdenotaalpie"/>
          <w:i w:val="0"/>
          <w:lang w:val="en-US"/>
        </w:rPr>
        <w:footnoteReference w:id="99"/>
      </w:r>
      <w:r w:rsidR="00F46845" w:rsidRPr="009F337B">
        <w:rPr>
          <w:i w:val="0"/>
          <w:szCs w:val="20"/>
          <w:lang w:val="en-US"/>
        </w:rPr>
        <w:t xml:space="preserve"> </w:t>
      </w:r>
      <w:r w:rsidR="00371ADF" w:rsidRPr="009F337B">
        <w:rPr>
          <w:i w:val="0"/>
          <w:szCs w:val="20"/>
          <w:lang w:val="en-US"/>
        </w:rPr>
        <w:t xml:space="preserve">stresses that “man can only achieve the full realization of his aspirations within a just social order,” so that the States agree to dedicate every effort to the application of principles such as: </w:t>
      </w:r>
      <w:r w:rsidR="003F6122" w:rsidRPr="009F337B">
        <w:rPr>
          <w:i w:val="0"/>
          <w:szCs w:val="20"/>
          <w:lang w:val="en-US"/>
        </w:rPr>
        <w:t>“</w:t>
      </w:r>
      <w:r w:rsidR="00371ADF" w:rsidRPr="009F337B">
        <w:rPr>
          <w:i w:val="0"/>
          <w:szCs w:val="20"/>
          <w:lang w:val="en-US"/>
        </w:rPr>
        <w:t xml:space="preserve">(h) development of an efficient social security policy.” </w:t>
      </w:r>
      <w:r w:rsidR="00AE5F9E" w:rsidRPr="009F337B">
        <w:rPr>
          <w:i w:val="0"/>
          <w:szCs w:val="20"/>
          <w:lang w:val="en-US"/>
        </w:rPr>
        <w:lastRenderedPageBreak/>
        <w:t>The Court</w:t>
      </w:r>
      <w:r w:rsidR="00F46845" w:rsidRPr="009F337B">
        <w:rPr>
          <w:i w:val="0"/>
          <w:szCs w:val="20"/>
          <w:lang w:val="en-US"/>
        </w:rPr>
        <w:t xml:space="preserve"> </w:t>
      </w:r>
      <w:r w:rsidR="001300BE" w:rsidRPr="009F337B">
        <w:rPr>
          <w:i w:val="0"/>
          <w:szCs w:val="20"/>
          <w:lang w:val="en-US"/>
        </w:rPr>
        <w:t xml:space="preserve">notes the existence of an interrelationship between the </w:t>
      </w:r>
      <w:r w:rsidR="003F6122" w:rsidRPr="009F337B">
        <w:rPr>
          <w:i w:val="0"/>
          <w:szCs w:val="20"/>
          <w:lang w:val="en-US"/>
        </w:rPr>
        <w:t>undertaking</w:t>
      </w:r>
      <w:r w:rsidR="001300BE" w:rsidRPr="009F337B">
        <w:rPr>
          <w:i w:val="0"/>
          <w:szCs w:val="20"/>
          <w:lang w:val="en-US"/>
        </w:rPr>
        <w:t xml:space="preserve"> of State</w:t>
      </w:r>
      <w:r w:rsidR="00371ADF" w:rsidRPr="009F337B">
        <w:rPr>
          <w:i w:val="0"/>
          <w:szCs w:val="20"/>
          <w:lang w:val="en-US"/>
        </w:rPr>
        <w:t>s</w:t>
      </w:r>
      <w:r w:rsidR="001300BE" w:rsidRPr="009F337B">
        <w:rPr>
          <w:i w:val="0"/>
          <w:szCs w:val="20"/>
          <w:lang w:val="en-US"/>
        </w:rPr>
        <w:t xml:space="preserve"> to ensure an efficient social security policy and their obligation to ensure health care, especially in the context of endemic diseases.</w:t>
      </w:r>
      <w:r w:rsidR="00237A85" w:rsidRPr="009F337B">
        <w:rPr>
          <w:rStyle w:val="Refdenotaalpie"/>
          <w:i w:val="0"/>
          <w:lang w:val="en-US"/>
        </w:rPr>
        <w:footnoteReference w:id="100"/>
      </w:r>
      <w:r w:rsidR="007C0E70" w:rsidRPr="009F337B">
        <w:rPr>
          <w:i w:val="0"/>
          <w:szCs w:val="20"/>
          <w:lang w:val="en-US"/>
        </w:rPr>
        <w:t xml:space="preserve"> </w:t>
      </w:r>
      <w:r w:rsidR="00371ADF" w:rsidRPr="009F337B">
        <w:rPr>
          <w:i w:val="0"/>
          <w:szCs w:val="20"/>
          <w:lang w:val="en-US"/>
        </w:rPr>
        <w:t>Accordingly</w:t>
      </w:r>
      <w:r w:rsidR="007C0E70" w:rsidRPr="009F337B">
        <w:rPr>
          <w:i w:val="0"/>
          <w:szCs w:val="20"/>
          <w:lang w:val="en-US"/>
        </w:rPr>
        <w:t xml:space="preserve">, </w:t>
      </w:r>
      <w:r w:rsidR="00AE5F9E" w:rsidRPr="009F337B">
        <w:rPr>
          <w:i w:val="0"/>
          <w:szCs w:val="20"/>
          <w:lang w:val="en-US"/>
        </w:rPr>
        <w:t>the Court</w:t>
      </w:r>
      <w:r w:rsidR="007C0E70" w:rsidRPr="009F337B">
        <w:rPr>
          <w:i w:val="0"/>
          <w:szCs w:val="20"/>
          <w:lang w:val="en-US"/>
        </w:rPr>
        <w:t xml:space="preserve"> reitera</w:t>
      </w:r>
      <w:r w:rsidR="00371ADF" w:rsidRPr="009F337B">
        <w:rPr>
          <w:i w:val="0"/>
          <w:szCs w:val="20"/>
          <w:lang w:val="en-US"/>
        </w:rPr>
        <w:t>tes that the</w:t>
      </w:r>
      <w:r w:rsidR="003F6122" w:rsidRPr="009F337B">
        <w:rPr>
          <w:i w:val="0"/>
          <w:szCs w:val="20"/>
          <w:lang w:val="en-US"/>
        </w:rPr>
        <w:t xml:space="preserve"> reference</w:t>
      </w:r>
      <w:r w:rsidR="00371ADF" w:rsidRPr="009F337B">
        <w:rPr>
          <w:i w:val="0"/>
          <w:szCs w:val="20"/>
          <w:lang w:val="en-US"/>
        </w:rPr>
        <w:t xml:space="preserve"> is sufficiently speci</w:t>
      </w:r>
      <w:r w:rsidR="003F6122" w:rsidRPr="009F337B">
        <w:rPr>
          <w:i w:val="0"/>
          <w:szCs w:val="20"/>
          <w:lang w:val="en-US"/>
        </w:rPr>
        <w:t>fic</w:t>
      </w:r>
      <w:r w:rsidR="00371ADF" w:rsidRPr="009F337B">
        <w:rPr>
          <w:i w:val="0"/>
          <w:szCs w:val="20"/>
          <w:lang w:val="en-US"/>
        </w:rPr>
        <w:t xml:space="preserve"> to consider that </w:t>
      </w:r>
      <w:r w:rsidR="00664AA6" w:rsidRPr="009F337B">
        <w:rPr>
          <w:i w:val="0"/>
          <w:szCs w:val="20"/>
          <w:lang w:val="en-US"/>
        </w:rPr>
        <w:t>the OAS Charter</w:t>
      </w:r>
      <w:r w:rsidR="00371ADF" w:rsidRPr="009F337B">
        <w:rPr>
          <w:i w:val="0"/>
          <w:szCs w:val="20"/>
          <w:lang w:val="en-US"/>
        </w:rPr>
        <w:t xml:space="preserve"> implicitly recognizes the right to health.</w:t>
      </w:r>
      <w:r w:rsidR="001E4796" w:rsidRPr="009F337B">
        <w:rPr>
          <w:rStyle w:val="Refdenotaalpie"/>
          <w:i w:val="0"/>
          <w:lang w:val="en-US"/>
        </w:rPr>
        <w:footnoteReference w:id="101"/>
      </w:r>
    </w:p>
    <w:p w14:paraId="0715280F" w14:textId="77777777" w:rsidR="00E92CA8" w:rsidRPr="009F337B" w:rsidRDefault="00E92CA8" w:rsidP="00E92CA8">
      <w:pPr>
        <w:pStyle w:val="Estilo1"/>
        <w:tabs>
          <w:tab w:val="left" w:pos="709"/>
          <w:tab w:val="left" w:pos="1134"/>
        </w:tabs>
        <w:spacing w:after="0"/>
        <w:ind w:left="0" w:right="-4" w:firstLine="0"/>
        <w:rPr>
          <w:rFonts w:eastAsia="Times" w:cs="Arial"/>
          <w:i w:val="0"/>
          <w:szCs w:val="20"/>
          <w:lang w:val="en-US" w:eastAsia="es-CR"/>
        </w:rPr>
      </w:pPr>
    </w:p>
    <w:p w14:paraId="6C2816E0" w14:textId="12DEF0AD" w:rsidR="00F46845" w:rsidRPr="009F337B" w:rsidRDefault="00371ADF" w:rsidP="00593E37">
      <w:pPr>
        <w:pStyle w:val="Estilo1"/>
        <w:numPr>
          <w:ilvl w:val="0"/>
          <w:numId w:val="1"/>
        </w:numPr>
        <w:tabs>
          <w:tab w:val="left" w:pos="709"/>
          <w:tab w:val="left" w:pos="1134"/>
        </w:tabs>
        <w:spacing w:after="0"/>
        <w:ind w:left="0" w:right="-4" w:firstLine="0"/>
        <w:rPr>
          <w:rFonts w:eastAsia="Times" w:cs="Arial"/>
          <w:i w:val="0"/>
          <w:szCs w:val="20"/>
          <w:lang w:val="en-US" w:eastAsia="es-CR"/>
        </w:rPr>
      </w:pPr>
      <w:r w:rsidRPr="009F337B">
        <w:rPr>
          <w:rFonts w:eastAsia="Times" w:cs="Arial"/>
          <w:i w:val="0"/>
          <w:szCs w:val="20"/>
          <w:lang w:val="en-US" w:eastAsia="es-CR"/>
        </w:rPr>
        <w:t>Second</w:t>
      </w:r>
      <w:r w:rsidR="00F46845" w:rsidRPr="009F337B">
        <w:rPr>
          <w:rFonts w:eastAsia="Times" w:cs="Arial"/>
          <w:i w:val="0"/>
          <w:szCs w:val="20"/>
          <w:lang w:val="en-US" w:eastAsia="es-CR"/>
        </w:rPr>
        <w:t>,</w:t>
      </w:r>
      <w:r w:rsidRPr="009F337B">
        <w:rPr>
          <w:rFonts w:eastAsia="Times" w:cs="Arial"/>
          <w:i w:val="0"/>
          <w:szCs w:val="20"/>
          <w:lang w:val="en-US" w:eastAsia="es-CR"/>
        </w:rPr>
        <w:t xml:space="preserve"> the Court must determine the scope of the </w:t>
      </w:r>
      <w:r w:rsidR="00A51F3B" w:rsidRPr="009F337B">
        <w:rPr>
          <w:rFonts w:eastAsia="Times" w:cs="Arial"/>
          <w:i w:val="0"/>
          <w:szCs w:val="20"/>
          <w:lang w:val="en-US" w:eastAsia="es-CR"/>
        </w:rPr>
        <w:t>right to health</w:t>
      </w:r>
      <w:r w:rsidR="00F46845" w:rsidRPr="009F337B">
        <w:rPr>
          <w:rFonts w:eastAsia="Times" w:cs="Arial"/>
          <w:i w:val="0"/>
          <w:szCs w:val="20"/>
          <w:lang w:val="en-US" w:eastAsia="es-CR"/>
        </w:rPr>
        <w:t xml:space="preserve"> </w:t>
      </w:r>
      <w:r w:rsidRPr="009F337B">
        <w:rPr>
          <w:rFonts w:eastAsia="Times" w:cs="Arial"/>
          <w:i w:val="0"/>
          <w:szCs w:val="20"/>
          <w:lang w:val="en-US" w:eastAsia="es-CR"/>
        </w:rPr>
        <w:t>in light of the international</w:t>
      </w:r>
      <w:r w:rsidR="00F46845" w:rsidRPr="009F337B">
        <w:rPr>
          <w:rFonts w:eastAsia="Times" w:cs="Arial"/>
          <w:i w:val="0"/>
          <w:szCs w:val="20"/>
          <w:lang w:val="en-US" w:eastAsia="es-CR"/>
        </w:rPr>
        <w:t xml:space="preserve"> </w:t>
      </w:r>
      <w:r w:rsidR="00F46845" w:rsidRPr="009F337B">
        <w:rPr>
          <w:rFonts w:eastAsia="Times" w:cs="Arial"/>
          <w:szCs w:val="20"/>
          <w:lang w:val="en-US" w:eastAsia="es-CR"/>
        </w:rPr>
        <w:t>corpus juris</w:t>
      </w:r>
      <w:r w:rsidR="00F46845" w:rsidRPr="009F337B">
        <w:rPr>
          <w:rFonts w:eastAsia="Times" w:cs="Arial"/>
          <w:i w:val="0"/>
          <w:szCs w:val="20"/>
          <w:lang w:val="en-US" w:eastAsia="es-CR"/>
        </w:rPr>
        <w:t xml:space="preserve"> </w:t>
      </w:r>
      <w:r w:rsidRPr="009F337B">
        <w:rPr>
          <w:rFonts w:eastAsia="Times" w:cs="Arial"/>
          <w:i w:val="0"/>
          <w:szCs w:val="20"/>
          <w:lang w:val="en-US" w:eastAsia="es-CR"/>
        </w:rPr>
        <w:t>on the matter</w:t>
      </w:r>
      <w:r w:rsidR="00F46845" w:rsidRPr="009F337B">
        <w:rPr>
          <w:rFonts w:eastAsia="Times" w:cs="Arial"/>
          <w:i w:val="0"/>
          <w:szCs w:val="20"/>
          <w:lang w:val="en-US" w:eastAsia="es-CR"/>
        </w:rPr>
        <w:t xml:space="preserve">. </w:t>
      </w:r>
      <w:r w:rsidR="00AE5F9E" w:rsidRPr="009F337B">
        <w:rPr>
          <w:rFonts w:eastAsia="Times" w:cs="Arial"/>
          <w:i w:val="0"/>
          <w:szCs w:val="20"/>
          <w:lang w:val="en-US" w:eastAsia="es-CR"/>
        </w:rPr>
        <w:t>The Court</w:t>
      </w:r>
      <w:r w:rsidR="00F46845" w:rsidRPr="009F337B">
        <w:rPr>
          <w:rFonts w:eastAsia="Times" w:cs="Arial"/>
          <w:i w:val="0"/>
          <w:szCs w:val="20"/>
          <w:lang w:val="en-US" w:eastAsia="es-CR"/>
        </w:rPr>
        <w:t xml:space="preserve"> </w:t>
      </w:r>
      <w:r w:rsidR="001671E0" w:rsidRPr="009F337B">
        <w:rPr>
          <w:rFonts w:eastAsia="Times" w:cs="Arial"/>
          <w:i w:val="0"/>
          <w:szCs w:val="20"/>
          <w:lang w:val="en-US" w:eastAsia="es-CR"/>
        </w:rPr>
        <w:t>rec</w:t>
      </w:r>
      <w:r w:rsidRPr="009F337B">
        <w:rPr>
          <w:rFonts w:eastAsia="Times" w:cs="Arial"/>
          <w:i w:val="0"/>
          <w:szCs w:val="20"/>
          <w:lang w:val="en-US" w:eastAsia="es-CR"/>
        </w:rPr>
        <w:t xml:space="preserve">alls that the obligations contained in </w:t>
      </w:r>
      <w:r w:rsidR="00AE5F9E" w:rsidRPr="009F337B">
        <w:rPr>
          <w:i w:val="0"/>
          <w:szCs w:val="20"/>
          <w:lang w:val="en-US"/>
        </w:rPr>
        <w:t>Articles</w:t>
      </w:r>
      <w:r w:rsidR="003C46A3" w:rsidRPr="009F337B">
        <w:rPr>
          <w:i w:val="0"/>
          <w:szCs w:val="20"/>
          <w:lang w:val="en-US"/>
        </w:rPr>
        <w:t xml:space="preserve"> 1(1) and </w:t>
      </w:r>
      <w:r w:rsidR="00F46845" w:rsidRPr="009F337B">
        <w:rPr>
          <w:i w:val="0"/>
          <w:szCs w:val="20"/>
          <w:lang w:val="en-US"/>
        </w:rPr>
        <w:t>2</w:t>
      </w:r>
      <w:r w:rsidR="00AE5F9E" w:rsidRPr="009F337B">
        <w:rPr>
          <w:i w:val="0"/>
          <w:szCs w:val="20"/>
          <w:lang w:val="en-US"/>
        </w:rPr>
        <w:t xml:space="preserve"> of the American Convention</w:t>
      </w:r>
      <w:r w:rsidR="00F46845" w:rsidRPr="009F337B">
        <w:rPr>
          <w:i w:val="0"/>
          <w:szCs w:val="20"/>
          <w:lang w:val="en-US"/>
        </w:rPr>
        <w:t xml:space="preserve"> constitu</w:t>
      </w:r>
      <w:r w:rsidRPr="009F337B">
        <w:rPr>
          <w:i w:val="0"/>
          <w:szCs w:val="20"/>
          <w:lang w:val="en-US"/>
        </w:rPr>
        <w:t xml:space="preserve">te, </w:t>
      </w:r>
      <w:r w:rsidR="00893123" w:rsidRPr="009F337B">
        <w:rPr>
          <w:i w:val="0"/>
          <w:szCs w:val="20"/>
          <w:lang w:val="en-US"/>
        </w:rPr>
        <w:t xml:space="preserve">in essence, the basis for determining the international responsibility of a State for violations of the rights recognized in </w:t>
      </w:r>
      <w:r w:rsidR="00AE5F9E" w:rsidRPr="009F337B">
        <w:rPr>
          <w:i w:val="0"/>
          <w:szCs w:val="20"/>
          <w:lang w:val="en-US"/>
        </w:rPr>
        <w:t>the Convention</w:t>
      </w:r>
      <w:r w:rsidR="00893123" w:rsidRPr="009F337B">
        <w:rPr>
          <w:i w:val="0"/>
          <w:szCs w:val="20"/>
          <w:lang w:val="en-US"/>
        </w:rPr>
        <w:t>,</w:t>
      </w:r>
      <w:r w:rsidR="00E24818" w:rsidRPr="009F337B">
        <w:rPr>
          <w:rStyle w:val="Refdenotaalpie"/>
          <w:i w:val="0"/>
          <w:lang w:val="en-US"/>
        </w:rPr>
        <w:footnoteReference w:id="102"/>
      </w:r>
      <w:r w:rsidR="00893123" w:rsidRPr="009F337B">
        <w:rPr>
          <w:i w:val="0"/>
          <w:szCs w:val="20"/>
          <w:lang w:val="en-US"/>
        </w:rPr>
        <w:t xml:space="preserve"> </w:t>
      </w:r>
      <w:r w:rsidR="003F6122" w:rsidRPr="009F337B">
        <w:rPr>
          <w:i w:val="0"/>
          <w:szCs w:val="20"/>
          <w:lang w:val="en-US"/>
        </w:rPr>
        <w:t>i</w:t>
      </w:r>
      <w:r w:rsidR="00893123" w:rsidRPr="009F337B">
        <w:rPr>
          <w:i w:val="0"/>
          <w:szCs w:val="20"/>
          <w:lang w:val="en-US"/>
        </w:rPr>
        <w:t xml:space="preserve">ncluding those recognized by virtue </w:t>
      </w:r>
      <w:r w:rsidR="003C46A3" w:rsidRPr="009F337B">
        <w:rPr>
          <w:i w:val="0"/>
          <w:szCs w:val="20"/>
          <w:lang w:val="en-US"/>
        </w:rPr>
        <w:t>of Article</w:t>
      </w:r>
      <w:r w:rsidR="00F46845" w:rsidRPr="009F337B">
        <w:rPr>
          <w:i w:val="0"/>
          <w:szCs w:val="20"/>
          <w:lang w:val="en-US"/>
        </w:rPr>
        <w:t xml:space="preserve"> 26. </w:t>
      </w:r>
      <w:r w:rsidR="00893123" w:rsidRPr="009F337B">
        <w:rPr>
          <w:i w:val="0"/>
          <w:szCs w:val="20"/>
          <w:lang w:val="en-US"/>
        </w:rPr>
        <w:t xml:space="preserve">However, the Convention itself refers expressly to the norms of general international law for its interpretation and application, specifically </w:t>
      </w:r>
      <w:r w:rsidR="003242AA">
        <w:rPr>
          <w:i w:val="0"/>
          <w:szCs w:val="20"/>
          <w:lang w:val="en-US"/>
        </w:rPr>
        <w:t>in</w:t>
      </w:r>
      <w:r w:rsidR="00887531" w:rsidRPr="009F337B">
        <w:rPr>
          <w:i w:val="0"/>
          <w:szCs w:val="20"/>
          <w:lang w:val="en-US"/>
        </w:rPr>
        <w:t xml:space="preserve"> </w:t>
      </w:r>
      <w:r w:rsidR="003C46A3" w:rsidRPr="009F337B">
        <w:rPr>
          <w:i w:val="0"/>
          <w:szCs w:val="20"/>
          <w:lang w:val="en-US"/>
        </w:rPr>
        <w:t>Article</w:t>
      </w:r>
      <w:r w:rsidR="00F46845" w:rsidRPr="009F337B">
        <w:rPr>
          <w:i w:val="0"/>
          <w:szCs w:val="20"/>
          <w:lang w:val="en-US"/>
        </w:rPr>
        <w:t xml:space="preserve"> 29, </w:t>
      </w:r>
      <w:r w:rsidR="00893123" w:rsidRPr="009F337B">
        <w:rPr>
          <w:i w:val="0"/>
          <w:szCs w:val="20"/>
          <w:lang w:val="en-US"/>
        </w:rPr>
        <w:t xml:space="preserve">which establishes the </w:t>
      </w:r>
      <w:r w:rsidR="00F46845" w:rsidRPr="009F337B">
        <w:rPr>
          <w:szCs w:val="20"/>
          <w:lang w:val="en-US"/>
        </w:rPr>
        <w:t>pro persona</w:t>
      </w:r>
      <w:r w:rsidR="00893123" w:rsidRPr="009F337B">
        <w:rPr>
          <w:i w:val="0"/>
          <w:szCs w:val="20"/>
          <w:lang w:val="en-US"/>
        </w:rPr>
        <w:t xml:space="preserve"> principle.</w:t>
      </w:r>
      <w:r w:rsidR="00F46845" w:rsidRPr="009F337B">
        <w:rPr>
          <w:rStyle w:val="Refdenotaalpie"/>
          <w:i w:val="0"/>
          <w:lang w:val="en-US"/>
        </w:rPr>
        <w:footnoteReference w:id="103"/>
      </w:r>
      <w:r w:rsidR="00F46845" w:rsidRPr="009F337B">
        <w:rPr>
          <w:i w:val="0"/>
          <w:szCs w:val="20"/>
          <w:lang w:val="en-US"/>
        </w:rPr>
        <w:t xml:space="preserve"> </w:t>
      </w:r>
      <w:r w:rsidR="00893123" w:rsidRPr="009F337B">
        <w:rPr>
          <w:i w:val="0"/>
          <w:szCs w:val="20"/>
          <w:lang w:val="en-US"/>
        </w:rPr>
        <w:t>Thus, as has been the Court’s consistent practice,</w:t>
      </w:r>
      <w:r w:rsidR="00F46845" w:rsidRPr="009F337B">
        <w:rPr>
          <w:rStyle w:val="Refdenotaalpie"/>
          <w:i w:val="0"/>
          <w:lang w:val="en-US"/>
        </w:rPr>
        <w:footnoteReference w:id="104"/>
      </w:r>
      <w:r w:rsidR="00893123" w:rsidRPr="009F337B">
        <w:rPr>
          <w:i w:val="0"/>
          <w:szCs w:val="20"/>
          <w:lang w:val="en-US"/>
        </w:rPr>
        <w:t xml:space="preserve"> when determining the compatibility of the acts and omissions of the State or its laws with the Convention or other treaties regarding which the Court has jurisdiction, the Court may interpret the obligations and rights they contain in light of other pertinent treaties and norms</w:t>
      </w:r>
      <w:r w:rsidR="00F46845" w:rsidRPr="009F337B">
        <w:rPr>
          <w:i w:val="0"/>
          <w:szCs w:val="20"/>
          <w:lang w:val="en-US"/>
        </w:rPr>
        <w:t>.</w:t>
      </w:r>
    </w:p>
    <w:p w14:paraId="301C8855" w14:textId="77777777" w:rsidR="00E92CA8" w:rsidRPr="009F337B" w:rsidRDefault="00E92CA8" w:rsidP="00E92CA8">
      <w:pPr>
        <w:pStyle w:val="Estilo1"/>
        <w:tabs>
          <w:tab w:val="left" w:pos="709"/>
          <w:tab w:val="left" w:pos="1134"/>
        </w:tabs>
        <w:spacing w:after="0"/>
        <w:ind w:left="0" w:right="-4" w:firstLine="0"/>
        <w:rPr>
          <w:rFonts w:eastAsia="Times" w:cs="Arial"/>
          <w:i w:val="0"/>
          <w:szCs w:val="20"/>
          <w:lang w:val="en-US" w:eastAsia="es-CR"/>
        </w:rPr>
      </w:pPr>
    </w:p>
    <w:p w14:paraId="4EC45B1F" w14:textId="4FABED7D" w:rsidR="00F46845" w:rsidRPr="009F337B" w:rsidRDefault="00893123" w:rsidP="00593E37">
      <w:pPr>
        <w:pStyle w:val="Estilo1"/>
        <w:numPr>
          <w:ilvl w:val="0"/>
          <w:numId w:val="1"/>
        </w:numPr>
        <w:tabs>
          <w:tab w:val="left" w:pos="709"/>
          <w:tab w:val="left" w:pos="1134"/>
        </w:tabs>
        <w:spacing w:after="0"/>
        <w:ind w:left="0" w:right="-4" w:firstLine="0"/>
        <w:rPr>
          <w:rFonts w:eastAsia="Times" w:cs="Arial"/>
          <w:i w:val="0"/>
          <w:szCs w:val="20"/>
          <w:lang w:val="en-US" w:eastAsia="es-CR"/>
        </w:rPr>
      </w:pPr>
      <w:r w:rsidRPr="009F337B">
        <w:rPr>
          <w:i w:val="0"/>
          <w:szCs w:val="20"/>
          <w:lang w:val="en-US"/>
        </w:rPr>
        <w:t xml:space="preserve">Consequently, the Court will use the sources, principles and criteria of the international </w:t>
      </w:r>
      <w:r w:rsidR="00F46845" w:rsidRPr="009F337B">
        <w:rPr>
          <w:szCs w:val="20"/>
          <w:lang w:val="en-US"/>
        </w:rPr>
        <w:t>corpus juris</w:t>
      </w:r>
      <w:r w:rsidR="00F46845" w:rsidRPr="009F337B">
        <w:rPr>
          <w:i w:val="0"/>
          <w:szCs w:val="20"/>
          <w:lang w:val="en-US"/>
        </w:rPr>
        <w:t xml:space="preserve"> </w:t>
      </w:r>
      <w:r w:rsidR="00887531" w:rsidRPr="009F337B">
        <w:rPr>
          <w:i w:val="0"/>
          <w:szCs w:val="20"/>
          <w:lang w:val="en-US"/>
        </w:rPr>
        <w:t xml:space="preserve">as special </w:t>
      </w:r>
      <w:r w:rsidRPr="009F337B">
        <w:rPr>
          <w:i w:val="0"/>
          <w:szCs w:val="20"/>
          <w:lang w:val="en-US"/>
        </w:rPr>
        <w:t>norms applicable to determin</w:t>
      </w:r>
      <w:r w:rsidR="003242AA">
        <w:rPr>
          <w:i w:val="0"/>
          <w:szCs w:val="20"/>
          <w:lang w:val="en-US"/>
        </w:rPr>
        <w:t>e</w:t>
      </w:r>
      <w:r w:rsidRPr="009F337B">
        <w:rPr>
          <w:i w:val="0"/>
          <w:szCs w:val="20"/>
          <w:lang w:val="en-US"/>
        </w:rPr>
        <w:t xml:space="preserve"> the content </w:t>
      </w:r>
      <w:r w:rsidR="00371ADF" w:rsidRPr="009F337B">
        <w:rPr>
          <w:i w:val="0"/>
          <w:szCs w:val="20"/>
          <w:lang w:val="en-US"/>
        </w:rPr>
        <w:t xml:space="preserve">of the </w:t>
      </w:r>
      <w:r w:rsidR="00A51F3B" w:rsidRPr="009F337B">
        <w:rPr>
          <w:i w:val="0"/>
          <w:szCs w:val="20"/>
          <w:lang w:val="en-US"/>
        </w:rPr>
        <w:t>right to health</w:t>
      </w:r>
      <w:r w:rsidRPr="009F337B">
        <w:rPr>
          <w:i w:val="0"/>
          <w:szCs w:val="20"/>
          <w:lang w:val="en-US"/>
        </w:rPr>
        <w:t>.</w:t>
      </w:r>
      <w:r w:rsidR="00F46845" w:rsidRPr="009F337B">
        <w:rPr>
          <w:rStyle w:val="Refdenotaalpie"/>
          <w:i w:val="0"/>
          <w:lang w:val="en-US"/>
        </w:rPr>
        <w:footnoteReference w:id="105"/>
      </w:r>
      <w:r w:rsidRPr="009F337B">
        <w:rPr>
          <w:i w:val="0"/>
          <w:szCs w:val="20"/>
          <w:lang w:val="en-US"/>
        </w:rPr>
        <w:t xml:space="preserve"> The Court indicates that </w:t>
      </w:r>
      <w:r w:rsidR="00887531" w:rsidRPr="009F337B">
        <w:rPr>
          <w:i w:val="0"/>
          <w:szCs w:val="20"/>
          <w:lang w:val="en-US"/>
        </w:rPr>
        <w:t>it will</w:t>
      </w:r>
      <w:r w:rsidRPr="009F337B">
        <w:rPr>
          <w:i w:val="0"/>
          <w:szCs w:val="20"/>
          <w:lang w:val="en-US"/>
        </w:rPr>
        <w:t xml:space="preserve"> use these norms </w:t>
      </w:r>
      <w:r w:rsidR="000A0D91" w:rsidRPr="009F337B">
        <w:rPr>
          <w:i w:val="0"/>
          <w:szCs w:val="20"/>
          <w:lang w:val="en-US"/>
        </w:rPr>
        <w:t>as supplements to the Convention-based provisions</w:t>
      </w:r>
      <w:r w:rsidR="00887531" w:rsidRPr="009F337B">
        <w:rPr>
          <w:i w:val="0"/>
          <w:szCs w:val="20"/>
          <w:lang w:val="en-US"/>
        </w:rPr>
        <w:t xml:space="preserve"> in order to determine the right to health, and the corresponding rights for people living with HIV</w:t>
      </w:r>
      <w:r w:rsidR="000A0D91" w:rsidRPr="009F337B">
        <w:rPr>
          <w:i w:val="0"/>
          <w:szCs w:val="20"/>
          <w:lang w:val="en-US"/>
        </w:rPr>
        <w:t xml:space="preserve">. In this regard, the Court indicates that it is not assuming </w:t>
      </w:r>
      <w:r w:rsidR="00887531" w:rsidRPr="009F337B">
        <w:rPr>
          <w:i w:val="0"/>
          <w:szCs w:val="20"/>
          <w:lang w:val="en-US"/>
        </w:rPr>
        <w:t xml:space="preserve">a </w:t>
      </w:r>
      <w:r w:rsidR="000A0D91" w:rsidRPr="009F337B">
        <w:rPr>
          <w:i w:val="0"/>
          <w:szCs w:val="20"/>
          <w:lang w:val="en-US"/>
        </w:rPr>
        <w:t>competence that it does not have over some treaties</w:t>
      </w:r>
      <w:r w:rsidR="00887531" w:rsidRPr="009F337B">
        <w:rPr>
          <w:i w:val="0"/>
          <w:szCs w:val="20"/>
          <w:lang w:val="en-US"/>
        </w:rPr>
        <w:t>;</w:t>
      </w:r>
      <w:r w:rsidR="000A0D91" w:rsidRPr="009F337B">
        <w:rPr>
          <w:i w:val="0"/>
          <w:szCs w:val="20"/>
          <w:lang w:val="en-US"/>
        </w:rPr>
        <w:t xml:space="preserve"> neither is it according </w:t>
      </w:r>
      <w:r w:rsidR="000A0D91" w:rsidRPr="009F337B">
        <w:rPr>
          <w:i w:val="0"/>
          <w:szCs w:val="20"/>
          <w:lang w:val="en-US"/>
        </w:rPr>
        <w:lastRenderedPageBreak/>
        <w:t>a treaty-based hierarchy</w:t>
      </w:r>
      <w:r w:rsidR="00887531" w:rsidRPr="009F337B">
        <w:rPr>
          <w:i w:val="0"/>
          <w:szCs w:val="20"/>
          <w:lang w:val="en-US"/>
        </w:rPr>
        <w:t xml:space="preserve"> </w:t>
      </w:r>
      <w:r w:rsidR="000A0D91" w:rsidRPr="009F337B">
        <w:rPr>
          <w:i w:val="0"/>
          <w:szCs w:val="20"/>
          <w:lang w:val="en-US"/>
        </w:rPr>
        <w:t xml:space="preserve">to norms contained in other national and international instruments related to the </w:t>
      </w:r>
      <w:r w:rsidR="00CC5BF5" w:rsidRPr="009F337B">
        <w:rPr>
          <w:i w:val="0"/>
          <w:szCs w:val="20"/>
          <w:lang w:val="en-US"/>
        </w:rPr>
        <w:t>ESCER</w:t>
      </w:r>
      <w:r w:rsidR="000A0D91" w:rsidRPr="009F337B">
        <w:rPr>
          <w:i w:val="0"/>
          <w:szCs w:val="20"/>
          <w:lang w:val="en-US"/>
        </w:rPr>
        <w:t>.</w:t>
      </w:r>
      <w:r w:rsidR="00F46845" w:rsidRPr="009F337B">
        <w:rPr>
          <w:rStyle w:val="Refdenotaalpie"/>
          <w:i w:val="0"/>
          <w:lang w:val="en-US"/>
        </w:rPr>
        <w:footnoteReference w:id="106"/>
      </w:r>
      <w:r w:rsidR="000A0D91" w:rsidRPr="009F337B">
        <w:rPr>
          <w:i w:val="0"/>
          <w:szCs w:val="20"/>
          <w:lang w:val="en-US"/>
        </w:rPr>
        <w:t xml:space="preserve"> To the contrary, the Court is making an interpretation pursuant to the standards established by </w:t>
      </w:r>
      <w:r w:rsidR="00AE5F9E" w:rsidRPr="009F337B">
        <w:rPr>
          <w:i w:val="0"/>
          <w:szCs w:val="20"/>
          <w:lang w:val="en-US"/>
        </w:rPr>
        <w:t>Article</w:t>
      </w:r>
      <w:r w:rsidR="00F46845" w:rsidRPr="009F337B">
        <w:rPr>
          <w:i w:val="0"/>
          <w:szCs w:val="20"/>
          <w:lang w:val="en-US"/>
        </w:rPr>
        <w:t xml:space="preserve"> 29,</w:t>
      </w:r>
      <w:r w:rsidR="003C46A3" w:rsidRPr="009F337B">
        <w:rPr>
          <w:i w:val="0"/>
          <w:szCs w:val="20"/>
          <w:lang w:val="en-US"/>
        </w:rPr>
        <w:t xml:space="preserve"> and </w:t>
      </w:r>
      <w:r w:rsidR="000A0D91" w:rsidRPr="009F337B">
        <w:rPr>
          <w:i w:val="0"/>
          <w:szCs w:val="20"/>
          <w:lang w:val="en-US"/>
        </w:rPr>
        <w:t xml:space="preserve">in keeping with its judicial practice, that allows it to update the meaning of the rights derived from the OAS Charter that are recognized by </w:t>
      </w:r>
      <w:r w:rsidR="00AE5F9E" w:rsidRPr="009F337B">
        <w:rPr>
          <w:i w:val="0"/>
          <w:szCs w:val="20"/>
          <w:lang w:val="en-US"/>
        </w:rPr>
        <w:t>Article</w:t>
      </w:r>
      <w:r w:rsidR="00F46845" w:rsidRPr="009F337B">
        <w:rPr>
          <w:i w:val="0"/>
          <w:szCs w:val="20"/>
          <w:lang w:val="en-US"/>
        </w:rPr>
        <w:t xml:space="preserve"> 26</w:t>
      </w:r>
      <w:r w:rsidR="00AE5F9E" w:rsidRPr="009F337B">
        <w:rPr>
          <w:i w:val="0"/>
          <w:szCs w:val="20"/>
          <w:lang w:val="en-US"/>
        </w:rPr>
        <w:t xml:space="preserve"> of the Convention</w:t>
      </w:r>
      <w:r w:rsidR="00F46845" w:rsidRPr="009F337B">
        <w:rPr>
          <w:i w:val="0"/>
          <w:szCs w:val="20"/>
          <w:lang w:val="en-US"/>
        </w:rPr>
        <w:t xml:space="preserve">. </w:t>
      </w:r>
      <w:r w:rsidR="000A0D91" w:rsidRPr="009F337B">
        <w:rPr>
          <w:i w:val="0"/>
          <w:szCs w:val="20"/>
          <w:lang w:val="en-US"/>
        </w:rPr>
        <w:t xml:space="preserve">Determination of the </w:t>
      </w:r>
      <w:r w:rsidR="00A51F3B" w:rsidRPr="009F337B">
        <w:rPr>
          <w:i w:val="0"/>
          <w:szCs w:val="20"/>
          <w:lang w:val="en-US"/>
        </w:rPr>
        <w:t>right to health</w:t>
      </w:r>
      <w:r w:rsidR="00F46845" w:rsidRPr="009F337B">
        <w:rPr>
          <w:i w:val="0"/>
          <w:szCs w:val="20"/>
          <w:lang w:val="en-US"/>
        </w:rPr>
        <w:t xml:space="preserve"> </w:t>
      </w:r>
      <w:r w:rsidR="000A0D91" w:rsidRPr="009F337B">
        <w:rPr>
          <w:i w:val="0"/>
          <w:szCs w:val="20"/>
          <w:lang w:val="en-US"/>
        </w:rPr>
        <w:t xml:space="preserve">will give special emphasis to the </w:t>
      </w:r>
      <w:r w:rsidR="00CE4DB0" w:rsidRPr="009F337B">
        <w:rPr>
          <w:i w:val="0"/>
          <w:szCs w:val="20"/>
          <w:lang w:val="en-US"/>
        </w:rPr>
        <w:t>American Declaration</w:t>
      </w:r>
      <w:r w:rsidR="00F46845" w:rsidRPr="009F337B">
        <w:rPr>
          <w:i w:val="0"/>
          <w:szCs w:val="20"/>
          <w:lang w:val="en-US"/>
        </w:rPr>
        <w:t xml:space="preserve">, </w:t>
      </w:r>
      <w:r w:rsidR="000A0D91" w:rsidRPr="009F337B">
        <w:rPr>
          <w:i w:val="0"/>
          <w:szCs w:val="20"/>
          <w:lang w:val="en-US"/>
        </w:rPr>
        <w:t>because, as this Court has established:</w:t>
      </w:r>
    </w:p>
    <w:p w14:paraId="413BBADF" w14:textId="77777777" w:rsidR="00E92CA8" w:rsidRPr="009F337B" w:rsidRDefault="00E92CA8" w:rsidP="00E92CA8">
      <w:pPr>
        <w:pStyle w:val="Estilo1"/>
        <w:tabs>
          <w:tab w:val="left" w:pos="709"/>
          <w:tab w:val="left" w:pos="1134"/>
        </w:tabs>
        <w:spacing w:after="0"/>
        <w:ind w:left="0" w:right="-4" w:firstLine="0"/>
        <w:rPr>
          <w:rFonts w:eastAsia="Times" w:cs="Arial"/>
          <w:i w:val="0"/>
          <w:szCs w:val="20"/>
          <w:lang w:val="en-US" w:eastAsia="es-CR"/>
        </w:rPr>
      </w:pPr>
    </w:p>
    <w:p w14:paraId="3D0DB3B7" w14:textId="281E98F2" w:rsidR="00F46845" w:rsidRPr="009F337B" w:rsidRDefault="00F46845" w:rsidP="00E92CA8">
      <w:pPr>
        <w:autoSpaceDE w:val="0"/>
        <w:autoSpaceDN w:val="0"/>
        <w:adjustRightInd w:val="0"/>
        <w:ind w:left="708" w:right="900"/>
        <w:rPr>
          <w:rFonts w:eastAsiaTheme="minorHAnsi" w:cs="Verdana"/>
          <w:sz w:val="18"/>
          <w:szCs w:val="18"/>
          <w:lang w:val="en-US"/>
        </w:rPr>
      </w:pPr>
      <w:r w:rsidRPr="009F337B">
        <w:rPr>
          <w:rFonts w:eastAsiaTheme="minorHAnsi" w:cs="Verdana"/>
          <w:sz w:val="18"/>
          <w:szCs w:val="18"/>
          <w:lang w:val="en-US"/>
        </w:rPr>
        <w:t>[…] [</w:t>
      </w:r>
      <w:r w:rsidR="000A0D91" w:rsidRPr="009F337B">
        <w:rPr>
          <w:rFonts w:eastAsiaTheme="minorHAnsi" w:cs="Verdana"/>
          <w:sz w:val="18"/>
          <w:szCs w:val="18"/>
          <w:lang w:val="en-US"/>
        </w:rPr>
        <w:t>T</w:t>
      </w:r>
      <w:r w:rsidRPr="009F337B">
        <w:rPr>
          <w:rFonts w:eastAsiaTheme="minorHAnsi" w:cs="Verdana"/>
          <w:sz w:val="18"/>
          <w:szCs w:val="18"/>
          <w:lang w:val="en-US"/>
        </w:rPr>
        <w:t>]</w:t>
      </w:r>
      <w:r w:rsidR="000A0D91" w:rsidRPr="009F337B">
        <w:rPr>
          <w:rFonts w:cs="Arial"/>
          <w:sz w:val="18"/>
          <w:szCs w:val="18"/>
          <w:lang w:val="en-US"/>
        </w:rPr>
        <w:t>he Member States of the Organization have signaled their agreement that the Declaration contains and defines the fundamental human rights referred to in the Charter. Thus the Charter of the Organization cannot be interpreted and applied as far as human rights are concerned without relating its norms, consistent with the practice of the organs of the OAS, to the corresponding provisions of the Declaration</w:t>
      </w:r>
      <w:r w:rsidR="000A0D91" w:rsidRPr="009F337B">
        <w:rPr>
          <w:rFonts w:eastAsiaTheme="minorHAnsi" w:cs="Verdana"/>
          <w:sz w:val="18"/>
          <w:szCs w:val="18"/>
          <w:lang w:val="en-US"/>
        </w:rPr>
        <w:t>.</w:t>
      </w:r>
      <w:r w:rsidRPr="009F337B">
        <w:rPr>
          <w:rFonts w:eastAsiaTheme="minorHAnsi"/>
          <w:sz w:val="18"/>
          <w:szCs w:val="18"/>
          <w:vertAlign w:val="superscript"/>
          <w:lang w:val="en-US"/>
        </w:rPr>
        <w:footnoteReference w:id="107"/>
      </w:r>
    </w:p>
    <w:p w14:paraId="2D78A61F" w14:textId="77777777" w:rsidR="00E92CA8" w:rsidRPr="009F337B" w:rsidRDefault="00E92CA8" w:rsidP="00E92CA8">
      <w:pPr>
        <w:autoSpaceDE w:val="0"/>
        <w:autoSpaceDN w:val="0"/>
        <w:adjustRightInd w:val="0"/>
        <w:ind w:right="900"/>
        <w:rPr>
          <w:rFonts w:eastAsiaTheme="minorHAnsi" w:cs="Verdana"/>
          <w:szCs w:val="20"/>
          <w:lang w:val="en-US"/>
        </w:rPr>
      </w:pPr>
    </w:p>
    <w:p w14:paraId="2F4D3261" w14:textId="443B8786" w:rsidR="00887204" w:rsidRPr="009F337B" w:rsidRDefault="003242AA" w:rsidP="00593E37">
      <w:pPr>
        <w:pStyle w:val="Estilo1"/>
        <w:numPr>
          <w:ilvl w:val="0"/>
          <w:numId w:val="1"/>
        </w:numPr>
        <w:tabs>
          <w:tab w:val="left" w:pos="709"/>
          <w:tab w:val="left" w:pos="1134"/>
        </w:tabs>
        <w:spacing w:after="0"/>
        <w:ind w:left="0" w:right="-4" w:firstLine="0"/>
        <w:rPr>
          <w:rFonts w:eastAsia="Times" w:cs="Arial"/>
          <w:i w:val="0"/>
          <w:szCs w:val="20"/>
          <w:lang w:val="en-US"/>
        </w:rPr>
      </w:pPr>
      <w:r>
        <w:rPr>
          <w:rFonts w:eastAsia="Times" w:cs="Arial"/>
          <w:i w:val="0"/>
          <w:szCs w:val="20"/>
          <w:lang w:val="en-US"/>
        </w:rPr>
        <w:t>Moreover</w:t>
      </w:r>
      <w:r w:rsidR="000A0D91" w:rsidRPr="009F337B">
        <w:rPr>
          <w:rFonts w:eastAsia="Times" w:cs="Arial"/>
          <w:i w:val="0"/>
          <w:szCs w:val="20"/>
          <w:lang w:val="en-US"/>
        </w:rPr>
        <w:t>, the Court has indicated on other occasions that human rights treaties are living ins</w:t>
      </w:r>
      <w:r w:rsidR="00233F74" w:rsidRPr="009F337B">
        <w:rPr>
          <w:rFonts w:eastAsia="Times" w:cs="Arial"/>
          <w:i w:val="0"/>
          <w:szCs w:val="20"/>
          <w:lang w:val="en-US"/>
        </w:rPr>
        <w:t>t</w:t>
      </w:r>
      <w:r w:rsidR="000A0D91" w:rsidRPr="009F337B">
        <w:rPr>
          <w:rFonts w:eastAsia="Times" w:cs="Arial"/>
          <w:i w:val="0"/>
          <w:szCs w:val="20"/>
          <w:lang w:val="en-US"/>
        </w:rPr>
        <w:t>ruments, and their interpretation</w:t>
      </w:r>
      <w:r w:rsidR="00233F74" w:rsidRPr="009F337B">
        <w:rPr>
          <w:rFonts w:eastAsia="Times" w:cs="Arial"/>
          <w:i w:val="0"/>
          <w:szCs w:val="20"/>
          <w:lang w:val="en-US"/>
        </w:rPr>
        <w:t xml:space="preserve"> must evolve over time in </w:t>
      </w:r>
      <w:r w:rsidR="00887531" w:rsidRPr="009F337B">
        <w:rPr>
          <w:rFonts w:eastAsia="Times" w:cs="Arial"/>
          <w:i w:val="0"/>
          <w:szCs w:val="20"/>
          <w:lang w:val="en-US"/>
        </w:rPr>
        <w:t>line</w:t>
      </w:r>
      <w:r w:rsidR="00233F74" w:rsidRPr="009F337B">
        <w:rPr>
          <w:rFonts w:eastAsia="Times" w:cs="Arial"/>
          <w:i w:val="0"/>
          <w:szCs w:val="20"/>
          <w:lang w:val="en-US"/>
        </w:rPr>
        <w:t xml:space="preserve"> with current conditions. This evolutive interpretation is consequent with the general rules of interpretation established in </w:t>
      </w:r>
      <w:r w:rsidR="00AE5F9E" w:rsidRPr="009F337B">
        <w:rPr>
          <w:rFonts w:eastAsia="Times" w:cs="Arial"/>
          <w:i w:val="0"/>
          <w:szCs w:val="20"/>
          <w:lang w:val="en-US"/>
        </w:rPr>
        <w:t>Article</w:t>
      </w:r>
      <w:r w:rsidR="00F46845" w:rsidRPr="009F337B">
        <w:rPr>
          <w:rFonts w:eastAsia="Times" w:cs="Arial"/>
          <w:i w:val="0"/>
          <w:szCs w:val="20"/>
          <w:lang w:val="en-US"/>
        </w:rPr>
        <w:t xml:space="preserve"> 29</w:t>
      </w:r>
      <w:r w:rsidR="00AE5F9E" w:rsidRPr="009F337B">
        <w:rPr>
          <w:rFonts w:eastAsia="Times" w:cs="Arial"/>
          <w:i w:val="0"/>
          <w:szCs w:val="20"/>
          <w:lang w:val="en-US"/>
        </w:rPr>
        <w:t xml:space="preserve"> of the American Convention</w:t>
      </w:r>
      <w:r w:rsidR="00F46845" w:rsidRPr="009F337B">
        <w:rPr>
          <w:rFonts w:eastAsia="Times" w:cs="Arial"/>
          <w:i w:val="0"/>
          <w:szCs w:val="20"/>
          <w:lang w:val="en-US"/>
        </w:rPr>
        <w:t xml:space="preserve">, </w:t>
      </w:r>
      <w:r w:rsidR="00233F74" w:rsidRPr="009F337B">
        <w:rPr>
          <w:rFonts w:eastAsia="Times" w:cs="Arial"/>
          <w:i w:val="0"/>
          <w:szCs w:val="20"/>
          <w:lang w:val="en-US"/>
        </w:rPr>
        <w:t xml:space="preserve">as well as </w:t>
      </w:r>
      <w:r w:rsidR="00887531" w:rsidRPr="009F337B">
        <w:rPr>
          <w:rFonts w:eastAsia="Times" w:cs="Arial"/>
          <w:i w:val="0"/>
          <w:szCs w:val="20"/>
          <w:lang w:val="en-US"/>
        </w:rPr>
        <w:t>in</w:t>
      </w:r>
      <w:r w:rsidR="00F46845" w:rsidRPr="009F337B">
        <w:rPr>
          <w:rFonts w:eastAsia="Times" w:cs="Arial"/>
          <w:i w:val="0"/>
          <w:szCs w:val="20"/>
          <w:lang w:val="en-US"/>
        </w:rPr>
        <w:t xml:space="preserve"> </w:t>
      </w:r>
      <w:r w:rsidR="00AE5F9E" w:rsidRPr="009F337B">
        <w:rPr>
          <w:rFonts w:eastAsia="Times" w:cs="Arial"/>
          <w:i w:val="0"/>
          <w:szCs w:val="20"/>
          <w:lang w:val="en-US"/>
        </w:rPr>
        <w:t xml:space="preserve">the </w:t>
      </w:r>
      <w:r w:rsidR="00BD4205" w:rsidRPr="009F337B">
        <w:rPr>
          <w:rFonts w:eastAsia="Times" w:cs="Arial"/>
          <w:i w:val="0"/>
          <w:szCs w:val="20"/>
          <w:lang w:val="en-US"/>
        </w:rPr>
        <w:t>Vienna Convention</w:t>
      </w:r>
      <w:r w:rsidR="00233F74" w:rsidRPr="009F337B">
        <w:rPr>
          <w:rFonts w:eastAsia="Times" w:cs="Arial"/>
          <w:i w:val="0"/>
          <w:szCs w:val="20"/>
          <w:lang w:val="en-US"/>
        </w:rPr>
        <w:t>.</w:t>
      </w:r>
      <w:r w:rsidR="00F46845" w:rsidRPr="009F337B">
        <w:rPr>
          <w:rStyle w:val="Refdenotaalpie"/>
          <w:rFonts w:eastAsia="Times"/>
          <w:i w:val="0"/>
          <w:lang w:val="en-US"/>
        </w:rPr>
        <w:footnoteReference w:id="108"/>
      </w:r>
      <w:r w:rsidR="00F46845" w:rsidRPr="009F337B">
        <w:rPr>
          <w:rFonts w:eastAsia="Times" w:cs="Arial"/>
          <w:i w:val="0"/>
          <w:szCs w:val="20"/>
          <w:lang w:val="en-US"/>
        </w:rPr>
        <w:t xml:space="preserve"> </w:t>
      </w:r>
      <w:r w:rsidR="00233F74" w:rsidRPr="009F337B">
        <w:rPr>
          <w:rFonts w:eastAsia="Times" w:cs="Arial"/>
          <w:i w:val="0"/>
          <w:szCs w:val="20"/>
          <w:lang w:val="en-US"/>
        </w:rPr>
        <w:t xml:space="preserve">In addition, the third paragraph </w:t>
      </w:r>
      <w:r w:rsidR="003C46A3" w:rsidRPr="009F337B">
        <w:rPr>
          <w:rFonts w:eastAsia="Times" w:cs="Arial"/>
          <w:i w:val="0"/>
          <w:szCs w:val="20"/>
          <w:lang w:val="en-US"/>
        </w:rPr>
        <w:t>of Article</w:t>
      </w:r>
      <w:r w:rsidR="00F46845" w:rsidRPr="009F337B">
        <w:rPr>
          <w:rFonts w:eastAsia="Times" w:cs="Arial"/>
          <w:i w:val="0"/>
          <w:szCs w:val="20"/>
          <w:lang w:val="en-US"/>
        </w:rPr>
        <w:t xml:space="preserve"> 31</w:t>
      </w:r>
      <w:r w:rsidR="00AE5F9E" w:rsidRPr="009F337B">
        <w:rPr>
          <w:rFonts w:eastAsia="Times" w:cs="Arial"/>
          <w:i w:val="0"/>
          <w:szCs w:val="20"/>
          <w:lang w:val="en-US"/>
        </w:rPr>
        <w:t xml:space="preserve"> of the </w:t>
      </w:r>
      <w:r w:rsidR="00BD4205" w:rsidRPr="009F337B">
        <w:rPr>
          <w:rFonts w:eastAsia="Times" w:cs="Arial"/>
          <w:i w:val="0"/>
          <w:szCs w:val="20"/>
          <w:lang w:val="en-US"/>
        </w:rPr>
        <w:t>Vienna Convention</w:t>
      </w:r>
      <w:r w:rsidR="00F46845" w:rsidRPr="009F337B">
        <w:rPr>
          <w:rFonts w:eastAsia="Times" w:cs="Arial"/>
          <w:i w:val="0"/>
          <w:szCs w:val="20"/>
          <w:lang w:val="en-US"/>
        </w:rPr>
        <w:t xml:space="preserve"> aut</w:t>
      </w:r>
      <w:r w:rsidR="00233F74" w:rsidRPr="009F337B">
        <w:rPr>
          <w:rFonts w:eastAsia="Times" w:cs="Arial"/>
          <w:i w:val="0"/>
          <w:szCs w:val="20"/>
          <w:lang w:val="en-US"/>
        </w:rPr>
        <w:t xml:space="preserve">horizes the use of means of interpretation such as agreements or practices or relevant rules of international law indicated by the States regarding the subject matter of the treaty, which are some of the means </w:t>
      </w:r>
      <w:r w:rsidR="00C94973" w:rsidRPr="009F337B">
        <w:rPr>
          <w:rFonts w:eastAsia="Times" w:cs="Arial"/>
          <w:i w:val="0"/>
          <w:szCs w:val="20"/>
          <w:lang w:val="en-US"/>
        </w:rPr>
        <w:t xml:space="preserve">that </w:t>
      </w:r>
      <w:r w:rsidR="00233F74" w:rsidRPr="009F337B">
        <w:rPr>
          <w:rFonts w:eastAsia="Times" w:cs="Arial"/>
          <w:i w:val="0"/>
          <w:szCs w:val="20"/>
          <w:lang w:val="en-US"/>
        </w:rPr>
        <w:t xml:space="preserve">relate to an evolutive vision of the treaty. In this way, in order to determine the scope </w:t>
      </w:r>
      <w:r w:rsidR="00371ADF" w:rsidRPr="009F337B">
        <w:rPr>
          <w:rFonts w:eastAsia="Times" w:cs="Arial"/>
          <w:i w:val="0"/>
          <w:szCs w:val="20"/>
          <w:lang w:val="en-US"/>
        </w:rPr>
        <w:t xml:space="preserve">of the </w:t>
      </w:r>
      <w:r w:rsidR="00A51F3B" w:rsidRPr="009F337B">
        <w:rPr>
          <w:rFonts w:eastAsia="Times" w:cs="Arial"/>
          <w:i w:val="0"/>
          <w:szCs w:val="20"/>
          <w:lang w:val="en-US"/>
        </w:rPr>
        <w:t>right to health</w:t>
      </w:r>
      <w:r w:rsidR="00F46845" w:rsidRPr="009F337B">
        <w:rPr>
          <w:rFonts w:eastAsia="Times" w:cs="Arial"/>
          <w:i w:val="0"/>
          <w:szCs w:val="20"/>
          <w:lang w:val="en-US"/>
        </w:rPr>
        <w:t xml:space="preserve"> </w:t>
      </w:r>
      <w:r>
        <w:rPr>
          <w:rFonts w:eastAsia="Times" w:cs="Arial"/>
          <w:i w:val="0"/>
          <w:szCs w:val="20"/>
          <w:lang w:val="en-US"/>
        </w:rPr>
        <w:t>for</w:t>
      </w:r>
      <w:r w:rsidR="00F46845" w:rsidRPr="009F337B">
        <w:rPr>
          <w:rFonts w:eastAsia="Times" w:cs="Arial"/>
          <w:i w:val="0"/>
          <w:szCs w:val="20"/>
          <w:lang w:val="en-US"/>
        </w:rPr>
        <w:t xml:space="preserve"> </w:t>
      </w:r>
      <w:r w:rsidR="00080A1E" w:rsidRPr="009F337B">
        <w:rPr>
          <w:rFonts w:eastAsia="Times" w:cs="Arial"/>
          <w:i w:val="0"/>
          <w:szCs w:val="20"/>
          <w:lang w:val="en-US"/>
        </w:rPr>
        <w:t>people living with HIV</w:t>
      </w:r>
      <w:r w:rsidR="00F46845" w:rsidRPr="009F337B">
        <w:rPr>
          <w:rFonts w:eastAsia="Times" w:cs="Arial"/>
          <w:i w:val="0"/>
          <w:szCs w:val="20"/>
          <w:lang w:val="en-US"/>
        </w:rPr>
        <w:t>,</w:t>
      </w:r>
      <w:r w:rsidR="00233F74" w:rsidRPr="009F337B">
        <w:rPr>
          <w:rFonts w:eastAsia="Times" w:cs="Arial"/>
          <w:i w:val="0"/>
          <w:szCs w:val="20"/>
          <w:lang w:val="en-US"/>
        </w:rPr>
        <w:t xml:space="preserve"> as derived from the economic, social, education, scientific and cultural </w:t>
      </w:r>
      <w:r w:rsidR="00795CA3">
        <w:rPr>
          <w:rFonts w:eastAsia="Times" w:cs="Arial"/>
          <w:i w:val="0"/>
          <w:szCs w:val="20"/>
          <w:lang w:val="en-US"/>
        </w:rPr>
        <w:t>standards</w:t>
      </w:r>
      <w:r w:rsidR="00233F74" w:rsidRPr="009F337B">
        <w:rPr>
          <w:rFonts w:eastAsia="Times" w:cs="Arial"/>
          <w:i w:val="0"/>
          <w:szCs w:val="20"/>
          <w:lang w:val="en-US"/>
        </w:rPr>
        <w:t xml:space="preserve"> </w:t>
      </w:r>
      <w:r w:rsidR="00B44644" w:rsidRPr="009F337B">
        <w:rPr>
          <w:rFonts w:cs="Tahoma"/>
          <w:i w:val="0"/>
          <w:szCs w:val="20"/>
          <w:lang w:val="en-US"/>
        </w:rPr>
        <w:t xml:space="preserve">of the </w:t>
      </w:r>
      <w:r w:rsidR="00664AA6" w:rsidRPr="009F337B">
        <w:rPr>
          <w:rFonts w:cs="Tahoma"/>
          <w:i w:val="0"/>
          <w:szCs w:val="20"/>
          <w:lang w:val="en-US"/>
        </w:rPr>
        <w:t>OAS Charter</w:t>
      </w:r>
      <w:r w:rsidR="00F46845" w:rsidRPr="009F337B">
        <w:rPr>
          <w:rFonts w:cs="Tahoma"/>
          <w:i w:val="0"/>
          <w:szCs w:val="20"/>
          <w:lang w:val="en-US"/>
        </w:rPr>
        <w:t xml:space="preserve">, </w:t>
      </w:r>
      <w:r w:rsidR="008C399E" w:rsidRPr="009F337B">
        <w:rPr>
          <w:rFonts w:cs="Tahoma"/>
          <w:i w:val="0"/>
          <w:szCs w:val="20"/>
          <w:lang w:val="en-US"/>
        </w:rPr>
        <w:t>the Court</w:t>
      </w:r>
      <w:r w:rsidR="00F46845" w:rsidRPr="009F337B">
        <w:rPr>
          <w:rFonts w:cs="Tahoma"/>
          <w:i w:val="0"/>
          <w:szCs w:val="20"/>
          <w:lang w:val="en-US"/>
        </w:rPr>
        <w:t xml:space="preserve"> </w:t>
      </w:r>
      <w:r w:rsidR="00233F74" w:rsidRPr="009F337B">
        <w:rPr>
          <w:rFonts w:cs="Tahoma"/>
          <w:i w:val="0"/>
          <w:szCs w:val="20"/>
          <w:lang w:val="en-US"/>
        </w:rPr>
        <w:t>will refer to the relevant instrument of the international</w:t>
      </w:r>
      <w:r w:rsidR="00F46845" w:rsidRPr="009F337B">
        <w:rPr>
          <w:rFonts w:cs="Tahoma"/>
          <w:i w:val="0"/>
          <w:szCs w:val="20"/>
          <w:lang w:val="en-US"/>
        </w:rPr>
        <w:t xml:space="preserve"> </w:t>
      </w:r>
      <w:r w:rsidR="00F46845" w:rsidRPr="009F337B">
        <w:rPr>
          <w:rFonts w:cs="Tahoma"/>
          <w:szCs w:val="20"/>
          <w:lang w:val="en-US"/>
        </w:rPr>
        <w:t>corpus juris</w:t>
      </w:r>
      <w:r w:rsidR="00F46845" w:rsidRPr="009F337B">
        <w:rPr>
          <w:rFonts w:cs="Tahoma"/>
          <w:i w:val="0"/>
          <w:szCs w:val="20"/>
          <w:lang w:val="en-US"/>
        </w:rPr>
        <w:t>.</w:t>
      </w:r>
    </w:p>
    <w:p w14:paraId="35F31155" w14:textId="77777777" w:rsidR="00EE1E0E" w:rsidRPr="009F337B" w:rsidRDefault="00EE1E0E" w:rsidP="00E92CA8">
      <w:pPr>
        <w:rPr>
          <w:rFonts w:eastAsia="Verdana"/>
          <w:bCs/>
          <w:lang w:val="en-US" w:eastAsia="x-none"/>
        </w:rPr>
      </w:pPr>
    </w:p>
    <w:p w14:paraId="594F46D8" w14:textId="7274B395" w:rsidR="00F46845" w:rsidRPr="009F337B" w:rsidRDefault="00EE1E0E" w:rsidP="00E92CA8">
      <w:pPr>
        <w:pStyle w:val="Ttulo3"/>
        <w:spacing w:before="0"/>
        <w:rPr>
          <w:lang w:val="en-US"/>
        </w:rPr>
      </w:pPr>
      <w:r w:rsidRPr="009F337B">
        <w:rPr>
          <w:rFonts w:eastAsia="Verdana"/>
          <w:bCs/>
          <w:lang w:val="en-US" w:eastAsia="x-none"/>
        </w:rPr>
        <w:tab/>
      </w:r>
      <w:bookmarkStart w:id="76" w:name="_Toc527466491"/>
      <w:r w:rsidR="00F441D1" w:rsidRPr="009F337B">
        <w:rPr>
          <w:rFonts w:eastAsia="Verdana"/>
          <w:bCs/>
          <w:lang w:val="en-US" w:eastAsia="x-none"/>
        </w:rPr>
        <w:t>B.3</w:t>
      </w:r>
      <w:r w:rsidR="00F46845" w:rsidRPr="009F337B">
        <w:rPr>
          <w:rFonts w:eastAsia="Verdana"/>
          <w:bCs/>
          <w:lang w:val="en-US" w:eastAsia="x-none"/>
        </w:rPr>
        <w:t xml:space="preserve">. </w:t>
      </w:r>
      <w:r w:rsidR="00233F74" w:rsidRPr="009F337B">
        <w:rPr>
          <w:lang w:val="en-US"/>
        </w:rPr>
        <w:t xml:space="preserve">The content </w:t>
      </w:r>
      <w:r w:rsidR="00371ADF" w:rsidRPr="009F337B">
        <w:rPr>
          <w:lang w:val="en-US"/>
        </w:rPr>
        <w:t xml:space="preserve">of the </w:t>
      </w:r>
      <w:r w:rsidR="00A51F3B" w:rsidRPr="009F337B">
        <w:rPr>
          <w:lang w:val="en-US"/>
        </w:rPr>
        <w:t>right to health</w:t>
      </w:r>
      <w:bookmarkEnd w:id="76"/>
    </w:p>
    <w:p w14:paraId="1397326D" w14:textId="77777777" w:rsidR="00E92CA8" w:rsidRPr="009F337B" w:rsidRDefault="00E92CA8" w:rsidP="00E92CA8">
      <w:pPr>
        <w:rPr>
          <w:lang w:val="en-US"/>
        </w:rPr>
      </w:pPr>
    </w:p>
    <w:p w14:paraId="749245B3" w14:textId="4213B56A" w:rsidR="00AD6899" w:rsidRPr="009F337B" w:rsidRDefault="00B7716B" w:rsidP="00593E37">
      <w:pPr>
        <w:pStyle w:val="Estilo1"/>
        <w:numPr>
          <w:ilvl w:val="0"/>
          <w:numId w:val="1"/>
        </w:numPr>
        <w:tabs>
          <w:tab w:val="left" w:pos="709"/>
          <w:tab w:val="left" w:pos="1134"/>
        </w:tabs>
        <w:spacing w:after="0"/>
        <w:ind w:left="0" w:right="-4" w:firstLine="0"/>
        <w:rPr>
          <w:rFonts w:eastAsia="Times" w:cs="Arial"/>
          <w:i w:val="0"/>
          <w:szCs w:val="20"/>
          <w:lang w:val="en-US"/>
        </w:rPr>
      </w:pPr>
      <w:r w:rsidRPr="009F337B">
        <w:rPr>
          <w:i w:val="0"/>
          <w:szCs w:val="20"/>
          <w:lang w:val="en-US"/>
        </w:rPr>
        <w:t xml:space="preserve">Based on the foregoing, the Court notes, first, that Article XI of the </w:t>
      </w:r>
      <w:r w:rsidR="00CE4DB0" w:rsidRPr="009F337B">
        <w:rPr>
          <w:i w:val="0"/>
          <w:szCs w:val="20"/>
          <w:lang w:val="en-US"/>
        </w:rPr>
        <w:t>American Declaration</w:t>
      </w:r>
      <w:r w:rsidR="00F46845" w:rsidRPr="009F337B">
        <w:rPr>
          <w:i w:val="0"/>
          <w:szCs w:val="20"/>
          <w:lang w:val="en-US"/>
        </w:rPr>
        <w:t xml:space="preserve"> reco</w:t>
      </w:r>
      <w:r w:rsidRPr="009F337B">
        <w:rPr>
          <w:i w:val="0"/>
          <w:szCs w:val="20"/>
          <w:lang w:val="en-US"/>
        </w:rPr>
        <w:t xml:space="preserve">gnizes that </w:t>
      </w:r>
      <w:r w:rsidR="00AD6899" w:rsidRPr="009F337B">
        <w:rPr>
          <w:i w:val="0"/>
          <w:szCs w:val="20"/>
          <w:lang w:val="en-US"/>
        </w:rPr>
        <w:t xml:space="preserve">“[e]very person has the right to the preservation of his health through sanitary and social measures relating to medical care, to the extent permitted by public and community resources.” Similarly, Article 10 </w:t>
      </w:r>
      <w:r w:rsidR="00C94973" w:rsidRPr="009F337B">
        <w:rPr>
          <w:i w:val="0"/>
          <w:szCs w:val="20"/>
          <w:lang w:val="en-US"/>
        </w:rPr>
        <w:t>of the</w:t>
      </w:r>
      <w:r w:rsidR="00AD6899" w:rsidRPr="009F337B">
        <w:rPr>
          <w:i w:val="0"/>
          <w:szCs w:val="20"/>
          <w:lang w:val="en-US"/>
        </w:rPr>
        <w:t xml:space="preserve"> Protocol of San Salvador establishes that “</w:t>
      </w:r>
      <w:r w:rsidR="00AD6899" w:rsidRPr="009F337B">
        <w:rPr>
          <w:rFonts w:cs="Tahoma"/>
          <w:bCs/>
          <w:i w:val="0"/>
          <w:szCs w:val="20"/>
          <w:lang w:val="en-US"/>
        </w:rPr>
        <w:t>everyone shall have the right to health, understood to mean the enjoyment of the highest level of physical, mental and social well-being” and indicates that health is a “public good.”</w:t>
      </w:r>
      <w:r w:rsidR="00194374" w:rsidRPr="009F337B">
        <w:rPr>
          <w:rStyle w:val="Refdenotaalpie"/>
          <w:i w:val="0"/>
          <w:lang w:val="en-US"/>
        </w:rPr>
        <w:footnoteReference w:id="109"/>
      </w:r>
      <w:r w:rsidR="00F46845" w:rsidRPr="009F337B">
        <w:rPr>
          <w:i w:val="0"/>
          <w:szCs w:val="20"/>
          <w:lang w:val="en-US"/>
        </w:rPr>
        <w:t xml:space="preserve"> </w:t>
      </w:r>
      <w:r w:rsidR="00AD6899" w:rsidRPr="009F337B">
        <w:rPr>
          <w:i w:val="0"/>
          <w:szCs w:val="20"/>
          <w:lang w:val="en-US"/>
        </w:rPr>
        <w:t xml:space="preserve">The same article establishes that, among other measures to ensure </w:t>
      </w:r>
      <w:r w:rsidR="00A51F3B" w:rsidRPr="009F337B">
        <w:rPr>
          <w:i w:val="0"/>
          <w:szCs w:val="20"/>
          <w:lang w:val="en-US"/>
        </w:rPr>
        <w:t>the right to health</w:t>
      </w:r>
      <w:r w:rsidR="00F46845" w:rsidRPr="009F337B">
        <w:rPr>
          <w:i w:val="0"/>
          <w:szCs w:val="20"/>
          <w:lang w:val="en-US"/>
        </w:rPr>
        <w:t xml:space="preserve">, </w:t>
      </w:r>
      <w:r w:rsidR="00AD6899" w:rsidRPr="009F337B">
        <w:rPr>
          <w:i w:val="0"/>
          <w:szCs w:val="20"/>
          <w:lang w:val="en-US"/>
        </w:rPr>
        <w:t>States must ensure “</w:t>
      </w:r>
      <w:r w:rsidR="0043256B" w:rsidRPr="009F337B">
        <w:rPr>
          <w:i w:val="0"/>
          <w:szCs w:val="20"/>
          <w:lang w:val="en-US"/>
        </w:rPr>
        <w:t>[u]</w:t>
      </w:r>
      <w:proofErr w:type="spellStart"/>
      <w:r w:rsidR="00AD6899" w:rsidRPr="009F337B">
        <w:rPr>
          <w:i w:val="0"/>
          <w:szCs w:val="20"/>
          <w:lang w:val="en-US"/>
        </w:rPr>
        <w:t>niversal</w:t>
      </w:r>
      <w:proofErr w:type="spellEnd"/>
      <w:r w:rsidR="00AD6899" w:rsidRPr="009F337B">
        <w:rPr>
          <w:i w:val="0"/>
          <w:szCs w:val="20"/>
          <w:lang w:val="en-US"/>
        </w:rPr>
        <w:t xml:space="preserve"> immunization against the principal infectious diseases,” “[</w:t>
      </w:r>
      <w:r w:rsidR="00AD6899" w:rsidRPr="009F337B">
        <w:rPr>
          <w:rFonts w:cs="Tahoma"/>
          <w:bCs/>
          <w:i w:val="0"/>
          <w:szCs w:val="20"/>
          <w:lang w:val="en-US"/>
        </w:rPr>
        <w:t>p]</w:t>
      </w:r>
      <w:proofErr w:type="spellStart"/>
      <w:r w:rsidR="00AD6899" w:rsidRPr="009F337B">
        <w:rPr>
          <w:rFonts w:cs="Tahoma"/>
          <w:bCs/>
          <w:i w:val="0"/>
          <w:szCs w:val="20"/>
          <w:lang w:val="en-US"/>
        </w:rPr>
        <w:t>revention</w:t>
      </w:r>
      <w:proofErr w:type="spellEnd"/>
      <w:r w:rsidR="00AD6899" w:rsidRPr="009F337B">
        <w:rPr>
          <w:rFonts w:cs="Tahoma"/>
          <w:bCs/>
          <w:i w:val="0"/>
          <w:szCs w:val="20"/>
          <w:lang w:val="en-US"/>
        </w:rPr>
        <w:t xml:space="preserve"> and treatment of endemic, occupational and </w:t>
      </w:r>
      <w:r w:rsidR="00AD6899" w:rsidRPr="009F337B">
        <w:rPr>
          <w:rFonts w:cs="Tahoma"/>
          <w:bCs/>
          <w:i w:val="0"/>
          <w:szCs w:val="20"/>
          <w:lang w:val="en-US"/>
        </w:rPr>
        <w:lastRenderedPageBreak/>
        <w:t>other diseases,” and “[s]</w:t>
      </w:r>
      <w:proofErr w:type="spellStart"/>
      <w:r w:rsidR="00AD6899" w:rsidRPr="009F337B">
        <w:rPr>
          <w:rFonts w:cs="Tahoma"/>
          <w:bCs/>
          <w:i w:val="0"/>
          <w:szCs w:val="20"/>
          <w:lang w:val="en-US"/>
        </w:rPr>
        <w:t>atisfaction</w:t>
      </w:r>
      <w:proofErr w:type="spellEnd"/>
      <w:r w:rsidR="00AD6899" w:rsidRPr="009F337B">
        <w:rPr>
          <w:rFonts w:cs="Tahoma"/>
          <w:bCs/>
          <w:i w:val="0"/>
          <w:szCs w:val="20"/>
          <w:lang w:val="en-US"/>
        </w:rPr>
        <w:t xml:space="preserve"> of the health needs of the highest risk groups and of those whose poverty makes them the most vulnerable.”</w:t>
      </w:r>
    </w:p>
    <w:p w14:paraId="2E2532AD" w14:textId="77777777" w:rsidR="00E92CA8" w:rsidRPr="009F337B" w:rsidRDefault="00E92CA8" w:rsidP="00E92CA8">
      <w:pPr>
        <w:pStyle w:val="Estilo1"/>
        <w:tabs>
          <w:tab w:val="left" w:pos="709"/>
          <w:tab w:val="left" w:pos="1134"/>
        </w:tabs>
        <w:spacing w:after="0"/>
        <w:ind w:left="0" w:right="-4" w:firstLine="0"/>
        <w:rPr>
          <w:rFonts w:eastAsia="Times" w:cs="Arial"/>
          <w:i w:val="0"/>
          <w:szCs w:val="20"/>
          <w:lang w:val="en-US"/>
        </w:rPr>
      </w:pPr>
    </w:p>
    <w:p w14:paraId="798686F8" w14:textId="47493EA0" w:rsidR="00E42F66" w:rsidRPr="009F337B" w:rsidRDefault="0043256B" w:rsidP="00593E37">
      <w:pPr>
        <w:pStyle w:val="Estilo1"/>
        <w:numPr>
          <w:ilvl w:val="0"/>
          <w:numId w:val="1"/>
        </w:numPr>
        <w:tabs>
          <w:tab w:val="left" w:pos="709"/>
          <w:tab w:val="left" w:pos="1134"/>
        </w:tabs>
        <w:spacing w:after="0"/>
        <w:ind w:left="0" w:right="-4" w:firstLine="0"/>
        <w:rPr>
          <w:rFonts w:eastAsia="Times" w:cs="Arial"/>
          <w:i w:val="0"/>
          <w:szCs w:val="20"/>
          <w:lang w:val="en-US"/>
        </w:rPr>
      </w:pPr>
      <w:r w:rsidRPr="009F337B">
        <w:rPr>
          <w:rFonts w:eastAsia="Calibri"/>
          <w:i w:val="0"/>
          <w:szCs w:val="20"/>
          <w:lang w:val="en-US"/>
        </w:rPr>
        <w:t xml:space="preserve">As in the case of the obligations established by </w:t>
      </w:r>
      <w:r w:rsidR="00664AA6" w:rsidRPr="009F337B">
        <w:rPr>
          <w:rFonts w:eastAsia="Calibri"/>
          <w:i w:val="0"/>
          <w:szCs w:val="20"/>
          <w:lang w:val="en-US"/>
        </w:rPr>
        <w:t>the OAS Charter</w:t>
      </w:r>
      <w:r w:rsidR="00F46845" w:rsidRPr="009F337B">
        <w:rPr>
          <w:rFonts w:eastAsia="Calibri"/>
          <w:i w:val="0"/>
          <w:szCs w:val="20"/>
          <w:lang w:val="en-US"/>
        </w:rPr>
        <w:t xml:space="preserve">, </w:t>
      </w:r>
      <w:r w:rsidRPr="009F337B">
        <w:rPr>
          <w:rFonts w:eastAsia="Calibri"/>
          <w:i w:val="0"/>
          <w:szCs w:val="20"/>
          <w:lang w:val="en-US"/>
        </w:rPr>
        <w:t>the</w:t>
      </w:r>
      <w:r w:rsidR="00F46845" w:rsidRPr="009F337B">
        <w:rPr>
          <w:rFonts w:eastAsia="Calibri"/>
          <w:i w:val="0"/>
          <w:szCs w:val="20"/>
          <w:lang w:val="en-US"/>
        </w:rPr>
        <w:t xml:space="preserve"> </w:t>
      </w:r>
      <w:r w:rsidR="00CE4DB0" w:rsidRPr="009F337B">
        <w:rPr>
          <w:rFonts w:eastAsia="Calibri"/>
          <w:i w:val="0"/>
          <w:szCs w:val="20"/>
          <w:lang w:val="en-US"/>
        </w:rPr>
        <w:t>American Declaration</w:t>
      </w:r>
      <w:r w:rsidR="00C94973" w:rsidRPr="009F337B">
        <w:rPr>
          <w:rFonts w:eastAsia="Calibri"/>
          <w:i w:val="0"/>
          <w:szCs w:val="20"/>
          <w:lang w:val="en-US"/>
        </w:rPr>
        <w:t xml:space="preserve"> and </w:t>
      </w:r>
      <w:r w:rsidRPr="009F337B">
        <w:rPr>
          <w:rFonts w:eastAsia="Calibri"/>
          <w:i w:val="0"/>
          <w:szCs w:val="20"/>
          <w:lang w:val="en-US"/>
        </w:rPr>
        <w:t>the</w:t>
      </w:r>
      <w:r w:rsidR="00F46845" w:rsidRPr="009F337B">
        <w:rPr>
          <w:rFonts w:eastAsia="Calibri"/>
          <w:i w:val="0"/>
          <w:szCs w:val="20"/>
          <w:lang w:val="en-US"/>
        </w:rPr>
        <w:t xml:space="preserve"> </w:t>
      </w:r>
      <w:r w:rsidR="008C399E" w:rsidRPr="009F337B">
        <w:rPr>
          <w:rFonts w:eastAsia="Calibri"/>
          <w:i w:val="0"/>
          <w:szCs w:val="20"/>
          <w:lang w:val="en-US"/>
        </w:rPr>
        <w:t>Protocol of</w:t>
      </w:r>
      <w:r w:rsidR="00F46845" w:rsidRPr="009F337B">
        <w:rPr>
          <w:rFonts w:eastAsia="Calibri"/>
          <w:i w:val="0"/>
          <w:szCs w:val="20"/>
          <w:lang w:val="en-US"/>
        </w:rPr>
        <w:t xml:space="preserve"> San Salvador</w:t>
      </w:r>
      <w:r w:rsidRPr="009F337B">
        <w:rPr>
          <w:rFonts w:eastAsia="Calibri"/>
          <w:i w:val="0"/>
          <w:szCs w:val="20"/>
          <w:lang w:val="en-US"/>
        </w:rPr>
        <w:t xml:space="preserve">, in the universal sphere the </w:t>
      </w:r>
      <w:r w:rsidR="00752F49" w:rsidRPr="009F337B">
        <w:rPr>
          <w:rFonts w:eastAsia="Calibri"/>
          <w:i w:val="0"/>
          <w:szCs w:val="20"/>
          <w:lang w:val="en-US"/>
        </w:rPr>
        <w:t>ICESCR</w:t>
      </w:r>
      <w:r w:rsidR="00F46845" w:rsidRPr="009F337B">
        <w:rPr>
          <w:rFonts w:eastAsia="Calibri"/>
          <w:i w:val="0"/>
          <w:szCs w:val="20"/>
          <w:lang w:val="en-US"/>
        </w:rPr>
        <w:t xml:space="preserve"> </w:t>
      </w:r>
      <w:r w:rsidRPr="009F337B">
        <w:rPr>
          <w:rFonts w:eastAsia="Calibri"/>
          <w:i w:val="0"/>
          <w:szCs w:val="20"/>
          <w:lang w:val="en-US"/>
        </w:rPr>
        <w:t>understand</w:t>
      </w:r>
      <w:r w:rsidR="00C94973" w:rsidRPr="009F337B">
        <w:rPr>
          <w:rFonts w:eastAsia="Calibri"/>
          <w:i w:val="0"/>
          <w:szCs w:val="20"/>
          <w:lang w:val="en-US"/>
        </w:rPr>
        <w:t>s</w:t>
      </w:r>
      <w:r w:rsidRPr="009F337B">
        <w:rPr>
          <w:rFonts w:eastAsia="Calibri"/>
          <w:i w:val="0"/>
          <w:szCs w:val="20"/>
          <w:lang w:val="en-US"/>
        </w:rPr>
        <w:t xml:space="preserve"> the </w:t>
      </w:r>
      <w:r w:rsidR="00A51F3B" w:rsidRPr="009F337B">
        <w:rPr>
          <w:rFonts w:eastAsia="Calibri"/>
          <w:i w:val="0"/>
          <w:szCs w:val="20"/>
          <w:lang w:val="en-US"/>
        </w:rPr>
        <w:t>right to health</w:t>
      </w:r>
      <w:r w:rsidR="00F46845" w:rsidRPr="009F337B">
        <w:rPr>
          <w:rFonts w:eastAsia="Calibri"/>
          <w:i w:val="0"/>
          <w:szCs w:val="20"/>
          <w:lang w:val="en-US"/>
        </w:rPr>
        <w:t xml:space="preserve"> </w:t>
      </w:r>
      <w:r w:rsidRPr="009F337B">
        <w:rPr>
          <w:rFonts w:eastAsia="Calibri"/>
          <w:i w:val="0"/>
          <w:szCs w:val="20"/>
          <w:lang w:val="en-US"/>
        </w:rPr>
        <w:t>as</w:t>
      </w:r>
      <w:r w:rsidR="00F46845" w:rsidRPr="009F337B">
        <w:rPr>
          <w:rFonts w:eastAsia="Calibri"/>
          <w:i w:val="0"/>
          <w:szCs w:val="20"/>
          <w:lang w:val="en-US"/>
        </w:rPr>
        <w:t xml:space="preserve"> “</w:t>
      </w:r>
      <w:r w:rsidRPr="009F337B">
        <w:rPr>
          <w:rFonts w:eastAsia="Calibri"/>
          <w:i w:val="0"/>
          <w:szCs w:val="20"/>
          <w:lang w:val="en-US"/>
        </w:rPr>
        <w:t>the enjoyment of the highest attainable standard of physical and mental health,” and recognize</w:t>
      </w:r>
      <w:r w:rsidR="00C94973" w:rsidRPr="009F337B">
        <w:rPr>
          <w:rFonts w:eastAsia="Calibri"/>
          <w:i w:val="0"/>
          <w:szCs w:val="20"/>
          <w:lang w:val="en-US"/>
        </w:rPr>
        <w:t>s</w:t>
      </w:r>
      <w:r w:rsidRPr="009F337B">
        <w:rPr>
          <w:rFonts w:eastAsia="Calibri"/>
          <w:i w:val="0"/>
          <w:szCs w:val="20"/>
          <w:lang w:val="en-US"/>
        </w:rPr>
        <w:t xml:space="preserve"> the State obligation to adopt measures for </w:t>
      </w:r>
      <w:r w:rsidR="00F46845" w:rsidRPr="009F337B">
        <w:rPr>
          <w:rFonts w:eastAsia="Calibri"/>
          <w:i w:val="0"/>
          <w:szCs w:val="20"/>
          <w:lang w:val="en-US"/>
        </w:rPr>
        <w:t>“[</w:t>
      </w:r>
      <w:r w:rsidRPr="009F337B">
        <w:rPr>
          <w:rFonts w:eastAsia="Calibri"/>
          <w:i w:val="0"/>
          <w:szCs w:val="20"/>
          <w:lang w:val="en-US"/>
        </w:rPr>
        <w:t>t</w:t>
      </w:r>
      <w:r w:rsidR="00F46845" w:rsidRPr="009F337B">
        <w:rPr>
          <w:rFonts w:eastAsia="Calibri"/>
          <w:i w:val="0"/>
          <w:szCs w:val="20"/>
          <w:lang w:val="en-US"/>
        </w:rPr>
        <w:t>]</w:t>
      </w:r>
      <w:r w:rsidRPr="009F337B">
        <w:rPr>
          <w:rFonts w:eastAsia="Calibri"/>
          <w:i w:val="0"/>
          <w:szCs w:val="20"/>
          <w:lang w:val="en-US"/>
        </w:rPr>
        <w:t>he</w:t>
      </w:r>
      <w:r w:rsidR="00F46845" w:rsidRPr="009F337B">
        <w:rPr>
          <w:rFonts w:eastAsia="Calibri"/>
          <w:i w:val="0"/>
          <w:szCs w:val="20"/>
          <w:lang w:val="en-US"/>
        </w:rPr>
        <w:t xml:space="preserve"> </w:t>
      </w:r>
      <w:r w:rsidRPr="009F337B">
        <w:rPr>
          <w:i w:val="0"/>
          <w:szCs w:val="20"/>
          <w:lang w:val="en-US"/>
        </w:rPr>
        <w:t>p</w:t>
      </w:r>
      <w:r w:rsidRPr="009F337B">
        <w:rPr>
          <w:rFonts w:cs="Tahoma"/>
          <w:bCs/>
          <w:i w:val="0"/>
          <w:szCs w:val="20"/>
          <w:lang w:val="en-US"/>
        </w:rPr>
        <w:t>revention, treatment and control of epidemic, endemic, occupational and other diseases</w:t>
      </w:r>
      <w:r w:rsidRPr="009F337B">
        <w:rPr>
          <w:rFonts w:eastAsia="Calibri"/>
          <w:i w:val="0"/>
          <w:szCs w:val="20"/>
          <w:lang w:val="en-US"/>
        </w:rPr>
        <w:t>.</w:t>
      </w:r>
      <w:r w:rsidR="00F46845" w:rsidRPr="009F337B">
        <w:rPr>
          <w:rFonts w:eastAsia="Calibri"/>
          <w:i w:val="0"/>
          <w:szCs w:val="20"/>
          <w:lang w:val="en-US"/>
        </w:rPr>
        <w:t>”</w:t>
      </w:r>
      <w:r w:rsidR="00F46845" w:rsidRPr="009F337B">
        <w:rPr>
          <w:rStyle w:val="Refdenotaalpie"/>
          <w:rFonts w:eastAsia="Calibri"/>
          <w:i w:val="0"/>
          <w:lang w:val="en-US"/>
        </w:rPr>
        <w:footnoteReference w:id="110"/>
      </w:r>
    </w:p>
    <w:p w14:paraId="50C59FAF" w14:textId="77777777" w:rsidR="00E92CA8" w:rsidRPr="009F337B" w:rsidRDefault="00E92CA8" w:rsidP="00E92CA8">
      <w:pPr>
        <w:pStyle w:val="Estilo1"/>
        <w:tabs>
          <w:tab w:val="left" w:pos="709"/>
          <w:tab w:val="left" w:pos="1134"/>
        </w:tabs>
        <w:spacing w:after="0"/>
        <w:ind w:left="0" w:right="-4" w:firstLine="0"/>
        <w:rPr>
          <w:rFonts w:eastAsia="Times" w:cs="Arial"/>
          <w:i w:val="0"/>
          <w:szCs w:val="20"/>
          <w:lang w:val="en-US"/>
        </w:rPr>
      </w:pPr>
    </w:p>
    <w:p w14:paraId="092B8D06" w14:textId="204344B3" w:rsidR="002D60B2" w:rsidRPr="009F337B" w:rsidRDefault="0043256B" w:rsidP="00593E37">
      <w:pPr>
        <w:pStyle w:val="Estilo1"/>
        <w:numPr>
          <w:ilvl w:val="0"/>
          <w:numId w:val="1"/>
        </w:numPr>
        <w:tabs>
          <w:tab w:val="left" w:pos="709"/>
          <w:tab w:val="left" w:pos="1134"/>
        </w:tabs>
        <w:spacing w:after="0"/>
        <w:ind w:left="0" w:right="-4" w:firstLine="0"/>
        <w:rPr>
          <w:rFonts w:eastAsia="Times" w:cs="Arial"/>
          <w:i w:val="0"/>
          <w:szCs w:val="20"/>
          <w:lang w:val="en-US"/>
        </w:rPr>
      </w:pPr>
      <w:r w:rsidRPr="009F337B">
        <w:rPr>
          <w:rFonts w:eastAsia="Calibri"/>
          <w:i w:val="0"/>
          <w:szCs w:val="20"/>
          <w:lang w:val="en-US"/>
        </w:rPr>
        <w:t xml:space="preserve">In this regard, the Court has recognized that health is </w:t>
      </w:r>
      <w:bookmarkStart w:id="77" w:name="_Hlk5973878"/>
      <w:r w:rsidRPr="009F337B">
        <w:rPr>
          <w:rFonts w:eastAsia="Calibri"/>
          <w:i w:val="0"/>
          <w:szCs w:val="20"/>
          <w:lang w:val="en-US"/>
        </w:rPr>
        <w:t>a fundamental human right essential for the adequate exercise of the other human rights, and that every individual has the right to enjoy the highest attainable standard of health that allows him or her to live a full life, understanding health not only as the absence of disease or illness, but also as a state of</w:t>
      </w:r>
      <w:r w:rsidR="00C94973" w:rsidRPr="009F337B">
        <w:rPr>
          <w:rFonts w:eastAsia="Calibri"/>
          <w:i w:val="0"/>
          <w:szCs w:val="20"/>
          <w:lang w:val="en-US"/>
        </w:rPr>
        <w:t xml:space="preserve"> complete</w:t>
      </w:r>
      <w:r w:rsidRPr="009F337B">
        <w:rPr>
          <w:rFonts w:eastAsia="Calibri"/>
          <w:i w:val="0"/>
          <w:szCs w:val="20"/>
          <w:lang w:val="en-US"/>
        </w:rPr>
        <w:t xml:space="preserve"> physical, mental and social well-being, derived from a lifestyle that allows </w:t>
      </w:r>
      <w:r w:rsidR="009868CA" w:rsidRPr="009F337B">
        <w:rPr>
          <w:rFonts w:eastAsia="Calibri"/>
          <w:i w:val="0"/>
          <w:szCs w:val="20"/>
          <w:lang w:val="en-US"/>
        </w:rPr>
        <w:t>the individual to achieve an overall balance</w:t>
      </w:r>
      <w:bookmarkEnd w:id="77"/>
      <w:r w:rsidR="009868CA" w:rsidRPr="009F337B">
        <w:rPr>
          <w:rFonts w:eastAsia="Calibri"/>
          <w:i w:val="0"/>
          <w:szCs w:val="20"/>
          <w:lang w:val="en-US"/>
        </w:rPr>
        <w:t xml:space="preserve">. The Court </w:t>
      </w:r>
      <w:bookmarkStart w:id="78" w:name="_Hlk5973982"/>
      <w:r w:rsidR="009868CA" w:rsidRPr="009F337B">
        <w:rPr>
          <w:rFonts w:eastAsia="Calibri"/>
          <w:i w:val="0"/>
          <w:szCs w:val="20"/>
          <w:lang w:val="en-US"/>
        </w:rPr>
        <w:t xml:space="preserve">has specified that the general obligation to protect health results in </w:t>
      </w:r>
      <w:bookmarkStart w:id="79" w:name="_Hlk6234019"/>
      <w:r w:rsidR="009868CA" w:rsidRPr="009F337B">
        <w:rPr>
          <w:rFonts w:eastAsia="Calibri"/>
          <w:i w:val="0"/>
          <w:szCs w:val="20"/>
          <w:lang w:val="en-US"/>
        </w:rPr>
        <w:t>the State obligation to ensure access to essential health services,</w:t>
      </w:r>
      <w:r w:rsidR="00950BF3" w:rsidRPr="009F337B">
        <w:rPr>
          <w:rFonts w:eastAsia="Calibri"/>
          <w:i w:val="0"/>
          <w:szCs w:val="20"/>
          <w:lang w:val="en-US"/>
        </w:rPr>
        <w:t xml:space="preserve"> </w:t>
      </w:r>
      <w:r w:rsidR="009868CA" w:rsidRPr="009F337B">
        <w:rPr>
          <w:rFonts w:eastAsia="Calibri"/>
          <w:i w:val="0"/>
          <w:szCs w:val="20"/>
          <w:lang w:val="en-US"/>
        </w:rPr>
        <w:t>guaranteeing good quality and eff</w:t>
      </w:r>
      <w:r w:rsidR="00C94973" w:rsidRPr="009F337B">
        <w:rPr>
          <w:rFonts w:eastAsia="Calibri"/>
          <w:i w:val="0"/>
          <w:szCs w:val="20"/>
          <w:lang w:val="en-US"/>
        </w:rPr>
        <w:t>icient</w:t>
      </w:r>
      <w:r w:rsidR="009868CA" w:rsidRPr="009F337B">
        <w:rPr>
          <w:rFonts w:eastAsia="Calibri"/>
          <w:i w:val="0"/>
          <w:szCs w:val="20"/>
          <w:lang w:val="en-US"/>
        </w:rPr>
        <w:t xml:space="preserve"> medi</w:t>
      </w:r>
      <w:r w:rsidR="00950BF3" w:rsidRPr="009F337B">
        <w:rPr>
          <w:rFonts w:eastAsia="Calibri"/>
          <w:i w:val="0"/>
          <w:szCs w:val="20"/>
          <w:lang w:val="en-US"/>
        </w:rPr>
        <w:t>c</w:t>
      </w:r>
      <w:r w:rsidR="009868CA" w:rsidRPr="009F337B">
        <w:rPr>
          <w:rFonts w:eastAsia="Calibri"/>
          <w:i w:val="0"/>
          <w:szCs w:val="20"/>
          <w:lang w:val="en-US"/>
        </w:rPr>
        <w:t>al</w:t>
      </w:r>
      <w:r w:rsidR="00C94973" w:rsidRPr="009F337B">
        <w:rPr>
          <w:rFonts w:eastAsia="Calibri"/>
          <w:i w:val="0"/>
          <w:szCs w:val="20"/>
          <w:lang w:val="en-US"/>
        </w:rPr>
        <w:t xml:space="preserve"> care</w:t>
      </w:r>
      <w:r w:rsidR="009868CA" w:rsidRPr="009F337B">
        <w:rPr>
          <w:rFonts w:eastAsia="Calibri"/>
          <w:i w:val="0"/>
          <w:szCs w:val="20"/>
          <w:lang w:val="en-US"/>
        </w:rPr>
        <w:t xml:space="preserve">, </w:t>
      </w:r>
      <w:r w:rsidR="00C94973" w:rsidRPr="009F337B">
        <w:rPr>
          <w:rFonts w:eastAsia="Calibri"/>
          <w:i w:val="0"/>
          <w:szCs w:val="20"/>
          <w:lang w:val="en-US"/>
        </w:rPr>
        <w:t>and</w:t>
      </w:r>
      <w:r w:rsidR="009868CA" w:rsidRPr="009F337B">
        <w:rPr>
          <w:rFonts w:eastAsia="Calibri"/>
          <w:i w:val="0"/>
          <w:szCs w:val="20"/>
          <w:lang w:val="en-US"/>
        </w:rPr>
        <w:t xml:space="preserve"> to promote </w:t>
      </w:r>
      <w:r w:rsidR="00C94973" w:rsidRPr="009F337B">
        <w:rPr>
          <w:rFonts w:eastAsia="Calibri"/>
          <w:i w:val="0"/>
          <w:szCs w:val="20"/>
          <w:lang w:val="en-US"/>
        </w:rPr>
        <w:t>the</w:t>
      </w:r>
      <w:r w:rsidR="009868CA" w:rsidRPr="009F337B">
        <w:rPr>
          <w:rFonts w:eastAsia="Calibri"/>
          <w:i w:val="0"/>
          <w:szCs w:val="20"/>
          <w:lang w:val="en-US"/>
        </w:rPr>
        <w:t xml:space="preserve"> improvement </w:t>
      </w:r>
      <w:r w:rsidR="00C94973" w:rsidRPr="009F337B">
        <w:rPr>
          <w:rFonts w:eastAsia="Calibri"/>
          <w:i w:val="0"/>
          <w:szCs w:val="20"/>
          <w:lang w:val="en-US"/>
        </w:rPr>
        <w:t>of</w:t>
      </w:r>
      <w:r w:rsidR="009868CA" w:rsidRPr="009F337B">
        <w:rPr>
          <w:rFonts w:eastAsia="Calibri"/>
          <w:i w:val="0"/>
          <w:szCs w:val="20"/>
          <w:lang w:val="en-US"/>
        </w:rPr>
        <w:t xml:space="preserve"> the health of the population as a whole</w:t>
      </w:r>
      <w:bookmarkEnd w:id="78"/>
      <w:bookmarkEnd w:id="79"/>
      <w:r w:rsidR="009868CA" w:rsidRPr="009F337B">
        <w:rPr>
          <w:rFonts w:eastAsia="Calibri"/>
          <w:i w:val="0"/>
          <w:szCs w:val="20"/>
          <w:lang w:val="en-US"/>
        </w:rPr>
        <w:t>.</w:t>
      </w:r>
      <w:r w:rsidR="00E42F66" w:rsidRPr="009F337B">
        <w:rPr>
          <w:rStyle w:val="Refdenotaalpie"/>
          <w:i w:val="0"/>
          <w:lang w:val="en-US"/>
        </w:rPr>
        <w:footnoteReference w:id="111"/>
      </w:r>
    </w:p>
    <w:p w14:paraId="58A25BE7" w14:textId="77777777" w:rsidR="00E92CA8" w:rsidRPr="009F337B" w:rsidRDefault="00E92CA8" w:rsidP="00E92CA8">
      <w:pPr>
        <w:pStyle w:val="Estilo1"/>
        <w:tabs>
          <w:tab w:val="left" w:pos="709"/>
          <w:tab w:val="left" w:pos="1134"/>
        </w:tabs>
        <w:spacing w:after="0"/>
        <w:ind w:left="0" w:right="-4" w:firstLine="0"/>
        <w:rPr>
          <w:rFonts w:eastAsia="Times" w:cs="Arial"/>
          <w:i w:val="0"/>
          <w:szCs w:val="20"/>
          <w:lang w:val="en-US"/>
        </w:rPr>
      </w:pPr>
    </w:p>
    <w:p w14:paraId="762D444B" w14:textId="182C50FB" w:rsidR="00E524F2" w:rsidRPr="009F337B" w:rsidRDefault="009868CA" w:rsidP="00593E37">
      <w:pPr>
        <w:pStyle w:val="Estilo1"/>
        <w:numPr>
          <w:ilvl w:val="0"/>
          <w:numId w:val="1"/>
        </w:numPr>
        <w:tabs>
          <w:tab w:val="left" w:pos="709"/>
          <w:tab w:val="left" w:pos="1134"/>
        </w:tabs>
        <w:spacing w:after="0"/>
        <w:ind w:left="0" w:right="-4" w:firstLine="0"/>
        <w:rPr>
          <w:rFonts w:eastAsia="Times" w:cs="Arial"/>
          <w:i w:val="0"/>
          <w:szCs w:val="20"/>
          <w:lang w:val="en-US"/>
        </w:rPr>
      </w:pPr>
      <w:r w:rsidRPr="009F337B">
        <w:rPr>
          <w:i w:val="0"/>
          <w:lang w:val="en-US"/>
        </w:rPr>
        <w:t>The</w:t>
      </w:r>
      <w:r w:rsidR="008C399E" w:rsidRPr="009F337B">
        <w:rPr>
          <w:i w:val="0"/>
          <w:lang w:val="en-US"/>
        </w:rPr>
        <w:t xml:space="preserve"> Court</w:t>
      </w:r>
      <w:r w:rsidR="00E42F66" w:rsidRPr="009F337B">
        <w:rPr>
          <w:i w:val="0"/>
          <w:lang w:val="en-US"/>
        </w:rPr>
        <w:t xml:space="preserve"> ha</w:t>
      </w:r>
      <w:r w:rsidRPr="009F337B">
        <w:rPr>
          <w:i w:val="0"/>
          <w:lang w:val="en-US"/>
        </w:rPr>
        <w:t xml:space="preserve">s also established that </w:t>
      </w:r>
      <w:r w:rsidR="00C94973" w:rsidRPr="009F337B">
        <w:rPr>
          <w:i w:val="0"/>
          <w:lang w:val="en-US"/>
        </w:rPr>
        <w:t>implementation</w:t>
      </w:r>
      <w:r w:rsidRPr="009F337B">
        <w:rPr>
          <w:i w:val="0"/>
          <w:lang w:val="en-US"/>
        </w:rPr>
        <w:t xml:space="preserve"> of this obligation begins with </w:t>
      </w:r>
      <w:r w:rsidR="003242AA">
        <w:rPr>
          <w:i w:val="0"/>
          <w:lang w:val="en-US"/>
        </w:rPr>
        <w:t>a</w:t>
      </w:r>
      <w:r w:rsidRPr="009F337B">
        <w:rPr>
          <w:i w:val="0"/>
          <w:lang w:val="en-US"/>
        </w:rPr>
        <w:t xml:space="preserve"> </w:t>
      </w:r>
      <w:r w:rsidR="00786015" w:rsidRPr="009F337B">
        <w:rPr>
          <w:i w:val="0"/>
          <w:lang w:val="en-US"/>
        </w:rPr>
        <w:t>duty</w:t>
      </w:r>
      <w:r w:rsidRPr="009F337B">
        <w:rPr>
          <w:i w:val="0"/>
          <w:lang w:val="en-US"/>
        </w:rPr>
        <w:t xml:space="preserve"> of regulation and</w:t>
      </w:r>
      <w:r w:rsidR="00786015" w:rsidRPr="009F337B">
        <w:rPr>
          <w:i w:val="0"/>
          <w:lang w:val="en-US"/>
        </w:rPr>
        <w:t>,</w:t>
      </w:r>
      <w:r w:rsidRPr="009F337B">
        <w:rPr>
          <w:i w:val="0"/>
          <w:lang w:val="en-US"/>
        </w:rPr>
        <w:t xml:space="preserve"> therefore</w:t>
      </w:r>
      <w:r w:rsidR="00786015" w:rsidRPr="009F337B">
        <w:rPr>
          <w:i w:val="0"/>
          <w:lang w:val="en-US"/>
        </w:rPr>
        <w:t>, has</w:t>
      </w:r>
      <w:r w:rsidRPr="009F337B">
        <w:rPr>
          <w:i w:val="0"/>
          <w:lang w:val="en-US"/>
        </w:rPr>
        <w:t xml:space="preserve"> indicated that States are responsible for regulating the provision of services (both public and private) and </w:t>
      </w:r>
      <w:r w:rsidR="00786015" w:rsidRPr="009F337B">
        <w:rPr>
          <w:i w:val="0"/>
          <w:lang w:val="en-US"/>
        </w:rPr>
        <w:t>executing</w:t>
      </w:r>
      <w:r w:rsidRPr="009F337B">
        <w:rPr>
          <w:i w:val="0"/>
          <w:lang w:val="en-US"/>
        </w:rPr>
        <w:t xml:space="preserve"> national programs to achieve good quality services on a permanent basis.</w:t>
      </w:r>
      <w:r w:rsidR="00E42F66" w:rsidRPr="009F337B">
        <w:rPr>
          <w:rStyle w:val="Refdenotaalpie"/>
          <w:i w:val="0"/>
          <w:lang w:val="en-US"/>
        </w:rPr>
        <w:footnoteReference w:id="112"/>
      </w:r>
      <w:r w:rsidR="00E42F66" w:rsidRPr="009F337B">
        <w:rPr>
          <w:i w:val="0"/>
          <w:lang w:val="en-US"/>
        </w:rPr>
        <w:t xml:space="preserve"> </w:t>
      </w:r>
      <w:r w:rsidR="00AE5F9E" w:rsidRPr="009F337B">
        <w:rPr>
          <w:i w:val="0"/>
          <w:lang w:val="en-US"/>
        </w:rPr>
        <w:t>The Court</w:t>
      </w:r>
      <w:r w:rsidR="00E42F66" w:rsidRPr="009F337B">
        <w:rPr>
          <w:i w:val="0"/>
          <w:lang w:val="en-US"/>
        </w:rPr>
        <w:t xml:space="preserve"> ha</w:t>
      </w:r>
      <w:r w:rsidR="007A3F8C" w:rsidRPr="009F337B">
        <w:rPr>
          <w:i w:val="0"/>
          <w:lang w:val="en-US"/>
        </w:rPr>
        <w:t xml:space="preserve">s taken into account General Comment No. 14 of the </w:t>
      </w:r>
      <w:r w:rsidR="00786015" w:rsidRPr="009F337B">
        <w:rPr>
          <w:i w:val="0"/>
          <w:lang w:val="en-US"/>
        </w:rPr>
        <w:t>C</w:t>
      </w:r>
      <w:r w:rsidR="007A3F8C" w:rsidRPr="009F337B">
        <w:rPr>
          <w:i w:val="0"/>
          <w:lang w:val="en-US"/>
        </w:rPr>
        <w:t xml:space="preserve">ESCR on the </w:t>
      </w:r>
      <w:r w:rsidR="007A3F8C" w:rsidRPr="009F337B">
        <w:rPr>
          <w:i w:val="0"/>
          <w:szCs w:val="20"/>
          <w:lang w:val="en-US"/>
        </w:rPr>
        <w:t>right to the highest attainable standard of health.</w:t>
      </w:r>
      <w:r w:rsidR="00F46845" w:rsidRPr="009F337B">
        <w:rPr>
          <w:rFonts w:eastAsia="Calibri"/>
          <w:i w:val="0"/>
          <w:szCs w:val="20"/>
          <w:vertAlign w:val="superscript"/>
          <w:lang w:val="en-US"/>
        </w:rPr>
        <w:footnoteReference w:id="113"/>
      </w:r>
      <w:r w:rsidR="00F46845" w:rsidRPr="009F337B">
        <w:rPr>
          <w:rFonts w:eastAsia="Calibri"/>
          <w:i w:val="0"/>
          <w:szCs w:val="20"/>
          <w:lang w:val="en-US"/>
        </w:rPr>
        <w:t xml:space="preserve"> </w:t>
      </w:r>
      <w:r w:rsidR="00233F74" w:rsidRPr="009F337B">
        <w:rPr>
          <w:rFonts w:eastAsia="Calibri"/>
          <w:i w:val="0"/>
          <w:szCs w:val="20"/>
          <w:lang w:val="en-US"/>
        </w:rPr>
        <w:t>I</w:t>
      </w:r>
      <w:r w:rsidR="00F46845" w:rsidRPr="009F337B">
        <w:rPr>
          <w:rFonts w:eastAsia="Calibri"/>
          <w:i w:val="0"/>
          <w:szCs w:val="20"/>
          <w:lang w:val="en-US"/>
        </w:rPr>
        <w:t xml:space="preserve">n particular, </w:t>
      </w:r>
      <w:r w:rsidR="00233F74" w:rsidRPr="009F337B">
        <w:rPr>
          <w:rFonts w:eastAsia="Calibri"/>
          <w:i w:val="0"/>
          <w:szCs w:val="20"/>
          <w:lang w:val="en-US"/>
        </w:rPr>
        <w:t>in this</w:t>
      </w:r>
      <w:r w:rsidR="007A3F8C" w:rsidRPr="009F337B">
        <w:rPr>
          <w:rFonts w:eastAsia="Calibri"/>
          <w:i w:val="0"/>
          <w:szCs w:val="20"/>
          <w:lang w:val="en-US"/>
        </w:rPr>
        <w:t xml:space="preserve"> document the Committee underlined that the right </w:t>
      </w:r>
      <w:r w:rsidR="00E524F2" w:rsidRPr="009F337B">
        <w:rPr>
          <w:rFonts w:eastAsia="Calibri"/>
          <w:i w:val="0"/>
          <w:szCs w:val="20"/>
          <w:lang w:val="en-US"/>
        </w:rPr>
        <w:t>extended not only to timely and appropriate health care, but also the following interrelated and essential elements of availability, accessibility, acceptability and quality, the precise application of which would depend on the conditions prevailing in each State:</w:t>
      </w:r>
    </w:p>
    <w:p w14:paraId="12247379" w14:textId="77777777" w:rsidR="00E92CA8" w:rsidRPr="009F337B" w:rsidRDefault="00E92CA8" w:rsidP="00E92CA8">
      <w:pPr>
        <w:pStyle w:val="Estilo1"/>
        <w:tabs>
          <w:tab w:val="left" w:pos="709"/>
          <w:tab w:val="left" w:pos="1134"/>
        </w:tabs>
        <w:spacing w:after="0"/>
        <w:ind w:left="0" w:right="-4" w:firstLine="0"/>
        <w:rPr>
          <w:rFonts w:eastAsia="Times" w:cs="Arial"/>
          <w:i w:val="0"/>
          <w:szCs w:val="20"/>
          <w:lang w:val="en-US"/>
        </w:rPr>
      </w:pPr>
    </w:p>
    <w:p w14:paraId="75B1B813" w14:textId="0DE0E98F" w:rsidR="00F46845" w:rsidRPr="009F337B" w:rsidRDefault="00E524F2" w:rsidP="00E92CA8">
      <w:pPr>
        <w:ind w:left="708" w:right="900"/>
        <w:rPr>
          <w:sz w:val="18"/>
          <w:szCs w:val="18"/>
          <w:lang w:val="en-US"/>
        </w:rPr>
      </w:pPr>
      <w:r w:rsidRPr="009F337B">
        <w:rPr>
          <w:sz w:val="18"/>
          <w:szCs w:val="18"/>
          <w:lang w:val="en-US"/>
        </w:rPr>
        <w:t>(</w:t>
      </w:r>
      <w:r w:rsidR="00F46845" w:rsidRPr="009F337B">
        <w:rPr>
          <w:sz w:val="18"/>
          <w:szCs w:val="18"/>
          <w:lang w:val="en-US"/>
        </w:rPr>
        <w:t xml:space="preserve">a) </w:t>
      </w:r>
      <w:r w:rsidRPr="009F337B">
        <w:rPr>
          <w:sz w:val="18"/>
          <w:szCs w:val="18"/>
          <w:lang w:val="en-US"/>
        </w:rPr>
        <w:t>Availability. Functioning public health and health-care facilities, goods and services, as well as programmes, have to be available in sufficient quantity within the State party. The precise nature of the facilities, goods and services will vary depending on numerous factors, including the State party’s developmental level. They will include, however, the underlying determinants of health, such as safe and potable drinking water and adequate sanitation facilities, hospitals, clinics and other health-related buildings, trained medical and professional personnel receiving domestically competitive salaries and essential drugs, as defined by the WHO Action Programme on Essential Drugs.</w:t>
      </w:r>
    </w:p>
    <w:p w14:paraId="436E8812" w14:textId="77777777" w:rsidR="00E92CA8" w:rsidRPr="009F337B" w:rsidRDefault="00E92CA8" w:rsidP="00E92CA8">
      <w:pPr>
        <w:ind w:left="708" w:right="900"/>
        <w:rPr>
          <w:sz w:val="18"/>
          <w:szCs w:val="18"/>
          <w:lang w:val="en-US"/>
        </w:rPr>
      </w:pPr>
    </w:p>
    <w:p w14:paraId="2DE0B0DF" w14:textId="10C1E639" w:rsidR="00E92CA8" w:rsidRPr="009F337B" w:rsidRDefault="00E524F2" w:rsidP="00E92CA8">
      <w:pPr>
        <w:ind w:left="708" w:right="900"/>
        <w:rPr>
          <w:sz w:val="18"/>
          <w:szCs w:val="18"/>
          <w:lang w:val="en-US"/>
        </w:rPr>
      </w:pPr>
      <w:r w:rsidRPr="009F337B">
        <w:rPr>
          <w:sz w:val="18"/>
          <w:szCs w:val="18"/>
          <w:lang w:val="en-US"/>
        </w:rPr>
        <w:t>(b) Accessibility. Health facilities, goods and services have to be accessible to everyone without discrimination, within the jurisdiction of the State party. Accessibility has four overlapping dimensions:</w:t>
      </w:r>
    </w:p>
    <w:p w14:paraId="79A9DB9D" w14:textId="77777777" w:rsidR="00E524F2" w:rsidRPr="009F337B" w:rsidRDefault="00E524F2" w:rsidP="00E92CA8">
      <w:pPr>
        <w:ind w:left="708" w:right="900"/>
        <w:rPr>
          <w:sz w:val="18"/>
          <w:szCs w:val="18"/>
          <w:lang w:val="en-US"/>
        </w:rPr>
      </w:pPr>
    </w:p>
    <w:p w14:paraId="15F9B188" w14:textId="77777777" w:rsidR="00E524F2" w:rsidRPr="009F337B" w:rsidRDefault="00E524F2" w:rsidP="00E524F2">
      <w:pPr>
        <w:tabs>
          <w:tab w:val="center" w:pos="4680"/>
        </w:tabs>
        <w:suppressAutoHyphens/>
        <w:ind w:left="1440" w:right="720"/>
        <w:rPr>
          <w:sz w:val="18"/>
          <w:szCs w:val="18"/>
          <w:lang w:val="en-US"/>
        </w:rPr>
      </w:pPr>
      <w:r w:rsidRPr="009F337B">
        <w:rPr>
          <w:sz w:val="18"/>
          <w:szCs w:val="18"/>
          <w:lang w:val="en-US"/>
        </w:rPr>
        <w:t>(i) Non-discrimination: health facilities, goods and services must be accessible to all, especially the most vulnerable or marginalized sections of the population, in law and in fact, without discrimination on any of the prohibited grounds.</w:t>
      </w:r>
    </w:p>
    <w:p w14:paraId="271C6EEC" w14:textId="77777777" w:rsidR="00E524F2" w:rsidRPr="009F337B" w:rsidRDefault="00E524F2" w:rsidP="00E524F2">
      <w:pPr>
        <w:tabs>
          <w:tab w:val="center" w:pos="4680"/>
        </w:tabs>
        <w:suppressAutoHyphens/>
        <w:ind w:left="1440" w:right="720"/>
        <w:rPr>
          <w:sz w:val="18"/>
          <w:szCs w:val="18"/>
          <w:lang w:val="en-US"/>
        </w:rPr>
      </w:pPr>
    </w:p>
    <w:p w14:paraId="08D81646" w14:textId="77777777" w:rsidR="00E524F2" w:rsidRPr="009F337B" w:rsidRDefault="00E524F2" w:rsidP="00E524F2">
      <w:pPr>
        <w:tabs>
          <w:tab w:val="center" w:pos="4680"/>
        </w:tabs>
        <w:suppressAutoHyphens/>
        <w:ind w:left="1440" w:right="720"/>
        <w:rPr>
          <w:sz w:val="18"/>
          <w:szCs w:val="18"/>
          <w:lang w:val="en-US"/>
        </w:rPr>
      </w:pPr>
      <w:r w:rsidRPr="009F337B">
        <w:rPr>
          <w:sz w:val="18"/>
          <w:szCs w:val="18"/>
          <w:lang w:val="en-US"/>
        </w:rPr>
        <w:t>(ii) Physical accessibility: health facilities, goods and services must be within safe physical reach for all sections of the population, especially vulnerable or marginalized groups, such as ethnic minorities and indigenous populations, women, children, adolescents, older persons, persons with disabilities and persons with HIV/AIDS. Accessibility also implies that medical services and underlying determinants of health, such as safe and potable water and adequate sanitation facilities, are within safe physical reach, including in rural areas. Accessibility further includes adequate access to buildings for persons with disabilities.</w:t>
      </w:r>
    </w:p>
    <w:p w14:paraId="64DB3A4B" w14:textId="77777777" w:rsidR="00E524F2" w:rsidRPr="009F337B" w:rsidRDefault="00E524F2" w:rsidP="00E524F2">
      <w:pPr>
        <w:tabs>
          <w:tab w:val="center" w:pos="4680"/>
        </w:tabs>
        <w:suppressAutoHyphens/>
        <w:ind w:left="1440" w:right="720"/>
        <w:rPr>
          <w:sz w:val="18"/>
          <w:szCs w:val="18"/>
          <w:lang w:val="en-US"/>
        </w:rPr>
      </w:pPr>
    </w:p>
    <w:p w14:paraId="4958384C" w14:textId="43E9A838" w:rsidR="00E524F2" w:rsidRPr="009F337B" w:rsidRDefault="00E524F2" w:rsidP="00E524F2">
      <w:pPr>
        <w:tabs>
          <w:tab w:val="center" w:pos="4680"/>
        </w:tabs>
        <w:suppressAutoHyphens/>
        <w:ind w:left="1440" w:right="720"/>
        <w:rPr>
          <w:sz w:val="18"/>
          <w:szCs w:val="18"/>
          <w:lang w:val="en-US"/>
        </w:rPr>
      </w:pPr>
      <w:r w:rsidRPr="009F337B">
        <w:rPr>
          <w:sz w:val="18"/>
          <w:szCs w:val="18"/>
          <w:lang w:val="en-US"/>
        </w:rPr>
        <w:t xml:space="preserve">(iii) Economic accessibility (affordability): health facilities, goods and services must be affordable for all. Payment for health-care services, as well as services related to the underlying determinants of health, has to be based on the principle of equity, ensuring that these services, whether privately or publicly provided, are affordable for all, including socially disadvantaged groups. Equity demands that poorer </w:t>
      </w:r>
      <w:r w:rsidR="003B5D80" w:rsidRPr="009F337B">
        <w:rPr>
          <w:sz w:val="18"/>
          <w:szCs w:val="18"/>
          <w:lang w:val="en-US"/>
        </w:rPr>
        <w:t>family unit</w:t>
      </w:r>
      <w:r w:rsidRPr="009F337B">
        <w:rPr>
          <w:sz w:val="18"/>
          <w:szCs w:val="18"/>
          <w:lang w:val="en-US"/>
        </w:rPr>
        <w:t xml:space="preserve">s should not be disproportionately burdened with health expenses as compared to richer </w:t>
      </w:r>
      <w:r w:rsidR="003B5D80" w:rsidRPr="009F337B">
        <w:rPr>
          <w:sz w:val="18"/>
          <w:szCs w:val="18"/>
          <w:lang w:val="en-US"/>
        </w:rPr>
        <w:t>family unit</w:t>
      </w:r>
      <w:r w:rsidRPr="009F337B">
        <w:rPr>
          <w:sz w:val="18"/>
          <w:szCs w:val="18"/>
          <w:lang w:val="en-US"/>
        </w:rPr>
        <w:t>s.</w:t>
      </w:r>
    </w:p>
    <w:p w14:paraId="58748869" w14:textId="77777777" w:rsidR="00E524F2" w:rsidRPr="009F337B" w:rsidRDefault="00E524F2" w:rsidP="00E524F2">
      <w:pPr>
        <w:tabs>
          <w:tab w:val="center" w:pos="4680"/>
        </w:tabs>
        <w:suppressAutoHyphens/>
        <w:ind w:left="1440" w:right="720"/>
        <w:rPr>
          <w:sz w:val="18"/>
          <w:szCs w:val="18"/>
          <w:lang w:val="en-US"/>
        </w:rPr>
      </w:pPr>
    </w:p>
    <w:p w14:paraId="0D8DDB33" w14:textId="3C0F4186" w:rsidR="00E524F2" w:rsidRPr="009F337B" w:rsidRDefault="00E524F2" w:rsidP="00B7716B">
      <w:pPr>
        <w:tabs>
          <w:tab w:val="center" w:pos="4680"/>
        </w:tabs>
        <w:suppressAutoHyphens/>
        <w:ind w:left="1440" w:right="720"/>
        <w:rPr>
          <w:sz w:val="18"/>
          <w:szCs w:val="18"/>
          <w:lang w:val="en-US"/>
        </w:rPr>
      </w:pPr>
      <w:r w:rsidRPr="009F337B">
        <w:rPr>
          <w:sz w:val="18"/>
          <w:szCs w:val="18"/>
          <w:lang w:val="en-US"/>
        </w:rPr>
        <w:t>(iv) Information accessibility: accessibility includes the right to seek, receive and impart information and ideas concerning health issues. However, accessibility of information should not impair the right to have personal health data treated with confidentiality.</w:t>
      </w:r>
    </w:p>
    <w:p w14:paraId="3D0386D8" w14:textId="77777777" w:rsidR="00E524F2" w:rsidRPr="009F337B" w:rsidRDefault="00E524F2" w:rsidP="00E92CA8">
      <w:pPr>
        <w:ind w:left="1416" w:right="900"/>
        <w:rPr>
          <w:sz w:val="18"/>
          <w:szCs w:val="18"/>
          <w:lang w:val="en-US"/>
        </w:rPr>
      </w:pPr>
    </w:p>
    <w:p w14:paraId="2BB18CD5" w14:textId="77777777" w:rsidR="00B7716B" w:rsidRPr="009F337B" w:rsidRDefault="00B7716B" w:rsidP="00B7716B">
      <w:pPr>
        <w:tabs>
          <w:tab w:val="center" w:pos="4680"/>
        </w:tabs>
        <w:suppressAutoHyphens/>
        <w:ind w:left="720" w:right="720"/>
        <w:rPr>
          <w:sz w:val="18"/>
          <w:szCs w:val="18"/>
          <w:lang w:val="en-US"/>
        </w:rPr>
      </w:pPr>
      <w:r w:rsidRPr="009F337B">
        <w:rPr>
          <w:sz w:val="18"/>
          <w:szCs w:val="18"/>
          <w:lang w:val="en-US"/>
        </w:rPr>
        <w:t>(c) Acceptability. All health facilities, goods and services must be respectful of medical ethics and culturally appropriate, i.e. respectful of the culture of individuals, minorities, peoples and communities, sensitive to gender and life-cycle requirements, as well as being designed to respect confidentiality and improve the health status of those concerned.</w:t>
      </w:r>
    </w:p>
    <w:p w14:paraId="557482F2" w14:textId="77777777" w:rsidR="00B7716B" w:rsidRPr="009F337B" w:rsidRDefault="00B7716B" w:rsidP="00B7716B">
      <w:pPr>
        <w:tabs>
          <w:tab w:val="center" w:pos="4680"/>
        </w:tabs>
        <w:suppressAutoHyphens/>
        <w:ind w:left="720" w:right="720"/>
        <w:rPr>
          <w:sz w:val="18"/>
          <w:szCs w:val="18"/>
          <w:lang w:val="en-US"/>
        </w:rPr>
      </w:pPr>
    </w:p>
    <w:p w14:paraId="3C030046" w14:textId="5B6B3CFB" w:rsidR="00F46845" w:rsidRPr="009F337B" w:rsidRDefault="00B7716B" w:rsidP="00B7716B">
      <w:pPr>
        <w:tabs>
          <w:tab w:val="center" w:pos="4680"/>
        </w:tabs>
        <w:suppressAutoHyphens/>
        <w:ind w:left="720" w:right="720"/>
        <w:rPr>
          <w:sz w:val="18"/>
          <w:szCs w:val="18"/>
          <w:lang w:val="en-US"/>
        </w:rPr>
      </w:pPr>
      <w:r w:rsidRPr="009F337B">
        <w:rPr>
          <w:sz w:val="18"/>
          <w:szCs w:val="18"/>
          <w:lang w:val="en-US"/>
        </w:rPr>
        <w:t>(d) Quality. As well as being culturally acceptable, health facilities, goods and services must also be scientifically and medically appropriate and of good quality. This requires, inter alia, skilled medical personnel, scientifically approved and unexpired drugs and hospital equipment, safe and potable water, and adequate sanitation.</w:t>
      </w:r>
      <w:r w:rsidR="007533AF" w:rsidRPr="009F337B">
        <w:rPr>
          <w:rStyle w:val="Refdenotaalpie"/>
          <w:sz w:val="18"/>
          <w:szCs w:val="18"/>
          <w:lang w:val="en-US"/>
        </w:rPr>
        <w:footnoteReference w:id="114"/>
      </w:r>
    </w:p>
    <w:p w14:paraId="12AA15E7" w14:textId="77777777" w:rsidR="00EE1E0E" w:rsidRPr="009F337B" w:rsidRDefault="00EE1E0E" w:rsidP="00E92CA8">
      <w:pPr>
        <w:rPr>
          <w:rFonts w:eastAsia="Verdana"/>
          <w:b/>
          <w:bCs/>
          <w:lang w:val="en-US" w:eastAsia="x-none"/>
        </w:rPr>
      </w:pPr>
    </w:p>
    <w:p w14:paraId="3F1BFE94" w14:textId="194558B1" w:rsidR="0064019F" w:rsidRPr="009F337B" w:rsidRDefault="009868CA" w:rsidP="00593E37">
      <w:pPr>
        <w:pStyle w:val="Prrafodelista"/>
        <w:numPr>
          <w:ilvl w:val="0"/>
          <w:numId w:val="1"/>
        </w:numPr>
        <w:ind w:left="0" w:firstLine="0"/>
        <w:rPr>
          <w:rFonts w:eastAsia="Verdana"/>
          <w:b/>
          <w:bCs/>
          <w:lang w:val="en-US" w:eastAsia="x-none"/>
        </w:rPr>
      </w:pPr>
      <w:r w:rsidRPr="009F337B">
        <w:rPr>
          <w:rFonts w:eastAsia="Times" w:cs="Arial"/>
          <w:szCs w:val="20"/>
          <w:lang w:val="en-US"/>
        </w:rPr>
        <w:t xml:space="preserve">Based on the foregoing, the Court concludes that </w:t>
      </w:r>
      <w:r w:rsidR="00A51F3B" w:rsidRPr="009F337B">
        <w:rPr>
          <w:rFonts w:eastAsia="Times" w:cs="Arial"/>
          <w:szCs w:val="20"/>
          <w:lang w:val="en-US"/>
        </w:rPr>
        <w:t>the right to health</w:t>
      </w:r>
      <w:r w:rsidR="0064019F" w:rsidRPr="009F337B">
        <w:rPr>
          <w:rFonts w:eastAsia="Times" w:cs="Arial"/>
          <w:szCs w:val="20"/>
          <w:lang w:val="en-US"/>
        </w:rPr>
        <w:t xml:space="preserve"> </w:t>
      </w:r>
      <w:r w:rsidRPr="009F337B">
        <w:rPr>
          <w:lang w:val="en-US" w:eastAsia="es-ES_tradnl"/>
        </w:rPr>
        <w:t xml:space="preserve">refers to the right of every human being to </w:t>
      </w:r>
      <w:r w:rsidRPr="009F337B">
        <w:rPr>
          <w:lang w:val="en-US"/>
        </w:rPr>
        <w:t xml:space="preserve">enjoy the highest attainable standard of physical, mental and social well-being. This right encompasses prompt and appropriate health care provided in keeping with the principles of availability, accessibility, acceptability and quality. The State’s </w:t>
      </w:r>
      <w:bookmarkStart w:id="80" w:name="_Hlk6039652"/>
      <w:r w:rsidRPr="009F337B">
        <w:rPr>
          <w:lang w:val="en-US"/>
        </w:rPr>
        <w:t xml:space="preserve">compliance </w:t>
      </w:r>
      <w:r w:rsidRPr="009F337B">
        <w:rPr>
          <w:bCs/>
          <w:lang w:val="en-US"/>
        </w:rPr>
        <w:t>with its obligation to respect and ensure this right should include special care for vulnerable and marginalized groups, and should be provided progressively in accordance with available resources and applicable domestic law</w:t>
      </w:r>
      <w:bookmarkEnd w:id="80"/>
      <w:r w:rsidRPr="009F337B">
        <w:rPr>
          <w:bCs/>
          <w:lang w:val="en-US"/>
        </w:rPr>
        <w:t>. The Court will now refer to the specific obligations that arise in the case of health care for</w:t>
      </w:r>
      <w:r w:rsidRPr="009F337B">
        <w:rPr>
          <w:rFonts w:eastAsia="Verdana"/>
          <w:b/>
          <w:bCs/>
          <w:lang w:val="en-US" w:eastAsia="x-none"/>
        </w:rPr>
        <w:t xml:space="preserve"> </w:t>
      </w:r>
      <w:r w:rsidR="00080A1E" w:rsidRPr="009F337B">
        <w:rPr>
          <w:rFonts w:eastAsia="Times" w:cs="Arial"/>
          <w:szCs w:val="20"/>
          <w:lang w:val="en-US"/>
        </w:rPr>
        <w:t>people living with HIV</w:t>
      </w:r>
      <w:r w:rsidR="0064019F" w:rsidRPr="009F337B">
        <w:rPr>
          <w:rFonts w:eastAsia="Times" w:cs="Arial"/>
          <w:szCs w:val="20"/>
          <w:lang w:val="en-US"/>
        </w:rPr>
        <w:t>.</w:t>
      </w:r>
    </w:p>
    <w:p w14:paraId="763D78D5" w14:textId="77777777" w:rsidR="0064019F" w:rsidRPr="009F337B" w:rsidRDefault="0064019F" w:rsidP="00E92CA8">
      <w:pPr>
        <w:rPr>
          <w:rFonts w:eastAsia="Verdana"/>
          <w:b/>
          <w:bCs/>
          <w:i/>
          <w:lang w:val="en-US" w:eastAsia="x-none"/>
        </w:rPr>
      </w:pPr>
    </w:p>
    <w:p w14:paraId="1DCAC80F" w14:textId="62508275" w:rsidR="00FB0EA3" w:rsidRPr="009F337B" w:rsidRDefault="00AC0BEF" w:rsidP="00E92CA8">
      <w:pPr>
        <w:rPr>
          <w:rFonts w:eastAsia="Verdana"/>
          <w:b/>
          <w:bCs/>
          <w:i/>
          <w:lang w:val="en-US" w:eastAsia="x-none"/>
        </w:rPr>
      </w:pPr>
      <w:r w:rsidRPr="009F337B">
        <w:rPr>
          <w:rFonts w:eastAsia="Verdana"/>
          <w:b/>
          <w:bCs/>
          <w:i/>
          <w:lang w:val="en-US" w:eastAsia="x-none"/>
        </w:rPr>
        <w:lastRenderedPageBreak/>
        <w:tab/>
      </w:r>
      <w:r w:rsidRPr="009F337B">
        <w:rPr>
          <w:rFonts w:eastAsia="Verdana"/>
          <w:b/>
          <w:bCs/>
          <w:i/>
          <w:lang w:val="en-US" w:eastAsia="x-none"/>
        </w:rPr>
        <w:tab/>
      </w:r>
      <w:r w:rsidRPr="009F337B">
        <w:rPr>
          <w:rFonts w:eastAsia="Verdana"/>
          <w:b/>
          <w:bCs/>
          <w:i/>
          <w:lang w:val="en-US" w:eastAsia="x-none"/>
        </w:rPr>
        <w:tab/>
      </w:r>
      <w:r w:rsidR="00BC75D4" w:rsidRPr="009F337B">
        <w:rPr>
          <w:rFonts w:eastAsia="Verdana"/>
          <w:b/>
          <w:bCs/>
          <w:i/>
          <w:lang w:val="en-US" w:eastAsia="x-none"/>
        </w:rPr>
        <w:t xml:space="preserve">B.3.1. </w:t>
      </w:r>
      <w:r w:rsidR="009868CA" w:rsidRPr="009F337B">
        <w:rPr>
          <w:rFonts w:eastAsia="Verdana"/>
          <w:b/>
          <w:bCs/>
          <w:i/>
          <w:lang w:val="en-US" w:eastAsia="x-none"/>
        </w:rPr>
        <w:t>Standards relating to the right to health applicable to</w:t>
      </w:r>
      <w:r w:rsidR="00BC75D4" w:rsidRPr="009F337B">
        <w:rPr>
          <w:rFonts w:eastAsia="Verdana"/>
          <w:b/>
          <w:bCs/>
          <w:i/>
          <w:lang w:val="en-US" w:eastAsia="x-none"/>
        </w:rPr>
        <w:t xml:space="preserve"> </w:t>
      </w:r>
      <w:r w:rsidR="00080A1E" w:rsidRPr="009F337B">
        <w:rPr>
          <w:rFonts w:eastAsia="Verdana"/>
          <w:b/>
          <w:bCs/>
          <w:i/>
          <w:lang w:val="en-US" w:eastAsia="x-none"/>
        </w:rPr>
        <w:t>people living with HIV</w:t>
      </w:r>
    </w:p>
    <w:p w14:paraId="37975A7E" w14:textId="77777777" w:rsidR="00FB0EA3" w:rsidRPr="009F337B" w:rsidRDefault="00FB0EA3" w:rsidP="00E92CA8">
      <w:pPr>
        <w:rPr>
          <w:rFonts w:eastAsia="Verdana"/>
          <w:bCs/>
          <w:lang w:val="en-US" w:eastAsia="x-none"/>
        </w:rPr>
      </w:pPr>
    </w:p>
    <w:p w14:paraId="3EE90258" w14:textId="71E158EF" w:rsidR="00FB0EA3" w:rsidRPr="009F337B" w:rsidRDefault="00E50C73" w:rsidP="00593E37">
      <w:pPr>
        <w:pStyle w:val="Prrafodelista"/>
        <w:numPr>
          <w:ilvl w:val="0"/>
          <w:numId w:val="1"/>
        </w:numPr>
        <w:ind w:left="0" w:firstLine="0"/>
        <w:rPr>
          <w:rFonts w:eastAsia="Times New Roman" w:cs="Tahoma"/>
          <w:i/>
          <w:color w:val="000000"/>
          <w:szCs w:val="20"/>
          <w:lang w:val="en-US"/>
        </w:rPr>
      </w:pPr>
      <w:r w:rsidRPr="009F337B">
        <w:rPr>
          <w:szCs w:val="20"/>
          <w:lang w:val="en-US"/>
        </w:rPr>
        <w:t>Access to</w:t>
      </w:r>
      <w:r w:rsidR="00F46845" w:rsidRPr="009F337B">
        <w:rPr>
          <w:szCs w:val="20"/>
          <w:lang w:val="en-US"/>
        </w:rPr>
        <w:t xml:space="preserve"> </w:t>
      </w:r>
      <w:r w:rsidRPr="009F337B">
        <w:rPr>
          <w:szCs w:val="20"/>
          <w:lang w:val="en-US"/>
        </w:rPr>
        <w:t>drugs is an essential part of the right to enjoy the highest attainable standard of health.</w:t>
      </w:r>
      <w:r w:rsidRPr="009F337B">
        <w:rPr>
          <w:rStyle w:val="Refdenotaalpie"/>
          <w:lang w:val="en-US"/>
        </w:rPr>
        <w:footnoteReference w:id="115"/>
      </w:r>
      <w:r w:rsidRPr="009F337B">
        <w:rPr>
          <w:szCs w:val="20"/>
          <w:lang w:val="en-US"/>
        </w:rPr>
        <w:t xml:space="preserve"> In this regard, the Court </w:t>
      </w:r>
      <w:r w:rsidR="00786015" w:rsidRPr="009F337B">
        <w:rPr>
          <w:szCs w:val="20"/>
          <w:lang w:val="en-US"/>
        </w:rPr>
        <w:t>reiterates</w:t>
      </w:r>
      <w:r w:rsidRPr="009F337B">
        <w:rPr>
          <w:szCs w:val="20"/>
          <w:lang w:val="en-US"/>
        </w:rPr>
        <w:t xml:space="preserve"> the criteri</w:t>
      </w:r>
      <w:r w:rsidR="00786015" w:rsidRPr="009F337B">
        <w:rPr>
          <w:szCs w:val="20"/>
          <w:lang w:val="en-US"/>
        </w:rPr>
        <w:t>a</w:t>
      </w:r>
      <w:r w:rsidRPr="009F337B">
        <w:rPr>
          <w:szCs w:val="20"/>
          <w:lang w:val="en-US"/>
        </w:rPr>
        <w:t xml:space="preserve"> that access to </w:t>
      </w:r>
      <w:r w:rsidR="003F2923" w:rsidRPr="009F337B">
        <w:rPr>
          <w:szCs w:val="20"/>
          <w:lang w:val="en-US"/>
        </w:rPr>
        <w:t>dr</w:t>
      </w:r>
      <w:r w:rsidRPr="009F337B">
        <w:rPr>
          <w:szCs w:val="20"/>
          <w:lang w:val="en-US"/>
        </w:rPr>
        <w:t>ugs in the context of pandemics</w:t>
      </w:r>
      <w:r w:rsidR="003242AA">
        <w:rPr>
          <w:szCs w:val="20"/>
          <w:lang w:val="en-US"/>
        </w:rPr>
        <w:t>,</w:t>
      </w:r>
      <w:r w:rsidRPr="009F337B">
        <w:rPr>
          <w:szCs w:val="20"/>
          <w:lang w:val="en-US"/>
        </w:rPr>
        <w:t xml:space="preserve"> such as HIV, tuberculosis and malaria, </w:t>
      </w:r>
      <w:r w:rsidR="00972989" w:rsidRPr="009F337B">
        <w:rPr>
          <w:szCs w:val="20"/>
          <w:lang w:val="en-US"/>
        </w:rPr>
        <w:t>i</w:t>
      </w:r>
      <w:r w:rsidRPr="009F337B">
        <w:rPr>
          <w:szCs w:val="20"/>
          <w:lang w:val="en-US"/>
        </w:rPr>
        <w:t xml:space="preserve">s one of the essential elements </w:t>
      </w:r>
      <w:r w:rsidR="00786015" w:rsidRPr="009F337B">
        <w:rPr>
          <w:szCs w:val="20"/>
          <w:lang w:val="en-US"/>
        </w:rPr>
        <w:t>for</w:t>
      </w:r>
      <w:r w:rsidRPr="009F337B">
        <w:rPr>
          <w:szCs w:val="20"/>
          <w:lang w:val="en-US"/>
        </w:rPr>
        <w:t xml:space="preserve"> the progressive achievement of the full exercise of the right of every person to </w:t>
      </w:r>
      <w:r w:rsidRPr="009F337B">
        <w:rPr>
          <w:lang w:val="en-US"/>
        </w:rPr>
        <w:t>enjoy the highest attainable standard of physical and mental health.</w:t>
      </w:r>
      <w:r w:rsidR="00F46845" w:rsidRPr="009F337B">
        <w:rPr>
          <w:rStyle w:val="Refdenotaalpie"/>
          <w:lang w:val="en-US"/>
        </w:rPr>
        <w:footnoteReference w:id="116"/>
      </w:r>
      <w:r w:rsidR="00F46845" w:rsidRPr="009F337B">
        <w:rPr>
          <w:szCs w:val="20"/>
          <w:lang w:val="en-US"/>
        </w:rPr>
        <w:t xml:space="preserve"> </w:t>
      </w:r>
      <w:r w:rsidRPr="009F337B">
        <w:rPr>
          <w:szCs w:val="20"/>
          <w:lang w:val="en-US"/>
        </w:rPr>
        <w:t>In this regard, the Court has considered that States must take steps to</w:t>
      </w:r>
      <w:r w:rsidR="00972989" w:rsidRPr="009F337B">
        <w:rPr>
          <w:szCs w:val="20"/>
          <w:lang w:val="en-US"/>
        </w:rPr>
        <w:t xml:space="preserve"> provide for the</w:t>
      </w:r>
      <w:r w:rsidRPr="009F337B">
        <w:rPr>
          <w:szCs w:val="20"/>
          <w:lang w:val="en-US"/>
        </w:rPr>
        <w:t xml:space="preserve"> regulat</w:t>
      </w:r>
      <w:r w:rsidR="00972989" w:rsidRPr="009F337B">
        <w:rPr>
          <w:szCs w:val="20"/>
          <w:lang w:val="en-US"/>
        </w:rPr>
        <w:t>ion</w:t>
      </w:r>
      <w:r w:rsidRPr="009F337B">
        <w:rPr>
          <w:szCs w:val="20"/>
          <w:lang w:val="en-US"/>
        </w:rPr>
        <w:t xml:space="preserve"> </w:t>
      </w:r>
      <w:r w:rsidR="00972989" w:rsidRPr="009F337B">
        <w:rPr>
          <w:szCs w:val="20"/>
          <w:lang w:val="en-US"/>
        </w:rPr>
        <w:t>of</w:t>
      </w:r>
      <w:r w:rsidRPr="009F337B">
        <w:rPr>
          <w:szCs w:val="20"/>
          <w:lang w:val="en-US"/>
        </w:rPr>
        <w:t xml:space="preserve"> HIV-related goods, services and information</w:t>
      </w:r>
      <w:r w:rsidR="00972989" w:rsidRPr="009F337B">
        <w:rPr>
          <w:szCs w:val="20"/>
          <w:lang w:val="en-US"/>
        </w:rPr>
        <w:t>,</w:t>
      </w:r>
      <w:r w:rsidRPr="009F337B">
        <w:rPr>
          <w:szCs w:val="20"/>
          <w:lang w:val="en-US"/>
        </w:rPr>
        <w:t xml:space="preserve"> so </w:t>
      </w:r>
      <w:r w:rsidR="00972989" w:rsidRPr="009F337B">
        <w:rPr>
          <w:szCs w:val="20"/>
          <w:lang w:val="en-US"/>
        </w:rPr>
        <w:t>as to ensure that there</w:t>
      </w:r>
      <w:r w:rsidRPr="009F337B">
        <w:rPr>
          <w:szCs w:val="20"/>
          <w:lang w:val="en-US"/>
        </w:rPr>
        <w:t xml:space="preserve"> are sufficient services for </w:t>
      </w:r>
      <w:r w:rsidR="00972989" w:rsidRPr="009F337B">
        <w:rPr>
          <w:szCs w:val="20"/>
          <w:lang w:val="en-US"/>
        </w:rPr>
        <w:t xml:space="preserve">HIV </w:t>
      </w:r>
      <w:r w:rsidRPr="009F337B">
        <w:rPr>
          <w:szCs w:val="20"/>
          <w:lang w:val="en-US"/>
        </w:rPr>
        <w:t>prevention and care. It has also indicated that State</w:t>
      </w:r>
      <w:r w:rsidR="003242AA">
        <w:rPr>
          <w:szCs w:val="20"/>
          <w:lang w:val="en-US"/>
        </w:rPr>
        <w:t>s</w:t>
      </w:r>
      <w:r w:rsidRPr="009F337B">
        <w:rPr>
          <w:szCs w:val="20"/>
          <w:lang w:val="en-US"/>
        </w:rPr>
        <w:t xml:space="preserve"> </w:t>
      </w:r>
      <w:r w:rsidR="003242AA">
        <w:rPr>
          <w:szCs w:val="20"/>
          <w:lang w:val="en-US"/>
        </w:rPr>
        <w:t>must</w:t>
      </w:r>
      <w:r w:rsidRPr="009F337B">
        <w:rPr>
          <w:szCs w:val="20"/>
          <w:lang w:val="en-US"/>
        </w:rPr>
        <w:t xml:space="preserve"> take the </w:t>
      </w:r>
      <w:r w:rsidR="003242AA">
        <w:rPr>
          <w:szCs w:val="20"/>
          <w:lang w:val="en-US"/>
        </w:rPr>
        <w:t xml:space="preserve">necessary </w:t>
      </w:r>
      <w:r w:rsidRPr="009F337B">
        <w:rPr>
          <w:szCs w:val="20"/>
          <w:lang w:val="en-US"/>
        </w:rPr>
        <w:t xml:space="preserve">measures to ensure </w:t>
      </w:r>
      <w:r w:rsidR="00972989" w:rsidRPr="009F337B">
        <w:rPr>
          <w:szCs w:val="20"/>
          <w:lang w:val="en-US"/>
        </w:rPr>
        <w:t xml:space="preserve">for all persons </w:t>
      </w:r>
      <w:r w:rsidR="00972989" w:rsidRPr="009F337B">
        <w:rPr>
          <w:rFonts w:eastAsia="Times New Roman"/>
          <w:szCs w:val="20"/>
          <w:lang w:val="en-US"/>
        </w:rPr>
        <w:t>the availability and accessibility</w:t>
      </w:r>
      <w:r w:rsidRPr="009F337B">
        <w:rPr>
          <w:szCs w:val="20"/>
          <w:lang w:val="en-US"/>
        </w:rPr>
        <w:t xml:space="preserve"> of quality goods, services and information for </w:t>
      </w:r>
      <w:r w:rsidR="00972989" w:rsidRPr="009F337B">
        <w:rPr>
          <w:szCs w:val="20"/>
          <w:lang w:val="en-US"/>
        </w:rPr>
        <w:t>HIV</w:t>
      </w:r>
      <w:r w:rsidRPr="009F337B">
        <w:rPr>
          <w:szCs w:val="20"/>
          <w:lang w:val="en-US"/>
        </w:rPr>
        <w:t xml:space="preserve"> prevention, treatment, care and support, including antiretroviral therapy and other </w:t>
      </w:r>
      <w:r w:rsidR="00972989" w:rsidRPr="009F337B">
        <w:rPr>
          <w:rFonts w:eastAsia="Times New Roman"/>
          <w:szCs w:val="20"/>
          <w:lang w:val="en-US"/>
        </w:rPr>
        <w:t xml:space="preserve">safe and effective medicines, diagnostics and related technologies </w:t>
      </w:r>
      <w:r w:rsidRPr="009F337B">
        <w:rPr>
          <w:szCs w:val="20"/>
          <w:lang w:val="en-US"/>
        </w:rPr>
        <w:t xml:space="preserve">for preventive, curative and palliative care of HIV, </w:t>
      </w:r>
      <w:r w:rsidR="00972989" w:rsidRPr="009F337B">
        <w:rPr>
          <w:szCs w:val="20"/>
          <w:lang w:val="en-US"/>
        </w:rPr>
        <w:t xml:space="preserve">and related </w:t>
      </w:r>
      <w:r w:rsidRPr="009F337B">
        <w:rPr>
          <w:szCs w:val="20"/>
          <w:lang w:val="en-US"/>
        </w:rPr>
        <w:t xml:space="preserve">opportunistic infections, and </w:t>
      </w:r>
      <w:r w:rsidR="00972989" w:rsidRPr="009F337B">
        <w:rPr>
          <w:szCs w:val="20"/>
          <w:lang w:val="en-US"/>
        </w:rPr>
        <w:t>conditions</w:t>
      </w:r>
      <w:r w:rsidRPr="009F337B">
        <w:rPr>
          <w:szCs w:val="20"/>
          <w:lang w:val="en-US"/>
        </w:rPr>
        <w:t>.</w:t>
      </w:r>
      <w:r w:rsidR="00F46845" w:rsidRPr="009F337B">
        <w:rPr>
          <w:rStyle w:val="Refdenotaalpie"/>
          <w:lang w:val="en-US"/>
        </w:rPr>
        <w:footnoteReference w:id="117"/>
      </w:r>
    </w:p>
    <w:p w14:paraId="70B83213" w14:textId="77777777" w:rsidR="00FB0EA3" w:rsidRPr="009F337B" w:rsidRDefault="00FB0EA3" w:rsidP="00E92CA8">
      <w:pPr>
        <w:pStyle w:val="Prrafodelista"/>
        <w:ind w:left="0"/>
        <w:rPr>
          <w:rFonts w:eastAsia="Times New Roman" w:cs="Tahoma"/>
          <w:color w:val="000000"/>
          <w:szCs w:val="20"/>
          <w:lang w:val="en-US"/>
        </w:rPr>
      </w:pPr>
    </w:p>
    <w:p w14:paraId="2E92F37D" w14:textId="1FA32145" w:rsidR="00F46845" w:rsidRPr="009F337B" w:rsidRDefault="00972989" w:rsidP="00593E37">
      <w:pPr>
        <w:pStyle w:val="Prrafodelista"/>
        <w:numPr>
          <w:ilvl w:val="0"/>
          <w:numId w:val="1"/>
        </w:numPr>
        <w:ind w:left="0" w:firstLine="0"/>
        <w:rPr>
          <w:rFonts w:cs="Vrinda"/>
          <w:lang w:val="en-US"/>
        </w:rPr>
      </w:pPr>
      <w:r w:rsidRPr="009F337B">
        <w:rPr>
          <w:lang w:val="en-US"/>
        </w:rPr>
        <w:t>In this regard, the Court notes that, in the 2030 Agenda for Sustainable Development (hereinafter “</w:t>
      </w:r>
      <w:r w:rsidR="00821EC1" w:rsidRPr="009F337B">
        <w:rPr>
          <w:lang w:val="en-US"/>
        </w:rPr>
        <w:t xml:space="preserve">the 2030 </w:t>
      </w:r>
      <w:r w:rsidRPr="009F337B">
        <w:rPr>
          <w:lang w:val="en-US"/>
        </w:rPr>
        <w:t>Agenda”)</w:t>
      </w:r>
      <w:r w:rsidRPr="009F337B">
        <w:rPr>
          <w:rFonts w:cs="Vrinda"/>
          <w:lang w:val="en-US"/>
        </w:rPr>
        <w:t xml:space="preserve">, </w:t>
      </w:r>
      <w:r w:rsidRPr="009F337B">
        <w:rPr>
          <w:lang w:val="en-US"/>
        </w:rPr>
        <w:t xml:space="preserve">the United Nations General Assembly established the goal </w:t>
      </w:r>
      <w:r w:rsidR="00A675D0" w:rsidRPr="009F337B">
        <w:rPr>
          <w:lang w:val="en-US"/>
        </w:rPr>
        <w:t>of ensuring health</w:t>
      </w:r>
      <w:r w:rsidR="00821EC1" w:rsidRPr="009F337B">
        <w:rPr>
          <w:lang w:val="en-US"/>
        </w:rPr>
        <w:t>y</w:t>
      </w:r>
      <w:r w:rsidR="00A675D0" w:rsidRPr="009F337B">
        <w:rPr>
          <w:lang w:val="en-US"/>
        </w:rPr>
        <w:t xml:space="preserve"> lives and promoting well-being for all at all ages, taking into account the vulnerability of </w:t>
      </w:r>
      <w:r w:rsidR="00A675D0" w:rsidRPr="009F337B">
        <w:rPr>
          <w:rFonts w:cs="Vrinda"/>
          <w:lang w:val="en-US"/>
        </w:rPr>
        <w:t>different persons, such as those living with HIV</w:t>
      </w:r>
      <w:r w:rsidR="00CA11F6" w:rsidRPr="009F337B">
        <w:rPr>
          <w:rFonts w:cs="Vrinda"/>
          <w:lang w:val="en-US"/>
        </w:rPr>
        <w:t>/AIDS</w:t>
      </w:r>
      <w:r w:rsidR="00762D6A" w:rsidRPr="009F337B">
        <w:rPr>
          <w:rFonts w:cs="Vrinda"/>
          <w:lang w:val="en-US"/>
        </w:rPr>
        <w:t xml:space="preserve">. </w:t>
      </w:r>
      <w:r w:rsidR="00A675D0" w:rsidRPr="009F337B">
        <w:rPr>
          <w:rFonts w:cs="Vrinda"/>
          <w:lang w:val="en-US"/>
        </w:rPr>
        <w:t xml:space="preserve">Accordingly, the States, including </w:t>
      </w:r>
      <w:r w:rsidR="00762D6A" w:rsidRPr="009F337B">
        <w:rPr>
          <w:rFonts w:cs="Vrinda"/>
          <w:lang w:val="en-US"/>
        </w:rPr>
        <w:t>Guatemala, a</w:t>
      </w:r>
      <w:r w:rsidR="00A675D0" w:rsidRPr="009F337B">
        <w:rPr>
          <w:rFonts w:cs="Vrinda"/>
          <w:lang w:val="en-US"/>
        </w:rPr>
        <w:t>greed to take the necessary steps in order, by 2030, to end the epidemics of</w:t>
      </w:r>
      <w:r w:rsidR="00762D6A" w:rsidRPr="009F337B">
        <w:rPr>
          <w:rFonts w:cs="Vrinda"/>
          <w:lang w:val="en-US"/>
        </w:rPr>
        <w:t xml:space="preserve"> </w:t>
      </w:r>
      <w:r w:rsidR="00CA11F6" w:rsidRPr="009F337B">
        <w:rPr>
          <w:rFonts w:cs="Vrinda"/>
          <w:lang w:val="en-US"/>
        </w:rPr>
        <w:t>AIDS</w:t>
      </w:r>
      <w:r w:rsidR="003C46A3" w:rsidRPr="009F337B">
        <w:rPr>
          <w:rFonts w:cs="Vrinda"/>
          <w:lang w:val="en-US"/>
        </w:rPr>
        <w:t xml:space="preserve"> and </w:t>
      </w:r>
      <w:r w:rsidR="00A675D0" w:rsidRPr="009F337B">
        <w:rPr>
          <w:rFonts w:cs="Vrinda"/>
          <w:lang w:val="en-US"/>
        </w:rPr>
        <w:t xml:space="preserve">other communicable diseases such as HIV. In addition, the States undertook to achieve universal health coverage, including access to </w:t>
      </w:r>
      <w:r w:rsidR="001E7107" w:rsidRPr="009F337B">
        <w:rPr>
          <w:rFonts w:cs="Vrinda"/>
          <w:lang w:val="en-US"/>
        </w:rPr>
        <w:t xml:space="preserve">essential </w:t>
      </w:r>
      <w:r w:rsidR="00A675D0" w:rsidRPr="009F337B">
        <w:rPr>
          <w:rFonts w:cs="Vrinda"/>
          <w:lang w:val="en-US"/>
        </w:rPr>
        <w:t>medicines and vaccines for all.</w:t>
      </w:r>
      <w:r w:rsidR="00762D6A" w:rsidRPr="009F337B">
        <w:rPr>
          <w:rStyle w:val="Refdenotaalpie"/>
          <w:lang w:val="en-US"/>
        </w:rPr>
        <w:footnoteReference w:id="118"/>
      </w:r>
    </w:p>
    <w:p w14:paraId="704D0508" w14:textId="77777777" w:rsidR="00E92CA8" w:rsidRPr="009F337B" w:rsidRDefault="00E92CA8" w:rsidP="00E92CA8">
      <w:pPr>
        <w:pStyle w:val="Prrafodelista"/>
        <w:ind w:left="0"/>
        <w:rPr>
          <w:rFonts w:eastAsia="Times New Roman" w:cs="Tahoma"/>
          <w:i/>
          <w:color w:val="000000"/>
          <w:szCs w:val="20"/>
          <w:lang w:val="en-US"/>
        </w:rPr>
      </w:pPr>
    </w:p>
    <w:p w14:paraId="577A2790" w14:textId="4C112DC3" w:rsidR="00E65EE1" w:rsidRPr="009F337B" w:rsidRDefault="00AE5F9E" w:rsidP="00593E37">
      <w:pPr>
        <w:pStyle w:val="Estilo1"/>
        <w:numPr>
          <w:ilvl w:val="0"/>
          <w:numId w:val="1"/>
        </w:numPr>
        <w:tabs>
          <w:tab w:val="left" w:pos="709"/>
          <w:tab w:val="left" w:pos="1134"/>
        </w:tabs>
        <w:spacing w:after="0"/>
        <w:ind w:left="0" w:right="-4" w:firstLine="0"/>
        <w:rPr>
          <w:rFonts w:cs="Times New Roman"/>
          <w:i w:val="0"/>
          <w:szCs w:val="20"/>
          <w:lang w:val="en-US"/>
        </w:rPr>
      </w:pPr>
      <w:r w:rsidRPr="009F337B">
        <w:rPr>
          <w:i w:val="0"/>
          <w:szCs w:val="20"/>
          <w:lang w:val="en-US"/>
        </w:rPr>
        <w:t>The Court</w:t>
      </w:r>
      <w:r w:rsidR="007D19A0" w:rsidRPr="009F337B">
        <w:rPr>
          <w:i w:val="0"/>
          <w:szCs w:val="20"/>
          <w:lang w:val="en-US"/>
        </w:rPr>
        <w:t xml:space="preserve"> ha</w:t>
      </w:r>
      <w:r w:rsidR="00A675D0" w:rsidRPr="009F337B">
        <w:rPr>
          <w:i w:val="0"/>
          <w:szCs w:val="20"/>
          <w:lang w:val="en-US"/>
        </w:rPr>
        <w:t>s</w:t>
      </w:r>
      <w:r w:rsidR="003115C3" w:rsidRPr="009F337B">
        <w:rPr>
          <w:i w:val="0"/>
          <w:szCs w:val="20"/>
          <w:lang w:val="en-US"/>
        </w:rPr>
        <w:t xml:space="preserve"> also</w:t>
      </w:r>
      <w:r w:rsidR="00A675D0" w:rsidRPr="009F337B">
        <w:rPr>
          <w:i w:val="0"/>
          <w:szCs w:val="20"/>
          <w:lang w:val="en-US"/>
        </w:rPr>
        <w:t xml:space="preserve"> indicated that </w:t>
      </w:r>
      <w:r w:rsidR="00E65EE1" w:rsidRPr="009F337B">
        <w:rPr>
          <w:i w:val="0"/>
          <w:szCs w:val="20"/>
          <w:lang w:val="en-US" w:eastAsia="es-ES_tradnl"/>
        </w:rPr>
        <w:t>an effective response to HIV require</w:t>
      </w:r>
      <w:r w:rsidR="001E7107" w:rsidRPr="009F337B">
        <w:rPr>
          <w:i w:val="0"/>
          <w:szCs w:val="20"/>
          <w:lang w:val="en-US" w:eastAsia="es-ES_tradnl"/>
        </w:rPr>
        <w:t>s</w:t>
      </w:r>
      <w:r w:rsidR="00E65EE1" w:rsidRPr="009F337B">
        <w:rPr>
          <w:i w:val="0"/>
          <w:szCs w:val="20"/>
          <w:lang w:val="en-US" w:eastAsia="es-ES_tradnl"/>
        </w:rPr>
        <w:t xml:space="preserve"> a comprehensive approach that include</w:t>
      </w:r>
      <w:r w:rsidR="001E7107" w:rsidRPr="009F337B">
        <w:rPr>
          <w:i w:val="0"/>
          <w:szCs w:val="20"/>
          <w:lang w:val="en-US" w:eastAsia="es-ES_tradnl"/>
        </w:rPr>
        <w:t>s</w:t>
      </w:r>
      <w:r w:rsidR="00E65EE1" w:rsidRPr="009F337B">
        <w:rPr>
          <w:i w:val="0"/>
          <w:szCs w:val="20"/>
          <w:lang w:val="en-US" w:eastAsia="es-ES_tradnl"/>
        </w:rPr>
        <w:t xml:space="preserve"> a sustained sequence of prevention, treatment, care and support</w:t>
      </w:r>
      <w:r w:rsidR="003115C3" w:rsidRPr="009F337B">
        <w:rPr>
          <w:i w:val="0"/>
          <w:szCs w:val="20"/>
          <w:lang w:val="en-US"/>
        </w:rPr>
        <w:t>.</w:t>
      </w:r>
      <w:r w:rsidR="003115C3" w:rsidRPr="009F337B">
        <w:rPr>
          <w:rStyle w:val="Refdenotaalpie"/>
          <w:i w:val="0"/>
          <w:lang w:val="en-US"/>
        </w:rPr>
        <w:footnoteReference w:id="119"/>
      </w:r>
      <w:r w:rsidR="003115C3" w:rsidRPr="009F337B">
        <w:rPr>
          <w:i w:val="0"/>
          <w:szCs w:val="20"/>
          <w:lang w:val="en-US"/>
        </w:rPr>
        <w:t xml:space="preserve"> First, this obligation requires the availability </w:t>
      </w:r>
      <w:r w:rsidR="00E65EE1" w:rsidRPr="009F337B">
        <w:rPr>
          <w:i w:val="0"/>
          <w:szCs w:val="20"/>
          <w:lang w:val="en-US"/>
        </w:rPr>
        <w:t>of</w:t>
      </w:r>
      <w:r w:rsidR="003115C3" w:rsidRPr="009F337B">
        <w:rPr>
          <w:i w:val="0"/>
          <w:szCs w:val="20"/>
          <w:lang w:val="en-US"/>
        </w:rPr>
        <w:t xml:space="preserve"> sufficient quantities of antiretroviral drugs and other pharmaceutical products to treat HIV and opportunistic infections. On this point, expert witness </w:t>
      </w:r>
      <w:r w:rsidR="003115C3" w:rsidRPr="009F337B">
        <w:rPr>
          <w:rFonts w:eastAsia="Times" w:cs="Arial"/>
          <w:i w:val="0"/>
          <w:szCs w:val="20"/>
          <w:lang w:val="en-US"/>
        </w:rPr>
        <w:t xml:space="preserve">Ricardo Boza Cordero explained that antiretroviral treatment controls the virus in the different bodily fluids, but does not eliminate it. </w:t>
      </w:r>
      <w:r w:rsidR="00B36A89" w:rsidRPr="009F337B">
        <w:rPr>
          <w:rFonts w:eastAsia="Times" w:cs="Arial"/>
          <w:i w:val="0"/>
          <w:szCs w:val="20"/>
          <w:lang w:val="en-US"/>
        </w:rPr>
        <w:t>Accordingly</w:t>
      </w:r>
      <w:r w:rsidR="003115C3" w:rsidRPr="009F337B">
        <w:rPr>
          <w:rFonts w:eastAsia="Times" w:cs="Arial"/>
          <w:i w:val="0"/>
          <w:szCs w:val="20"/>
          <w:lang w:val="en-US"/>
        </w:rPr>
        <w:t xml:space="preserve">, </w:t>
      </w:r>
      <w:r w:rsidR="00E65EE1" w:rsidRPr="009F337B">
        <w:rPr>
          <w:rStyle w:val="tagtrans"/>
          <w:i w:val="0"/>
          <w:szCs w:val="20"/>
          <w:lang w:val="en-US"/>
        </w:rPr>
        <w:t xml:space="preserve">antiretroviral treatment </w:t>
      </w:r>
      <w:r w:rsidR="00B36A89" w:rsidRPr="009F337B">
        <w:rPr>
          <w:rStyle w:val="tagtrans"/>
          <w:i w:val="0"/>
          <w:szCs w:val="20"/>
          <w:lang w:val="en-US"/>
        </w:rPr>
        <w:t>must</w:t>
      </w:r>
      <w:r w:rsidR="00E65EE1" w:rsidRPr="009F337B">
        <w:rPr>
          <w:rStyle w:val="tagtrans"/>
          <w:i w:val="0"/>
          <w:szCs w:val="20"/>
          <w:lang w:val="en-US"/>
        </w:rPr>
        <w:t xml:space="preserve"> be strictly monitored and provided </w:t>
      </w:r>
      <w:r w:rsidR="00B36A89" w:rsidRPr="009F337B">
        <w:rPr>
          <w:rStyle w:val="tagtrans"/>
          <w:i w:val="0"/>
          <w:szCs w:val="20"/>
          <w:lang w:val="en-US"/>
        </w:rPr>
        <w:t>for</w:t>
      </w:r>
      <w:r w:rsidR="00E65EE1" w:rsidRPr="009F337B">
        <w:rPr>
          <w:rStyle w:val="tagtrans"/>
          <w:i w:val="0"/>
          <w:szCs w:val="20"/>
          <w:lang w:val="en-US"/>
        </w:rPr>
        <w:t xml:space="preserve"> life once </w:t>
      </w:r>
      <w:r w:rsidR="00E65EE1" w:rsidRPr="009F337B">
        <w:rPr>
          <w:rStyle w:val="tagtrans"/>
          <w:i w:val="0"/>
          <w:szCs w:val="20"/>
          <w:lang w:val="en-US"/>
        </w:rPr>
        <w:lastRenderedPageBreak/>
        <w:t>the infection has been diagnosed, because discontinuance of treatment could cause viral rebound with the aggravating factor that the new viral strains would be resistant to the drugs a patient was taking</w:t>
      </w:r>
      <w:r w:rsidR="003115C3" w:rsidRPr="009F337B">
        <w:rPr>
          <w:rFonts w:eastAsia="Times" w:cs="Arial"/>
          <w:i w:val="0"/>
          <w:szCs w:val="20"/>
          <w:lang w:val="en-US"/>
        </w:rPr>
        <w:t>.</w:t>
      </w:r>
      <w:r w:rsidR="00545246" w:rsidRPr="009F337B">
        <w:rPr>
          <w:rStyle w:val="Refdenotaalpie"/>
          <w:rFonts w:eastAsia="Times"/>
          <w:i w:val="0"/>
          <w:lang w:val="en-US"/>
        </w:rPr>
        <w:footnoteReference w:id="120"/>
      </w:r>
      <w:r w:rsidR="003115C3" w:rsidRPr="009F337B">
        <w:rPr>
          <w:rFonts w:eastAsia="Times" w:cs="Arial"/>
          <w:i w:val="0"/>
          <w:szCs w:val="20"/>
          <w:lang w:val="en-US"/>
        </w:rPr>
        <w:t xml:space="preserve"> Consequently, </w:t>
      </w:r>
      <w:r w:rsidR="00FE1EFF" w:rsidRPr="009F337B">
        <w:rPr>
          <w:rFonts w:eastAsia="Times" w:cs="Arial"/>
          <w:i w:val="0"/>
          <w:szCs w:val="20"/>
          <w:lang w:val="en-US"/>
        </w:rPr>
        <w:t>antiretroviral treatment</w:t>
      </w:r>
      <w:r w:rsidR="00545246" w:rsidRPr="009F337B">
        <w:rPr>
          <w:rFonts w:eastAsia="Times" w:cs="Arial"/>
          <w:i w:val="0"/>
          <w:szCs w:val="20"/>
          <w:lang w:val="en-US"/>
        </w:rPr>
        <w:t xml:space="preserve"> </w:t>
      </w:r>
      <w:r w:rsidR="00E65EE1" w:rsidRPr="009F337B">
        <w:rPr>
          <w:rFonts w:eastAsia="Times" w:cs="Arial"/>
          <w:i w:val="0"/>
          <w:szCs w:val="20"/>
          <w:lang w:val="en-US"/>
        </w:rPr>
        <w:t>must</w:t>
      </w:r>
      <w:r w:rsidR="003115C3" w:rsidRPr="009F337B">
        <w:rPr>
          <w:rFonts w:eastAsia="Times" w:cs="Arial"/>
          <w:i w:val="0"/>
          <w:szCs w:val="20"/>
          <w:lang w:val="en-US"/>
        </w:rPr>
        <w:t xml:space="preserve"> be permanent and constant </w:t>
      </w:r>
      <w:r w:rsidR="00E65EE1" w:rsidRPr="009F337B">
        <w:rPr>
          <w:rFonts w:eastAsia="Times" w:cs="Arial"/>
          <w:i w:val="0"/>
          <w:szCs w:val="20"/>
          <w:lang w:val="en-US"/>
        </w:rPr>
        <w:t>based on</w:t>
      </w:r>
      <w:r w:rsidR="003115C3" w:rsidRPr="009F337B">
        <w:rPr>
          <w:rFonts w:eastAsia="Times" w:cs="Arial"/>
          <w:i w:val="0"/>
          <w:szCs w:val="20"/>
          <w:lang w:val="en-US"/>
        </w:rPr>
        <w:t xml:space="preserve"> the </w:t>
      </w:r>
      <w:r w:rsidR="00B36A89" w:rsidRPr="009F337B">
        <w:rPr>
          <w:rFonts w:eastAsia="Times" w:cs="Arial"/>
          <w:i w:val="0"/>
          <w:szCs w:val="20"/>
          <w:lang w:val="en-US"/>
        </w:rPr>
        <w:t>situation</w:t>
      </w:r>
      <w:r w:rsidR="003115C3" w:rsidRPr="009F337B">
        <w:rPr>
          <w:rFonts w:eastAsia="Times" w:cs="Arial"/>
          <w:i w:val="0"/>
          <w:szCs w:val="20"/>
          <w:lang w:val="en-US"/>
        </w:rPr>
        <w:t xml:space="preserve"> of the patient</w:t>
      </w:r>
      <w:r w:rsidR="00E65EE1" w:rsidRPr="009F337B">
        <w:rPr>
          <w:rFonts w:eastAsia="Times" w:cs="Arial"/>
          <w:i w:val="0"/>
          <w:szCs w:val="20"/>
          <w:lang w:val="en-US"/>
        </w:rPr>
        <w:t>s</w:t>
      </w:r>
      <w:r w:rsidR="00B36A89" w:rsidRPr="009F337B">
        <w:rPr>
          <w:rFonts w:eastAsia="Times" w:cs="Arial"/>
          <w:i w:val="0"/>
          <w:szCs w:val="20"/>
          <w:lang w:val="en-US"/>
        </w:rPr>
        <w:t>’ health</w:t>
      </w:r>
      <w:r w:rsidR="003115C3" w:rsidRPr="009F337B">
        <w:rPr>
          <w:rFonts w:eastAsia="Times" w:cs="Arial"/>
          <w:i w:val="0"/>
          <w:szCs w:val="20"/>
          <w:lang w:val="en-US"/>
        </w:rPr>
        <w:t xml:space="preserve"> and the</w:t>
      </w:r>
      <w:r w:rsidR="00E65EE1" w:rsidRPr="009F337B">
        <w:rPr>
          <w:rFonts w:eastAsia="Times" w:cs="Arial"/>
          <w:i w:val="0"/>
          <w:szCs w:val="20"/>
          <w:lang w:val="en-US"/>
        </w:rPr>
        <w:t>ir</w:t>
      </w:r>
      <w:r w:rsidR="003115C3" w:rsidRPr="009F337B">
        <w:rPr>
          <w:rFonts w:eastAsia="Times" w:cs="Arial"/>
          <w:i w:val="0"/>
          <w:szCs w:val="20"/>
          <w:lang w:val="en-US"/>
        </w:rPr>
        <w:t xml:space="preserve"> medical and clinical requirements. </w:t>
      </w:r>
    </w:p>
    <w:p w14:paraId="1055199E" w14:textId="77777777" w:rsidR="00E92CA8" w:rsidRPr="009F337B" w:rsidRDefault="00E92CA8" w:rsidP="00E92CA8">
      <w:pPr>
        <w:pStyle w:val="Estilo1"/>
        <w:tabs>
          <w:tab w:val="left" w:pos="709"/>
          <w:tab w:val="left" w:pos="1134"/>
        </w:tabs>
        <w:spacing w:after="0"/>
        <w:ind w:left="0" w:right="-4" w:firstLine="0"/>
        <w:rPr>
          <w:rFonts w:cs="Times New Roman"/>
          <w:i w:val="0"/>
          <w:szCs w:val="20"/>
          <w:lang w:val="en-US"/>
        </w:rPr>
      </w:pPr>
    </w:p>
    <w:p w14:paraId="64781C64" w14:textId="5B35189B" w:rsidR="00545246" w:rsidRPr="009F337B" w:rsidRDefault="003115C3" w:rsidP="00593E37">
      <w:pPr>
        <w:pStyle w:val="Estilo1"/>
        <w:numPr>
          <w:ilvl w:val="0"/>
          <w:numId w:val="1"/>
        </w:numPr>
        <w:tabs>
          <w:tab w:val="left" w:pos="709"/>
          <w:tab w:val="left" w:pos="1134"/>
        </w:tabs>
        <w:spacing w:after="0"/>
        <w:ind w:left="0" w:right="-4" w:firstLine="0"/>
        <w:rPr>
          <w:rFonts w:cs="Times New Roman"/>
          <w:i w:val="0"/>
          <w:szCs w:val="20"/>
          <w:lang w:val="en-US"/>
        </w:rPr>
      </w:pPr>
      <w:r w:rsidRPr="009F337B">
        <w:rPr>
          <w:rFonts w:eastAsia="Times" w:cs="Arial"/>
          <w:i w:val="0"/>
          <w:szCs w:val="20"/>
          <w:lang w:val="en-US"/>
        </w:rPr>
        <w:t xml:space="preserve">Second, </w:t>
      </w:r>
      <w:r w:rsidR="00AE5F9E" w:rsidRPr="009F337B">
        <w:rPr>
          <w:rFonts w:eastAsia="Times" w:cs="Arial"/>
          <w:i w:val="0"/>
          <w:szCs w:val="20"/>
          <w:lang w:val="en-US"/>
        </w:rPr>
        <w:t>the Court</w:t>
      </w:r>
      <w:r w:rsidR="00545246" w:rsidRPr="009F337B">
        <w:rPr>
          <w:rFonts w:eastAsia="Times" w:cs="Arial"/>
          <w:i w:val="0"/>
          <w:szCs w:val="20"/>
          <w:lang w:val="en-US"/>
        </w:rPr>
        <w:t xml:space="preserve"> rec</w:t>
      </w:r>
      <w:r w:rsidRPr="009F337B">
        <w:rPr>
          <w:rFonts w:eastAsia="Times" w:cs="Arial"/>
          <w:i w:val="0"/>
          <w:szCs w:val="20"/>
          <w:lang w:val="en-US"/>
        </w:rPr>
        <w:t>alls that the State obligation to ensure</w:t>
      </w:r>
      <w:r w:rsidR="00545246" w:rsidRPr="009F337B">
        <w:rPr>
          <w:rFonts w:eastAsia="Times" w:cs="Arial"/>
          <w:i w:val="0"/>
          <w:szCs w:val="20"/>
          <w:lang w:val="en-US"/>
        </w:rPr>
        <w:t xml:space="preserve"> </w:t>
      </w:r>
      <w:r w:rsidR="00A51F3B" w:rsidRPr="009F337B">
        <w:rPr>
          <w:rFonts w:eastAsia="Times" w:cs="Arial"/>
          <w:i w:val="0"/>
          <w:szCs w:val="20"/>
          <w:lang w:val="en-US"/>
        </w:rPr>
        <w:t>the right to health</w:t>
      </w:r>
      <w:r w:rsidR="00545246" w:rsidRPr="009F337B">
        <w:rPr>
          <w:rFonts w:eastAsia="Times" w:cs="Arial"/>
          <w:i w:val="0"/>
          <w:szCs w:val="20"/>
          <w:lang w:val="en-US"/>
        </w:rPr>
        <w:t xml:space="preserve"> </w:t>
      </w:r>
      <w:r w:rsidRPr="009F337B">
        <w:rPr>
          <w:rFonts w:eastAsia="Times" w:cs="Arial"/>
          <w:i w:val="0"/>
          <w:szCs w:val="20"/>
          <w:lang w:val="en-US"/>
        </w:rPr>
        <w:t>of</w:t>
      </w:r>
      <w:r w:rsidR="00545246" w:rsidRPr="009F337B">
        <w:rPr>
          <w:rFonts w:eastAsia="Times" w:cs="Arial"/>
          <w:i w:val="0"/>
          <w:szCs w:val="20"/>
          <w:lang w:val="en-US"/>
        </w:rPr>
        <w:t xml:space="preserve"> </w:t>
      </w:r>
      <w:r w:rsidR="00080A1E" w:rsidRPr="009F337B">
        <w:rPr>
          <w:rFonts w:eastAsia="Times" w:cs="Arial"/>
          <w:i w:val="0"/>
          <w:szCs w:val="20"/>
          <w:lang w:val="en-US"/>
        </w:rPr>
        <w:t>people living with HIV</w:t>
      </w:r>
      <w:r w:rsidR="00545246" w:rsidRPr="009F337B">
        <w:rPr>
          <w:rFonts w:eastAsia="Times" w:cs="Arial"/>
          <w:i w:val="0"/>
          <w:szCs w:val="20"/>
          <w:lang w:val="en-US"/>
        </w:rPr>
        <w:t xml:space="preserve"> requi</w:t>
      </w:r>
      <w:r w:rsidRPr="009F337B">
        <w:rPr>
          <w:rFonts w:eastAsia="Times" w:cs="Arial"/>
          <w:i w:val="0"/>
          <w:szCs w:val="20"/>
          <w:lang w:val="en-US"/>
        </w:rPr>
        <w:t xml:space="preserve">res diagnostic tests to treat the infection, and also </w:t>
      </w:r>
      <w:r w:rsidR="00097AB9" w:rsidRPr="009F337B">
        <w:rPr>
          <w:rFonts w:eastAsia="Times" w:cs="Arial"/>
          <w:i w:val="0"/>
          <w:szCs w:val="20"/>
          <w:lang w:val="en-US"/>
        </w:rPr>
        <w:t xml:space="preserve">the </w:t>
      </w:r>
      <w:r w:rsidRPr="009F337B">
        <w:rPr>
          <w:rFonts w:eastAsia="Times" w:cs="Arial"/>
          <w:i w:val="0"/>
          <w:szCs w:val="20"/>
          <w:lang w:val="en-US"/>
        </w:rPr>
        <w:t xml:space="preserve">diagnosis and treatment of </w:t>
      </w:r>
      <w:r w:rsidR="00B36A89" w:rsidRPr="009F337B">
        <w:rPr>
          <w:rFonts w:eastAsia="Times" w:cs="Arial"/>
          <w:i w:val="0"/>
          <w:szCs w:val="20"/>
          <w:lang w:val="en-US"/>
        </w:rPr>
        <w:t>any</w:t>
      </w:r>
      <w:r w:rsidRPr="009F337B">
        <w:rPr>
          <w:rFonts w:eastAsia="Times" w:cs="Arial"/>
          <w:i w:val="0"/>
          <w:szCs w:val="20"/>
          <w:lang w:val="en-US"/>
        </w:rPr>
        <w:t xml:space="preserve"> </w:t>
      </w:r>
      <w:r w:rsidR="00097AB9" w:rsidRPr="009F337B">
        <w:rPr>
          <w:rFonts w:eastAsia="Times" w:cs="Arial"/>
          <w:i w:val="0"/>
          <w:szCs w:val="20"/>
          <w:lang w:val="en-US"/>
        </w:rPr>
        <w:t xml:space="preserve">related </w:t>
      </w:r>
      <w:r w:rsidRPr="009F337B">
        <w:rPr>
          <w:rFonts w:eastAsia="Times" w:cs="Arial"/>
          <w:i w:val="0"/>
          <w:szCs w:val="20"/>
          <w:lang w:val="en-US"/>
        </w:rPr>
        <w:t xml:space="preserve">opportunistic </w:t>
      </w:r>
      <w:r w:rsidR="00097AB9" w:rsidRPr="009F337B">
        <w:rPr>
          <w:rFonts w:eastAsia="Times" w:cs="Arial"/>
          <w:i w:val="0"/>
          <w:szCs w:val="20"/>
          <w:lang w:val="en-US"/>
        </w:rPr>
        <w:t xml:space="preserve">infections </w:t>
      </w:r>
      <w:r w:rsidRPr="009F337B">
        <w:rPr>
          <w:rFonts w:eastAsia="Times" w:cs="Arial"/>
          <w:i w:val="0"/>
          <w:szCs w:val="20"/>
          <w:lang w:val="en-US"/>
        </w:rPr>
        <w:t xml:space="preserve">and </w:t>
      </w:r>
      <w:r w:rsidR="00097AB9" w:rsidRPr="009F337B">
        <w:rPr>
          <w:rFonts w:eastAsia="Times" w:cs="Arial"/>
          <w:i w:val="0"/>
          <w:szCs w:val="20"/>
          <w:lang w:val="en-US"/>
        </w:rPr>
        <w:t>conditions</w:t>
      </w:r>
      <w:r w:rsidRPr="009F337B">
        <w:rPr>
          <w:rFonts w:eastAsia="Times" w:cs="Arial"/>
          <w:i w:val="0"/>
          <w:szCs w:val="20"/>
          <w:lang w:val="en-US"/>
        </w:rPr>
        <w:t xml:space="preserve"> that may </w:t>
      </w:r>
      <w:r w:rsidR="00B36A89" w:rsidRPr="009F337B">
        <w:rPr>
          <w:rFonts w:eastAsia="Times" w:cs="Arial"/>
          <w:i w:val="0"/>
          <w:szCs w:val="20"/>
          <w:lang w:val="en-US"/>
        </w:rPr>
        <w:t>occur</w:t>
      </w:r>
      <w:r w:rsidRPr="009F337B">
        <w:rPr>
          <w:rFonts w:eastAsia="Times" w:cs="Arial"/>
          <w:i w:val="0"/>
          <w:szCs w:val="20"/>
          <w:lang w:val="en-US"/>
        </w:rPr>
        <w:t>.</w:t>
      </w:r>
      <w:r w:rsidR="00545246" w:rsidRPr="009F337B">
        <w:rPr>
          <w:rStyle w:val="Refdenotaalpie"/>
          <w:rFonts w:eastAsia="Times"/>
          <w:i w:val="0"/>
          <w:lang w:val="en-US"/>
        </w:rPr>
        <w:footnoteReference w:id="121"/>
      </w:r>
      <w:r w:rsidRPr="009F337B">
        <w:rPr>
          <w:rFonts w:eastAsia="Times" w:cs="Arial"/>
          <w:i w:val="0"/>
          <w:szCs w:val="20"/>
          <w:lang w:val="en-US"/>
        </w:rPr>
        <w:t xml:space="preserve"> Performing laboratory tests that quant</w:t>
      </w:r>
      <w:r w:rsidR="00B36A89" w:rsidRPr="009F337B">
        <w:rPr>
          <w:rFonts w:eastAsia="Times" w:cs="Arial"/>
          <w:i w:val="0"/>
          <w:szCs w:val="20"/>
          <w:lang w:val="en-US"/>
        </w:rPr>
        <w:t>if</w:t>
      </w:r>
      <w:r w:rsidRPr="009F337B">
        <w:rPr>
          <w:rFonts w:eastAsia="Times" w:cs="Arial"/>
          <w:i w:val="0"/>
          <w:szCs w:val="20"/>
          <w:lang w:val="en-US"/>
        </w:rPr>
        <w:t xml:space="preserve">y the </w:t>
      </w:r>
      <w:r w:rsidR="00545246" w:rsidRPr="009F337B">
        <w:rPr>
          <w:rFonts w:eastAsia="Times" w:cs="Arial"/>
          <w:i w:val="0"/>
          <w:szCs w:val="20"/>
          <w:lang w:val="en-US"/>
        </w:rPr>
        <w:t>TCD4+</w:t>
      </w:r>
      <w:r w:rsidR="003C46A3" w:rsidRPr="009F337B">
        <w:rPr>
          <w:rFonts w:eastAsia="Times" w:cs="Arial"/>
          <w:i w:val="0"/>
          <w:szCs w:val="20"/>
          <w:lang w:val="en-US"/>
        </w:rPr>
        <w:t xml:space="preserve"> and </w:t>
      </w:r>
      <w:r w:rsidR="00545246" w:rsidRPr="009F337B">
        <w:rPr>
          <w:rFonts w:eastAsia="Times" w:cs="Arial"/>
          <w:i w:val="0"/>
          <w:szCs w:val="20"/>
          <w:lang w:val="en-US"/>
        </w:rPr>
        <w:t xml:space="preserve">TCD8+ </w:t>
      </w:r>
      <w:r w:rsidRPr="009F337B">
        <w:rPr>
          <w:bCs/>
          <w:i w:val="0"/>
          <w:lang w:val="en-US"/>
        </w:rPr>
        <w:t>lymphocytes</w:t>
      </w:r>
      <w:r w:rsidRPr="009F337B">
        <w:rPr>
          <w:rFonts w:eastAsia="Times" w:cs="Arial"/>
          <w:i w:val="0"/>
          <w:szCs w:val="20"/>
          <w:lang w:val="en-US"/>
        </w:rPr>
        <w:t xml:space="preserve"> in </w:t>
      </w:r>
      <w:r w:rsidRPr="009F337B">
        <w:rPr>
          <w:i w:val="0"/>
          <w:lang w:val="en-US"/>
        </w:rPr>
        <w:t>p</w:t>
      </w:r>
      <w:r w:rsidRPr="009F337B">
        <w:rPr>
          <w:bCs/>
          <w:i w:val="0"/>
          <w:lang w:val="en-US"/>
        </w:rPr>
        <w:t>eripheral blood, and also</w:t>
      </w:r>
      <w:r w:rsidR="00B11BCF" w:rsidRPr="009F337B">
        <w:rPr>
          <w:bCs/>
          <w:i w:val="0"/>
          <w:lang w:val="en-US"/>
        </w:rPr>
        <w:t xml:space="preserve"> the amount of HIV in plasma is essential for appropriate</w:t>
      </w:r>
      <w:r w:rsidRPr="009F337B">
        <w:rPr>
          <w:b/>
          <w:bCs/>
          <w:lang w:val="en-US"/>
        </w:rPr>
        <w:t xml:space="preserve"> </w:t>
      </w:r>
      <w:r w:rsidR="00FE1EFF" w:rsidRPr="009F337B">
        <w:rPr>
          <w:rFonts w:eastAsia="Times" w:cs="Arial"/>
          <w:i w:val="0"/>
          <w:szCs w:val="20"/>
          <w:lang w:val="en-US"/>
        </w:rPr>
        <w:t>antiretroviral treatment</w:t>
      </w:r>
      <w:r w:rsidR="00B11BCF" w:rsidRPr="009F337B">
        <w:rPr>
          <w:rFonts w:eastAsia="Times" w:cs="Arial"/>
          <w:i w:val="0"/>
          <w:szCs w:val="20"/>
          <w:lang w:val="en-US"/>
        </w:rPr>
        <w:t>.</w:t>
      </w:r>
      <w:r w:rsidR="00545246" w:rsidRPr="009F337B">
        <w:rPr>
          <w:rStyle w:val="Refdenotaalpie"/>
          <w:rFonts w:eastAsia="Times"/>
          <w:i w:val="0"/>
          <w:lang w:val="en-US"/>
        </w:rPr>
        <w:footnoteReference w:id="122"/>
      </w:r>
      <w:r w:rsidR="00545246" w:rsidRPr="009F337B">
        <w:rPr>
          <w:rFonts w:eastAsia="Times" w:cs="Arial"/>
          <w:i w:val="0"/>
          <w:szCs w:val="20"/>
          <w:lang w:val="en-US"/>
        </w:rPr>
        <w:t xml:space="preserve"> </w:t>
      </w:r>
      <w:r w:rsidR="00B11BCF" w:rsidRPr="009F337B">
        <w:rPr>
          <w:rFonts w:eastAsia="Times" w:cs="Arial"/>
          <w:i w:val="0"/>
          <w:szCs w:val="20"/>
          <w:lang w:val="en-US"/>
        </w:rPr>
        <w:t xml:space="preserve">Accordingly, </w:t>
      </w:r>
      <w:r w:rsidR="00B11BCF" w:rsidRPr="009F337B">
        <w:rPr>
          <w:bCs/>
          <w:i w:val="0"/>
          <w:lang w:val="en-US"/>
        </w:rPr>
        <w:t>blood tests measuring CD4 counts and HIV viral load should be</w:t>
      </w:r>
      <w:r w:rsidR="00B11BCF" w:rsidRPr="009F337B">
        <w:rPr>
          <w:b/>
          <w:bCs/>
          <w:lang w:val="en-US"/>
        </w:rPr>
        <w:t xml:space="preserve"> </w:t>
      </w:r>
      <w:r w:rsidR="00B36A89" w:rsidRPr="009F337B">
        <w:rPr>
          <w:i w:val="0"/>
          <w:lang w:val="en-US"/>
        </w:rPr>
        <w:t>performed</w:t>
      </w:r>
      <w:r w:rsidR="00B11BCF" w:rsidRPr="009F337B">
        <w:rPr>
          <w:lang w:val="en-US"/>
        </w:rPr>
        <w:t xml:space="preserve"> </w:t>
      </w:r>
      <w:r w:rsidR="00B11BCF" w:rsidRPr="009F337B">
        <w:rPr>
          <w:i w:val="0"/>
          <w:lang w:val="en-US"/>
        </w:rPr>
        <w:t>every six months or every year f</w:t>
      </w:r>
      <w:r w:rsidR="00B36A89" w:rsidRPr="009F337B">
        <w:rPr>
          <w:i w:val="0"/>
          <w:lang w:val="en-US"/>
        </w:rPr>
        <w:t>or</w:t>
      </w:r>
      <w:r w:rsidR="00B11BCF" w:rsidRPr="009F337B">
        <w:rPr>
          <w:i w:val="0"/>
          <w:lang w:val="en-US"/>
        </w:rPr>
        <w:t xml:space="preserve"> patients living with </w:t>
      </w:r>
      <w:r w:rsidR="00CA11F6" w:rsidRPr="009F337B">
        <w:rPr>
          <w:rFonts w:eastAsia="Times" w:cs="Arial"/>
          <w:i w:val="0"/>
          <w:szCs w:val="20"/>
          <w:lang w:val="en-US"/>
        </w:rPr>
        <w:t>HIV</w:t>
      </w:r>
      <w:r w:rsidR="00B11BCF" w:rsidRPr="009F337B">
        <w:rPr>
          <w:rFonts w:eastAsia="Times" w:cs="Arial"/>
          <w:i w:val="0"/>
          <w:szCs w:val="20"/>
          <w:lang w:val="en-US"/>
        </w:rPr>
        <w:t>,</w:t>
      </w:r>
      <w:r w:rsidR="00545246" w:rsidRPr="009F337B">
        <w:rPr>
          <w:rStyle w:val="Refdenotaalpie"/>
          <w:rFonts w:eastAsia="Times"/>
          <w:i w:val="0"/>
          <w:lang w:val="en-US"/>
        </w:rPr>
        <w:footnoteReference w:id="123"/>
      </w:r>
      <w:r w:rsidR="00B11BCF" w:rsidRPr="009F337B">
        <w:rPr>
          <w:rFonts w:eastAsia="Times" w:cs="Arial"/>
          <w:i w:val="0"/>
          <w:szCs w:val="20"/>
          <w:lang w:val="en-US"/>
        </w:rPr>
        <w:t xml:space="preserve"> and genotype test</w:t>
      </w:r>
      <w:r w:rsidR="00B36A89" w:rsidRPr="009F337B">
        <w:rPr>
          <w:rFonts w:eastAsia="Times" w:cs="Arial"/>
          <w:i w:val="0"/>
          <w:szCs w:val="20"/>
          <w:lang w:val="en-US"/>
        </w:rPr>
        <w:t xml:space="preserve">ing is necessary </w:t>
      </w:r>
      <w:r w:rsidR="00B11BCF" w:rsidRPr="009F337B">
        <w:rPr>
          <w:rFonts w:eastAsia="Times" w:cs="Arial"/>
          <w:i w:val="0"/>
          <w:szCs w:val="20"/>
          <w:lang w:val="en-US"/>
        </w:rPr>
        <w:t xml:space="preserve">when a patient is being treated with drugs </w:t>
      </w:r>
      <w:r w:rsidR="00B36A89" w:rsidRPr="009F337B">
        <w:rPr>
          <w:rFonts w:eastAsia="Times" w:cs="Arial"/>
          <w:i w:val="0"/>
          <w:szCs w:val="20"/>
          <w:lang w:val="en-US"/>
        </w:rPr>
        <w:t xml:space="preserve">in order </w:t>
      </w:r>
      <w:r w:rsidR="00B11BCF" w:rsidRPr="009F337B">
        <w:rPr>
          <w:rFonts w:eastAsia="Times" w:cs="Arial"/>
          <w:i w:val="0"/>
          <w:szCs w:val="20"/>
          <w:lang w:val="en-US"/>
        </w:rPr>
        <w:t xml:space="preserve">to control possible resistance </w:t>
      </w:r>
      <w:r w:rsidR="003C46A3" w:rsidRPr="009F337B">
        <w:rPr>
          <w:rFonts w:eastAsia="Times" w:cs="Arial"/>
          <w:i w:val="0"/>
          <w:szCs w:val="20"/>
          <w:lang w:val="en-US"/>
        </w:rPr>
        <w:t xml:space="preserve"> </w:t>
      </w:r>
      <w:r w:rsidR="00B11BCF" w:rsidRPr="009F337B">
        <w:rPr>
          <w:rFonts w:eastAsia="Times" w:cs="Arial"/>
          <w:i w:val="0"/>
          <w:szCs w:val="20"/>
          <w:lang w:val="en-US"/>
        </w:rPr>
        <w:t xml:space="preserve">to </w:t>
      </w:r>
      <w:r w:rsidR="00D52F4C" w:rsidRPr="009F337B">
        <w:rPr>
          <w:rFonts w:eastAsia="Times" w:cs="Arial"/>
          <w:i w:val="0"/>
          <w:szCs w:val="20"/>
          <w:lang w:val="en-US"/>
        </w:rPr>
        <w:t>antiretroviral drugs</w:t>
      </w:r>
      <w:r w:rsidR="00B11BCF" w:rsidRPr="009F337B">
        <w:rPr>
          <w:rFonts w:eastAsia="Times" w:cs="Arial"/>
          <w:i w:val="0"/>
          <w:szCs w:val="20"/>
          <w:lang w:val="en-US"/>
        </w:rPr>
        <w:t>.</w:t>
      </w:r>
      <w:r w:rsidR="00545246" w:rsidRPr="009F337B">
        <w:rPr>
          <w:rStyle w:val="Refdenotaalpie"/>
          <w:rFonts w:eastAsia="Times"/>
          <w:i w:val="0"/>
          <w:lang w:val="en-US"/>
        </w:rPr>
        <w:footnoteReference w:id="124"/>
      </w:r>
      <w:r w:rsidR="00B11BCF" w:rsidRPr="009F337B">
        <w:rPr>
          <w:rFonts w:eastAsia="Times" w:cs="Arial"/>
          <w:i w:val="0"/>
          <w:szCs w:val="20"/>
          <w:lang w:val="en-US"/>
        </w:rPr>
        <w:t xml:space="preserve"> In addition, treatment should extend to the </w:t>
      </w:r>
      <w:r w:rsidR="00097AB9" w:rsidRPr="009F337B">
        <w:rPr>
          <w:rFonts w:eastAsia="Times" w:cs="Arial"/>
          <w:i w:val="0"/>
          <w:szCs w:val="20"/>
          <w:lang w:val="en-US"/>
        </w:rPr>
        <w:t xml:space="preserve">related </w:t>
      </w:r>
      <w:r w:rsidR="00B11BCF" w:rsidRPr="009F337B">
        <w:rPr>
          <w:rFonts w:eastAsia="Times" w:cs="Arial"/>
          <w:i w:val="0"/>
          <w:szCs w:val="20"/>
          <w:lang w:val="en-US"/>
        </w:rPr>
        <w:t xml:space="preserve">opportunistic </w:t>
      </w:r>
      <w:r w:rsidR="00097AB9" w:rsidRPr="009F337B">
        <w:rPr>
          <w:rFonts w:eastAsia="Times" w:cs="Arial"/>
          <w:i w:val="0"/>
          <w:szCs w:val="20"/>
          <w:lang w:val="en-US"/>
        </w:rPr>
        <w:t xml:space="preserve">infections </w:t>
      </w:r>
      <w:r w:rsidR="00B11BCF" w:rsidRPr="009F337B">
        <w:rPr>
          <w:rFonts w:eastAsia="Times" w:cs="Arial"/>
          <w:i w:val="0"/>
          <w:szCs w:val="20"/>
          <w:lang w:val="en-US"/>
        </w:rPr>
        <w:t xml:space="preserve">and </w:t>
      </w:r>
      <w:r w:rsidR="00097AB9" w:rsidRPr="009F337B">
        <w:rPr>
          <w:rFonts w:eastAsia="Times" w:cs="Arial"/>
          <w:i w:val="0"/>
          <w:szCs w:val="20"/>
          <w:lang w:val="en-US"/>
        </w:rPr>
        <w:t>conditions</w:t>
      </w:r>
      <w:r w:rsidR="00545246" w:rsidRPr="009F337B">
        <w:rPr>
          <w:rStyle w:val="Refdenotaalpie"/>
          <w:rFonts w:eastAsia="Times"/>
          <w:i w:val="0"/>
          <w:lang w:val="en-US"/>
        </w:rPr>
        <w:footnoteReference w:id="125"/>
      </w:r>
      <w:r w:rsidR="00B11BCF" w:rsidRPr="009F337B">
        <w:rPr>
          <w:rFonts w:eastAsia="Times" w:cs="Arial"/>
          <w:i w:val="0"/>
          <w:szCs w:val="20"/>
          <w:lang w:val="en-US"/>
        </w:rPr>
        <w:t xml:space="preserve"> that </w:t>
      </w:r>
      <w:r w:rsidR="00B36A89" w:rsidRPr="009F337B">
        <w:rPr>
          <w:rFonts w:eastAsia="Times" w:cs="Arial"/>
          <w:i w:val="0"/>
          <w:szCs w:val="20"/>
          <w:lang w:val="en-US"/>
        </w:rPr>
        <w:t xml:space="preserve">may </w:t>
      </w:r>
      <w:r w:rsidR="00B11BCF" w:rsidRPr="009F337B">
        <w:rPr>
          <w:rFonts w:eastAsia="Times" w:cs="Arial"/>
          <w:i w:val="0"/>
          <w:szCs w:val="20"/>
          <w:lang w:val="en-US"/>
        </w:rPr>
        <w:t>appear</w:t>
      </w:r>
      <w:r w:rsidR="00545246" w:rsidRPr="009F337B">
        <w:rPr>
          <w:rFonts w:eastAsia="Times" w:cs="Arial"/>
          <w:i w:val="0"/>
          <w:szCs w:val="20"/>
          <w:lang w:val="en-US"/>
        </w:rPr>
        <w:t xml:space="preserve"> </w:t>
      </w:r>
      <w:r w:rsidR="00B11BCF" w:rsidRPr="009F337B">
        <w:rPr>
          <w:rFonts w:eastAsia="Times" w:cs="Arial"/>
          <w:i w:val="0"/>
          <w:szCs w:val="20"/>
          <w:lang w:val="en-US"/>
        </w:rPr>
        <w:t>when a patient’s defenses are very low.</w:t>
      </w:r>
      <w:r w:rsidR="00545246" w:rsidRPr="009F337B">
        <w:rPr>
          <w:rStyle w:val="Refdenotaalpie"/>
          <w:rFonts w:eastAsia="Times"/>
          <w:i w:val="0"/>
          <w:lang w:val="en-US"/>
        </w:rPr>
        <w:footnoteReference w:id="126"/>
      </w:r>
    </w:p>
    <w:p w14:paraId="3A2578C8" w14:textId="77777777" w:rsidR="00E92CA8" w:rsidRPr="009F337B" w:rsidRDefault="00E92CA8" w:rsidP="00E92CA8">
      <w:pPr>
        <w:pStyle w:val="Estilo1"/>
        <w:tabs>
          <w:tab w:val="left" w:pos="709"/>
          <w:tab w:val="left" w:pos="1134"/>
        </w:tabs>
        <w:spacing w:after="0"/>
        <w:ind w:left="0" w:right="-4" w:firstLine="0"/>
        <w:rPr>
          <w:rFonts w:cs="Times New Roman"/>
          <w:i w:val="0"/>
          <w:szCs w:val="20"/>
          <w:lang w:val="en-US"/>
        </w:rPr>
      </w:pPr>
    </w:p>
    <w:p w14:paraId="138ADF4E" w14:textId="54F5A71A" w:rsidR="0053795E" w:rsidRPr="009F337B" w:rsidRDefault="00B11BCF" w:rsidP="00593E37">
      <w:pPr>
        <w:pStyle w:val="Estilo1"/>
        <w:numPr>
          <w:ilvl w:val="0"/>
          <w:numId w:val="1"/>
        </w:numPr>
        <w:tabs>
          <w:tab w:val="left" w:pos="709"/>
          <w:tab w:val="left" w:pos="1134"/>
        </w:tabs>
        <w:spacing w:after="0"/>
        <w:ind w:left="0" w:right="-4" w:firstLine="0"/>
        <w:rPr>
          <w:rFonts w:eastAsia="Times" w:cs="Arial"/>
          <w:i w:val="0"/>
          <w:szCs w:val="20"/>
          <w:lang w:val="en-US"/>
        </w:rPr>
      </w:pPr>
      <w:r w:rsidRPr="009F337B">
        <w:rPr>
          <w:rFonts w:eastAsia="Times" w:cs="Arial"/>
          <w:i w:val="0"/>
          <w:szCs w:val="20"/>
          <w:lang w:val="en-US"/>
        </w:rPr>
        <w:t>Third</w:t>
      </w:r>
      <w:r w:rsidR="0053795E" w:rsidRPr="009F337B">
        <w:rPr>
          <w:rFonts w:eastAsia="Times" w:cs="Arial"/>
          <w:i w:val="0"/>
          <w:szCs w:val="20"/>
          <w:lang w:val="en-US"/>
        </w:rPr>
        <w:t xml:space="preserve">, </w:t>
      </w:r>
      <w:r w:rsidR="00AE5F9E" w:rsidRPr="009F337B">
        <w:rPr>
          <w:rFonts w:eastAsia="Times" w:cs="Arial"/>
          <w:i w:val="0"/>
          <w:szCs w:val="20"/>
          <w:lang w:val="en-US"/>
        </w:rPr>
        <w:t>the Court</w:t>
      </w:r>
      <w:r w:rsidR="0053795E" w:rsidRPr="009F337B">
        <w:rPr>
          <w:rFonts w:eastAsia="Times" w:cs="Arial"/>
          <w:i w:val="0"/>
          <w:szCs w:val="20"/>
          <w:lang w:val="en-US"/>
        </w:rPr>
        <w:t xml:space="preserve"> reitera</w:t>
      </w:r>
      <w:r w:rsidRPr="009F337B">
        <w:rPr>
          <w:rFonts w:eastAsia="Times" w:cs="Arial"/>
          <w:i w:val="0"/>
          <w:szCs w:val="20"/>
          <w:lang w:val="en-US"/>
        </w:rPr>
        <w:t xml:space="preserve">tes that care for </w:t>
      </w:r>
      <w:r w:rsidR="00080A1E" w:rsidRPr="009F337B">
        <w:rPr>
          <w:rFonts w:eastAsia="Times" w:cs="Arial"/>
          <w:i w:val="0"/>
          <w:szCs w:val="20"/>
          <w:lang w:val="en-US"/>
        </w:rPr>
        <w:t>people living with HIV</w:t>
      </w:r>
      <w:r w:rsidR="0053795E" w:rsidRPr="009F337B">
        <w:rPr>
          <w:rFonts w:eastAsia="Times" w:cs="Arial"/>
          <w:i w:val="0"/>
          <w:szCs w:val="20"/>
          <w:lang w:val="en-US"/>
        </w:rPr>
        <w:t xml:space="preserve"> inclu</w:t>
      </w:r>
      <w:r w:rsidRPr="009F337B">
        <w:rPr>
          <w:rFonts w:eastAsia="Times" w:cs="Arial"/>
          <w:i w:val="0"/>
          <w:szCs w:val="20"/>
          <w:lang w:val="en-US"/>
        </w:rPr>
        <w:t>des a healthy diet and social and psychological support</w:t>
      </w:r>
      <w:r w:rsidR="0053795E" w:rsidRPr="009F337B">
        <w:rPr>
          <w:rFonts w:eastAsia="Times" w:cs="Arial"/>
          <w:i w:val="0"/>
          <w:szCs w:val="20"/>
          <w:lang w:val="en-US"/>
        </w:rPr>
        <w:t>,</w:t>
      </w:r>
      <w:r w:rsidRPr="009F337B">
        <w:rPr>
          <w:rFonts w:eastAsia="Times" w:cs="Arial"/>
          <w:i w:val="0"/>
          <w:szCs w:val="20"/>
          <w:lang w:val="en-US"/>
        </w:rPr>
        <w:t xml:space="preserve"> </w:t>
      </w:r>
      <w:r w:rsidR="00CE12D8" w:rsidRPr="009F337B">
        <w:rPr>
          <w:rFonts w:eastAsia="Times" w:cs="Arial"/>
          <w:i w:val="0"/>
          <w:szCs w:val="20"/>
          <w:lang w:val="en-US"/>
        </w:rPr>
        <w:t xml:space="preserve">as well as </w:t>
      </w:r>
      <w:r w:rsidRPr="009F337B">
        <w:rPr>
          <w:rFonts w:eastAsia="Times" w:cs="Arial"/>
          <w:i w:val="0"/>
          <w:szCs w:val="20"/>
          <w:lang w:val="en-US"/>
        </w:rPr>
        <w:t>family</w:t>
      </w:r>
      <w:r w:rsidR="00CE12D8" w:rsidRPr="009F337B">
        <w:rPr>
          <w:rFonts w:eastAsia="Times" w:cs="Arial"/>
          <w:i w:val="0"/>
          <w:szCs w:val="20"/>
          <w:lang w:val="en-US"/>
        </w:rPr>
        <w:t xml:space="preserve">, </w:t>
      </w:r>
      <w:r w:rsidRPr="009F337B">
        <w:rPr>
          <w:rFonts w:eastAsia="Times" w:cs="Arial"/>
          <w:i w:val="0"/>
          <w:szCs w:val="20"/>
          <w:lang w:val="en-US"/>
        </w:rPr>
        <w:t xml:space="preserve">community and </w:t>
      </w:r>
      <w:r w:rsidR="00F93469" w:rsidRPr="009F337B">
        <w:rPr>
          <w:rFonts w:eastAsia="Times" w:cs="Arial"/>
          <w:i w:val="0"/>
          <w:szCs w:val="20"/>
          <w:lang w:val="en-US"/>
        </w:rPr>
        <w:t>home-based care</w:t>
      </w:r>
      <w:r w:rsidRPr="009F337B">
        <w:rPr>
          <w:rFonts w:eastAsia="Times" w:cs="Arial"/>
          <w:i w:val="0"/>
          <w:szCs w:val="20"/>
          <w:lang w:val="en-US"/>
        </w:rPr>
        <w:t>.</w:t>
      </w:r>
      <w:r w:rsidR="0053795E" w:rsidRPr="009F337B">
        <w:rPr>
          <w:rStyle w:val="Refdenotaalpie"/>
          <w:rFonts w:eastAsia="Times"/>
          <w:i w:val="0"/>
          <w:lang w:val="en-US"/>
        </w:rPr>
        <w:footnoteReference w:id="127"/>
      </w:r>
      <w:r w:rsidRPr="009F337B">
        <w:rPr>
          <w:rFonts w:eastAsia="Times" w:cs="Arial"/>
          <w:i w:val="0"/>
          <w:szCs w:val="20"/>
          <w:lang w:val="en-US"/>
        </w:rPr>
        <w:t xml:space="preserve"> Indeed, </w:t>
      </w:r>
      <w:r w:rsidR="00CE12D8" w:rsidRPr="009F337B">
        <w:rPr>
          <w:rFonts w:eastAsia="Times" w:cs="Arial"/>
          <w:i w:val="0"/>
          <w:szCs w:val="20"/>
          <w:lang w:val="en-US"/>
        </w:rPr>
        <w:t xml:space="preserve">the </w:t>
      </w:r>
      <w:r w:rsidRPr="009F337B">
        <w:rPr>
          <w:rFonts w:eastAsia="Times" w:cs="Arial"/>
          <w:i w:val="0"/>
          <w:szCs w:val="20"/>
          <w:lang w:val="en-US"/>
        </w:rPr>
        <w:t xml:space="preserve">care and support for </w:t>
      </w:r>
      <w:r w:rsidR="00080A1E" w:rsidRPr="009F337B">
        <w:rPr>
          <w:rFonts w:eastAsia="Times" w:cs="Arial"/>
          <w:i w:val="0"/>
          <w:szCs w:val="20"/>
          <w:lang w:val="en-US"/>
        </w:rPr>
        <w:t>people living with HIV</w:t>
      </w:r>
      <w:r w:rsidR="0053795E" w:rsidRPr="009F337B">
        <w:rPr>
          <w:rFonts w:eastAsia="Times" w:cs="Arial"/>
          <w:i w:val="0"/>
          <w:szCs w:val="20"/>
          <w:lang w:val="en-US"/>
        </w:rPr>
        <w:t xml:space="preserve"> </w:t>
      </w:r>
      <w:r w:rsidR="00161AAD" w:rsidRPr="009F337B">
        <w:rPr>
          <w:rFonts w:eastAsia="Times" w:cs="Arial"/>
          <w:i w:val="0"/>
          <w:szCs w:val="20"/>
          <w:lang w:val="en-US"/>
        </w:rPr>
        <w:t xml:space="preserve">extends beyond medicines and </w:t>
      </w:r>
      <w:r w:rsidRPr="009F337B">
        <w:rPr>
          <w:rFonts w:eastAsia="Times" w:cs="Arial"/>
          <w:i w:val="0"/>
          <w:szCs w:val="20"/>
          <w:lang w:val="en-US"/>
        </w:rPr>
        <w:t xml:space="preserve">formal </w:t>
      </w:r>
      <w:r w:rsidR="00161AAD" w:rsidRPr="009F337B">
        <w:rPr>
          <w:rFonts w:eastAsia="Times" w:cs="Arial"/>
          <w:i w:val="0"/>
          <w:szCs w:val="20"/>
          <w:lang w:val="en-US"/>
        </w:rPr>
        <w:t xml:space="preserve">health-care </w:t>
      </w:r>
      <w:r w:rsidRPr="009F337B">
        <w:rPr>
          <w:rFonts w:eastAsia="Times" w:cs="Arial"/>
          <w:i w:val="0"/>
          <w:szCs w:val="20"/>
          <w:lang w:val="en-US"/>
        </w:rPr>
        <w:t>system</w:t>
      </w:r>
      <w:r w:rsidR="00161AAD" w:rsidRPr="009F337B">
        <w:rPr>
          <w:rFonts w:eastAsia="Times" w:cs="Arial"/>
          <w:i w:val="0"/>
          <w:szCs w:val="20"/>
          <w:lang w:val="en-US"/>
        </w:rPr>
        <w:t>s</w:t>
      </w:r>
      <w:r w:rsidRPr="009F337B">
        <w:rPr>
          <w:rFonts w:eastAsia="Times" w:cs="Arial"/>
          <w:i w:val="0"/>
          <w:szCs w:val="20"/>
          <w:lang w:val="en-US"/>
        </w:rPr>
        <w:t xml:space="preserve">, </w:t>
      </w:r>
      <w:r w:rsidR="00161AAD" w:rsidRPr="009F337B">
        <w:rPr>
          <w:rFonts w:eastAsia="Times" w:cs="Arial"/>
          <w:i w:val="0"/>
          <w:szCs w:val="20"/>
          <w:lang w:val="en-US"/>
        </w:rPr>
        <w:t>and</w:t>
      </w:r>
      <w:r w:rsidRPr="009F337B">
        <w:rPr>
          <w:rFonts w:eastAsia="Times" w:cs="Arial"/>
          <w:i w:val="0"/>
          <w:szCs w:val="20"/>
          <w:lang w:val="en-US"/>
        </w:rPr>
        <w:t xml:space="preserve"> requires the different needs of </w:t>
      </w:r>
      <w:r w:rsidR="00080A1E" w:rsidRPr="009F337B">
        <w:rPr>
          <w:rFonts w:eastAsia="Times" w:cs="Arial"/>
          <w:i w:val="0"/>
          <w:szCs w:val="20"/>
          <w:lang w:val="en-US"/>
        </w:rPr>
        <w:t>people living with HIV</w:t>
      </w:r>
      <w:r w:rsidRPr="009F337B">
        <w:rPr>
          <w:rFonts w:eastAsia="Times" w:cs="Arial"/>
          <w:i w:val="0"/>
          <w:szCs w:val="20"/>
          <w:lang w:val="en-US"/>
        </w:rPr>
        <w:t xml:space="preserve"> to be taken into account.</w:t>
      </w:r>
      <w:r w:rsidR="0053795E" w:rsidRPr="009F337B">
        <w:rPr>
          <w:rStyle w:val="Refdenotaalpie"/>
          <w:rFonts w:eastAsia="Times"/>
          <w:i w:val="0"/>
          <w:lang w:val="en-US"/>
        </w:rPr>
        <w:footnoteReference w:id="128"/>
      </w:r>
      <w:r w:rsidR="0053795E" w:rsidRPr="009F337B">
        <w:rPr>
          <w:rFonts w:eastAsia="Times" w:cs="Arial"/>
          <w:i w:val="0"/>
          <w:szCs w:val="20"/>
          <w:lang w:val="en-US"/>
        </w:rPr>
        <w:t xml:space="preserve"> </w:t>
      </w:r>
      <w:r w:rsidRPr="009F337B">
        <w:rPr>
          <w:rFonts w:eastAsia="Times" w:cs="Arial"/>
          <w:i w:val="0"/>
          <w:szCs w:val="20"/>
          <w:lang w:val="en-US"/>
        </w:rPr>
        <w:t>I</w:t>
      </w:r>
      <w:r w:rsidR="0053795E" w:rsidRPr="009F337B">
        <w:rPr>
          <w:rFonts w:eastAsia="Times" w:cs="Arial"/>
          <w:i w:val="0"/>
          <w:szCs w:val="20"/>
          <w:lang w:val="en-US"/>
        </w:rPr>
        <w:t xml:space="preserve">n particular, </w:t>
      </w:r>
      <w:r w:rsidR="00161AAD" w:rsidRPr="009F337B">
        <w:rPr>
          <w:rFonts w:eastAsia="Times" w:cs="Arial"/>
          <w:i w:val="0"/>
          <w:szCs w:val="20"/>
          <w:lang w:val="en-US"/>
        </w:rPr>
        <w:t xml:space="preserve">social support that includes actions such as food provision, emotional support, and psychosocial counselling can improve adherence to antiretroviral therapy and the quality of life of </w:t>
      </w:r>
      <w:r w:rsidR="00080A1E" w:rsidRPr="009F337B">
        <w:rPr>
          <w:rFonts w:eastAsia="Times" w:cs="Arial"/>
          <w:i w:val="0"/>
          <w:szCs w:val="20"/>
          <w:lang w:val="en-US"/>
        </w:rPr>
        <w:t>people living with HIV</w:t>
      </w:r>
      <w:r w:rsidR="00161AAD" w:rsidRPr="009F337B">
        <w:rPr>
          <w:rFonts w:eastAsia="Times" w:cs="Arial"/>
          <w:i w:val="0"/>
          <w:szCs w:val="20"/>
          <w:lang w:val="en-US"/>
        </w:rPr>
        <w:t>.</w:t>
      </w:r>
      <w:r w:rsidR="0053795E" w:rsidRPr="009F337B">
        <w:rPr>
          <w:rStyle w:val="Refdenotaalpie"/>
          <w:rFonts w:eastAsia="Times"/>
          <w:i w:val="0"/>
          <w:lang w:val="en-US"/>
        </w:rPr>
        <w:footnoteReference w:id="129"/>
      </w:r>
      <w:r w:rsidR="00161AAD" w:rsidRPr="009F337B">
        <w:rPr>
          <w:rFonts w:eastAsia="Times" w:cs="Arial"/>
          <w:i w:val="0"/>
          <w:szCs w:val="20"/>
          <w:lang w:val="en-US"/>
        </w:rPr>
        <w:t xml:space="preserve"> In addition, nutrition support helps the maintain the immune system, manage HIV-related infections, </w:t>
      </w:r>
      <w:r w:rsidR="00161AAD" w:rsidRPr="009F337B">
        <w:rPr>
          <w:rFonts w:eastAsia="Times" w:cs="Arial"/>
          <w:i w:val="0"/>
          <w:szCs w:val="20"/>
          <w:lang w:val="en-US"/>
        </w:rPr>
        <w:lastRenderedPageBreak/>
        <w:t>enhance the effectiveness of HIV treatment, sustain healthy levels of physical activity and support an optimal</w:t>
      </w:r>
      <w:r w:rsidR="001006AC" w:rsidRPr="009F337B">
        <w:rPr>
          <w:rFonts w:eastAsia="Times" w:cs="Arial"/>
          <w:i w:val="0"/>
          <w:szCs w:val="20"/>
          <w:lang w:val="en-US"/>
        </w:rPr>
        <w:t xml:space="preserve"> quality of life.</w:t>
      </w:r>
      <w:r w:rsidR="0053795E" w:rsidRPr="009F337B">
        <w:rPr>
          <w:rStyle w:val="Refdenotaalpie"/>
          <w:rFonts w:eastAsia="Times"/>
          <w:i w:val="0"/>
          <w:lang w:val="en-US"/>
        </w:rPr>
        <w:footnoteReference w:id="130"/>
      </w:r>
    </w:p>
    <w:p w14:paraId="24231606" w14:textId="77777777" w:rsidR="00E92CA8" w:rsidRPr="009F337B" w:rsidRDefault="00E92CA8" w:rsidP="00E92CA8">
      <w:pPr>
        <w:pStyle w:val="Estilo1"/>
        <w:tabs>
          <w:tab w:val="left" w:pos="709"/>
          <w:tab w:val="left" w:pos="1134"/>
        </w:tabs>
        <w:spacing w:after="0"/>
        <w:ind w:left="0" w:right="-4" w:firstLine="0"/>
        <w:rPr>
          <w:rFonts w:eastAsia="Times" w:cs="Arial"/>
          <w:i w:val="0"/>
          <w:szCs w:val="20"/>
          <w:lang w:val="en-US"/>
        </w:rPr>
      </w:pPr>
    </w:p>
    <w:p w14:paraId="268FBF29" w14:textId="2EDF9A64" w:rsidR="00B913BF" w:rsidRPr="009F337B" w:rsidRDefault="001006AC" w:rsidP="00593E37">
      <w:pPr>
        <w:pStyle w:val="Estilo1"/>
        <w:numPr>
          <w:ilvl w:val="0"/>
          <w:numId w:val="1"/>
        </w:numPr>
        <w:tabs>
          <w:tab w:val="left" w:pos="709"/>
          <w:tab w:val="left" w:pos="1134"/>
        </w:tabs>
        <w:spacing w:after="0"/>
        <w:ind w:left="0" w:right="-4" w:firstLine="0"/>
        <w:rPr>
          <w:rFonts w:cs="Times New Roman"/>
          <w:i w:val="0"/>
          <w:szCs w:val="20"/>
          <w:lang w:val="en-US"/>
        </w:rPr>
      </w:pPr>
      <w:r w:rsidRPr="009F337B">
        <w:rPr>
          <w:i w:val="0"/>
          <w:szCs w:val="20"/>
          <w:lang w:val="en-US"/>
        </w:rPr>
        <w:t xml:space="preserve">The Court has also reiterated that HIV prevention technologies include condoms, lubricants, </w:t>
      </w:r>
      <w:r w:rsidRPr="009F337B">
        <w:rPr>
          <w:bCs/>
          <w:i w:val="0"/>
          <w:lang w:val="en-US"/>
        </w:rPr>
        <w:t xml:space="preserve">sterile injection material, antiretroviral drugs (for example, to prevent </w:t>
      </w:r>
      <w:r w:rsidR="00F75A0C" w:rsidRPr="009F337B">
        <w:rPr>
          <w:bCs/>
          <w:i w:val="0"/>
          <w:lang w:val="en-US"/>
        </w:rPr>
        <w:t xml:space="preserve">vertical </w:t>
      </w:r>
      <w:r w:rsidRPr="009F337B">
        <w:rPr>
          <w:bCs/>
          <w:i w:val="0"/>
          <w:lang w:val="en-US"/>
        </w:rPr>
        <w:t>transmission or as post-exposure prophylaxis) and, once HIV is diagnosed, safe and effective vaccin</w:t>
      </w:r>
      <w:r w:rsidR="00097AB9" w:rsidRPr="009F337B">
        <w:rPr>
          <w:bCs/>
          <w:i w:val="0"/>
          <w:lang w:val="en-US"/>
        </w:rPr>
        <w:t>e</w:t>
      </w:r>
      <w:r w:rsidRPr="009F337B">
        <w:rPr>
          <w:bCs/>
          <w:i w:val="0"/>
          <w:lang w:val="en-US"/>
        </w:rPr>
        <w:t>s and microbicides</w:t>
      </w:r>
      <w:r w:rsidRPr="009F337B">
        <w:rPr>
          <w:i w:val="0"/>
          <w:lang w:val="en-US"/>
        </w:rPr>
        <w:t>. Universal access, based on human rights principles</w:t>
      </w:r>
      <w:r w:rsidR="00097AB9" w:rsidRPr="009F337B">
        <w:rPr>
          <w:i w:val="0"/>
          <w:lang w:val="en-US"/>
        </w:rPr>
        <w:t>,</w:t>
      </w:r>
      <w:r w:rsidRPr="009F337B">
        <w:rPr>
          <w:i w:val="0"/>
          <w:lang w:val="en-US"/>
        </w:rPr>
        <w:t xml:space="preserve"> requires that all these goods, services and information are not only available, acceptable and of</w:t>
      </w:r>
      <w:r w:rsidR="00097AB9" w:rsidRPr="009F337B">
        <w:rPr>
          <w:i w:val="0"/>
          <w:lang w:val="en-US"/>
        </w:rPr>
        <w:t xml:space="preserve"> </w:t>
      </w:r>
      <w:r w:rsidRPr="009F337B">
        <w:rPr>
          <w:i w:val="0"/>
          <w:lang w:val="en-US"/>
        </w:rPr>
        <w:t xml:space="preserve">good quality, but also that they </w:t>
      </w:r>
      <w:r w:rsidR="00097AB9" w:rsidRPr="009F337B">
        <w:rPr>
          <w:i w:val="0"/>
          <w:lang w:val="en-US"/>
        </w:rPr>
        <w:t xml:space="preserve">are </w:t>
      </w:r>
      <w:r w:rsidRPr="009F337B">
        <w:rPr>
          <w:i w:val="0"/>
          <w:lang w:val="en-US"/>
        </w:rPr>
        <w:t>within physical reach and accessible to all.</w:t>
      </w:r>
      <w:r w:rsidR="00F46845" w:rsidRPr="009F337B">
        <w:rPr>
          <w:rStyle w:val="Refdenotaalpie"/>
          <w:i w:val="0"/>
          <w:lang w:val="en-US"/>
        </w:rPr>
        <w:footnoteReference w:id="131"/>
      </w:r>
      <w:r w:rsidRPr="009F337B">
        <w:rPr>
          <w:i w:val="0"/>
          <w:szCs w:val="20"/>
          <w:lang w:val="en-US"/>
        </w:rPr>
        <w:t xml:space="preserve"> Similarly, the C</w:t>
      </w:r>
      <w:r w:rsidR="003F2923" w:rsidRPr="009F337B">
        <w:rPr>
          <w:i w:val="0"/>
          <w:szCs w:val="20"/>
          <w:lang w:val="en-US"/>
        </w:rPr>
        <w:t xml:space="preserve">ourt considers that access to medical treatment should take into </w:t>
      </w:r>
      <w:r w:rsidR="00097AB9" w:rsidRPr="009F337B">
        <w:rPr>
          <w:i w:val="0"/>
          <w:szCs w:val="20"/>
          <w:lang w:val="en-US"/>
        </w:rPr>
        <w:t>account</w:t>
      </w:r>
      <w:r w:rsidR="003F2923" w:rsidRPr="009F337B">
        <w:rPr>
          <w:i w:val="0"/>
          <w:szCs w:val="20"/>
          <w:lang w:val="en-US"/>
        </w:rPr>
        <w:t xml:space="preserve"> the technical advances in medical science</w:t>
      </w:r>
      <w:r w:rsidR="00F860AF" w:rsidRPr="009F337B">
        <w:rPr>
          <w:i w:val="0"/>
          <w:szCs w:val="20"/>
          <w:lang w:val="en-US"/>
        </w:rPr>
        <w:t>.</w:t>
      </w:r>
    </w:p>
    <w:p w14:paraId="75766898" w14:textId="77777777" w:rsidR="00E92CA8" w:rsidRPr="009F337B" w:rsidRDefault="00E92CA8" w:rsidP="00E92CA8">
      <w:pPr>
        <w:pStyle w:val="Estilo1"/>
        <w:tabs>
          <w:tab w:val="left" w:pos="709"/>
          <w:tab w:val="left" w:pos="1134"/>
        </w:tabs>
        <w:spacing w:after="0"/>
        <w:ind w:left="0" w:right="-4" w:firstLine="0"/>
        <w:rPr>
          <w:rFonts w:cs="Times New Roman"/>
          <w:i w:val="0"/>
          <w:szCs w:val="20"/>
          <w:lang w:val="en-US"/>
        </w:rPr>
      </w:pPr>
    </w:p>
    <w:p w14:paraId="5476B428" w14:textId="773C11CD" w:rsidR="00C60B17" w:rsidRPr="009F337B" w:rsidRDefault="00C60B17" w:rsidP="00593E37">
      <w:pPr>
        <w:pStyle w:val="Estilo1"/>
        <w:numPr>
          <w:ilvl w:val="0"/>
          <w:numId w:val="1"/>
        </w:numPr>
        <w:tabs>
          <w:tab w:val="left" w:pos="709"/>
          <w:tab w:val="left" w:pos="1134"/>
        </w:tabs>
        <w:spacing w:after="0"/>
        <w:ind w:left="0" w:right="-4" w:firstLine="0"/>
        <w:rPr>
          <w:rFonts w:eastAsia="Times" w:cs="Arial"/>
          <w:i w:val="0"/>
          <w:szCs w:val="20"/>
          <w:lang w:val="en-US"/>
        </w:rPr>
      </w:pPr>
      <w:r w:rsidRPr="009F337B">
        <w:rPr>
          <w:rFonts w:eastAsia="Times" w:cs="Arial"/>
          <w:i w:val="0"/>
          <w:szCs w:val="20"/>
          <w:lang w:val="en-US"/>
        </w:rPr>
        <w:t>Accordingly</w:t>
      </w:r>
      <w:r w:rsidR="0064019F" w:rsidRPr="009F337B">
        <w:rPr>
          <w:rFonts w:eastAsia="Times" w:cs="Arial"/>
          <w:i w:val="0"/>
          <w:szCs w:val="20"/>
          <w:lang w:val="en-US"/>
        </w:rPr>
        <w:t>,</w:t>
      </w:r>
      <w:r w:rsidR="003C46A3" w:rsidRPr="009F337B">
        <w:rPr>
          <w:rFonts w:eastAsia="Times" w:cs="Arial"/>
          <w:i w:val="0"/>
          <w:szCs w:val="20"/>
          <w:lang w:val="en-US"/>
        </w:rPr>
        <w:t xml:space="preserve"> </w:t>
      </w:r>
      <w:r w:rsidR="00A51F3B" w:rsidRPr="009F337B">
        <w:rPr>
          <w:rFonts w:eastAsia="Times" w:cs="Arial"/>
          <w:i w:val="0"/>
          <w:szCs w:val="20"/>
          <w:lang w:val="en-US"/>
        </w:rPr>
        <w:t>the right to health</w:t>
      </w:r>
      <w:r w:rsidR="0064019F" w:rsidRPr="009F337B">
        <w:rPr>
          <w:rFonts w:eastAsia="Times" w:cs="Arial"/>
          <w:i w:val="0"/>
          <w:szCs w:val="20"/>
          <w:lang w:val="en-US"/>
        </w:rPr>
        <w:t xml:space="preserve"> </w:t>
      </w:r>
      <w:r w:rsidRPr="009F337B">
        <w:rPr>
          <w:rFonts w:eastAsia="Times" w:cs="Arial"/>
          <w:i w:val="0"/>
          <w:szCs w:val="20"/>
          <w:lang w:val="en-US"/>
        </w:rPr>
        <w:t>of</w:t>
      </w:r>
      <w:r w:rsidR="0064019F" w:rsidRPr="009F337B">
        <w:rPr>
          <w:rFonts w:eastAsia="Times" w:cs="Arial"/>
          <w:i w:val="0"/>
          <w:szCs w:val="20"/>
          <w:lang w:val="en-US"/>
        </w:rPr>
        <w:t xml:space="preserve"> </w:t>
      </w:r>
      <w:r w:rsidR="00080A1E" w:rsidRPr="009F337B">
        <w:rPr>
          <w:rFonts w:eastAsia="Times" w:cs="Arial"/>
          <w:i w:val="0"/>
          <w:szCs w:val="20"/>
          <w:lang w:val="en-US"/>
        </w:rPr>
        <w:t>people living with HIV</w:t>
      </w:r>
      <w:r w:rsidR="00346466" w:rsidRPr="009F337B">
        <w:rPr>
          <w:rFonts w:eastAsia="Times" w:cs="Arial"/>
          <w:i w:val="0"/>
          <w:szCs w:val="20"/>
          <w:lang w:val="en-US"/>
        </w:rPr>
        <w:t xml:space="preserve"> inclu</w:t>
      </w:r>
      <w:r w:rsidRPr="009F337B">
        <w:rPr>
          <w:rFonts w:eastAsia="Times" w:cs="Arial"/>
          <w:i w:val="0"/>
          <w:szCs w:val="20"/>
          <w:lang w:val="en-US"/>
        </w:rPr>
        <w:t xml:space="preserve">des </w:t>
      </w:r>
      <w:r w:rsidR="00097AB9" w:rsidRPr="009F337B">
        <w:rPr>
          <w:rFonts w:eastAsia="Times" w:cs="Arial"/>
          <w:i w:val="0"/>
          <w:szCs w:val="20"/>
          <w:lang w:val="en-US"/>
        </w:rPr>
        <w:t>a</w:t>
      </w:r>
      <w:r w:rsidRPr="009F337B">
        <w:rPr>
          <w:rFonts w:eastAsia="Times" w:cs="Arial"/>
          <w:i w:val="0"/>
          <w:szCs w:val="20"/>
          <w:lang w:val="en-US"/>
        </w:rPr>
        <w:t xml:space="preserve">ccess to </w:t>
      </w:r>
      <w:r w:rsidR="00097AB9" w:rsidRPr="009F337B">
        <w:rPr>
          <w:rFonts w:eastAsia="Times" w:cs="Arial"/>
          <w:i w:val="0"/>
          <w:szCs w:val="20"/>
          <w:lang w:val="en-US"/>
        </w:rPr>
        <w:t>g</w:t>
      </w:r>
      <w:r w:rsidRPr="009F337B">
        <w:rPr>
          <w:rFonts w:eastAsia="Times" w:cs="Arial"/>
          <w:i w:val="0"/>
          <w:szCs w:val="20"/>
          <w:lang w:val="en-US"/>
        </w:rPr>
        <w:t xml:space="preserve">ood quality goods, services and information for the prevention, treatment, care and support of the infection, including antiretroviral therapy and other drugs, diagnostic tests and related safe and effective technologies for the preventive, curative and palliative care of HIV, </w:t>
      </w:r>
      <w:r w:rsidR="00097AB9" w:rsidRPr="009F337B">
        <w:rPr>
          <w:rFonts w:eastAsia="Times" w:cs="Arial"/>
          <w:i w:val="0"/>
          <w:szCs w:val="20"/>
          <w:lang w:val="en-US"/>
        </w:rPr>
        <w:t xml:space="preserve">related </w:t>
      </w:r>
      <w:r w:rsidRPr="009F337B">
        <w:rPr>
          <w:rFonts w:eastAsia="Times" w:cs="Arial"/>
          <w:i w:val="0"/>
          <w:szCs w:val="20"/>
          <w:lang w:val="en-US"/>
        </w:rPr>
        <w:t>opportunistic infections and diseases, as well as social and psychological support, family and community care, and access to preventi</w:t>
      </w:r>
      <w:r w:rsidR="0011263B">
        <w:rPr>
          <w:rFonts w:eastAsia="Times" w:cs="Arial"/>
          <w:i w:val="0"/>
          <w:szCs w:val="20"/>
          <w:lang w:val="en-US"/>
        </w:rPr>
        <w:t>on</w:t>
      </w:r>
      <w:r w:rsidRPr="009F337B">
        <w:rPr>
          <w:rFonts w:eastAsia="Times" w:cs="Arial"/>
          <w:i w:val="0"/>
          <w:szCs w:val="20"/>
          <w:lang w:val="en-US"/>
        </w:rPr>
        <w:t xml:space="preserve"> technologies.</w:t>
      </w:r>
    </w:p>
    <w:p w14:paraId="035A3A8C" w14:textId="77777777" w:rsidR="00E92CA8" w:rsidRPr="009F337B" w:rsidRDefault="00E92CA8" w:rsidP="00E92CA8">
      <w:pPr>
        <w:pStyle w:val="Estilo1"/>
        <w:tabs>
          <w:tab w:val="left" w:pos="709"/>
          <w:tab w:val="left" w:pos="1134"/>
        </w:tabs>
        <w:spacing w:after="0"/>
        <w:ind w:left="0" w:right="-4" w:firstLine="0"/>
        <w:rPr>
          <w:rFonts w:eastAsia="Times" w:cs="Arial"/>
          <w:i w:val="0"/>
          <w:szCs w:val="20"/>
          <w:lang w:val="en-US"/>
        </w:rPr>
      </w:pPr>
    </w:p>
    <w:p w14:paraId="1F596405" w14:textId="6C8F76C3" w:rsidR="000774FB" w:rsidRPr="009F337B" w:rsidRDefault="00C60B17" w:rsidP="00593E37">
      <w:pPr>
        <w:pStyle w:val="Estilo1"/>
        <w:numPr>
          <w:ilvl w:val="0"/>
          <w:numId w:val="1"/>
        </w:numPr>
        <w:tabs>
          <w:tab w:val="left" w:pos="709"/>
          <w:tab w:val="left" w:pos="1134"/>
        </w:tabs>
        <w:spacing w:after="0"/>
        <w:ind w:left="0" w:right="-4" w:firstLine="0"/>
        <w:rPr>
          <w:rFonts w:cs="Times New Roman"/>
          <w:i w:val="0"/>
          <w:szCs w:val="20"/>
          <w:lang w:val="en-US"/>
        </w:rPr>
      </w:pPr>
      <w:r w:rsidRPr="009F337B">
        <w:rPr>
          <w:rFonts w:cs="Times New Roman"/>
          <w:i w:val="0"/>
          <w:szCs w:val="20"/>
          <w:lang w:val="en-US"/>
        </w:rPr>
        <w:t xml:space="preserve">Consequently, the first </w:t>
      </w:r>
      <w:r w:rsidR="00097AB9" w:rsidRPr="009F337B">
        <w:rPr>
          <w:rFonts w:cs="Times New Roman"/>
          <w:i w:val="0"/>
          <w:szCs w:val="20"/>
          <w:lang w:val="en-US"/>
        </w:rPr>
        <w:t>duty that</w:t>
      </w:r>
      <w:r w:rsidRPr="009F337B">
        <w:rPr>
          <w:rFonts w:cs="Times New Roman"/>
          <w:i w:val="0"/>
          <w:szCs w:val="20"/>
          <w:lang w:val="en-US"/>
        </w:rPr>
        <w:t xml:space="preserve"> result</w:t>
      </w:r>
      <w:r w:rsidR="00097AB9" w:rsidRPr="009F337B">
        <w:rPr>
          <w:rFonts w:cs="Times New Roman"/>
          <w:i w:val="0"/>
          <w:szCs w:val="20"/>
          <w:lang w:val="en-US"/>
        </w:rPr>
        <w:t>s</w:t>
      </w:r>
      <w:r w:rsidRPr="009F337B">
        <w:rPr>
          <w:rFonts w:cs="Times New Roman"/>
          <w:i w:val="0"/>
          <w:szCs w:val="20"/>
          <w:lang w:val="en-US"/>
        </w:rPr>
        <w:t xml:space="preserve"> from the obligation to ensure </w:t>
      </w:r>
      <w:r w:rsidR="00A51F3B" w:rsidRPr="009F337B">
        <w:rPr>
          <w:rFonts w:cs="Times New Roman"/>
          <w:i w:val="0"/>
          <w:szCs w:val="20"/>
          <w:lang w:val="en-US"/>
        </w:rPr>
        <w:t>the right to health</w:t>
      </w:r>
      <w:r w:rsidRPr="009F337B">
        <w:rPr>
          <w:rFonts w:cs="Times New Roman"/>
          <w:i w:val="0"/>
          <w:szCs w:val="20"/>
          <w:lang w:val="en-US"/>
        </w:rPr>
        <w:t xml:space="preserve"> is the </w:t>
      </w:r>
      <w:r w:rsidR="00097AB9" w:rsidRPr="009F337B">
        <w:rPr>
          <w:rFonts w:cs="Times New Roman"/>
          <w:i w:val="0"/>
          <w:szCs w:val="20"/>
          <w:lang w:val="en-US"/>
        </w:rPr>
        <w:t>duty</w:t>
      </w:r>
      <w:r w:rsidRPr="009F337B">
        <w:rPr>
          <w:rFonts w:cs="Times New Roman"/>
          <w:i w:val="0"/>
          <w:szCs w:val="20"/>
          <w:lang w:val="en-US"/>
        </w:rPr>
        <w:t xml:space="preserve"> to regulate protection of the right to health for </w:t>
      </w:r>
      <w:r w:rsidR="00080A1E" w:rsidRPr="009F337B">
        <w:rPr>
          <w:i w:val="0"/>
          <w:szCs w:val="20"/>
          <w:lang w:val="en-US"/>
        </w:rPr>
        <w:t>people living with HIV</w:t>
      </w:r>
      <w:r w:rsidR="00A54A49" w:rsidRPr="009F337B">
        <w:rPr>
          <w:i w:val="0"/>
          <w:szCs w:val="20"/>
          <w:lang w:val="en-US"/>
        </w:rPr>
        <w:t xml:space="preserve">. </w:t>
      </w:r>
      <w:r w:rsidRPr="009F337B">
        <w:rPr>
          <w:i w:val="0"/>
          <w:szCs w:val="20"/>
          <w:lang w:val="en-US"/>
        </w:rPr>
        <w:t>In this regard</w:t>
      </w:r>
      <w:r w:rsidR="00A54A49" w:rsidRPr="009F337B">
        <w:rPr>
          <w:i w:val="0"/>
          <w:szCs w:val="20"/>
          <w:lang w:val="en-US"/>
        </w:rPr>
        <w:t xml:space="preserve">, </w:t>
      </w:r>
      <w:r w:rsidR="00AE5F9E" w:rsidRPr="009F337B">
        <w:rPr>
          <w:i w:val="0"/>
          <w:szCs w:val="20"/>
          <w:lang w:val="en-US"/>
        </w:rPr>
        <w:t>the Court</w:t>
      </w:r>
      <w:r w:rsidR="00A54A49" w:rsidRPr="009F337B">
        <w:rPr>
          <w:i w:val="0"/>
          <w:szCs w:val="20"/>
          <w:lang w:val="en-US"/>
        </w:rPr>
        <w:t xml:space="preserve"> </w:t>
      </w:r>
      <w:r w:rsidRPr="009F337B">
        <w:rPr>
          <w:i w:val="0"/>
          <w:szCs w:val="20"/>
          <w:lang w:val="en-US"/>
        </w:rPr>
        <w:t>notes that the Guatemalan</w:t>
      </w:r>
      <w:r w:rsidR="00A54A49" w:rsidRPr="009F337B">
        <w:rPr>
          <w:i w:val="0"/>
          <w:szCs w:val="20"/>
          <w:lang w:val="en-US"/>
        </w:rPr>
        <w:t xml:space="preserve"> </w:t>
      </w:r>
      <w:r w:rsidR="009E46AF" w:rsidRPr="009F337B">
        <w:rPr>
          <w:i w:val="0"/>
          <w:szCs w:val="20"/>
          <w:lang w:val="en-US"/>
        </w:rPr>
        <w:t>Constitution</w:t>
      </w:r>
      <w:r w:rsidRPr="009F337B">
        <w:rPr>
          <w:i w:val="0"/>
          <w:szCs w:val="20"/>
          <w:lang w:val="en-US"/>
        </w:rPr>
        <w:t xml:space="preserve"> recognizes that the enjoyment of health is a fundamental human right, and that the State has the obligation to </w:t>
      </w:r>
      <w:r w:rsidR="00804FCA" w:rsidRPr="009F337B">
        <w:rPr>
          <w:i w:val="0"/>
          <w:lang w:val="en-US"/>
        </w:rPr>
        <w:t xml:space="preserve">ensure health and social assistance for all </w:t>
      </w:r>
      <w:r w:rsidRPr="009F337B">
        <w:rPr>
          <w:i w:val="0"/>
          <w:szCs w:val="20"/>
          <w:lang w:val="en-US"/>
        </w:rPr>
        <w:t xml:space="preserve">its inhabitants </w:t>
      </w:r>
      <w:r w:rsidR="000774FB" w:rsidRPr="009F337B">
        <w:rPr>
          <w:i w:val="0"/>
          <w:szCs w:val="20"/>
          <w:lang w:val="en-US"/>
        </w:rPr>
        <w:t>(</w:t>
      </w:r>
      <w:r w:rsidR="000774FB" w:rsidRPr="009F337B">
        <w:rPr>
          <w:szCs w:val="20"/>
          <w:lang w:val="en-US"/>
        </w:rPr>
        <w:t>supra</w:t>
      </w:r>
      <w:r w:rsidR="000774FB" w:rsidRPr="009F337B">
        <w:rPr>
          <w:i w:val="0"/>
          <w:szCs w:val="20"/>
          <w:lang w:val="en-US"/>
        </w:rPr>
        <w:t xml:space="preserve"> </w:t>
      </w:r>
      <w:r w:rsidRPr="009F337B">
        <w:rPr>
          <w:i w:val="0"/>
          <w:szCs w:val="20"/>
          <w:lang w:val="en-US"/>
        </w:rPr>
        <w:t>para.</w:t>
      </w:r>
      <w:r w:rsidR="000774FB" w:rsidRPr="009F337B">
        <w:rPr>
          <w:i w:val="0"/>
          <w:szCs w:val="20"/>
          <w:lang w:val="en-US"/>
        </w:rPr>
        <w:t xml:space="preserve"> </w:t>
      </w:r>
      <w:r w:rsidR="003A2D1F" w:rsidRPr="009F337B">
        <w:rPr>
          <w:i w:val="0"/>
          <w:szCs w:val="20"/>
          <w:lang w:val="en-US"/>
        </w:rPr>
        <w:t>41</w:t>
      </w:r>
      <w:r w:rsidR="000774FB" w:rsidRPr="009F337B">
        <w:rPr>
          <w:i w:val="0"/>
          <w:szCs w:val="20"/>
          <w:lang w:val="en-US"/>
        </w:rPr>
        <w:t xml:space="preserve">). </w:t>
      </w:r>
      <w:r w:rsidRPr="009F337B">
        <w:rPr>
          <w:i w:val="0"/>
          <w:szCs w:val="20"/>
          <w:lang w:val="en-US"/>
        </w:rPr>
        <w:t xml:space="preserve">In addition, the Court notes that the </w:t>
      </w:r>
      <w:r w:rsidR="005E44D9" w:rsidRPr="009F337B">
        <w:rPr>
          <w:i w:val="0"/>
          <w:szCs w:val="20"/>
          <w:lang w:val="en-US"/>
        </w:rPr>
        <w:t>Health Code</w:t>
      </w:r>
      <w:r w:rsidR="000774FB" w:rsidRPr="009F337B">
        <w:rPr>
          <w:i w:val="0"/>
          <w:szCs w:val="20"/>
          <w:lang w:val="en-US"/>
        </w:rPr>
        <w:t xml:space="preserve"> </w:t>
      </w:r>
      <w:r w:rsidRPr="009F337B">
        <w:rPr>
          <w:i w:val="0"/>
          <w:szCs w:val="20"/>
          <w:lang w:val="en-US"/>
        </w:rPr>
        <w:t>establishes the obligation of</w:t>
      </w:r>
      <w:r w:rsidR="003C46A3" w:rsidRPr="009F337B">
        <w:rPr>
          <w:i w:val="0"/>
          <w:szCs w:val="20"/>
          <w:lang w:val="en-US"/>
        </w:rPr>
        <w:t xml:space="preserve"> the State</w:t>
      </w:r>
      <w:r w:rsidR="000774FB" w:rsidRPr="009F337B">
        <w:rPr>
          <w:i w:val="0"/>
          <w:szCs w:val="20"/>
          <w:lang w:val="en-US"/>
        </w:rPr>
        <w:t xml:space="preserve">, </w:t>
      </w:r>
      <w:r w:rsidRPr="009F337B">
        <w:rPr>
          <w:i w:val="0"/>
          <w:szCs w:val="20"/>
          <w:lang w:val="en-US"/>
        </w:rPr>
        <w:t>through the</w:t>
      </w:r>
      <w:r w:rsidR="000774FB" w:rsidRPr="009F337B">
        <w:rPr>
          <w:i w:val="0"/>
          <w:szCs w:val="20"/>
          <w:lang w:val="en-US"/>
        </w:rPr>
        <w:t xml:space="preserve"> </w:t>
      </w:r>
      <w:r w:rsidR="005E44D9" w:rsidRPr="009F337B">
        <w:rPr>
          <w:i w:val="0"/>
          <w:szCs w:val="20"/>
          <w:lang w:val="en-US"/>
        </w:rPr>
        <w:t>Ministry of Public Health</w:t>
      </w:r>
      <w:r w:rsidR="003A2D1F" w:rsidRPr="009F337B">
        <w:rPr>
          <w:i w:val="0"/>
          <w:szCs w:val="20"/>
          <w:lang w:val="en-US"/>
        </w:rPr>
        <w:t>,</w:t>
      </w:r>
      <w:r w:rsidR="000774FB" w:rsidRPr="009F337B">
        <w:rPr>
          <w:i w:val="0"/>
          <w:szCs w:val="20"/>
          <w:lang w:val="en-US"/>
        </w:rPr>
        <w:t xml:space="preserve"> </w:t>
      </w:r>
      <w:r w:rsidRPr="009F337B">
        <w:rPr>
          <w:i w:val="0"/>
          <w:szCs w:val="20"/>
          <w:lang w:val="en-US"/>
        </w:rPr>
        <w:t xml:space="preserve">to take steps to ensure the provision of free health services to Guatemalans, and establishes that the State must allocate the resources needed for the public funding of health services </w:t>
      </w:r>
      <w:r w:rsidR="000774FB" w:rsidRPr="009F337B">
        <w:rPr>
          <w:i w:val="0"/>
          <w:szCs w:val="20"/>
          <w:lang w:val="en-US"/>
        </w:rPr>
        <w:t>(</w:t>
      </w:r>
      <w:r w:rsidR="000774FB" w:rsidRPr="009F337B">
        <w:rPr>
          <w:szCs w:val="20"/>
          <w:lang w:val="en-US"/>
        </w:rPr>
        <w:t>supra</w:t>
      </w:r>
      <w:r w:rsidR="000774FB" w:rsidRPr="009F337B">
        <w:rPr>
          <w:i w:val="0"/>
          <w:szCs w:val="20"/>
          <w:lang w:val="en-US"/>
        </w:rPr>
        <w:t xml:space="preserve"> </w:t>
      </w:r>
      <w:r w:rsidRPr="009F337B">
        <w:rPr>
          <w:i w:val="0"/>
          <w:szCs w:val="20"/>
          <w:lang w:val="en-US"/>
        </w:rPr>
        <w:t>para.</w:t>
      </w:r>
      <w:r w:rsidR="000774FB" w:rsidRPr="009F337B">
        <w:rPr>
          <w:i w:val="0"/>
          <w:szCs w:val="20"/>
          <w:lang w:val="en-US"/>
        </w:rPr>
        <w:t xml:space="preserve"> </w:t>
      </w:r>
      <w:r w:rsidR="003A2D1F" w:rsidRPr="009F337B">
        <w:rPr>
          <w:i w:val="0"/>
          <w:szCs w:val="20"/>
          <w:lang w:val="en-US"/>
        </w:rPr>
        <w:t>43</w:t>
      </w:r>
      <w:r w:rsidR="000774FB" w:rsidRPr="009F337B">
        <w:rPr>
          <w:i w:val="0"/>
          <w:szCs w:val="20"/>
          <w:lang w:val="en-US"/>
        </w:rPr>
        <w:t xml:space="preserve">). </w:t>
      </w:r>
      <w:r w:rsidRPr="009F337B">
        <w:rPr>
          <w:i w:val="0"/>
          <w:szCs w:val="20"/>
          <w:lang w:val="en-US"/>
        </w:rPr>
        <w:t>Regarding the treatment of</w:t>
      </w:r>
      <w:r w:rsidR="00AA672D" w:rsidRPr="009F337B">
        <w:rPr>
          <w:rFonts w:eastAsia="Times" w:cs="Arial"/>
          <w:i w:val="0"/>
          <w:szCs w:val="20"/>
          <w:lang w:val="en-US"/>
        </w:rPr>
        <w:t xml:space="preserve"> </w:t>
      </w:r>
      <w:r w:rsidR="00926020" w:rsidRPr="009F337B">
        <w:rPr>
          <w:rFonts w:eastAsia="Times" w:cs="Arial"/>
          <w:i w:val="0"/>
          <w:szCs w:val="20"/>
          <w:lang w:val="en-US"/>
        </w:rPr>
        <w:t>sexually transmitted diseases</w:t>
      </w:r>
      <w:r w:rsidR="003C46A3" w:rsidRPr="009F337B">
        <w:rPr>
          <w:rFonts w:eastAsia="Times" w:cs="Arial"/>
          <w:i w:val="0"/>
          <w:szCs w:val="20"/>
          <w:lang w:val="en-US"/>
        </w:rPr>
        <w:t xml:space="preserve"> and </w:t>
      </w:r>
      <w:r w:rsidR="00CA11F6" w:rsidRPr="009F337B">
        <w:rPr>
          <w:rFonts w:eastAsia="Times" w:cs="Arial"/>
          <w:i w:val="0"/>
          <w:szCs w:val="20"/>
          <w:lang w:val="en-US"/>
        </w:rPr>
        <w:t>AIDS</w:t>
      </w:r>
      <w:r w:rsidR="00AA672D" w:rsidRPr="009F337B">
        <w:rPr>
          <w:rFonts w:eastAsia="Times" w:cs="Arial"/>
          <w:i w:val="0"/>
          <w:szCs w:val="20"/>
          <w:lang w:val="en-US"/>
        </w:rPr>
        <w:t xml:space="preserve">, </w:t>
      </w:r>
      <w:r w:rsidR="00AE5F9E" w:rsidRPr="009F337B">
        <w:rPr>
          <w:rFonts w:eastAsia="Times" w:cs="Arial"/>
          <w:i w:val="0"/>
          <w:szCs w:val="20"/>
          <w:lang w:val="en-US"/>
        </w:rPr>
        <w:t>the Court</w:t>
      </w:r>
      <w:r w:rsidR="00AA672D" w:rsidRPr="009F337B">
        <w:rPr>
          <w:rFonts w:eastAsia="Times" w:cs="Arial"/>
          <w:i w:val="0"/>
          <w:szCs w:val="20"/>
          <w:lang w:val="en-US"/>
        </w:rPr>
        <w:t xml:space="preserve"> </w:t>
      </w:r>
      <w:r w:rsidRPr="009F337B">
        <w:rPr>
          <w:rFonts w:eastAsia="Times" w:cs="Arial"/>
          <w:i w:val="0"/>
          <w:szCs w:val="20"/>
          <w:lang w:val="en-US"/>
        </w:rPr>
        <w:t>notes that the</w:t>
      </w:r>
      <w:r w:rsidR="00AA672D" w:rsidRPr="009F337B">
        <w:rPr>
          <w:rFonts w:eastAsia="Times" w:cs="Arial"/>
          <w:i w:val="0"/>
          <w:szCs w:val="20"/>
          <w:lang w:val="en-US"/>
        </w:rPr>
        <w:t xml:space="preserve"> </w:t>
      </w:r>
      <w:r w:rsidR="005E44D9" w:rsidRPr="009F337B">
        <w:rPr>
          <w:rFonts w:eastAsia="Times" w:cs="Arial"/>
          <w:i w:val="0"/>
          <w:szCs w:val="20"/>
          <w:lang w:val="en-US"/>
        </w:rPr>
        <w:t>Health Code</w:t>
      </w:r>
      <w:r w:rsidR="00AA672D" w:rsidRPr="009F337B">
        <w:rPr>
          <w:rFonts w:eastAsia="Times" w:cs="Arial"/>
          <w:i w:val="0"/>
          <w:szCs w:val="20"/>
          <w:lang w:val="en-US"/>
        </w:rPr>
        <w:t xml:space="preserve"> establ</w:t>
      </w:r>
      <w:r w:rsidRPr="009F337B">
        <w:rPr>
          <w:rFonts w:eastAsia="Times" w:cs="Arial"/>
          <w:i w:val="0"/>
          <w:szCs w:val="20"/>
          <w:lang w:val="en-US"/>
        </w:rPr>
        <w:t>ishes that the</w:t>
      </w:r>
      <w:r w:rsidR="00AA672D" w:rsidRPr="009F337B">
        <w:rPr>
          <w:rFonts w:eastAsia="Times" w:cs="Arial"/>
          <w:i w:val="0"/>
          <w:szCs w:val="20"/>
          <w:lang w:val="en-US"/>
        </w:rPr>
        <w:t xml:space="preserve"> </w:t>
      </w:r>
      <w:r w:rsidR="00926020" w:rsidRPr="009F337B">
        <w:rPr>
          <w:rFonts w:eastAsia="Times" w:cs="Arial"/>
          <w:i w:val="0"/>
          <w:szCs w:val="20"/>
          <w:lang w:val="en-US"/>
        </w:rPr>
        <w:t>Ministry of Health</w:t>
      </w:r>
      <w:r w:rsidRPr="009F337B">
        <w:rPr>
          <w:rFonts w:eastAsia="Times" w:cs="Arial"/>
          <w:i w:val="0"/>
          <w:szCs w:val="20"/>
          <w:lang w:val="en-US"/>
        </w:rPr>
        <w:t xml:space="preserve"> will support the development of specific STD and HIV/AIDS education, detection, prevention and control programs </w:t>
      </w:r>
      <w:r w:rsidR="00AA672D" w:rsidRPr="009F337B">
        <w:rPr>
          <w:rFonts w:eastAsia="Times" w:cs="Arial"/>
          <w:i w:val="0"/>
          <w:szCs w:val="20"/>
          <w:lang w:val="en-US"/>
        </w:rPr>
        <w:t>(</w:t>
      </w:r>
      <w:r w:rsidR="00AA672D" w:rsidRPr="009F337B">
        <w:rPr>
          <w:rFonts w:eastAsia="Times" w:cs="Arial"/>
          <w:szCs w:val="20"/>
          <w:lang w:val="en-US"/>
        </w:rPr>
        <w:t>supra</w:t>
      </w:r>
      <w:r w:rsidR="00AA672D" w:rsidRPr="009F337B">
        <w:rPr>
          <w:rFonts w:eastAsia="Times" w:cs="Arial"/>
          <w:i w:val="0"/>
          <w:szCs w:val="20"/>
          <w:lang w:val="en-US"/>
        </w:rPr>
        <w:t xml:space="preserve"> </w:t>
      </w:r>
      <w:r w:rsidRPr="009F337B">
        <w:rPr>
          <w:rFonts w:eastAsia="Times" w:cs="Arial"/>
          <w:i w:val="0"/>
          <w:szCs w:val="20"/>
          <w:lang w:val="en-US"/>
        </w:rPr>
        <w:t>para.</w:t>
      </w:r>
      <w:r w:rsidR="00AA672D" w:rsidRPr="009F337B">
        <w:rPr>
          <w:rFonts w:eastAsia="Times" w:cs="Arial"/>
          <w:i w:val="0"/>
          <w:szCs w:val="20"/>
          <w:lang w:val="en-US"/>
        </w:rPr>
        <w:t xml:space="preserve"> </w:t>
      </w:r>
      <w:r w:rsidR="003A2D1F" w:rsidRPr="009F337B">
        <w:rPr>
          <w:rFonts w:eastAsia="Times" w:cs="Arial"/>
          <w:i w:val="0"/>
          <w:szCs w:val="20"/>
          <w:lang w:val="en-US"/>
        </w:rPr>
        <w:t>43</w:t>
      </w:r>
      <w:r w:rsidR="00AA672D" w:rsidRPr="009F337B">
        <w:rPr>
          <w:rFonts w:eastAsia="Times" w:cs="Arial"/>
          <w:i w:val="0"/>
          <w:szCs w:val="20"/>
          <w:lang w:val="en-US"/>
        </w:rPr>
        <w:t>).</w:t>
      </w:r>
    </w:p>
    <w:p w14:paraId="6AB4C537" w14:textId="77777777" w:rsidR="00E92CA8" w:rsidRPr="009F337B" w:rsidRDefault="00E92CA8" w:rsidP="00E92CA8">
      <w:pPr>
        <w:pStyle w:val="Estilo1"/>
        <w:tabs>
          <w:tab w:val="left" w:pos="709"/>
          <w:tab w:val="left" w:pos="1134"/>
        </w:tabs>
        <w:spacing w:after="0"/>
        <w:ind w:left="0" w:right="-4" w:firstLine="0"/>
        <w:rPr>
          <w:rFonts w:cs="Times New Roman"/>
          <w:i w:val="0"/>
          <w:szCs w:val="20"/>
          <w:lang w:val="en-US"/>
        </w:rPr>
      </w:pPr>
    </w:p>
    <w:p w14:paraId="01650705" w14:textId="5CD9501E" w:rsidR="00F46845" w:rsidRPr="009F337B" w:rsidRDefault="00C60B17" w:rsidP="00593E37">
      <w:pPr>
        <w:pStyle w:val="Estilo1"/>
        <w:numPr>
          <w:ilvl w:val="0"/>
          <w:numId w:val="1"/>
        </w:numPr>
        <w:tabs>
          <w:tab w:val="left" w:pos="709"/>
          <w:tab w:val="left" w:pos="1134"/>
        </w:tabs>
        <w:spacing w:after="0"/>
        <w:ind w:left="0" w:right="-4" w:firstLine="0"/>
        <w:rPr>
          <w:rFonts w:eastAsia="Times" w:cs="Arial"/>
          <w:i w:val="0"/>
          <w:szCs w:val="20"/>
          <w:lang w:val="en-US"/>
        </w:rPr>
      </w:pPr>
      <w:r w:rsidRPr="009F337B">
        <w:rPr>
          <w:rFonts w:eastAsia="Times" w:cs="Arial"/>
          <w:i w:val="0"/>
          <w:szCs w:val="20"/>
          <w:lang w:val="en-US"/>
        </w:rPr>
        <w:t>In particular</w:t>
      </w:r>
      <w:r w:rsidR="00F46845" w:rsidRPr="009F337B">
        <w:rPr>
          <w:rFonts w:eastAsia="Times" w:cs="Arial"/>
          <w:i w:val="0"/>
          <w:szCs w:val="20"/>
          <w:lang w:val="en-US"/>
        </w:rPr>
        <w:t xml:space="preserve">, </w:t>
      </w:r>
      <w:r w:rsidR="00AE5F9E" w:rsidRPr="009F337B">
        <w:rPr>
          <w:rFonts w:eastAsia="Times" w:cs="Arial"/>
          <w:i w:val="0"/>
          <w:szCs w:val="20"/>
          <w:lang w:val="en-US"/>
        </w:rPr>
        <w:t>the Court</w:t>
      </w:r>
      <w:r w:rsidR="00AA672D" w:rsidRPr="009F337B">
        <w:rPr>
          <w:rFonts w:eastAsia="Times" w:cs="Arial"/>
          <w:i w:val="0"/>
          <w:szCs w:val="20"/>
          <w:lang w:val="en-US"/>
        </w:rPr>
        <w:t xml:space="preserve"> </w:t>
      </w:r>
      <w:r w:rsidRPr="009F337B">
        <w:rPr>
          <w:rFonts w:eastAsia="Times" w:cs="Arial"/>
          <w:i w:val="0"/>
          <w:szCs w:val="20"/>
          <w:lang w:val="en-US"/>
        </w:rPr>
        <w:t>notes that the</w:t>
      </w:r>
      <w:r w:rsidR="00F46845" w:rsidRPr="009F337B">
        <w:rPr>
          <w:rFonts w:eastAsia="Times" w:cs="Arial"/>
          <w:i w:val="0"/>
          <w:szCs w:val="20"/>
          <w:lang w:val="en-US"/>
        </w:rPr>
        <w:t xml:space="preserve"> </w:t>
      </w:r>
      <w:r w:rsidR="00926020" w:rsidRPr="009F337B">
        <w:rPr>
          <w:rFonts w:eastAsia="Times" w:cs="Arial"/>
          <w:i w:val="0"/>
          <w:szCs w:val="20"/>
          <w:lang w:val="en-US"/>
        </w:rPr>
        <w:t>General Law to combat</w:t>
      </w:r>
      <w:r w:rsidR="00F46845" w:rsidRPr="009F337B">
        <w:rPr>
          <w:rFonts w:eastAsia="Times" w:cs="Arial"/>
          <w:i w:val="0"/>
          <w:szCs w:val="20"/>
          <w:lang w:val="en-US"/>
        </w:rPr>
        <w:t xml:space="preserve"> </w:t>
      </w:r>
      <w:r w:rsidR="00CA11F6" w:rsidRPr="009F337B">
        <w:rPr>
          <w:rFonts w:eastAsia="Times" w:cs="Arial"/>
          <w:i w:val="0"/>
          <w:szCs w:val="20"/>
          <w:lang w:val="en-US"/>
        </w:rPr>
        <w:t>HIV/AIDS</w:t>
      </w:r>
      <w:r w:rsidR="00150829" w:rsidRPr="009F337B">
        <w:rPr>
          <w:rFonts w:eastAsia="Times" w:cs="Arial"/>
          <w:i w:val="0"/>
          <w:szCs w:val="20"/>
          <w:lang w:val="en-US"/>
        </w:rPr>
        <w:t xml:space="preserve"> (</w:t>
      </w:r>
      <w:r w:rsidR="00150829" w:rsidRPr="009F337B">
        <w:rPr>
          <w:rFonts w:eastAsia="Times" w:cs="Arial"/>
          <w:szCs w:val="20"/>
          <w:lang w:val="en-US"/>
        </w:rPr>
        <w:t>supra</w:t>
      </w:r>
      <w:r w:rsidR="00150829" w:rsidRPr="009F337B">
        <w:rPr>
          <w:rFonts w:eastAsia="Times" w:cs="Arial"/>
          <w:i w:val="0"/>
          <w:szCs w:val="20"/>
          <w:lang w:val="en-US"/>
        </w:rPr>
        <w:t xml:space="preserve"> </w:t>
      </w:r>
      <w:r w:rsidRPr="009F337B">
        <w:rPr>
          <w:rFonts w:eastAsia="Times" w:cs="Arial"/>
          <w:i w:val="0"/>
          <w:szCs w:val="20"/>
          <w:lang w:val="en-US"/>
        </w:rPr>
        <w:t>para.</w:t>
      </w:r>
      <w:r w:rsidR="003A2D1F" w:rsidRPr="009F337B">
        <w:rPr>
          <w:rFonts w:eastAsia="Times" w:cs="Arial"/>
          <w:i w:val="0"/>
          <w:szCs w:val="20"/>
          <w:lang w:val="en-US"/>
        </w:rPr>
        <w:t xml:space="preserve"> 45</w:t>
      </w:r>
      <w:r w:rsidR="00150829" w:rsidRPr="009F337B">
        <w:rPr>
          <w:rFonts w:eastAsia="Times" w:cs="Arial"/>
          <w:i w:val="0"/>
          <w:szCs w:val="20"/>
          <w:lang w:val="en-US"/>
        </w:rPr>
        <w:t>)</w:t>
      </w:r>
      <w:r w:rsidR="00C863EF" w:rsidRPr="009F337B">
        <w:rPr>
          <w:rFonts w:eastAsia="Times" w:cs="Arial"/>
          <w:i w:val="0"/>
          <w:szCs w:val="20"/>
          <w:lang w:val="en-US"/>
        </w:rPr>
        <w:t xml:space="preserve"> </w:t>
      </w:r>
      <w:r w:rsidR="00F46845" w:rsidRPr="009F337B">
        <w:rPr>
          <w:rFonts w:eastAsia="Times" w:cs="Arial"/>
          <w:i w:val="0"/>
          <w:szCs w:val="20"/>
          <w:lang w:val="en-US"/>
        </w:rPr>
        <w:t>reco</w:t>
      </w:r>
      <w:r w:rsidRPr="009F337B">
        <w:rPr>
          <w:rFonts w:eastAsia="Times" w:cs="Arial"/>
          <w:i w:val="0"/>
          <w:szCs w:val="20"/>
          <w:lang w:val="en-US"/>
        </w:rPr>
        <w:t>gnizes HIV as an urgent national social problem</w:t>
      </w:r>
      <w:r w:rsidR="00F46845" w:rsidRPr="009F337B">
        <w:rPr>
          <w:rFonts w:eastAsia="Times" w:cs="Arial"/>
          <w:i w:val="0"/>
          <w:szCs w:val="20"/>
          <w:lang w:val="en-US"/>
        </w:rPr>
        <w:t xml:space="preserve">. </w:t>
      </w:r>
      <w:r w:rsidRPr="009F337B">
        <w:rPr>
          <w:rFonts w:eastAsia="Times" w:cs="Arial"/>
          <w:i w:val="0"/>
          <w:szCs w:val="20"/>
          <w:lang w:val="en-US"/>
        </w:rPr>
        <w:t xml:space="preserve">The law establishes that </w:t>
      </w:r>
      <w:r w:rsidR="00F46845" w:rsidRPr="009F337B">
        <w:rPr>
          <w:rFonts w:eastAsia="Times" w:cs="Arial"/>
          <w:i w:val="0"/>
          <w:szCs w:val="20"/>
          <w:lang w:val="en-US"/>
        </w:rPr>
        <w:t>“[</w:t>
      </w:r>
      <w:r w:rsidRPr="009F337B">
        <w:rPr>
          <w:rFonts w:eastAsia="Times" w:cs="Arial"/>
          <w:i w:val="0"/>
          <w:szCs w:val="20"/>
          <w:lang w:val="en-US"/>
        </w:rPr>
        <w:t>a</w:t>
      </w:r>
      <w:r w:rsidR="00F46845" w:rsidRPr="009F337B">
        <w:rPr>
          <w:rFonts w:eastAsia="Times" w:cs="Arial"/>
          <w:i w:val="0"/>
          <w:szCs w:val="20"/>
          <w:lang w:val="en-US"/>
        </w:rPr>
        <w:t>]</w:t>
      </w:r>
      <w:proofErr w:type="spellStart"/>
      <w:r w:rsidRPr="009F337B">
        <w:rPr>
          <w:rFonts w:eastAsia="Times" w:cs="Arial"/>
          <w:i w:val="0"/>
          <w:szCs w:val="20"/>
          <w:lang w:val="en-US"/>
        </w:rPr>
        <w:t>ny</w:t>
      </w:r>
      <w:proofErr w:type="spellEnd"/>
      <w:r w:rsidRPr="009F337B">
        <w:rPr>
          <w:rFonts w:eastAsia="Times" w:cs="Arial"/>
          <w:i w:val="0"/>
          <w:szCs w:val="20"/>
          <w:lang w:val="en-US"/>
        </w:rPr>
        <w:t xml:space="preserve"> person diagnosed with </w:t>
      </w:r>
      <w:r w:rsidR="00CA11F6" w:rsidRPr="009F337B">
        <w:rPr>
          <w:rFonts w:eastAsia="Times" w:cs="Arial"/>
          <w:i w:val="0"/>
          <w:szCs w:val="20"/>
          <w:lang w:val="en-US"/>
        </w:rPr>
        <w:t>HIV/AIDS</w:t>
      </w:r>
      <w:r w:rsidR="00F46845" w:rsidRPr="009F337B">
        <w:rPr>
          <w:rFonts w:eastAsia="Times" w:cs="Arial"/>
          <w:i w:val="0"/>
          <w:szCs w:val="20"/>
          <w:lang w:val="en-US"/>
        </w:rPr>
        <w:t xml:space="preserve"> </w:t>
      </w:r>
      <w:r w:rsidRPr="009F337B">
        <w:rPr>
          <w:rFonts w:eastAsia="Times" w:cs="Arial"/>
          <w:i w:val="0"/>
          <w:szCs w:val="20"/>
          <w:lang w:val="en-US"/>
        </w:rPr>
        <w:t>shall receive immediate comprehensive care”</w:t>
      </w:r>
      <w:r w:rsidR="00804FCA" w:rsidRPr="009F337B">
        <w:rPr>
          <w:rFonts w:eastAsia="Times" w:cs="Arial"/>
          <w:i w:val="0"/>
          <w:szCs w:val="20"/>
          <w:lang w:val="en-US"/>
        </w:rPr>
        <w:t>;</w:t>
      </w:r>
      <w:r w:rsidRPr="009F337B">
        <w:rPr>
          <w:rFonts w:eastAsia="Times" w:cs="Arial"/>
          <w:i w:val="0"/>
          <w:szCs w:val="20"/>
          <w:lang w:val="en-US"/>
        </w:rPr>
        <w:t xml:space="preserve"> that the </w:t>
      </w:r>
      <w:r w:rsidR="005E44D9" w:rsidRPr="009F337B">
        <w:rPr>
          <w:rFonts w:eastAsia="Times" w:cs="Arial"/>
          <w:i w:val="0"/>
          <w:szCs w:val="20"/>
          <w:lang w:val="en-US"/>
        </w:rPr>
        <w:t>Ministry of Public Health</w:t>
      </w:r>
      <w:r w:rsidR="00F46845" w:rsidRPr="009F337B">
        <w:rPr>
          <w:rFonts w:eastAsia="Times" w:cs="Arial"/>
          <w:i w:val="0"/>
          <w:szCs w:val="20"/>
          <w:lang w:val="en-US"/>
        </w:rPr>
        <w:t xml:space="preserve"> </w:t>
      </w:r>
      <w:r w:rsidR="0011263B">
        <w:rPr>
          <w:rFonts w:eastAsia="Times" w:cs="Arial"/>
          <w:i w:val="0"/>
          <w:szCs w:val="20"/>
          <w:lang w:val="en-US"/>
        </w:rPr>
        <w:t>must</w:t>
      </w:r>
      <w:r w:rsidRPr="009F337B">
        <w:rPr>
          <w:rFonts w:eastAsia="Times" w:cs="Arial"/>
          <w:i w:val="0"/>
          <w:szCs w:val="20"/>
          <w:lang w:val="en-US"/>
        </w:rPr>
        <w:t xml:space="preserve"> provide health care services to </w:t>
      </w:r>
      <w:r w:rsidR="00080A1E" w:rsidRPr="009F337B">
        <w:rPr>
          <w:rFonts w:eastAsia="Times" w:cs="Arial"/>
          <w:i w:val="0"/>
          <w:szCs w:val="20"/>
          <w:lang w:val="en-US"/>
        </w:rPr>
        <w:t>people living with HIV</w:t>
      </w:r>
      <w:r w:rsidR="00C863EF" w:rsidRPr="009F337B">
        <w:rPr>
          <w:rFonts w:eastAsia="Times" w:cs="Arial"/>
          <w:i w:val="0"/>
          <w:szCs w:val="20"/>
          <w:lang w:val="en-US"/>
        </w:rPr>
        <w:t xml:space="preserve">, </w:t>
      </w:r>
      <w:r w:rsidRPr="009F337B">
        <w:rPr>
          <w:rFonts w:eastAsia="Times" w:cs="Arial"/>
          <w:i w:val="0"/>
          <w:szCs w:val="20"/>
          <w:lang w:val="en-US"/>
        </w:rPr>
        <w:t xml:space="preserve">and that such services must respond to their physical, psychological and social needs. Furthermore, this law establishes that the Ministry of Economy and Finance will implement a program that provides access to good quality antiretroviral drugs, at an accessible cost, to </w:t>
      </w:r>
      <w:r w:rsidR="00080A1E" w:rsidRPr="009F337B">
        <w:rPr>
          <w:rFonts w:eastAsia="Times" w:cs="Arial"/>
          <w:i w:val="0"/>
          <w:szCs w:val="20"/>
          <w:lang w:val="en-US"/>
        </w:rPr>
        <w:t>people living with HIV</w:t>
      </w:r>
      <w:r w:rsidR="00F46845" w:rsidRPr="009F337B">
        <w:rPr>
          <w:rFonts w:eastAsia="Times" w:cs="Arial"/>
          <w:i w:val="0"/>
          <w:szCs w:val="20"/>
          <w:lang w:val="en-US"/>
        </w:rPr>
        <w:t>.</w:t>
      </w:r>
      <w:r w:rsidR="00E73480" w:rsidRPr="009F337B">
        <w:rPr>
          <w:rFonts w:eastAsia="Times" w:cs="Arial"/>
          <w:i w:val="0"/>
          <w:szCs w:val="20"/>
          <w:lang w:val="en-US"/>
        </w:rPr>
        <w:t xml:space="preserve"> </w:t>
      </w:r>
      <w:r w:rsidRPr="009F337B">
        <w:rPr>
          <w:rFonts w:eastAsia="Times" w:cs="Arial"/>
          <w:i w:val="0"/>
          <w:szCs w:val="20"/>
          <w:lang w:val="en-US"/>
        </w:rPr>
        <w:t>Likewise,</w:t>
      </w:r>
      <w:r w:rsidR="00F46845" w:rsidRPr="009F337B">
        <w:rPr>
          <w:rFonts w:eastAsia="Times" w:cs="Arial"/>
          <w:i w:val="0"/>
          <w:szCs w:val="20"/>
          <w:lang w:val="en-US"/>
        </w:rPr>
        <w:t xml:space="preserve"> </w:t>
      </w:r>
      <w:r w:rsidR="008C399E" w:rsidRPr="009F337B">
        <w:rPr>
          <w:rFonts w:eastAsia="Times" w:cs="Arial"/>
          <w:i w:val="0"/>
          <w:szCs w:val="20"/>
          <w:lang w:val="en-US"/>
        </w:rPr>
        <w:t>the Court</w:t>
      </w:r>
      <w:r w:rsidR="00C863EF" w:rsidRPr="009F337B">
        <w:rPr>
          <w:rFonts w:eastAsia="Times" w:cs="Arial"/>
          <w:i w:val="0"/>
          <w:szCs w:val="20"/>
          <w:lang w:val="en-US"/>
        </w:rPr>
        <w:t xml:space="preserve"> </w:t>
      </w:r>
      <w:r w:rsidRPr="009F337B">
        <w:rPr>
          <w:rFonts w:eastAsia="Times" w:cs="Arial"/>
          <w:i w:val="0"/>
          <w:szCs w:val="20"/>
          <w:lang w:val="en-US"/>
        </w:rPr>
        <w:t>notes that the Regulations to the</w:t>
      </w:r>
      <w:r w:rsidR="00F46845" w:rsidRPr="009F337B">
        <w:rPr>
          <w:rFonts w:eastAsia="Times" w:cs="Arial"/>
          <w:i w:val="0"/>
          <w:szCs w:val="20"/>
          <w:lang w:val="en-US"/>
        </w:rPr>
        <w:t xml:space="preserve"> </w:t>
      </w:r>
      <w:r w:rsidR="00926020" w:rsidRPr="009F337B">
        <w:rPr>
          <w:rFonts w:eastAsia="Times" w:cs="Arial"/>
          <w:i w:val="0"/>
          <w:szCs w:val="20"/>
          <w:lang w:val="en-US"/>
        </w:rPr>
        <w:t>General Law to combat</w:t>
      </w:r>
      <w:r w:rsidR="00F46845" w:rsidRPr="009F337B">
        <w:rPr>
          <w:rFonts w:eastAsia="Times" w:cs="Arial"/>
          <w:i w:val="0"/>
          <w:szCs w:val="20"/>
          <w:lang w:val="en-US"/>
        </w:rPr>
        <w:t xml:space="preserve"> </w:t>
      </w:r>
      <w:r w:rsidR="00CA11F6" w:rsidRPr="009F337B">
        <w:rPr>
          <w:rFonts w:eastAsia="Times" w:cs="Arial"/>
          <w:i w:val="0"/>
          <w:szCs w:val="20"/>
          <w:lang w:val="en-US"/>
        </w:rPr>
        <w:t>HIV/AIDS</w:t>
      </w:r>
      <w:r w:rsidR="00150829" w:rsidRPr="009F337B">
        <w:rPr>
          <w:rFonts w:eastAsia="Times" w:cs="Arial"/>
          <w:i w:val="0"/>
          <w:szCs w:val="20"/>
          <w:lang w:val="en-US"/>
        </w:rPr>
        <w:t xml:space="preserve"> (</w:t>
      </w:r>
      <w:r w:rsidR="00150829" w:rsidRPr="009F337B">
        <w:rPr>
          <w:rFonts w:eastAsia="Times" w:cs="Arial"/>
          <w:szCs w:val="20"/>
          <w:lang w:val="en-US"/>
        </w:rPr>
        <w:t>supra</w:t>
      </w:r>
      <w:r w:rsidR="00150829" w:rsidRPr="009F337B">
        <w:rPr>
          <w:rFonts w:eastAsia="Times" w:cs="Arial"/>
          <w:i w:val="0"/>
          <w:szCs w:val="20"/>
          <w:lang w:val="en-US"/>
        </w:rPr>
        <w:t xml:space="preserve"> </w:t>
      </w:r>
      <w:r w:rsidRPr="009F337B">
        <w:rPr>
          <w:rFonts w:eastAsia="Times" w:cs="Arial"/>
          <w:i w:val="0"/>
          <w:szCs w:val="20"/>
          <w:lang w:val="en-US"/>
        </w:rPr>
        <w:t>para.</w:t>
      </w:r>
      <w:r w:rsidR="003A2D1F" w:rsidRPr="009F337B">
        <w:rPr>
          <w:rFonts w:eastAsia="Times" w:cs="Arial"/>
          <w:i w:val="0"/>
          <w:szCs w:val="20"/>
          <w:lang w:val="en-US"/>
        </w:rPr>
        <w:t xml:space="preserve"> 46</w:t>
      </w:r>
      <w:r w:rsidR="00150829" w:rsidRPr="009F337B">
        <w:rPr>
          <w:rFonts w:eastAsia="Times" w:cs="Arial"/>
          <w:i w:val="0"/>
          <w:szCs w:val="20"/>
          <w:lang w:val="en-US"/>
        </w:rPr>
        <w:t>)</w:t>
      </w:r>
      <w:r w:rsidR="00F46845" w:rsidRPr="009F337B">
        <w:rPr>
          <w:rFonts w:eastAsia="Times" w:cs="Arial"/>
          <w:i w:val="0"/>
          <w:szCs w:val="20"/>
          <w:lang w:val="en-US"/>
        </w:rPr>
        <w:t xml:space="preserve"> establ</w:t>
      </w:r>
      <w:r w:rsidRPr="009F337B">
        <w:rPr>
          <w:rFonts w:eastAsia="Times" w:cs="Arial"/>
          <w:i w:val="0"/>
          <w:szCs w:val="20"/>
          <w:lang w:val="en-US"/>
        </w:rPr>
        <w:t xml:space="preserve">ish that the </w:t>
      </w:r>
      <w:r w:rsidR="00926020" w:rsidRPr="009F337B">
        <w:rPr>
          <w:rFonts w:eastAsia="Times" w:cs="Arial"/>
          <w:i w:val="0"/>
          <w:szCs w:val="20"/>
          <w:lang w:val="en-US"/>
        </w:rPr>
        <w:t>Ministry of Health</w:t>
      </w:r>
      <w:r w:rsidR="00F46845" w:rsidRPr="009F337B">
        <w:rPr>
          <w:rFonts w:eastAsia="Times" w:cs="Arial"/>
          <w:i w:val="0"/>
          <w:szCs w:val="20"/>
          <w:lang w:val="en-US"/>
        </w:rPr>
        <w:t xml:space="preserve"> </w:t>
      </w:r>
      <w:r w:rsidRPr="009F337B">
        <w:rPr>
          <w:rFonts w:eastAsia="Times" w:cs="Arial"/>
          <w:i w:val="0"/>
          <w:szCs w:val="20"/>
          <w:lang w:val="en-US"/>
        </w:rPr>
        <w:t xml:space="preserve">must ensure that it has the basic equipment and inputs required to provide </w:t>
      </w:r>
      <w:r w:rsidR="00804FCA" w:rsidRPr="009F337B">
        <w:rPr>
          <w:rFonts w:eastAsia="Times" w:cs="Arial"/>
          <w:i w:val="0"/>
          <w:szCs w:val="20"/>
          <w:lang w:val="en-US"/>
        </w:rPr>
        <w:t>g</w:t>
      </w:r>
      <w:r w:rsidRPr="009F337B">
        <w:rPr>
          <w:rFonts w:eastAsia="Times" w:cs="Arial"/>
          <w:i w:val="0"/>
          <w:szCs w:val="20"/>
          <w:lang w:val="en-US"/>
        </w:rPr>
        <w:t xml:space="preserve">ood quality comprehensive care, and this requires the Ministry to provide </w:t>
      </w:r>
      <w:r w:rsidR="00804FCA" w:rsidRPr="009F337B">
        <w:rPr>
          <w:rFonts w:eastAsia="Times" w:cs="Arial"/>
          <w:i w:val="0"/>
          <w:szCs w:val="20"/>
          <w:lang w:val="en-US"/>
        </w:rPr>
        <w:t>g</w:t>
      </w:r>
      <w:r w:rsidRPr="009F337B">
        <w:rPr>
          <w:rFonts w:eastAsia="Times" w:cs="Arial"/>
          <w:i w:val="0"/>
          <w:szCs w:val="20"/>
          <w:lang w:val="en-US"/>
        </w:rPr>
        <w:t xml:space="preserve">ood quality care in its health centers, including access to </w:t>
      </w:r>
      <w:r w:rsidR="00D52F4C" w:rsidRPr="009F337B">
        <w:rPr>
          <w:rFonts w:eastAsia="Times" w:cs="Arial"/>
          <w:i w:val="0"/>
          <w:szCs w:val="20"/>
          <w:lang w:val="en-US"/>
        </w:rPr>
        <w:t>antiretroviral drugs</w:t>
      </w:r>
      <w:r w:rsidR="00F46845" w:rsidRPr="009F337B">
        <w:rPr>
          <w:rFonts w:eastAsia="Times" w:cs="Arial"/>
          <w:i w:val="0"/>
          <w:szCs w:val="20"/>
          <w:lang w:val="en-US"/>
        </w:rPr>
        <w:t xml:space="preserve"> </w:t>
      </w:r>
      <w:r w:rsidRPr="009F337B">
        <w:rPr>
          <w:rFonts w:eastAsia="Times" w:cs="Arial"/>
          <w:i w:val="0"/>
          <w:szCs w:val="20"/>
          <w:lang w:val="en-US"/>
        </w:rPr>
        <w:t xml:space="preserve">for the treatment of </w:t>
      </w:r>
      <w:r w:rsidR="00CA11F6" w:rsidRPr="009F337B">
        <w:rPr>
          <w:rFonts w:eastAsia="Times" w:cs="Arial"/>
          <w:i w:val="0"/>
          <w:szCs w:val="20"/>
          <w:lang w:val="en-US"/>
        </w:rPr>
        <w:t>HIV/AIDS</w:t>
      </w:r>
      <w:r w:rsidR="00804FCA" w:rsidRPr="009F337B">
        <w:rPr>
          <w:rFonts w:eastAsia="Times" w:cs="Arial"/>
          <w:i w:val="0"/>
          <w:szCs w:val="20"/>
          <w:lang w:val="en-US"/>
        </w:rPr>
        <w:t xml:space="preserve"> in accordance with national protocols</w:t>
      </w:r>
      <w:r w:rsidR="00E73480" w:rsidRPr="009F337B">
        <w:rPr>
          <w:rFonts w:eastAsia="Times" w:cs="Arial"/>
          <w:i w:val="0"/>
          <w:szCs w:val="20"/>
          <w:lang w:val="en-US"/>
        </w:rPr>
        <w:t xml:space="preserve"> (</w:t>
      </w:r>
      <w:r w:rsidR="00E73480" w:rsidRPr="009F337B">
        <w:rPr>
          <w:rFonts w:eastAsia="Times" w:cs="Arial"/>
          <w:szCs w:val="20"/>
          <w:lang w:val="en-US"/>
        </w:rPr>
        <w:t>supra</w:t>
      </w:r>
      <w:r w:rsidR="00E73480" w:rsidRPr="009F337B">
        <w:rPr>
          <w:rFonts w:eastAsia="Times" w:cs="Arial"/>
          <w:i w:val="0"/>
          <w:szCs w:val="20"/>
          <w:lang w:val="en-US"/>
        </w:rPr>
        <w:t xml:space="preserve"> </w:t>
      </w:r>
      <w:r w:rsidRPr="009F337B">
        <w:rPr>
          <w:rFonts w:eastAsia="Times" w:cs="Arial"/>
          <w:i w:val="0"/>
          <w:szCs w:val="20"/>
          <w:lang w:val="en-US"/>
        </w:rPr>
        <w:t>para.</w:t>
      </w:r>
      <w:r w:rsidR="003A2D1F" w:rsidRPr="009F337B">
        <w:rPr>
          <w:rFonts w:eastAsia="Times" w:cs="Arial"/>
          <w:i w:val="0"/>
          <w:szCs w:val="20"/>
          <w:lang w:val="en-US"/>
        </w:rPr>
        <w:t xml:space="preserve"> 46</w:t>
      </w:r>
      <w:r w:rsidR="00E73480" w:rsidRPr="009F337B">
        <w:rPr>
          <w:rFonts w:eastAsia="Times" w:cs="Arial"/>
          <w:i w:val="0"/>
          <w:szCs w:val="20"/>
          <w:lang w:val="en-US"/>
        </w:rPr>
        <w:t>)</w:t>
      </w:r>
      <w:r w:rsidR="00E92CA8" w:rsidRPr="009F337B">
        <w:rPr>
          <w:rFonts w:eastAsia="Times" w:cs="Arial"/>
          <w:i w:val="0"/>
          <w:szCs w:val="20"/>
          <w:lang w:val="en-US"/>
        </w:rPr>
        <w:t>.</w:t>
      </w:r>
    </w:p>
    <w:p w14:paraId="177C60DA" w14:textId="77777777" w:rsidR="00E92CA8" w:rsidRPr="009F337B" w:rsidRDefault="00E92CA8" w:rsidP="00E92CA8">
      <w:pPr>
        <w:pStyle w:val="Estilo1"/>
        <w:tabs>
          <w:tab w:val="left" w:pos="709"/>
          <w:tab w:val="left" w:pos="1134"/>
        </w:tabs>
        <w:spacing w:after="0"/>
        <w:ind w:left="0" w:right="-4" w:firstLine="0"/>
        <w:rPr>
          <w:rFonts w:eastAsia="Times" w:cs="Arial"/>
          <w:i w:val="0"/>
          <w:szCs w:val="20"/>
          <w:lang w:val="en-US"/>
        </w:rPr>
      </w:pPr>
    </w:p>
    <w:p w14:paraId="70C2A112" w14:textId="64BD3AE8" w:rsidR="00D0657E" w:rsidRPr="009F337B" w:rsidRDefault="00C60B17" w:rsidP="00593E37">
      <w:pPr>
        <w:pStyle w:val="Estilo1"/>
        <w:numPr>
          <w:ilvl w:val="0"/>
          <w:numId w:val="1"/>
        </w:numPr>
        <w:tabs>
          <w:tab w:val="left" w:pos="709"/>
          <w:tab w:val="left" w:pos="1134"/>
        </w:tabs>
        <w:spacing w:after="0"/>
        <w:ind w:left="0" w:right="-4" w:firstLine="0"/>
        <w:rPr>
          <w:rFonts w:eastAsia="Times" w:cs="Arial"/>
          <w:i w:val="0"/>
          <w:szCs w:val="20"/>
          <w:lang w:val="en-US"/>
        </w:rPr>
      </w:pPr>
      <w:r w:rsidRPr="009F337B">
        <w:rPr>
          <w:rFonts w:eastAsia="Times" w:cs="Arial"/>
          <w:i w:val="0"/>
          <w:szCs w:val="20"/>
          <w:lang w:val="en-US"/>
        </w:rPr>
        <w:lastRenderedPageBreak/>
        <w:t xml:space="preserve">Based on the </w:t>
      </w:r>
      <w:r w:rsidR="00804FCA" w:rsidRPr="009F337B">
        <w:rPr>
          <w:rFonts w:eastAsia="Times" w:cs="Arial"/>
          <w:i w:val="0"/>
          <w:szCs w:val="20"/>
          <w:lang w:val="en-US"/>
        </w:rPr>
        <w:t>above</w:t>
      </w:r>
      <w:r w:rsidRPr="009F337B">
        <w:rPr>
          <w:rFonts w:eastAsia="Times" w:cs="Arial"/>
          <w:i w:val="0"/>
          <w:szCs w:val="20"/>
          <w:lang w:val="en-US"/>
        </w:rPr>
        <w:t xml:space="preserve">, the Court observes that the laws cited </w:t>
      </w:r>
      <w:r w:rsidR="00804FCA" w:rsidRPr="009F337B">
        <w:rPr>
          <w:rFonts w:eastAsia="Times" w:cs="Arial"/>
          <w:i w:val="0"/>
          <w:szCs w:val="20"/>
          <w:lang w:val="en-US"/>
        </w:rPr>
        <w:t xml:space="preserve">have </w:t>
      </w:r>
      <w:r w:rsidRPr="009F337B">
        <w:rPr>
          <w:rFonts w:eastAsia="Times" w:cs="Arial"/>
          <w:i w:val="0"/>
          <w:szCs w:val="20"/>
          <w:lang w:val="en-US"/>
        </w:rPr>
        <w:t xml:space="preserve">established, at least since 1985, </w:t>
      </w:r>
      <w:r w:rsidR="00A51F3B" w:rsidRPr="009F337B">
        <w:rPr>
          <w:rFonts w:eastAsia="Times" w:cs="Arial"/>
          <w:i w:val="0"/>
          <w:szCs w:val="20"/>
          <w:lang w:val="en-US"/>
        </w:rPr>
        <w:t>the right to health</w:t>
      </w:r>
      <w:r w:rsidR="00F46845" w:rsidRPr="009F337B">
        <w:rPr>
          <w:rFonts w:eastAsia="Times" w:cs="Arial"/>
          <w:i w:val="0"/>
          <w:szCs w:val="20"/>
          <w:lang w:val="en-US"/>
        </w:rPr>
        <w:t xml:space="preserve"> </w:t>
      </w:r>
      <w:r w:rsidRPr="009F337B">
        <w:rPr>
          <w:rFonts w:eastAsia="Times" w:cs="Arial"/>
          <w:i w:val="0"/>
          <w:szCs w:val="20"/>
          <w:lang w:val="en-US"/>
        </w:rPr>
        <w:t xml:space="preserve">as a right protected by the Constitution, and since 1997, the Health Code </w:t>
      </w:r>
      <w:r w:rsidR="00804FCA" w:rsidRPr="009F337B">
        <w:rPr>
          <w:rFonts w:eastAsia="Times" w:cs="Arial"/>
          <w:i w:val="0"/>
          <w:szCs w:val="20"/>
          <w:lang w:val="en-US"/>
        </w:rPr>
        <w:t xml:space="preserve">has </w:t>
      </w:r>
      <w:r w:rsidRPr="009F337B">
        <w:rPr>
          <w:rFonts w:eastAsia="Times" w:cs="Arial"/>
          <w:i w:val="0"/>
          <w:szCs w:val="20"/>
          <w:lang w:val="en-US"/>
        </w:rPr>
        <w:t xml:space="preserve">established the State’s obligation to provide HIV education, detection, prevention and control services. The Court also notes that, </w:t>
      </w:r>
      <w:r w:rsidR="0011263B">
        <w:rPr>
          <w:rFonts w:eastAsia="Times" w:cs="Arial"/>
          <w:i w:val="0"/>
          <w:szCs w:val="20"/>
          <w:lang w:val="en-US"/>
        </w:rPr>
        <w:t>in</w:t>
      </w:r>
      <w:r w:rsidRPr="009F337B">
        <w:rPr>
          <w:rFonts w:eastAsia="Times" w:cs="Arial"/>
          <w:i w:val="0"/>
          <w:szCs w:val="20"/>
          <w:lang w:val="en-US"/>
        </w:rPr>
        <w:t xml:space="preserve"> 2000, a specific law was enacted </w:t>
      </w:r>
      <w:r w:rsidR="00804FCA" w:rsidRPr="009F337B">
        <w:rPr>
          <w:rFonts w:eastAsia="Times" w:cs="Arial"/>
          <w:i w:val="0"/>
          <w:szCs w:val="20"/>
          <w:lang w:val="en-US"/>
        </w:rPr>
        <w:t>on</w:t>
      </w:r>
      <w:r w:rsidRPr="009F337B">
        <w:rPr>
          <w:rFonts w:eastAsia="Times" w:cs="Arial"/>
          <w:i w:val="0"/>
          <w:szCs w:val="20"/>
          <w:lang w:val="en-US"/>
        </w:rPr>
        <w:t xml:space="preserve"> the care and monitoring of </w:t>
      </w:r>
      <w:r w:rsidR="00CA11F6" w:rsidRPr="009F337B">
        <w:rPr>
          <w:rFonts w:eastAsia="Times" w:cs="Arial"/>
          <w:i w:val="0"/>
          <w:szCs w:val="20"/>
          <w:lang w:val="en-US"/>
        </w:rPr>
        <w:t>HIV/AIDS</w:t>
      </w:r>
      <w:r w:rsidR="00F46845" w:rsidRPr="009F337B">
        <w:rPr>
          <w:rFonts w:eastAsia="Times" w:cs="Arial"/>
          <w:i w:val="0"/>
          <w:szCs w:val="20"/>
          <w:lang w:val="en-US"/>
        </w:rPr>
        <w:t xml:space="preserve">. </w:t>
      </w:r>
      <w:r w:rsidRPr="009F337B">
        <w:rPr>
          <w:rFonts w:eastAsia="Times" w:cs="Arial"/>
          <w:i w:val="0"/>
          <w:szCs w:val="20"/>
          <w:lang w:val="en-US"/>
        </w:rPr>
        <w:t>Consequently</w:t>
      </w:r>
      <w:r w:rsidR="00B70F22" w:rsidRPr="009F337B">
        <w:rPr>
          <w:rFonts w:eastAsia="Times" w:cs="Arial"/>
          <w:i w:val="0"/>
          <w:szCs w:val="20"/>
          <w:lang w:val="en-US"/>
        </w:rPr>
        <w:t xml:space="preserve">, </w:t>
      </w:r>
      <w:r w:rsidR="00AE5F9E" w:rsidRPr="009F337B">
        <w:rPr>
          <w:rFonts w:eastAsia="Times" w:cs="Arial"/>
          <w:i w:val="0"/>
          <w:szCs w:val="20"/>
          <w:lang w:val="en-US"/>
        </w:rPr>
        <w:t>the Court</w:t>
      </w:r>
      <w:r w:rsidR="00B70F22" w:rsidRPr="009F337B">
        <w:rPr>
          <w:rFonts w:eastAsia="Times" w:cs="Arial"/>
          <w:i w:val="0"/>
          <w:szCs w:val="20"/>
          <w:lang w:val="en-US"/>
        </w:rPr>
        <w:t xml:space="preserve"> consider</w:t>
      </w:r>
      <w:r w:rsidRPr="009F337B">
        <w:rPr>
          <w:rFonts w:eastAsia="Times" w:cs="Arial"/>
          <w:i w:val="0"/>
          <w:szCs w:val="20"/>
          <w:lang w:val="en-US"/>
        </w:rPr>
        <w:t>s that</w:t>
      </w:r>
      <w:r w:rsidR="00B70F22" w:rsidRPr="009F337B">
        <w:rPr>
          <w:rFonts w:eastAsia="Times" w:cs="Arial"/>
          <w:i w:val="0"/>
          <w:szCs w:val="20"/>
          <w:lang w:val="en-US"/>
        </w:rPr>
        <w:t xml:space="preserve"> </w:t>
      </w:r>
      <w:r w:rsidR="003C46A3" w:rsidRPr="009F337B">
        <w:rPr>
          <w:rFonts w:eastAsia="Times" w:cs="Arial"/>
          <w:i w:val="0"/>
          <w:szCs w:val="20"/>
          <w:lang w:val="en-US"/>
        </w:rPr>
        <w:t>the State</w:t>
      </w:r>
      <w:r w:rsidR="00B70F22" w:rsidRPr="009F337B">
        <w:rPr>
          <w:rFonts w:eastAsia="Times" w:cs="Arial"/>
          <w:i w:val="0"/>
          <w:szCs w:val="20"/>
          <w:lang w:val="en-US"/>
        </w:rPr>
        <w:t xml:space="preserve"> </w:t>
      </w:r>
      <w:r w:rsidRPr="009F337B">
        <w:rPr>
          <w:rFonts w:eastAsia="Times" w:cs="Arial"/>
          <w:i w:val="0"/>
          <w:szCs w:val="20"/>
          <w:lang w:val="en-US"/>
        </w:rPr>
        <w:t xml:space="preserve">adequately regulated the protection of the right to health for </w:t>
      </w:r>
      <w:r w:rsidR="00080A1E" w:rsidRPr="009F337B">
        <w:rPr>
          <w:rFonts w:eastAsia="Times" w:cs="Arial"/>
          <w:i w:val="0"/>
          <w:szCs w:val="20"/>
          <w:lang w:val="en-US"/>
        </w:rPr>
        <w:t>people living with HIV</w:t>
      </w:r>
      <w:r w:rsidR="008E2262" w:rsidRPr="009F337B">
        <w:rPr>
          <w:rFonts w:eastAsia="Times" w:cs="Arial"/>
          <w:i w:val="0"/>
          <w:szCs w:val="20"/>
          <w:lang w:val="en-US"/>
        </w:rPr>
        <w:t xml:space="preserve"> in Guatemala</w:t>
      </w:r>
      <w:r w:rsidR="00B70F22" w:rsidRPr="009F337B">
        <w:rPr>
          <w:rFonts w:eastAsia="Times" w:cs="Arial"/>
          <w:i w:val="0"/>
          <w:szCs w:val="20"/>
          <w:lang w:val="en-US"/>
        </w:rPr>
        <w:t xml:space="preserve">. </w:t>
      </w:r>
      <w:r w:rsidRPr="009F337B">
        <w:rPr>
          <w:rFonts w:eastAsia="Times" w:cs="Arial"/>
          <w:i w:val="0"/>
          <w:szCs w:val="20"/>
          <w:lang w:val="en-US"/>
        </w:rPr>
        <w:t>T</w:t>
      </w:r>
      <w:r w:rsidR="00AE5F9E" w:rsidRPr="009F337B">
        <w:rPr>
          <w:rFonts w:eastAsia="Times" w:cs="Arial"/>
          <w:i w:val="0"/>
          <w:szCs w:val="20"/>
          <w:lang w:val="en-US"/>
        </w:rPr>
        <w:t>he Court</w:t>
      </w:r>
      <w:r w:rsidR="00B70F22" w:rsidRPr="009F337B">
        <w:rPr>
          <w:rFonts w:eastAsia="Times" w:cs="Arial"/>
          <w:i w:val="0"/>
          <w:szCs w:val="20"/>
          <w:lang w:val="en-US"/>
        </w:rPr>
        <w:t xml:space="preserve"> </w:t>
      </w:r>
      <w:r w:rsidRPr="009F337B">
        <w:rPr>
          <w:rFonts w:eastAsia="Times" w:cs="Arial"/>
          <w:i w:val="0"/>
          <w:szCs w:val="20"/>
          <w:lang w:val="en-US"/>
        </w:rPr>
        <w:t xml:space="preserve">must now verify whether the State complied with its obligation </w:t>
      </w:r>
      <w:r w:rsidR="00804FCA" w:rsidRPr="009F337B">
        <w:rPr>
          <w:rFonts w:eastAsia="Times" w:cs="Arial"/>
          <w:i w:val="0"/>
          <w:szCs w:val="20"/>
          <w:lang w:val="en-US"/>
        </w:rPr>
        <w:t>to ensure</w:t>
      </w:r>
      <w:r w:rsidR="00371ADF" w:rsidRPr="009F337B">
        <w:rPr>
          <w:rFonts w:eastAsia="Times" w:cs="Arial"/>
          <w:i w:val="0"/>
          <w:szCs w:val="20"/>
          <w:lang w:val="en-US"/>
        </w:rPr>
        <w:t xml:space="preserve"> the </w:t>
      </w:r>
      <w:r w:rsidR="00A51F3B" w:rsidRPr="009F337B">
        <w:rPr>
          <w:rFonts w:eastAsia="Times" w:cs="Arial"/>
          <w:i w:val="0"/>
          <w:szCs w:val="20"/>
          <w:lang w:val="en-US"/>
        </w:rPr>
        <w:t>right to health</w:t>
      </w:r>
      <w:r w:rsidRPr="009F337B">
        <w:rPr>
          <w:rFonts w:eastAsia="Times" w:cs="Arial"/>
          <w:i w:val="0"/>
          <w:szCs w:val="20"/>
          <w:lang w:val="en-US"/>
        </w:rPr>
        <w:t xml:space="preserve"> of</w:t>
      </w:r>
      <w:r w:rsidR="00B70F22" w:rsidRPr="009F337B">
        <w:rPr>
          <w:rFonts w:eastAsia="Times" w:cs="Arial"/>
          <w:i w:val="0"/>
          <w:szCs w:val="20"/>
          <w:lang w:val="en-US"/>
        </w:rPr>
        <w:t xml:space="preserve"> </w:t>
      </w:r>
      <w:r w:rsidR="00A00EE5" w:rsidRPr="009F337B">
        <w:rPr>
          <w:rFonts w:eastAsia="Times" w:cs="Arial"/>
          <w:i w:val="0"/>
          <w:szCs w:val="20"/>
          <w:lang w:val="en-US"/>
        </w:rPr>
        <w:t>the presumed</w:t>
      </w:r>
      <w:r w:rsidR="003C46A3" w:rsidRPr="009F337B">
        <w:rPr>
          <w:rFonts w:eastAsia="Times" w:cs="Arial"/>
          <w:i w:val="0"/>
          <w:szCs w:val="20"/>
          <w:lang w:val="en-US"/>
        </w:rPr>
        <w:t xml:space="preserve"> victims</w:t>
      </w:r>
      <w:r w:rsidR="00B70F22" w:rsidRPr="009F337B">
        <w:rPr>
          <w:rFonts w:eastAsia="Times" w:cs="Arial"/>
          <w:i w:val="0"/>
          <w:szCs w:val="20"/>
          <w:lang w:val="en-US"/>
        </w:rPr>
        <w:t xml:space="preserve"> </w:t>
      </w:r>
      <w:r w:rsidRPr="009F337B">
        <w:rPr>
          <w:rFonts w:eastAsia="Times" w:cs="Arial"/>
          <w:i w:val="0"/>
          <w:szCs w:val="20"/>
          <w:lang w:val="en-US"/>
        </w:rPr>
        <w:t xml:space="preserve">in this case. To this end, it will </w:t>
      </w:r>
      <w:r w:rsidR="00804FCA" w:rsidRPr="009F337B">
        <w:rPr>
          <w:rFonts w:eastAsia="Times" w:cs="Arial"/>
          <w:i w:val="0"/>
          <w:szCs w:val="20"/>
          <w:lang w:val="en-US"/>
        </w:rPr>
        <w:t>divide</w:t>
      </w:r>
      <w:r w:rsidRPr="009F337B">
        <w:rPr>
          <w:rFonts w:eastAsia="Times" w:cs="Arial"/>
          <w:i w:val="0"/>
          <w:szCs w:val="20"/>
          <w:lang w:val="en-US"/>
        </w:rPr>
        <w:t xml:space="preserve"> its analysis into two periods</w:t>
      </w:r>
      <w:r w:rsidR="00E55B9D" w:rsidRPr="009F337B">
        <w:rPr>
          <w:rFonts w:eastAsia="Times" w:cs="Arial"/>
          <w:i w:val="0"/>
          <w:szCs w:val="20"/>
          <w:lang w:val="en-US"/>
        </w:rPr>
        <w:t xml:space="preserve">: </w:t>
      </w:r>
      <w:r w:rsidRPr="009F337B">
        <w:rPr>
          <w:rFonts w:eastAsia="Times" w:cs="Arial"/>
          <w:i w:val="0"/>
          <w:szCs w:val="20"/>
          <w:lang w:val="en-US"/>
        </w:rPr>
        <w:t>(</w:t>
      </w:r>
      <w:proofErr w:type="spellStart"/>
      <w:r w:rsidR="00E55B9D" w:rsidRPr="009F337B">
        <w:rPr>
          <w:rFonts w:eastAsia="Times" w:cs="Arial"/>
          <w:i w:val="0"/>
          <w:szCs w:val="20"/>
          <w:lang w:val="en-US"/>
        </w:rPr>
        <w:t>i</w:t>
      </w:r>
      <w:proofErr w:type="spellEnd"/>
      <w:r w:rsidR="00E55B9D" w:rsidRPr="009F337B">
        <w:rPr>
          <w:rFonts w:eastAsia="Times" w:cs="Arial"/>
          <w:i w:val="0"/>
          <w:szCs w:val="20"/>
          <w:lang w:val="en-US"/>
        </w:rPr>
        <w:t xml:space="preserve">) </w:t>
      </w:r>
      <w:r w:rsidRPr="009F337B">
        <w:rPr>
          <w:rFonts w:eastAsia="Times" w:cs="Arial"/>
          <w:i w:val="0"/>
          <w:szCs w:val="20"/>
          <w:lang w:val="en-US"/>
        </w:rPr>
        <w:t>before</w:t>
      </w:r>
      <w:r w:rsidR="00E55B9D" w:rsidRPr="009F337B">
        <w:rPr>
          <w:rFonts w:eastAsia="Times" w:cs="Arial"/>
          <w:i w:val="0"/>
          <w:szCs w:val="20"/>
          <w:lang w:val="en-US"/>
        </w:rPr>
        <w:t xml:space="preserve"> 2004,</w:t>
      </w:r>
      <w:r w:rsidR="003C46A3" w:rsidRPr="009F337B">
        <w:rPr>
          <w:rFonts w:eastAsia="Times" w:cs="Arial"/>
          <w:i w:val="0"/>
          <w:szCs w:val="20"/>
          <w:lang w:val="en-US"/>
        </w:rPr>
        <w:t xml:space="preserve"> and </w:t>
      </w:r>
      <w:r w:rsidRPr="009F337B">
        <w:rPr>
          <w:rFonts w:eastAsia="Times" w:cs="Arial"/>
          <w:i w:val="0"/>
          <w:szCs w:val="20"/>
          <w:lang w:val="en-US"/>
        </w:rPr>
        <w:t>(</w:t>
      </w:r>
      <w:r w:rsidR="00E55B9D" w:rsidRPr="009F337B">
        <w:rPr>
          <w:rFonts w:eastAsia="Times" w:cs="Arial"/>
          <w:i w:val="0"/>
          <w:szCs w:val="20"/>
          <w:lang w:val="en-US"/>
        </w:rPr>
        <w:t xml:space="preserve">ii) </w:t>
      </w:r>
      <w:r w:rsidRPr="009F337B">
        <w:rPr>
          <w:rFonts w:eastAsia="Times" w:cs="Arial"/>
          <w:i w:val="0"/>
          <w:szCs w:val="20"/>
          <w:lang w:val="en-US"/>
        </w:rPr>
        <w:t>after 2004</w:t>
      </w:r>
      <w:r w:rsidR="00F46845" w:rsidRPr="009F337B">
        <w:rPr>
          <w:rFonts w:eastAsia="Times" w:cs="Arial"/>
          <w:i w:val="0"/>
          <w:szCs w:val="20"/>
          <w:lang w:val="en-US"/>
        </w:rPr>
        <w:t>.</w:t>
      </w:r>
    </w:p>
    <w:p w14:paraId="38687137" w14:textId="77777777" w:rsidR="00EE1E0E" w:rsidRPr="009F337B" w:rsidRDefault="00EE1E0E" w:rsidP="00E92CA8">
      <w:pPr>
        <w:rPr>
          <w:rFonts w:eastAsia="Verdana"/>
          <w:bCs/>
          <w:lang w:val="en-US" w:eastAsia="x-none"/>
        </w:rPr>
      </w:pPr>
    </w:p>
    <w:p w14:paraId="636B54F7" w14:textId="763F4111" w:rsidR="00F46845" w:rsidRPr="009F337B" w:rsidRDefault="00654D86" w:rsidP="00E92CA8">
      <w:pPr>
        <w:pStyle w:val="Ttulo3"/>
        <w:spacing w:before="0"/>
        <w:rPr>
          <w:b w:val="0"/>
          <w:i w:val="0"/>
          <w:lang w:val="en-US"/>
        </w:rPr>
      </w:pPr>
      <w:bookmarkStart w:id="81" w:name="_Toc527466492"/>
      <w:r w:rsidRPr="009F337B">
        <w:rPr>
          <w:rFonts w:eastAsia="Verdana"/>
          <w:bCs/>
          <w:lang w:val="en-US" w:eastAsia="x-none"/>
        </w:rPr>
        <w:t>B.4</w:t>
      </w:r>
      <w:r w:rsidR="00F46845" w:rsidRPr="009F337B">
        <w:rPr>
          <w:rFonts w:eastAsia="Verdana"/>
          <w:bCs/>
          <w:lang w:val="en-US" w:eastAsia="x-none"/>
        </w:rPr>
        <w:t xml:space="preserve">. </w:t>
      </w:r>
      <w:r w:rsidR="00B85062" w:rsidRPr="009F337B">
        <w:rPr>
          <w:lang w:val="en-US"/>
        </w:rPr>
        <w:t>The violation of the right to health</w:t>
      </w:r>
      <w:bookmarkEnd w:id="81"/>
      <w:r w:rsidR="00F46845" w:rsidRPr="009F337B">
        <w:rPr>
          <w:lang w:val="en-US"/>
        </w:rPr>
        <w:t xml:space="preserve"> </w:t>
      </w:r>
    </w:p>
    <w:p w14:paraId="7CFC76DF" w14:textId="77777777" w:rsidR="00E55B9D" w:rsidRPr="009F337B" w:rsidRDefault="00E55B9D" w:rsidP="00E92CA8">
      <w:pPr>
        <w:rPr>
          <w:lang w:val="en-US"/>
        </w:rPr>
      </w:pPr>
    </w:p>
    <w:p w14:paraId="011057AB" w14:textId="33CE4B90" w:rsidR="00E92CA8" w:rsidRPr="009F337B" w:rsidRDefault="00AC0BEF" w:rsidP="00E92CA8">
      <w:pPr>
        <w:rPr>
          <w:rFonts w:eastAsia="Times" w:cs="Arial"/>
          <w:b/>
          <w:i/>
          <w:szCs w:val="20"/>
          <w:lang w:val="en-US"/>
        </w:rPr>
      </w:pPr>
      <w:r w:rsidRPr="009F337B">
        <w:rPr>
          <w:rFonts w:eastAsia="Verdana"/>
          <w:b/>
          <w:bCs/>
          <w:i/>
          <w:szCs w:val="20"/>
          <w:lang w:val="en-US" w:eastAsia="x-none"/>
        </w:rPr>
        <w:tab/>
      </w:r>
      <w:r w:rsidRPr="009F337B">
        <w:rPr>
          <w:rFonts w:eastAsia="Verdana"/>
          <w:b/>
          <w:bCs/>
          <w:i/>
          <w:szCs w:val="20"/>
          <w:lang w:val="en-US" w:eastAsia="x-none"/>
        </w:rPr>
        <w:tab/>
      </w:r>
      <w:r w:rsidRPr="009F337B">
        <w:rPr>
          <w:rFonts w:eastAsia="Verdana"/>
          <w:b/>
          <w:bCs/>
          <w:i/>
          <w:szCs w:val="20"/>
          <w:lang w:val="en-US" w:eastAsia="x-none"/>
        </w:rPr>
        <w:tab/>
      </w:r>
      <w:r w:rsidR="00E55B9D" w:rsidRPr="009F337B">
        <w:rPr>
          <w:rFonts w:eastAsia="Verdana"/>
          <w:b/>
          <w:bCs/>
          <w:i/>
          <w:szCs w:val="20"/>
          <w:lang w:val="en-US" w:eastAsia="x-none"/>
        </w:rPr>
        <w:t xml:space="preserve">B.4.1. </w:t>
      </w:r>
      <w:r w:rsidR="00E55B9D" w:rsidRPr="009F337B">
        <w:rPr>
          <w:rFonts w:eastAsia="Times" w:cs="Arial"/>
          <w:b/>
          <w:i/>
          <w:szCs w:val="20"/>
          <w:lang w:val="en-US"/>
        </w:rPr>
        <w:t>An</w:t>
      </w:r>
      <w:r w:rsidR="00B85062" w:rsidRPr="009F337B">
        <w:rPr>
          <w:rFonts w:eastAsia="Times" w:cs="Arial"/>
          <w:b/>
          <w:i/>
          <w:szCs w:val="20"/>
          <w:lang w:val="en-US"/>
        </w:rPr>
        <w:t xml:space="preserve">alysis of the medical treatment received by </w:t>
      </w:r>
      <w:r w:rsidR="00A00EE5" w:rsidRPr="009F337B">
        <w:rPr>
          <w:rFonts w:eastAsia="Times" w:cs="Arial"/>
          <w:b/>
          <w:i/>
          <w:szCs w:val="20"/>
          <w:lang w:val="en-US"/>
        </w:rPr>
        <w:t>the presumed</w:t>
      </w:r>
      <w:r w:rsidR="003C46A3" w:rsidRPr="009F337B">
        <w:rPr>
          <w:rFonts w:eastAsia="Times" w:cs="Arial"/>
          <w:b/>
          <w:i/>
          <w:szCs w:val="20"/>
          <w:lang w:val="en-US"/>
        </w:rPr>
        <w:t xml:space="preserve"> victims</w:t>
      </w:r>
      <w:r w:rsidR="00E55B9D" w:rsidRPr="009F337B">
        <w:rPr>
          <w:rFonts w:eastAsia="Times" w:cs="Arial"/>
          <w:b/>
          <w:i/>
          <w:szCs w:val="20"/>
          <w:lang w:val="en-US"/>
        </w:rPr>
        <w:t xml:space="preserve"> </w:t>
      </w:r>
      <w:r w:rsidR="00B85062" w:rsidRPr="009F337B">
        <w:rPr>
          <w:rFonts w:eastAsia="Times" w:cs="Arial"/>
          <w:b/>
          <w:i/>
          <w:szCs w:val="20"/>
          <w:lang w:val="en-US"/>
        </w:rPr>
        <w:t>prior to</w:t>
      </w:r>
      <w:r w:rsidR="00E55B9D" w:rsidRPr="009F337B">
        <w:rPr>
          <w:rFonts w:eastAsia="Times" w:cs="Arial"/>
          <w:b/>
          <w:i/>
          <w:szCs w:val="20"/>
          <w:lang w:val="en-US"/>
        </w:rPr>
        <w:t xml:space="preserve"> 2004</w:t>
      </w:r>
    </w:p>
    <w:p w14:paraId="26676C87" w14:textId="77777777" w:rsidR="00E92CA8" w:rsidRPr="009F337B" w:rsidRDefault="00E92CA8" w:rsidP="00E92CA8">
      <w:pPr>
        <w:rPr>
          <w:rFonts w:eastAsia="Times" w:cs="Arial"/>
          <w:szCs w:val="20"/>
          <w:lang w:val="en-US"/>
        </w:rPr>
      </w:pPr>
    </w:p>
    <w:p w14:paraId="5B56EFB6" w14:textId="6A1978C9" w:rsidR="00F46845" w:rsidRPr="009F337B" w:rsidRDefault="00C60B17" w:rsidP="00593E37">
      <w:pPr>
        <w:pStyle w:val="Estilo1"/>
        <w:numPr>
          <w:ilvl w:val="0"/>
          <w:numId w:val="1"/>
        </w:numPr>
        <w:tabs>
          <w:tab w:val="left" w:pos="709"/>
          <w:tab w:val="left" w:pos="1134"/>
        </w:tabs>
        <w:spacing w:after="0"/>
        <w:ind w:left="0" w:right="-4" w:firstLine="0"/>
        <w:rPr>
          <w:rFonts w:eastAsia="Times" w:cs="Arial"/>
          <w:i w:val="0"/>
          <w:szCs w:val="20"/>
          <w:lang w:val="en-US"/>
        </w:rPr>
      </w:pPr>
      <w:r w:rsidRPr="009F337B">
        <w:rPr>
          <w:rFonts w:eastAsia="Times" w:cs="Arial"/>
          <w:i w:val="0"/>
          <w:szCs w:val="20"/>
          <w:lang w:val="en-US"/>
        </w:rPr>
        <w:t xml:space="preserve">In this chapter, the dispute focuses on whether the State is internationally responsible for the violation of the right to health as a result of the medical care – or lack of it – provided to </w:t>
      </w:r>
      <w:r w:rsidR="00A00EE5" w:rsidRPr="009F337B">
        <w:rPr>
          <w:rFonts w:eastAsia="Times" w:cs="Arial"/>
          <w:i w:val="0"/>
          <w:szCs w:val="20"/>
          <w:lang w:val="en-US"/>
        </w:rPr>
        <w:t>the presumed</w:t>
      </w:r>
      <w:r w:rsidR="003C46A3" w:rsidRPr="009F337B">
        <w:rPr>
          <w:rFonts w:eastAsia="Times" w:cs="Arial"/>
          <w:i w:val="0"/>
          <w:szCs w:val="20"/>
          <w:lang w:val="en-US"/>
        </w:rPr>
        <w:t xml:space="preserve"> victims</w:t>
      </w:r>
      <w:r w:rsidR="00F46845" w:rsidRPr="009F337B">
        <w:rPr>
          <w:rFonts w:eastAsia="Times" w:cs="Arial"/>
          <w:i w:val="0"/>
          <w:szCs w:val="20"/>
          <w:lang w:val="en-US"/>
        </w:rPr>
        <w:t xml:space="preserve"> </w:t>
      </w:r>
      <w:r w:rsidRPr="009F337B">
        <w:rPr>
          <w:rFonts w:eastAsia="Times" w:cs="Arial"/>
          <w:i w:val="0"/>
          <w:szCs w:val="20"/>
          <w:lang w:val="en-US"/>
        </w:rPr>
        <w:t>as</w:t>
      </w:r>
      <w:r w:rsidR="00F46845" w:rsidRPr="009F337B">
        <w:rPr>
          <w:rFonts w:eastAsia="Times" w:cs="Arial"/>
          <w:i w:val="0"/>
          <w:szCs w:val="20"/>
          <w:lang w:val="en-US"/>
        </w:rPr>
        <w:t xml:space="preserve"> </w:t>
      </w:r>
      <w:r w:rsidR="00080A1E" w:rsidRPr="009F337B">
        <w:rPr>
          <w:rFonts w:eastAsia="Times" w:cs="Arial"/>
          <w:i w:val="0"/>
          <w:szCs w:val="20"/>
          <w:lang w:val="en-US"/>
        </w:rPr>
        <w:t>people living with HIV</w:t>
      </w:r>
      <w:r w:rsidRPr="009F337B">
        <w:rPr>
          <w:rFonts w:eastAsia="Times" w:cs="Arial"/>
          <w:i w:val="0"/>
          <w:szCs w:val="20"/>
          <w:lang w:val="en-US"/>
        </w:rPr>
        <w:t>. It also refers to whether</w:t>
      </w:r>
      <w:r w:rsidR="00B913BF" w:rsidRPr="009F337B">
        <w:rPr>
          <w:rFonts w:eastAsia="Times" w:cs="Arial"/>
          <w:i w:val="0"/>
          <w:szCs w:val="20"/>
          <w:lang w:val="en-US"/>
        </w:rPr>
        <w:t xml:space="preserve"> </w:t>
      </w:r>
      <w:r w:rsidR="003C46A3" w:rsidRPr="009F337B">
        <w:rPr>
          <w:rFonts w:eastAsia="Times" w:cs="Arial"/>
          <w:i w:val="0"/>
          <w:szCs w:val="20"/>
          <w:lang w:val="en-US"/>
        </w:rPr>
        <w:t>the State</w:t>
      </w:r>
      <w:r w:rsidR="00B913BF" w:rsidRPr="009F337B">
        <w:rPr>
          <w:rFonts w:eastAsia="Times" w:cs="Arial"/>
          <w:i w:val="0"/>
          <w:szCs w:val="20"/>
          <w:lang w:val="en-US"/>
        </w:rPr>
        <w:t xml:space="preserve"> </w:t>
      </w:r>
      <w:r w:rsidRPr="009F337B">
        <w:rPr>
          <w:rFonts w:eastAsia="Times" w:cs="Arial"/>
          <w:i w:val="0"/>
          <w:szCs w:val="20"/>
          <w:lang w:val="en-US"/>
        </w:rPr>
        <w:t xml:space="preserve">should have adopted differentiated measures for the treatment of individuals in a situation of vulnerability or risk. Lastly, it refers to whether the State is responsible for the violation of the principle of progressivity </w:t>
      </w:r>
      <w:r w:rsidR="00804FCA" w:rsidRPr="009F337B">
        <w:rPr>
          <w:rFonts w:eastAsia="Times" w:cs="Arial"/>
          <w:i w:val="0"/>
          <w:szCs w:val="20"/>
          <w:lang w:val="en-US"/>
        </w:rPr>
        <w:t>with regard to</w:t>
      </w:r>
      <w:r w:rsidR="00371ADF" w:rsidRPr="009F337B">
        <w:rPr>
          <w:rFonts w:eastAsia="Times" w:cs="Arial"/>
          <w:i w:val="0"/>
          <w:szCs w:val="20"/>
          <w:lang w:val="en-US"/>
        </w:rPr>
        <w:t xml:space="preserve"> the </w:t>
      </w:r>
      <w:r w:rsidR="00A51F3B" w:rsidRPr="009F337B">
        <w:rPr>
          <w:rFonts w:eastAsia="Times" w:cs="Arial"/>
          <w:i w:val="0"/>
          <w:szCs w:val="20"/>
          <w:lang w:val="en-US"/>
        </w:rPr>
        <w:t>right to health</w:t>
      </w:r>
      <w:r w:rsidR="003B481F" w:rsidRPr="009F337B">
        <w:rPr>
          <w:rFonts w:eastAsia="Times" w:cs="Arial"/>
          <w:i w:val="0"/>
          <w:szCs w:val="20"/>
          <w:lang w:val="en-US"/>
        </w:rPr>
        <w:t xml:space="preserve">. </w:t>
      </w:r>
      <w:r w:rsidR="00AE5F9E" w:rsidRPr="009F337B">
        <w:rPr>
          <w:rFonts w:eastAsia="Times" w:cs="Arial"/>
          <w:i w:val="0"/>
          <w:szCs w:val="20"/>
          <w:lang w:val="en-US"/>
        </w:rPr>
        <w:t>The Court</w:t>
      </w:r>
      <w:r w:rsidR="00F46845" w:rsidRPr="009F337B">
        <w:rPr>
          <w:rFonts w:eastAsia="Times" w:cs="Arial"/>
          <w:i w:val="0"/>
          <w:szCs w:val="20"/>
          <w:lang w:val="en-US"/>
        </w:rPr>
        <w:t xml:space="preserve"> </w:t>
      </w:r>
      <w:r w:rsidRPr="009F337B">
        <w:rPr>
          <w:rFonts w:eastAsia="Times" w:cs="Arial"/>
          <w:i w:val="0"/>
          <w:szCs w:val="20"/>
          <w:lang w:val="en-US"/>
        </w:rPr>
        <w:t>will examine the fac</w:t>
      </w:r>
      <w:r w:rsidR="00804FCA" w:rsidRPr="009F337B">
        <w:rPr>
          <w:rFonts w:eastAsia="Times" w:cs="Arial"/>
          <w:i w:val="0"/>
          <w:szCs w:val="20"/>
          <w:lang w:val="en-US"/>
        </w:rPr>
        <w:t>ts</w:t>
      </w:r>
      <w:r w:rsidRPr="009F337B">
        <w:rPr>
          <w:rFonts w:eastAsia="Times" w:cs="Arial"/>
          <w:i w:val="0"/>
          <w:szCs w:val="20"/>
          <w:lang w:val="en-US"/>
        </w:rPr>
        <w:t xml:space="preserve"> of th</w:t>
      </w:r>
      <w:r w:rsidR="00804FCA" w:rsidRPr="009F337B">
        <w:rPr>
          <w:rFonts w:eastAsia="Times" w:cs="Arial"/>
          <w:i w:val="0"/>
          <w:szCs w:val="20"/>
          <w:lang w:val="en-US"/>
        </w:rPr>
        <w:t>e</w:t>
      </w:r>
      <w:r w:rsidRPr="009F337B">
        <w:rPr>
          <w:rFonts w:eastAsia="Times" w:cs="Arial"/>
          <w:i w:val="0"/>
          <w:szCs w:val="20"/>
          <w:lang w:val="en-US"/>
        </w:rPr>
        <w:t xml:space="preserve"> case in light of the State’s obligation to ensure</w:t>
      </w:r>
      <w:r w:rsidR="00F46845" w:rsidRPr="009F337B">
        <w:rPr>
          <w:rFonts w:eastAsia="Times" w:cs="Arial"/>
          <w:i w:val="0"/>
          <w:szCs w:val="20"/>
          <w:lang w:val="en-US"/>
        </w:rPr>
        <w:t xml:space="preserve"> </w:t>
      </w:r>
      <w:r w:rsidR="00A51F3B" w:rsidRPr="009F337B">
        <w:rPr>
          <w:rFonts w:eastAsia="Times" w:cs="Arial"/>
          <w:i w:val="0"/>
          <w:szCs w:val="20"/>
          <w:lang w:val="en-US"/>
        </w:rPr>
        <w:t>the right to health</w:t>
      </w:r>
      <w:r w:rsidR="00CC6A68" w:rsidRPr="009F337B">
        <w:rPr>
          <w:rFonts w:eastAsia="Times" w:cs="Arial"/>
          <w:i w:val="0"/>
          <w:szCs w:val="20"/>
          <w:lang w:val="en-US"/>
        </w:rPr>
        <w:t xml:space="preserve"> of the </w:t>
      </w:r>
      <w:r w:rsidR="00A00EE5" w:rsidRPr="009F337B">
        <w:rPr>
          <w:rFonts w:eastAsia="Times" w:cs="Arial"/>
          <w:i w:val="0"/>
          <w:szCs w:val="20"/>
          <w:lang w:val="en-US"/>
        </w:rPr>
        <w:t>presumed</w:t>
      </w:r>
      <w:r w:rsidR="003C46A3" w:rsidRPr="009F337B">
        <w:rPr>
          <w:rFonts w:eastAsia="Times" w:cs="Arial"/>
          <w:i w:val="0"/>
          <w:szCs w:val="20"/>
          <w:lang w:val="en-US"/>
        </w:rPr>
        <w:t xml:space="preserve"> victims</w:t>
      </w:r>
      <w:r w:rsidR="00F46845" w:rsidRPr="009F337B">
        <w:rPr>
          <w:rFonts w:eastAsia="Times" w:cs="Arial"/>
          <w:i w:val="0"/>
          <w:szCs w:val="20"/>
          <w:lang w:val="en-US"/>
        </w:rPr>
        <w:t xml:space="preserve">. </w:t>
      </w:r>
      <w:r w:rsidRPr="009F337B">
        <w:rPr>
          <w:rFonts w:eastAsia="Times" w:cs="Arial"/>
          <w:i w:val="0"/>
          <w:szCs w:val="20"/>
          <w:lang w:val="en-US"/>
        </w:rPr>
        <w:t>To this end</w:t>
      </w:r>
      <w:r w:rsidR="00F46845" w:rsidRPr="009F337B">
        <w:rPr>
          <w:rFonts w:eastAsia="Times" w:cs="Arial"/>
          <w:i w:val="0"/>
          <w:szCs w:val="20"/>
          <w:lang w:val="en-US"/>
        </w:rPr>
        <w:t xml:space="preserve">, </w:t>
      </w:r>
      <w:r w:rsidR="008C399E" w:rsidRPr="009F337B">
        <w:rPr>
          <w:rFonts w:eastAsia="Times" w:cs="Arial"/>
          <w:i w:val="0"/>
          <w:szCs w:val="20"/>
          <w:lang w:val="en-US"/>
        </w:rPr>
        <w:t>the Court</w:t>
      </w:r>
      <w:r w:rsidR="00F46845" w:rsidRPr="009F337B">
        <w:rPr>
          <w:rFonts w:eastAsia="Times" w:cs="Arial"/>
          <w:i w:val="0"/>
          <w:szCs w:val="20"/>
          <w:lang w:val="en-US"/>
        </w:rPr>
        <w:t xml:space="preserve"> </w:t>
      </w:r>
      <w:r w:rsidRPr="009F337B">
        <w:rPr>
          <w:rFonts w:eastAsia="Times" w:cs="Arial"/>
          <w:i w:val="0"/>
          <w:szCs w:val="20"/>
          <w:lang w:val="en-US"/>
        </w:rPr>
        <w:t xml:space="preserve">finds it necessary to differentiate two periods in the medical care provided to </w:t>
      </w:r>
      <w:r w:rsidR="00A00EE5" w:rsidRPr="009F337B">
        <w:rPr>
          <w:rFonts w:eastAsia="Times" w:cs="Arial"/>
          <w:i w:val="0"/>
          <w:szCs w:val="20"/>
          <w:lang w:val="en-US"/>
        </w:rPr>
        <w:t>the presumed</w:t>
      </w:r>
      <w:r w:rsidR="003C46A3" w:rsidRPr="009F337B">
        <w:rPr>
          <w:rFonts w:eastAsia="Times" w:cs="Arial"/>
          <w:i w:val="0"/>
          <w:szCs w:val="20"/>
          <w:lang w:val="en-US"/>
        </w:rPr>
        <w:t xml:space="preserve"> victims and </w:t>
      </w:r>
      <w:r w:rsidRPr="009F337B">
        <w:rPr>
          <w:rFonts w:eastAsia="Times" w:cs="Arial"/>
          <w:i w:val="0"/>
          <w:szCs w:val="20"/>
          <w:lang w:val="en-US"/>
        </w:rPr>
        <w:t>the legal consequences of this care</w:t>
      </w:r>
      <w:r w:rsidR="007C0E70" w:rsidRPr="009F337B">
        <w:rPr>
          <w:rFonts w:eastAsia="Times" w:cs="Arial"/>
          <w:i w:val="0"/>
          <w:szCs w:val="20"/>
          <w:lang w:val="en-US"/>
        </w:rPr>
        <w:t xml:space="preserve">: </w:t>
      </w:r>
      <w:r w:rsidRPr="009F337B">
        <w:rPr>
          <w:rFonts w:eastAsia="Times" w:cs="Arial"/>
          <w:i w:val="0"/>
          <w:szCs w:val="20"/>
          <w:lang w:val="en-US"/>
        </w:rPr>
        <w:t>(</w:t>
      </w:r>
      <w:proofErr w:type="spellStart"/>
      <w:r w:rsidR="007C0E70" w:rsidRPr="009F337B">
        <w:rPr>
          <w:rFonts w:eastAsia="Times" w:cs="Arial"/>
          <w:i w:val="0"/>
          <w:szCs w:val="20"/>
          <w:lang w:val="en-US"/>
        </w:rPr>
        <w:t>i</w:t>
      </w:r>
      <w:proofErr w:type="spellEnd"/>
      <w:r w:rsidR="007C0E70" w:rsidRPr="009F337B">
        <w:rPr>
          <w:rFonts w:eastAsia="Times" w:cs="Arial"/>
          <w:i w:val="0"/>
          <w:szCs w:val="20"/>
          <w:lang w:val="en-US"/>
        </w:rPr>
        <w:t xml:space="preserve">) </w:t>
      </w:r>
      <w:r w:rsidRPr="009F337B">
        <w:rPr>
          <w:rFonts w:eastAsia="Times" w:cs="Arial"/>
          <w:i w:val="0"/>
          <w:szCs w:val="20"/>
          <w:lang w:val="en-US"/>
        </w:rPr>
        <w:t>before</w:t>
      </w:r>
      <w:r w:rsidR="007C0E70" w:rsidRPr="009F337B">
        <w:rPr>
          <w:rFonts w:eastAsia="Times" w:cs="Arial"/>
          <w:i w:val="0"/>
          <w:szCs w:val="20"/>
          <w:lang w:val="en-US"/>
        </w:rPr>
        <w:t xml:space="preserve"> 2004,</w:t>
      </w:r>
      <w:r w:rsidR="003C46A3" w:rsidRPr="009F337B">
        <w:rPr>
          <w:rFonts w:eastAsia="Times" w:cs="Arial"/>
          <w:i w:val="0"/>
          <w:szCs w:val="20"/>
          <w:lang w:val="en-US"/>
        </w:rPr>
        <w:t xml:space="preserve"> and </w:t>
      </w:r>
      <w:r w:rsidRPr="009F337B">
        <w:rPr>
          <w:rFonts w:eastAsia="Times" w:cs="Arial"/>
          <w:i w:val="0"/>
          <w:szCs w:val="20"/>
          <w:lang w:val="en-US"/>
        </w:rPr>
        <w:t>(</w:t>
      </w:r>
      <w:r w:rsidR="003C6E53" w:rsidRPr="009F337B">
        <w:rPr>
          <w:rFonts w:eastAsia="Times" w:cs="Arial"/>
          <w:i w:val="0"/>
          <w:szCs w:val="20"/>
          <w:lang w:val="en-US"/>
        </w:rPr>
        <w:t xml:space="preserve">ii) </w:t>
      </w:r>
      <w:r w:rsidRPr="009F337B">
        <w:rPr>
          <w:rFonts w:eastAsia="Times" w:cs="Arial"/>
          <w:i w:val="0"/>
          <w:szCs w:val="20"/>
          <w:lang w:val="en-US"/>
        </w:rPr>
        <w:t>after</w:t>
      </w:r>
      <w:r w:rsidR="003C6E53" w:rsidRPr="009F337B">
        <w:rPr>
          <w:rFonts w:eastAsia="Times" w:cs="Arial"/>
          <w:i w:val="0"/>
          <w:szCs w:val="20"/>
          <w:lang w:val="en-US"/>
        </w:rPr>
        <w:t xml:space="preserve"> 2004.</w:t>
      </w:r>
    </w:p>
    <w:p w14:paraId="0A5A2413" w14:textId="77777777" w:rsidR="00E92CA8" w:rsidRPr="009F337B" w:rsidRDefault="00E92CA8" w:rsidP="00E92CA8">
      <w:pPr>
        <w:pStyle w:val="Estilo1"/>
        <w:tabs>
          <w:tab w:val="left" w:pos="709"/>
          <w:tab w:val="left" w:pos="1134"/>
        </w:tabs>
        <w:spacing w:after="0"/>
        <w:ind w:left="0" w:right="-4" w:firstLine="0"/>
        <w:rPr>
          <w:rFonts w:eastAsia="Times" w:cs="Arial"/>
          <w:i w:val="0"/>
          <w:szCs w:val="20"/>
          <w:lang w:val="en-US"/>
        </w:rPr>
      </w:pPr>
    </w:p>
    <w:p w14:paraId="08E00A86" w14:textId="162DA7BA" w:rsidR="007C0E70" w:rsidRPr="009F337B" w:rsidRDefault="00C60B17" w:rsidP="00593E37">
      <w:pPr>
        <w:pStyle w:val="Estilo1"/>
        <w:numPr>
          <w:ilvl w:val="0"/>
          <w:numId w:val="1"/>
        </w:numPr>
        <w:tabs>
          <w:tab w:val="left" w:pos="709"/>
          <w:tab w:val="left" w:pos="1134"/>
        </w:tabs>
        <w:spacing w:after="0"/>
        <w:ind w:left="0" w:right="-4" w:firstLine="0"/>
        <w:rPr>
          <w:rFonts w:eastAsia="Times" w:cs="Arial"/>
          <w:i w:val="0"/>
          <w:szCs w:val="20"/>
          <w:lang w:val="en-US"/>
        </w:rPr>
      </w:pPr>
      <w:r w:rsidRPr="009F337B">
        <w:rPr>
          <w:rFonts w:eastAsia="Times" w:cs="Arial"/>
          <w:i w:val="0"/>
          <w:szCs w:val="20"/>
          <w:lang w:val="en-US"/>
        </w:rPr>
        <w:t xml:space="preserve">In this regard, in its brief answering the allegations, the State ratified the position it had assumed during the proceeding before </w:t>
      </w:r>
      <w:r w:rsidR="00AE5F9E" w:rsidRPr="009F337B">
        <w:rPr>
          <w:rFonts w:eastAsia="Times" w:cs="Arial"/>
          <w:i w:val="0"/>
          <w:szCs w:val="20"/>
          <w:lang w:val="en-US"/>
        </w:rPr>
        <w:t>the Commission</w:t>
      </w:r>
      <w:r w:rsidRPr="009F337B">
        <w:rPr>
          <w:rFonts w:eastAsia="Times" w:cs="Arial"/>
          <w:i w:val="0"/>
          <w:szCs w:val="20"/>
          <w:lang w:val="en-US"/>
        </w:rPr>
        <w:t>.</w:t>
      </w:r>
      <w:r w:rsidR="006904D5" w:rsidRPr="009F337B">
        <w:rPr>
          <w:rStyle w:val="Refdenotaalpie"/>
          <w:rFonts w:eastAsia="Times"/>
          <w:i w:val="0"/>
          <w:lang w:val="en-US"/>
        </w:rPr>
        <w:footnoteReference w:id="132"/>
      </w:r>
      <w:r w:rsidR="00F46845" w:rsidRPr="009F337B">
        <w:rPr>
          <w:rFonts w:eastAsia="Times" w:cs="Arial"/>
          <w:i w:val="0"/>
          <w:szCs w:val="20"/>
          <w:lang w:val="en-US"/>
        </w:rPr>
        <w:t xml:space="preserve"> </w:t>
      </w:r>
      <w:r w:rsidRPr="009F337B">
        <w:rPr>
          <w:rFonts w:eastAsia="Times" w:cs="Arial"/>
          <w:i w:val="0"/>
          <w:szCs w:val="20"/>
          <w:lang w:val="en-US"/>
        </w:rPr>
        <w:t>It</w:t>
      </w:r>
      <w:r w:rsidR="00F46845" w:rsidRPr="009F337B">
        <w:rPr>
          <w:rFonts w:eastAsia="Times" w:cs="Arial"/>
          <w:i w:val="0"/>
          <w:szCs w:val="20"/>
          <w:lang w:val="en-US"/>
        </w:rPr>
        <w:t xml:space="preserve"> indic</w:t>
      </w:r>
      <w:r w:rsidRPr="009F337B">
        <w:rPr>
          <w:rFonts w:eastAsia="Times" w:cs="Arial"/>
          <w:i w:val="0"/>
          <w:szCs w:val="20"/>
          <w:lang w:val="en-US"/>
        </w:rPr>
        <w:t>ated that, prior to</w:t>
      </w:r>
      <w:r w:rsidR="00F46845" w:rsidRPr="009F337B">
        <w:rPr>
          <w:rFonts w:eastAsia="Times" w:cs="Arial"/>
          <w:i w:val="0"/>
          <w:szCs w:val="20"/>
          <w:lang w:val="en-US"/>
        </w:rPr>
        <w:t xml:space="preserve"> 2004</w:t>
      </w:r>
      <w:r w:rsidRPr="009F337B">
        <w:rPr>
          <w:rFonts w:eastAsia="Times" w:cs="Arial"/>
          <w:i w:val="0"/>
          <w:szCs w:val="20"/>
          <w:lang w:val="en-US"/>
        </w:rPr>
        <w:t>, most of the medical treatment in Guatemala was carried out by the Swiss organization Doctors Without Borders, and that the State only financed the treatment of 373 individuals.</w:t>
      </w:r>
      <w:r w:rsidR="006904D5" w:rsidRPr="009F337B">
        <w:rPr>
          <w:rStyle w:val="Refdenotaalpie"/>
          <w:rFonts w:eastAsia="Times"/>
          <w:i w:val="0"/>
          <w:lang w:val="en-US"/>
        </w:rPr>
        <w:footnoteReference w:id="133"/>
      </w:r>
      <w:r w:rsidRPr="009F337B">
        <w:rPr>
          <w:rFonts w:eastAsia="Times" w:cs="Arial"/>
          <w:i w:val="0"/>
          <w:szCs w:val="20"/>
          <w:lang w:val="en-US"/>
        </w:rPr>
        <w:t xml:space="preserve"> It also offered to take steps to assume the care in state hospitals of the presumed victims in this case who were being treated by Doctors Without Borders.</w:t>
      </w:r>
      <w:r w:rsidR="006904D5" w:rsidRPr="009F337B">
        <w:rPr>
          <w:rStyle w:val="Refdenotaalpie"/>
          <w:rFonts w:eastAsia="Times"/>
          <w:i w:val="0"/>
          <w:lang w:val="en-US"/>
        </w:rPr>
        <w:footnoteReference w:id="134"/>
      </w:r>
      <w:r w:rsidR="00F46845" w:rsidRPr="009F337B">
        <w:rPr>
          <w:rFonts w:eastAsia="Times" w:cs="Arial"/>
          <w:i w:val="0"/>
          <w:szCs w:val="20"/>
          <w:lang w:val="en-US"/>
        </w:rPr>
        <w:t xml:space="preserve"> </w:t>
      </w:r>
      <w:r w:rsidRPr="009F337B">
        <w:rPr>
          <w:rFonts w:eastAsia="Times" w:cs="Arial"/>
          <w:i w:val="0"/>
          <w:szCs w:val="20"/>
          <w:lang w:val="en-US"/>
        </w:rPr>
        <w:t xml:space="preserve">In this regard, the Court notes that </w:t>
      </w:r>
      <w:r w:rsidR="00821799" w:rsidRPr="009F337B">
        <w:rPr>
          <w:rFonts w:eastAsia="Times" w:cs="Arial"/>
          <w:i w:val="0"/>
          <w:szCs w:val="20"/>
          <w:lang w:val="en-US"/>
        </w:rPr>
        <w:t>48</w:t>
      </w:r>
      <w:r w:rsidR="00CC6A68" w:rsidRPr="009F337B">
        <w:rPr>
          <w:rFonts w:eastAsia="Times" w:cs="Arial"/>
          <w:i w:val="0"/>
          <w:szCs w:val="20"/>
          <w:lang w:val="en-US"/>
        </w:rPr>
        <w:t xml:space="preserve"> of the </w:t>
      </w:r>
      <w:r w:rsidR="00A00EE5" w:rsidRPr="009F337B">
        <w:rPr>
          <w:rFonts w:eastAsia="Times" w:cs="Arial"/>
          <w:i w:val="0"/>
          <w:szCs w:val="20"/>
          <w:lang w:val="en-US"/>
        </w:rPr>
        <w:t>presumed</w:t>
      </w:r>
      <w:r w:rsidR="003C46A3" w:rsidRPr="009F337B">
        <w:rPr>
          <w:rFonts w:eastAsia="Times" w:cs="Arial"/>
          <w:i w:val="0"/>
          <w:szCs w:val="20"/>
          <w:lang w:val="en-US"/>
        </w:rPr>
        <w:t xml:space="preserve"> victims</w:t>
      </w:r>
      <w:r w:rsidR="00F46845" w:rsidRPr="009F337B">
        <w:rPr>
          <w:rFonts w:eastAsia="Times" w:cs="Arial"/>
          <w:i w:val="0"/>
          <w:szCs w:val="20"/>
          <w:lang w:val="en-US"/>
        </w:rPr>
        <w:t xml:space="preserve"> </w:t>
      </w:r>
      <w:r w:rsidRPr="009F337B">
        <w:rPr>
          <w:rFonts w:eastAsia="Times" w:cs="Arial"/>
          <w:i w:val="0"/>
          <w:szCs w:val="20"/>
          <w:lang w:val="en-US"/>
        </w:rPr>
        <w:t>in this case had not received medical treatment by the State prior to</w:t>
      </w:r>
      <w:r w:rsidR="00F46845" w:rsidRPr="009F337B">
        <w:rPr>
          <w:rFonts w:eastAsia="Times" w:cs="Arial"/>
          <w:i w:val="0"/>
          <w:szCs w:val="20"/>
          <w:lang w:val="en-US"/>
        </w:rPr>
        <w:t xml:space="preserve"> 2004</w:t>
      </w:r>
      <w:r w:rsidRPr="009F337B">
        <w:rPr>
          <w:rFonts w:eastAsia="Times" w:cs="Arial"/>
          <w:i w:val="0"/>
          <w:szCs w:val="20"/>
          <w:lang w:val="en-US"/>
        </w:rPr>
        <w:t>.</w:t>
      </w:r>
      <w:r w:rsidR="007D45BD" w:rsidRPr="009F337B">
        <w:rPr>
          <w:rStyle w:val="Refdenotaalpie"/>
          <w:rFonts w:eastAsia="Times"/>
          <w:i w:val="0"/>
          <w:lang w:val="en-US"/>
        </w:rPr>
        <w:footnoteReference w:id="135"/>
      </w:r>
      <w:r w:rsidRPr="009F337B">
        <w:rPr>
          <w:rFonts w:eastAsia="Times" w:cs="Arial"/>
          <w:i w:val="0"/>
          <w:szCs w:val="20"/>
          <w:lang w:val="en-US"/>
        </w:rPr>
        <w:t xml:space="preserve"> Therefore, the Court finds it proved that, before 2004, </w:t>
      </w:r>
      <w:r w:rsidR="00A00EE5" w:rsidRPr="009F337B">
        <w:rPr>
          <w:rFonts w:eastAsia="Times" w:cs="Arial"/>
          <w:i w:val="0"/>
          <w:szCs w:val="20"/>
          <w:lang w:val="en-US"/>
        </w:rPr>
        <w:t>the</w:t>
      </w:r>
      <w:r w:rsidRPr="009F337B">
        <w:rPr>
          <w:rFonts w:eastAsia="Times" w:cs="Arial"/>
          <w:i w:val="0"/>
          <w:szCs w:val="20"/>
          <w:lang w:val="en-US"/>
        </w:rPr>
        <w:t>se</w:t>
      </w:r>
      <w:r w:rsidR="00A00EE5" w:rsidRPr="009F337B">
        <w:rPr>
          <w:rFonts w:eastAsia="Times" w:cs="Arial"/>
          <w:i w:val="0"/>
          <w:szCs w:val="20"/>
          <w:lang w:val="en-US"/>
        </w:rPr>
        <w:t xml:space="preserve"> presumed</w:t>
      </w:r>
      <w:r w:rsidR="003C46A3" w:rsidRPr="009F337B">
        <w:rPr>
          <w:rFonts w:eastAsia="Times" w:cs="Arial"/>
          <w:i w:val="0"/>
          <w:szCs w:val="20"/>
          <w:lang w:val="en-US"/>
        </w:rPr>
        <w:t xml:space="preserve"> victims</w:t>
      </w:r>
      <w:r w:rsidRPr="009F337B">
        <w:rPr>
          <w:rFonts w:eastAsia="Times" w:cs="Arial"/>
          <w:i w:val="0"/>
          <w:szCs w:val="20"/>
          <w:lang w:val="en-US"/>
        </w:rPr>
        <w:t xml:space="preserve"> had not received any kind of state medical treatment or that such treatment was ineffective to treat their condition as </w:t>
      </w:r>
      <w:r w:rsidR="00080A1E" w:rsidRPr="009F337B">
        <w:rPr>
          <w:rFonts w:eastAsia="Times" w:cs="Arial"/>
          <w:i w:val="0"/>
          <w:szCs w:val="20"/>
          <w:lang w:val="en-US"/>
        </w:rPr>
        <w:t>people living with HIV</w:t>
      </w:r>
      <w:r w:rsidR="00F46845" w:rsidRPr="009F337B">
        <w:rPr>
          <w:rFonts w:eastAsia="Times" w:cs="Arial"/>
          <w:i w:val="0"/>
          <w:szCs w:val="20"/>
          <w:lang w:val="en-US"/>
        </w:rPr>
        <w:t>.</w:t>
      </w:r>
      <w:r w:rsidR="00B44112" w:rsidRPr="009F337B">
        <w:rPr>
          <w:rFonts w:eastAsia="Times" w:cs="Arial"/>
          <w:i w:val="0"/>
          <w:szCs w:val="20"/>
          <w:lang w:val="en-US"/>
        </w:rPr>
        <w:t xml:space="preserve"> </w:t>
      </w:r>
      <w:r w:rsidR="007F1AEB" w:rsidRPr="009F337B">
        <w:rPr>
          <w:rFonts w:eastAsia="Times" w:cs="Arial"/>
          <w:i w:val="0"/>
          <w:szCs w:val="20"/>
          <w:lang w:val="en-US"/>
        </w:rPr>
        <w:t>Mr.</w:t>
      </w:r>
      <w:r w:rsidR="00B44112" w:rsidRPr="009F337B">
        <w:rPr>
          <w:rFonts w:eastAsia="Times" w:cs="Arial"/>
          <w:i w:val="0"/>
          <w:szCs w:val="20"/>
          <w:lang w:val="en-US"/>
        </w:rPr>
        <w:t xml:space="preserve"> Cabrera Morales </w:t>
      </w:r>
      <w:r w:rsidR="007F1AEB" w:rsidRPr="009F337B">
        <w:rPr>
          <w:rFonts w:eastAsia="Times" w:cs="Arial"/>
          <w:i w:val="0"/>
          <w:szCs w:val="20"/>
          <w:lang w:val="en-US"/>
        </w:rPr>
        <w:t>was diagnose</w:t>
      </w:r>
      <w:r w:rsidRPr="009F337B">
        <w:rPr>
          <w:rFonts w:eastAsia="Times" w:cs="Arial"/>
          <w:i w:val="0"/>
          <w:szCs w:val="20"/>
          <w:lang w:val="en-US"/>
        </w:rPr>
        <w:t>d in October 2001 and began receiv</w:t>
      </w:r>
      <w:r w:rsidR="00710623" w:rsidRPr="009F337B">
        <w:rPr>
          <w:rFonts w:eastAsia="Times" w:cs="Arial"/>
          <w:i w:val="0"/>
          <w:szCs w:val="20"/>
          <w:lang w:val="en-US"/>
        </w:rPr>
        <w:t>ing</w:t>
      </w:r>
      <w:r w:rsidR="00B44112" w:rsidRPr="009F337B">
        <w:rPr>
          <w:rFonts w:eastAsia="Times" w:cs="Arial"/>
          <w:i w:val="0"/>
          <w:szCs w:val="20"/>
          <w:lang w:val="en-US"/>
        </w:rPr>
        <w:t xml:space="preserve"> </w:t>
      </w:r>
      <w:r w:rsidR="00FE1EFF" w:rsidRPr="009F337B">
        <w:rPr>
          <w:rFonts w:eastAsia="Times" w:cs="Arial"/>
          <w:i w:val="0"/>
          <w:szCs w:val="20"/>
          <w:lang w:val="en-US"/>
        </w:rPr>
        <w:t>antiretroviral treatment</w:t>
      </w:r>
      <w:r w:rsidR="00B44112" w:rsidRPr="009F337B">
        <w:rPr>
          <w:rFonts w:eastAsia="Times" w:cs="Arial"/>
          <w:i w:val="0"/>
          <w:szCs w:val="20"/>
          <w:lang w:val="en-US"/>
        </w:rPr>
        <w:t xml:space="preserve"> </w:t>
      </w:r>
      <w:r w:rsidRPr="009F337B">
        <w:rPr>
          <w:rFonts w:eastAsia="Times" w:cs="Arial"/>
          <w:i w:val="0"/>
          <w:szCs w:val="20"/>
          <w:lang w:val="en-US"/>
        </w:rPr>
        <w:t>provided by the</w:t>
      </w:r>
      <w:r w:rsidR="00B44112" w:rsidRPr="009F337B">
        <w:rPr>
          <w:rFonts w:eastAsia="Times" w:cs="Arial"/>
          <w:i w:val="0"/>
          <w:szCs w:val="20"/>
          <w:lang w:val="en-US"/>
        </w:rPr>
        <w:t xml:space="preserve"> IGSS </w:t>
      </w:r>
      <w:r w:rsidRPr="009F337B">
        <w:rPr>
          <w:rFonts w:eastAsia="Times" w:cs="Arial"/>
          <w:i w:val="0"/>
          <w:szCs w:val="20"/>
          <w:lang w:val="en-US"/>
        </w:rPr>
        <w:t>in December</w:t>
      </w:r>
      <w:r w:rsidR="00B44112" w:rsidRPr="009F337B">
        <w:rPr>
          <w:rFonts w:eastAsia="Times" w:cs="Arial"/>
          <w:i w:val="0"/>
          <w:szCs w:val="20"/>
          <w:lang w:val="en-US"/>
        </w:rPr>
        <w:t xml:space="preserve"> 2001. </w:t>
      </w:r>
      <w:r w:rsidRPr="009F337B">
        <w:rPr>
          <w:rFonts w:eastAsia="Times" w:cs="Arial"/>
          <w:i w:val="0"/>
          <w:szCs w:val="20"/>
          <w:lang w:val="en-US"/>
        </w:rPr>
        <w:t>However</w:t>
      </w:r>
      <w:r w:rsidR="00B44112" w:rsidRPr="009F337B">
        <w:rPr>
          <w:rFonts w:eastAsia="Times" w:cs="Arial"/>
          <w:i w:val="0"/>
          <w:szCs w:val="20"/>
          <w:lang w:val="en-US"/>
        </w:rPr>
        <w:t xml:space="preserve">, </w:t>
      </w:r>
      <w:r w:rsidR="00AE5F9E" w:rsidRPr="009F337B">
        <w:rPr>
          <w:rFonts w:eastAsia="Times" w:cs="Arial"/>
          <w:i w:val="0"/>
          <w:szCs w:val="20"/>
          <w:lang w:val="en-US"/>
        </w:rPr>
        <w:t>the Court</w:t>
      </w:r>
      <w:r w:rsidR="00B44112" w:rsidRPr="009F337B">
        <w:rPr>
          <w:rFonts w:eastAsia="Times" w:cs="Arial"/>
          <w:i w:val="0"/>
          <w:szCs w:val="20"/>
          <w:lang w:val="en-US"/>
        </w:rPr>
        <w:t xml:space="preserve"> </w:t>
      </w:r>
      <w:r w:rsidRPr="009F337B">
        <w:rPr>
          <w:rFonts w:eastAsia="Times" w:cs="Arial"/>
          <w:i w:val="0"/>
          <w:szCs w:val="20"/>
          <w:lang w:val="en-US"/>
        </w:rPr>
        <w:t xml:space="preserve">notes that his </w:t>
      </w:r>
      <w:r w:rsidR="00B63594" w:rsidRPr="009F337B">
        <w:rPr>
          <w:rFonts w:eastAsia="Times" w:cs="Arial"/>
          <w:i w:val="0"/>
          <w:szCs w:val="20"/>
          <w:lang w:val="en-US"/>
        </w:rPr>
        <w:t>a</w:t>
      </w:r>
      <w:r w:rsidRPr="009F337B">
        <w:rPr>
          <w:rFonts w:eastAsia="Times" w:cs="Arial"/>
          <w:i w:val="0"/>
          <w:szCs w:val="20"/>
          <w:lang w:val="en-US"/>
        </w:rPr>
        <w:t>ccess to antiretroviral drugs, CD4 counts and viral load testing was irregular</w:t>
      </w:r>
      <w:r w:rsidR="00B63594" w:rsidRPr="009F337B">
        <w:rPr>
          <w:rFonts w:eastAsia="Times" w:cs="Arial"/>
          <w:i w:val="0"/>
          <w:szCs w:val="20"/>
          <w:lang w:val="en-US"/>
        </w:rPr>
        <w:t xml:space="preserve">, that he did not receive genotype and phenotype testing, and that he had not received either social or psychological support, </w:t>
      </w:r>
      <w:r w:rsidR="00710623" w:rsidRPr="009F337B">
        <w:rPr>
          <w:rFonts w:eastAsia="Times" w:cs="Arial"/>
          <w:i w:val="0"/>
          <w:szCs w:val="20"/>
          <w:lang w:val="en-US"/>
        </w:rPr>
        <w:t>or</w:t>
      </w:r>
      <w:r w:rsidR="00B63594" w:rsidRPr="009F337B">
        <w:rPr>
          <w:rFonts w:eastAsia="Times" w:cs="Arial"/>
          <w:i w:val="0"/>
          <w:szCs w:val="20"/>
          <w:lang w:val="en-US"/>
        </w:rPr>
        <w:t xml:space="preserve"> family, community and home care in accordance with the standards established in this judgment</w:t>
      </w:r>
      <w:r w:rsidR="00B44112" w:rsidRPr="009F337B">
        <w:rPr>
          <w:rFonts w:eastAsia="Times" w:cs="Arial"/>
          <w:i w:val="0"/>
          <w:szCs w:val="20"/>
          <w:lang w:val="en-US"/>
        </w:rPr>
        <w:t xml:space="preserve"> (</w:t>
      </w:r>
      <w:r w:rsidR="00B44112" w:rsidRPr="009F337B">
        <w:rPr>
          <w:rFonts w:eastAsia="Times" w:cs="Arial"/>
          <w:szCs w:val="20"/>
          <w:lang w:val="en-US"/>
        </w:rPr>
        <w:t>supra</w:t>
      </w:r>
      <w:r w:rsidR="00B44112" w:rsidRPr="009F337B">
        <w:rPr>
          <w:rFonts w:eastAsia="Times" w:cs="Arial"/>
          <w:i w:val="0"/>
          <w:szCs w:val="20"/>
          <w:lang w:val="en-US"/>
        </w:rPr>
        <w:t xml:space="preserve"> </w:t>
      </w:r>
      <w:r w:rsidR="00B63594" w:rsidRPr="009F337B">
        <w:rPr>
          <w:rFonts w:eastAsia="Times" w:cs="Arial"/>
          <w:i w:val="0"/>
          <w:szCs w:val="20"/>
          <w:lang w:val="en-US"/>
        </w:rPr>
        <w:t>paras.</w:t>
      </w:r>
      <w:r w:rsidR="00B44112" w:rsidRPr="009F337B">
        <w:rPr>
          <w:rFonts w:eastAsia="Times" w:cs="Arial"/>
          <w:i w:val="0"/>
          <w:szCs w:val="20"/>
          <w:lang w:val="en-US"/>
        </w:rPr>
        <w:t xml:space="preserve"> 103 </w:t>
      </w:r>
      <w:r w:rsidR="00B63594" w:rsidRPr="009F337B">
        <w:rPr>
          <w:rFonts w:eastAsia="Times" w:cs="Arial"/>
          <w:i w:val="0"/>
          <w:szCs w:val="20"/>
          <w:lang w:val="en-US"/>
        </w:rPr>
        <w:t>to</w:t>
      </w:r>
      <w:r w:rsidR="00B44112" w:rsidRPr="009F337B">
        <w:rPr>
          <w:rFonts w:eastAsia="Times" w:cs="Arial"/>
          <w:i w:val="0"/>
          <w:szCs w:val="20"/>
          <w:lang w:val="en-US"/>
        </w:rPr>
        <w:t xml:space="preserve"> 114)</w:t>
      </w:r>
      <w:r w:rsidR="00B63594" w:rsidRPr="009F337B">
        <w:rPr>
          <w:rFonts w:eastAsia="Times" w:cs="Arial"/>
          <w:i w:val="0"/>
          <w:szCs w:val="20"/>
          <w:lang w:val="en-US"/>
        </w:rPr>
        <w:t>. Thus</w:t>
      </w:r>
      <w:r w:rsidR="00710623" w:rsidRPr="009F337B">
        <w:rPr>
          <w:rFonts w:eastAsia="Times" w:cs="Arial"/>
          <w:i w:val="0"/>
          <w:szCs w:val="20"/>
          <w:lang w:val="en-US"/>
        </w:rPr>
        <w:t>,</w:t>
      </w:r>
      <w:r w:rsidR="00B63594" w:rsidRPr="009F337B">
        <w:rPr>
          <w:rFonts w:eastAsia="Times" w:cs="Arial"/>
          <w:i w:val="0"/>
          <w:szCs w:val="20"/>
          <w:lang w:val="en-US"/>
        </w:rPr>
        <w:t xml:space="preserve"> the medical treatment he received prior to 2004 lacked the elements of health care availability, accessibility and quality. Consequently, the Court concludes that the State is responsible for </w:t>
      </w:r>
      <w:bookmarkStart w:id="82" w:name="_Hlk5977693"/>
      <w:r w:rsidR="00B63594" w:rsidRPr="009F337B">
        <w:rPr>
          <w:rFonts w:eastAsia="Times" w:cs="Arial"/>
          <w:i w:val="0"/>
          <w:szCs w:val="20"/>
          <w:lang w:val="en-US"/>
        </w:rPr>
        <w:lastRenderedPageBreak/>
        <w:t xml:space="preserve">violating the obligation to </w:t>
      </w:r>
      <w:r w:rsidR="00710623" w:rsidRPr="009F337B">
        <w:rPr>
          <w:rFonts w:eastAsia="Times" w:cs="Arial"/>
          <w:i w:val="0"/>
          <w:szCs w:val="20"/>
          <w:lang w:val="en-US"/>
        </w:rPr>
        <w:t>ensure</w:t>
      </w:r>
      <w:r w:rsidR="00B63594" w:rsidRPr="009F337B">
        <w:rPr>
          <w:rFonts w:eastAsia="Times" w:cs="Arial"/>
          <w:i w:val="0"/>
          <w:szCs w:val="20"/>
          <w:lang w:val="en-US"/>
        </w:rPr>
        <w:t xml:space="preserve"> </w:t>
      </w:r>
      <w:r w:rsidR="00371ADF" w:rsidRPr="009F337B">
        <w:rPr>
          <w:rFonts w:eastAsia="Times" w:cs="Arial"/>
          <w:i w:val="0"/>
          <w:szCs w:val="20"/>
          <w:lang w:val="en-US"/>
        </w:rPr>
        <w:t xml:space="preserve">the </w:t>
      </w:r>
      <w:r w:rsidR="00A51F3B" w:rsidRPr="009F337B">
        <w:rPr>
          <w:rFonts w:eastAsia="Times" w:cs="Arial"/>
          <w:i w:val="0"/>
          <w:szCs w:val="20"/>
          <w:lang w:val="en-US"/>
        </w:rPr>
        <w:t>right to health</w:t>
      </w:r>
      <w:r w:rsidR="00661AFA" w:rsidRPr="009F337B">
        <w:rPr>
          <w:rFonts w:eastAsia="Times" w:cs="Arial"/>
          <w:i w:val="0"/>
          <w:szCs w:val="20"/>
          <w:lang w:val="en-US"/>
        </w:rPr>
        <w:t xml:space="preserve"> </w:t>
      </w:r>
      <w:r w:rsidR="00B63594" w:rsidRPr="009F337B">
        <w:rPr>
          <w:rFonts w:eastAsia="Times" w:cs="Arial"/>
          <w:i w:val="0"/>
          <w:szCs w:val="20"/>
          <w:lang w:val="en-US"/>
        </w:rPr>
        <w:t>pursuant to</w:t>
      </w:r>
      <w:r w:rsidR="00661AFA" w:rsidRPr="009F337B">
        <w:rPr>
          <w:rFonts w:eastAsia="Times" w:cs="Arial"/>
          <w:i w:val="0"/>
          <w:szCs w:val="20"/>
          <w:lang w:val="en-US"/>
        </w:rPr>
        <w:t xml:space="preserve"> </w:t>
      </w:r>
      <w:r w:rsidR="00AE5F9E" w:rsidRPr="009F337B">
        <w:rPr>
          <w:rFonts w:eastAsia="Times" w:cs="Arial"/>
          <w:i w:val="0"/>
          <w:szCs w:val="20"/>
          <w:lang w:val="en-US"/>
        </w:rPr>
        <w:t>Article</w:t>
      </w:r>
      <w:r w:rsidR="00661AFA" w:rsidRPr="009F337B">
        <w:rPr>
          <w:rFonts w:eastAsia="Times" w:cs="Arial"/>
          <w:i w:val="0"/>
          <w:szCs w:val="20"/>
          <w:lang w:val="en-US"/>
        </w:rPr>
        <w:t xml:space="preserve"> 26</w:t>
      </w:r>
      <w:r w:rsidR="00AE5F9E" w:rsidRPr="009F337B">
        <w:rPr>
          <w:rFonts w:eastAsia="Times" w:cs="Arial"/>
          <w:i w:val="0"/>
          <w:szCs w:val="20"/>
          <w:lang w:val="en-US"/>
        </w:rPr>
        <w:t xml:space="preserve"> of the American Convention</w:t>
      </w:r>
      <w:r w:rsidR="00661AFA" w:rsidRPr="009F337B">
        <w:rPr>
          <w:rFonts w:eastAsia="Times" w:cs="Arial"/>
          <w:i w:val="0"/>
          <w:szCs w:val="20"/>
          <w:lang w:val="en-US"/>
        </w:rPr>
        <w:t xml:space="preserve">, </w:t>
      </w:r>
      <w:r w:rsidR="000E73AE" w:rsidRPr="009F337B">
        <w:rPr>
          <w:rFonts w:eastAsia="Times" w:cs="Arial"/>
          <w:i w:val="0"/>
          <w:szCs w:val="20"/>
          <w:lang w:val="en-US"/>
        </w:rPr>
        <w:t>in relation to</w:t>
      </w:r>
      <w:r w:rsidR="00661AFA" w:rsidRPr="009F337B">
        <w:rPr>
          <w:rFonts w:eastAsia="Times" w:cs="Arial"/>
          <w:i w:val="0"/>
          <w:szCs w:val="20"/>
          <w:lang w:val="en-US"/>
        </w:rPr>
        <w:t xml:space="preserve"> </w:t>
      </w:r>
      <w:r w:rsidR="00AE5F9E" w:rsidRPr="009F337B">
        <w:rPr>
          <w:rFonts w:eastAsia="Times" w:cs="Arial"/>
          <w:i w:val="0"/>
          <w:szCs w:val="20"/>
          <w:lang w:val="en-US"/>
        </w:rPr>
        <w:t>Article</w:t>
      </w:r>
      <w:r w:rsidR="003C46A3" w:rsidRPr="009F337B">
        <w:rPr>
          <w:rFonts w:eastAsia="Times" w:cs="Arial"/>
          <w:i w:val="0"/>
          <w:szCs w:val="20"/>
          <w:lang w:val="en-US"/>
        </w:rPr>
        <w:t xml:space="preserve"> 1(1)</w:t>
      </w:r>
      <w:r w:rsidR="00661AFA" w:rsidRPr="009F337B">
        <w:rPr>
          <w:rFonts w:eastAsia="Times" w:cs="Arial"/>
          <w:i w:val="0"/>
          <w:szCs w:val="20"/>
          <w:lang w:val="en-US"/>
        </w:rPr>
        <w:t xml:space="preserve"> </w:t>
      </w:r>
      <w:r w:rsidR="006D4A79" w:rsidRPr="009F337B">
        <w:rPr>
          <w:rFonts w:eastAsia="Times" w:cs="Arial"/>
          <w:i w:val="0"/>
          <w:szCs w:val="20"/>
          <w:lang w:val="en-US"/>
        </w:rPr>
        <w:t>of this instrument</w:t>
      </w:r>
      <w:r w:rsidR="00661AFA" w:rsidRPr="009F337B">
        <w:rPr>
          <w:rFonts w:eastAsia="Times" w:cs="Arial"/>
          <w:i w:val="0"/>
          <w:szCs w:val="20"/>
          <w:lang w:val="en-US"/>
        </w:rPr>
        <w:t xml:space="preserve">, </w:t>
      </w:r>
      <w:r w:rsidR="00B63594" w:rsidRPr="009F337B">
        <w:rPr>
          <w:rFonts w:eastAsia="Times" w:cs="Arial"/>
          <w:i w:val="0"/>
          <w:szCs w:val="20"/>
          <w:lang w:val="en-US"/>
        </w:rPr>
        <w:t>of the</w:t>
      </w:r>
      <w:r w:rsidR="00F65878" w:rsidRPr="009F337B">
        <w:rPr>
          <w:rFonts w:eastAsia="Times" w:cs="Arial"/>
          <w:i w:val="0"/>
          <w:szCs w:val="20"/>
          <w:lang w:val="en-US"/>
        </w:rPr>
        <w:t xml:space="preserve"> 4</w:t>
      </w:r>
      <w:r w:rsidR="00BB100B" w:rsidRPr="009F337B">
        <w:rPr>
          <w:rFonts w:eastAsia="Times" w:cs="Arial"/>
          <w:i w:val="0"/>
          <w:szCs w:val="20"/>
          <w:lang w:val="en-US"/>
        </w:rPr>
        <w:t>9</w:t>
      </w:r>
      <w:r w:rsidR="004A7002" w:rsidRPr="009F337B">
        <w:rPr>
          <w:rFonts w:eastAsia="Times" w:cs="Arial"/>
          <w:i w:val="0"/>
          <w:szCs w:val="20"/>
          <w:lang w:val="en-US"/>
        </w:rPr>
        <w:t xml:space="preserve"> </w:t>
      </w:r>
      <w:r w:rsidR="003C6E53" w:rsidRPr="009F337B">
        <w:rPr>
          <w:rFonts w:eastAsia="Times" w:cs="Arial"/>
          <w:i w:val="0"/>
          <w:szCs w:val="20"/>
          <w:lang w:val="en-US"/>
        </w:rPr>
        <w:t>p</w:t>
      </w:r>
      <w:r w:rsidR="00B63594" w:rsidRPr="009F337B">
        <w:rPr>
          <w:rFonts w:eastAsia="Times" w:cs="Arial"/>
          <w:i w:val="0"/>
          <w:szCs w:val="20"/>
          <w:lang w:val="en-US"/>
        </w:rPr>
        <w:t>eople named as victims in Annex 2 to this judgment.</w:t>
      </w:r>
      <w:bookmarkEnd w:id="82"/>
    </w:p>
    <w:p w14:paraId="1BB63B2E" w14:textId="77777777" w:rsidR="00661AFA" w:rsidRPr="009F337B" w:rsidRDefault="00661AFA" w:rsidP="00661AFA">
      <w:pPr>
        <w:pStyle w:val="Prrafodelista"/>
        <w:rPr>
          <w:rFonts w:eastAsia="Times" w:cs="Arial"/>
          <w:i/>
          <w:szCs w:val="20"/>
          <w:lang w:val="en-US"/>
        </w:rPr>
      </w:pPr>
    </w:p>
    <w:p w14:paraId="092D058D" w14:textId="0757CAC4" w:rsidR="00D0657E" w:rsidRPr="009F337B" w:rsidRDefault="008C399E" w:rsidP="00593E37">
      <w:pPr>
        <w:pStyle w:val="Estilo1"/>
        <w:numPr>
          <w:ilvl w:val="0"/>
          <w:numId w:val="1"/>
        </w:numPr>
        <w:tabs>
          <w:tab w:val="left" w:pos="709"/>
          <w:tab w:val="left" w:pos="1134"/>
        </w:tabs>
        <w:spacing w:after="0"/>
        <w:ind w:left="0" w:right="-4" w:firstLine="0"/>
        <w:rPr>
          <w:rFonts w:eastAsia="Times" w:cs="Arial"/>
          <w:i w:val="0"/>
          <w:szCs w:val="20"/>
          <w:lang w:val="en-US"/>
        </w:rPr>
      </w:pPr>
      <w:r w:rsidRPr="009F337B">
        <w:rPr>
          <w:rFonts w:eastAsia="Times" w:cs="Arial"/>
          <w:i w:val="0"/>
          <w:szCs w:val="20"/>
          <w:lang w:val="en-US"/>
        </w:rPr>
        <w:t>The Court</w:t>
      </w:r>
      <w:r w:rsidR="00F46845" w:rsidRPr="009F337B">
        <w:rPr>
          <w:rFonts w:eastAsia="Times" w:cs="Arial"/>
          <w:i w:val="0"/>
          <w:szCs w:val="20"/>
          <w:lang w:val="en-US"/>
        </w:rPr>
        <w:t xml:space="preserve"> </w:t>
      </w:r>
      <w:r w:rsidR="00B63594" w:rsidRPr="009F337B">
        <w:rPr>
          <w:rFonts w:eastAsia="Times" w:cs="Arial"/>
          <w:i w:val="0"/>
          <w:szCs w:val="20"/>
          <w:lang w:val="en-US"/>
        </w:rPr>
        <w:t>will now analyze whether the medical treatment received after 2004 was adequate according to the standards established for</w:t>
      </w:r>
      <w:r w:rsidR="004A7002" w:rsidRPr="009F337B">
        <w:rPr>
          <w:rFonts w:eastAsia="Times" w:cs="Arial"/>
          <w:i w:val="0"/>
          <w:szCs w:val="20"/>
          <w:lang w:val="en-US"/>
        </w:rPr>
        <w:t xml:space="preserve"> </w:t>
      </w:r>
      <w:r w:rsidR="00A51F3B" w:rsidRPr="009F337B">
        <w:rPr>
          <w:rFonts w:eastAsia="Times" w:cs="Arial"/>
          <w:i w:val="0"/>
          <w:szCs w:val="20"/>
          <w:lang w:val="en-US"/>
        </w:rPr>
        <w:t>the right to health</w:t>
      </w:r>
      <w:r w:rsidR="00F46845" w:rsidRPr="009F337B">
        <w:rPr>
          <w:rFonts w:eastAsia="Times" w:cs="Arial"/>
          <w:i w:val="0"/>
          <w:szCs w:val="20"/>
          <w:lang w:val="en-US"/>
        </w:rPr>
        <w:t>.</w:t>
      </w:r>
    </w:p>
    <w:p w14:paraId="1688F54B" w14:textId="77777777" w:rsidR="00E92CA8" w:rsidRPr="009F337B" w:rsidRDefault="00E92CA8" w:rsidP="00E92CA8">
      <w:pPr>
        <w:pStyle w:val="Estilo1"/>
        <w:tabs>
          <w:tab w:val="left" w:pos="709"/>
          <w:tab w:val="left" w:pos="1134"/>
        </w:tabs>
        <w:spacing w:after="0"/>
        <w:ind w:left="0" w:right="-4" w:firstLine="0"/>
        <w:rPr>
          <w:rFonts w:eastAsia="Times" w:cs="Arial"/>
          <w:i w:val="0"/>
          <w:szCs w:val="20"/>
          <w:lang w:val="en-US"/>
        </w:rPr>
      </w:pPr>
    </w:p>
    <w:p w14:paraId="6234812B" w14:textId="0175EF41" w:rsidR="00F46845" w:rsidRPr="009F337B" w:rsidRDefault="00AC0BEF" w:rsidP="00E92CA8">
      <w:pPr>
        <w:pStyle w:val="Estilo1"/>
        <w:tabs>
          <w:tab w:val="left" w:pos="709"/>
          <w:tab w:val="left" w:pos="1134"/>
        </w:tabs>
        <w:spacing w:after="0"/>
        <w:ind w:left="0" w:right="-4" w:firstLine="0"/>
        <w:rPr>
          <w:rFonts w:eastAsia="Times" w:cs="Arial"/>
          <w:b/>
          <w:szCs w:val="20"/>
          <w:lang w:val="en-US"/>
        </w:rPr>
      </w:pPr>
      <w:r w:rsidRPr="009F337B">
        <w:rPr>
          <w:rFonts w:eastAsia="Times" w:cs="Arial"/>
          <w:i w:val="0"/>
          <w:szCs w:val="20"/>
          <w:lang w:val="en-US"/>
        </w:rPr>
        <w:tab/>
      </w:r>
      <w:r w:rsidRPr="009F337B">
        <w:rPr>
          <w:rFonts w:eastAsia="Times" w:cs="Arial"/>
          <w:i w:val="0"/>
          <w:szCs w:val="20"/>
          <w:lang w:val="en-US"/>
        </w:rPr>
        <w:tab/>
      </w:r>
      <w:r w:rsidRPr="009F337B">
        <w:rPr>
          <w:rFonts w:eastAsia="Times" w:cs="Arial"/>
          <w:i w:val="0"/>
          <w:szCs w:val="20"/>
          <w:lang w:val="en-US"/>
        </w:rPr>
        <w:tab/>
      </w:r>
      <w:r w:rsidR="00EE1E0E" w:rsidRPr="009F337B">
        <w:rPr>
          <w:rFonts w:eastAsia="Verdana"/>
          <w:b/>
          <w:bCs/>
          <w:szCs w:val="20"/>
          <w:lang w:val="en-US" w:eastAsia="x-none"/>
        </w:rPr>
        <w:t>B.4.2</w:t>
      </w:r>
      <w:r w:rsidR="00D0657E" w:rsidRPr="009F337B">
        <w:rPr>
          <w:rFonts w:eastAsia="Verdana"/>
          <w:b/>
          <w:bCs/>
          <w:szCs w:val="20"/>
          <w:lang w:val="en-US" w:eastAsia="x-none"/>
        </w:rPr>
        <w:t>.</w:t>
      </w:r>
      <w:r w:rsidR="00F46845" w:rsidRPr="009F337B">
        <w:rPr>
          <w:rFonts w:eastAsia="Verdana"/>
          <w:b/>
          <w:bCs/>
          <w:szCs w:val="20"/>
          <w:lang w:val="en-US" w:eastAsia="x-none"/>
        </w:rPr>
        <w:t xml:space="preserve"> </w:t>
      </w:r>
      <w:r w:rsidR="00B85062" w:rsidRPr="009F337B">
        <w:rPr>
          <w:rFonts w:eastAsia="Times" w:cs="Arial"/>
          <w:b/>
          <w:szCs w:val="20"/>
          <w:lang w:val="en-US"/>
        </w:rPr>
        <w:t>Analysis of the medical treatment received by the presumed victims after</w:t>
      </w:r>
      <w:r w:rsidR="00F46845" w:rsidRPr="009F337B">
        <w:rPr>
          <w:rFonts w:eastAsia="Times" w:cs="Arial"/>
          <w:b/>
          <w:szCs w:val="20"/>
          <w:lang w:val="en-US"/>
        </w:rPr>
        <w:t xml:space="preserve"> 2004</w:t>
      </w:r>
    </w:p>
    <w:p w14:paraId="7D492AE5" w14:textId="77777777" w:rsidR="00E92CA8" w:rsidRPr="009F337B" w:rsidRDefault="00E92CA8" w:rsidP="00E92CA8">
      <w:pPr>
        <w:pStyle w:val="Estilo1"/>
        <w:tabs>
          <w:tab w:val="left" w:pos="709"/>
          <w:tab w:val="left" w:pos="1134"/>
        </w:tabs>
        <w:spacing w:after="0"/>
        <w:ind w:left="0" w:right="-4" w:firstLine="0"/>
        <w:rPr>
          <w:rFonts w:eastAsia="Times" w:cs="Arial"/>
          <w:i w:val="0"/>
          <w:szCs w:val="20"/>
          <w:lang w:val="en-US"/>
        </w:rPr>
      </w:pPr>
    </w:p>
    <w:p w14:paraId="397631FD" w14:textId="128B1B23" w:rsidR="008A3A01" w:rsidRPr="009F337B" w:rsidRDefault="00AC2165" w:rsidP="00593E37">
      <w:pPr>
        <w:pStyle w:val="Estilo1"/>
        <w:numPr>
          <w:ilvl w:val="0"/>
          <w:numId w:val="1"/>
        </w:numPr>
        <w:tabs>
          <w:tab w:val="left" w:pos="709"/>
          <w:tab w:val="left" w:pos="1134"/>
        </w:tabs>
        <w:spacing w:after="0"/>
        <w:ind w:left="0" w:right="-4" w:firstLine="0"/>
        <w:rPr>
          <w:rFonts w:eastAsia="Times" w:cs="Arial"/>
          <w:i w:val="0"/>
          <w:lang w:val="en-US"/>
        </w:rPr>
      </w:pPr>
      <w:r w:rsidRPr="009F337B">
        <w:rPr>
          <w:i w:val="0"/>
          <w:lang w:val="en-US"/>
        </w:rPr>
        <w:t>First, in this case, the Court recalls that medical treatment for people living with HIV requires the availability of sufficient quantities of antiretroviral drugs and other pharmaceutical products for the treatment of opportunistic infections. In this regard, the evidence reveals that 31 of the presumed victims had irregular, inadequate or non-existent access to antiretroviral drugs provided by the State. The Court therefore notes the following: (</w:t>
      </w:r>
      <w:proofErr w:type="spellStart"/>
      <w:r w:rsidRPr="009F337B">
        <w:rPr>
          <w:i w:val="0"/>
          <w:lang w:val="en-US"/>
        </w:rPr>
        <w:t>i</w:t>
      </w:r>
      <w:proofErr w:type="spellEnd"/>
      <w:r w:rsidRPr="009F337B">
        <w:rPr>
          <w:i w:val="0"/>
          <w:lang w:val="en-US"/>
        </w:rPr>
        <w:t xml:space="preserve">) some presumed victims had no access to antiretroviral drugs, either for a prolonged period between the first HIV diagnosis and the start of treatment or because the treatment was insufficient once they </w:t>
      </w:r>
      <w:r w:rsidR="00710623" w:rsidRPr="009F337B">
        <w:rPr>
          <w:i w:val="0"/>
          <w:lang w:val="en-US"/>
        </w:rPr>
        <w:t>obtained</w:t>
      </w:r>
      <w:r w:rsidRPr="009F337B">
        <w:rPr>
          <w:i w:val="0"/>
          <w:lang w:val="en-US"/>
        </w:rPr>
        <w:t xml:space="preserve"> access to it;</w:t>
      </w:r>
      <w:r w:rsidRPr="009F337B">
        <w:rPr>
          <w:rStyle w:val="Refdenotaalpie"/>
          <w:i w:val="0"/>
          <w:lang w:val="en-US"/>
        </w:rPr>
        <w:footnoteReference w:id="136"/>
      </w:r>
      <w:r w:rsidRPr="009F337B">
        <w:rPr>
          <w:i w:val="0"/>
          <w:lang w:val="en-US"/>
        </w:rPr>
        <w:t xml:space="preserve"> (ii) in other cases, the patients suffered from shortages or lack of consistency in the supply of their medication</w:t>
      </w:r>
      <w:r w:rsidRPr="009F337B">
        <w:rPr>
          <w:rFonts w:eastAsia="Times" w:cs="Arial"/>
          <w:i w:val="0"/>
          <w:lang w:val="en-US"/>
        </w:rPr>
        <w:t>;</w:t>
      </w:r>
      <w:r w:rsidR="008A3A01" w:rsidRPr="009F337B">
        <w:rPr>
          <w:rStyle w:val="Refdenotaalpie"/>
          <w:i w:val="0"/>
          <w:lang w:val="en-US"/>
        </w:rPr>
        <w:footnoteReference w:id="137"/>
      </w:r>
      <w:r w:rsidR="00D9051D" w:rsidRPr="009F337B">
        <w:rPr>
          <w:i w:val="0"/>
          <w:lang w:val="en-US"/>
        </w:rPr>
        <w:t xml:space="preserve"> </w:t>
      </w:r>
      <w:r w:rsidRPr="009F337B">
        <w:rPr>
          <w:i w:val="0"/>
          <w:lang w:val="en-US"/>
        </w:rPr>
        <w:t>(</w:t>
      </w:r>
      <w:r w:rsidR="008A3A01" w:rsidRPr="009F337B">
        <w:rPr>
          <w:i w:val="0"/>
          <w:lang w:val="en-US"/>
        </w:rPr>
        <w:t xml:space="preserve">iii) </w:t>
      </w:r>
      <w:r w:rsidRPr="009F337B">
        <w:rPr>
          <w:i w:val="0"/>
          <w:lang w:val="en-US"/>
        </w:rPr>
        <w:t xml:space="preserve">lastly, in the case of some </w:t>
      </w:r>
      <w:r w:rsidR="00710623" w:rsidRPr="009F337B">
        <w:rPr>
          <w:i w:val="0"/>
          <w:lang w:val="en-US"/>
        </w:rPr>
        <w:t>presumed victims</w:t>
      </w:r>
      <w:r w:rsidRPr="009F337B">
        <w:rPr>
          <w:i w:val="0"/>
          <w:lang w:val="en-US"/>
        </w:rPr>
        <w:t xml:space="preserve">, </w:t>
      </w:r>
      <w:proofErr w:type="spellStart"/>
      <w:r w:rsidRPr="009F337B">
        <w:rPr>
          <w:i w:val="0"/>
          <w:lang w:val="en-US"/>
        </w:rPr>
        <w:t>therapeutical</w:t>
      </w:r>
      <w:proofErr w:type="spellEnd"/>
      <w:r w:rsidRPr="009F337B">
        <w:rPr>
          <w:i w:val="0"/>
          <w:lang w:val="en-US"/>
        </w:rPr>
        <w:t xml:space="preserve"> problems were detected because they developed resistance to the </w:t>
      </w:r>
      <w:r w:rsidR="00FE1EFF" w:rsidRPr="009F337B">
        <w:rPr>
          <w:rFonts w:eastAsia="Times" w:cs="Arial"/>
          <w:i w:val="0"/>
          <w:lang w:val="en-US"/>
        </w:rPr>
        <w:t>antiretroviral treatment</w:t>
      </w:r>
      <w:r w:rsidRPr="009F337B">
        <w:rPr>
          <w:rFonts w:eastAsia="Times" w:cs="Arial"/>
          <w:i w:val="0"/>
          <w:lang w:val="en-US"/>
        </w:rPr>
        <w:t xml:space="preserve"> or it was shown that </w:t>
      </w:r>
      <w:r w:rsidR="00710623" w:rsidRPr="009F337B">
        <w:rPr>
          <w:rFonts w:eastAsia="Times" w:cs="Arial"/>
          <w:i w:val="0"/>
          <w:lang w:val="en-US"/>
        </w:rPr>
        <w:t>they</w:t>
      </w:r>
      <w:r w:rsidR="008A3A01" w:rsidRPr="009F337B">
        <w:rPr>
          <w:rFonts w:eastAsia="Times" w:cs="Arial"/>
          <w:i w:val="0"/>
          <w:lang w:val="en-US"/>
        </w:rPr>
        <w:t xml:space="preserve"> </w:t>
      </w:r>
      <w:r w:rsidRPr="009F337B">
        <w:rPr>
          <w:rFonts w:eastAsia="Times" w:cs="Arial"/>
          <w:i w:val="0"/>
          <w:lang w:val="en-US"/>
        </w:rPr>
        <w:t>required a change in their treatment program</w:t>
      </w:r>
      <w:r w:rsidR="00512B63" w:rsidRPr="009F337B">
        <w:rPr>
          <w:rFonts w:eastAsia="Times" w:cs="Arial"/>
          <w:i w:val="0"/>
          <w:lang w:val="en-US"/>
        </w:rPr>
        <w:t xml:space="preserve"> and this </w:t>
      </w:r>
      <w:r w:rsidRPr="009F337B">
        <w:rPr>
          <w:rFonts w:eastAsia="Times" w:cs="Arial"/>
          <w:i w:val="0"/>
          <w:lang w:val="en-US"/>
        </w:rPr>
        <w:t>was not provided.</w:t>
      </w:r>
      <w:r w:rsidR="008A3A01" w:rsidRPr="009F337B">
        <w:rPr>
          <w:rStyle w:val="Refdenotaalpie"/>
          <w:i w:val="0"/>
          <w:lang w:val="en-US"/>
        </w:rPr>
        <w:footnoteReference w:id="138"/>
      </w:r>
      <w:r w:rsidRPr="009F337B">
        <w:rPr>
          <w:rFonts w:eastAsia="Times" w:cs="Arial"/>
          <w:i w:val="0"/>
          <w:lang w:val="en-US"/>
        </w:rPr>
        <w:t xml:space="preserve"> Regarding the other </w:t>
      </w:r>
      <w:r w:rsidR="00A00EE5" w:rsidRPr="009F337B">
        <w:rPr>
          <w:i w:val="0"/>
          <w:lang w:val="en-US"/>
        </w:rPr>
        <w:t>presumed</w:t>
      </w:r>
      <w:r w:rsidR="003C46A3" w:rsidRPr="009F337B">
        <w:rPr>
          <w:i w:val="0"/>
          <w:lang w:val="en-US"/>
        </w:rPr>
        <w:t xml:space="preserve"> victims</w:t>
      </w:r>
      <w:r w:rsidR="00A90CAC" w:rsidRPr="009F337B">
        <w:rPr>
          <w:i w:val="0"/>
          <w:lang w:val="en-US"/>
        </w:rPr>
        <w:t xml:space="preserve">, </w:t>
      </w:r>
      <w:r w:rsidR="008C399E" w:rsidRPr="009F337B">
        <w:rPr>
          <w:i w:val="0"/>
          <w:color w:val="000000"/>
          <w:lang w:val="en-US"/>
        </w:rPr>
        <w:t>the Court</w:t>
      </w:r>
      <w:r w:rsidR="008A3A01" w:rsidRPr="009F337B">
        <w:rPr>
          <w:i w:val="0"/>
          <w:color w:val="000000"/>
          <w:lang w:val="en-US"/>
        </w:rPr>
        <w:t xml:space="preserve"> </w:t>
      </w:r>
      <w:r w:rsidRPr="009F337B">
        <w:rPr>
          <w:i w:val="0"/>
          <w:color w:val="000000"/>
          <w:lang w:val="en-US"/>
        </w:rPr>
        <w:t xml:space="preserve">has insufficient information to determine their situation with regard to the </w:t>
      </w:r>
      <w:r w:rsidR="00FE1EFF" w:rsidRPr="009F337B">
        <w:rPr>
          <w:i w:val="0"/>
          <w:color w:val="000000"/>
          <w:lang w:val="en-US"/>
        </w:rPr>
        <w:t>antiretroviral treatment</w:t>
      </w:r>
      <w:r w:rsidR="008A3A01" w:rsidRPr="009F337B">
        <w:rPr>
          <w:i w:val="0"/>
          <w:color w:val="000000"/>
          <w:lang w:val="en-US"/>
        </w:rPr>
        <w:t>.</w:t>
      </w:r>
    </w:p>
    <w:p w14:paraId="1BD633D2" w14:textId="77777777" w:rsidR="00E92CA8" w:rsidRPr="009F337B" w:rsidRDefault="00E92CA8" w:rsidP="00E92CA8">
      <w:pPr>
        <w:pStyle w:val="Estilo1"/>
        <w:tabs>
          <w:tab w:val="left" w:pos="709"/>
          <w:tab w:val="left" w:pos="1134"/>
        </w:tabs>
        <w:spacing w:after="0"/>
        <w:ind w:left="0" w:right="-4" w:firstLine="0"/>
        <w:rPr>
          <w:rFonts w:eastAsia="Times" w:cs="Arial"/>
          <w:i w:val="0"/>
          <w:lang w:val="en-US"/>
        </w:rPr>
      </w:pPr>
    </w:p>
    <w:p w14:paraId="270E3F3A" w14:textId="49598AD2" w:rsidR="00F46845" w:rsidRPr="009F337B" w:rsidRDefault="00AC2165" w:rsidP="00593E37">
      <w:pPr>
        <w:pStyle w:val="Estilo1"/>
        <w:numPr>
          <w:ilvl w:val="0"/>
          <w:numId w:val="1"/>
        </w:numPr>
        <w:tabs>
          <w:tab w:val="left" w:pos="709"/>
          <w:tab w:val="left" w:pos="1134"/>
        </w:tabs>
        <w:spacing w:after="0"/>
        <w:ind w:left="0" w:right="-4" w:firstLine="0"/>
        <w:rPr>
          <w:rFonts w:eastAsia="Times" w:cs="Arial"/>
          <w:i w:val="0"/>
          <w:szCs w:val="20"/>
          <w:lang w:val="en-US"/>
        </w:rPr>
      </w:pPr>
      <w:r w:rsidRPr="009F337B">
        <w:rPr>
          <w:rFonts w:eastAsia="Times" w:cs="Arial"/>
          <w:i w:val="0"/>
          <w:szCs w:val="20"/>
          <w:lang w:val="en-US"/>
        </w:rPr>
        <w:t>Second</w:t>
      </w:r>
      <w:r w:rsidR="00F46845" w:rsidRPr="009F337B">
        <w:rPr>
          <w:rFonts w:eastAsia="Times" w:cs="Arial"/>
          <w:i w:val="0"/>
          <w:szCs w:val="20"/>
          <w:lang w:val="en-US"/>
        </w:rPr>
        <w:t xml:space="preserve">, </w:t>
      </w:r>
      <w:r w:rsidR="008C399E" w:rsidRPr="009F337B">
        <w:rPr>
          <w:rFonts w:eastAsia="Times" w:cs="Arial"/>
          <w:i w:val="0"/>
          <w:szCs w:val="20"/>
          <w:lang w:val="en-US"/>
        </w:rPr>
        <w:t>the Court</w:t>
      </w:r>
      <w:r w:rsidR="00F46845" w:rsidRPr="009F337B">
        <w:rPr>
          <w:rFonts w:eastAsia="Times" w:cs="Arial"/>
          <w:i w:val="0"/>
          <w:szCs w:val="20"/>
          <w:lang w:val="en-US"/>
        </w:rPr>
        <w:t xml:space="preserve"> </w:t>
      </w:r>
      <w:r w:rsidR="003C6E53" w:rsidRPr="009F337B">
        <w:rPr>
          <w:rFonts w:eastAsia="Times" w:cs="Arial"/>
          <w:i w:val="0"/>
          <w:szCs w:val="20"/>
          <w:lang w:val="en-US"/>
        </w:rPr>
        <w:t>rec</w:t>
      </w:r>
      <w:r w:rsidRPr="009F337B">
        <w:rPr>
          <w:rFonts w:eastAsia="Times" w:cs="Arial"/>
          <w:i w:val="0"/>
          <w:szCs w:val="20"/>
          <w:lang w:val="en-US"/>
        </w:rPr>
        <w:t xml:space="preserve">alls that the State obligation to ensure </w:t>
      </w:r>
      <w:r w:rsidR="00A51F3B" w:rsidRPr="009F337B">
        <w:rPr>
          <w:rFonts w:eastAsia="Times" w:cs="Arial"/>
          <w:i w:val="0"/>
          <w:szCs w:val="20"/>
          <w:lang w:val="en-US"/>
        </w:rPr>
        <w:t>the right to health</w:t>
      </w:r>
      <w:r w:rsidR="003C6E53" w:rsidRPr="009F337B">
        <w:rPr>
          <w:rFonts w:eastAsia="Times" w:cs="Arial"/>
          <w:i w:val="0"/>
          <w:szCs w:val="20"/>
          <w:lang w:val="en-US"/>
        </w:rPr>
        <w:t xml:space="preserve"> </w:t>
      </w:r>
      <w:r w:rsidRPr="009F337B">
        <w:rPr>
          <w:rFonts w:eastAsia="Times" w:cs="Arial"/>
          <w:i w:val="0"/>
          <w:szCs w:val="20"/>
          <w:lang w:val="en-US"/>
        </w:rPr>
        <w:t>of</w:t>
      </w:r>
      <w:r w:rsidR="003C6E53" w:rsidRPr="009F337B">
        <w:rPr>
          <w:rFonts w:eastAsia="Times" w:cs="Arial"/>
          <w:i w:val="0"/>
          <w:szCs w:val="20"/>
          <w:lang w:val="en-US"/>
        </w:rPr>
        <w:t xml:space="preserve"> </w:t>
      </w:r>
      <w:r w:rsidR="00080A1E" w:rsidRPr="009F337B">
        <w:rPr>
          <w:rFonts w:eastAsia="Times" w:cs="Arial"/>
          <w:i w:val="0"/>
          <w:szCs w:val="20"/>
          <w:lang w:val="en-US"/>
        </w:rPr>
        <w:t>people living with HIV</w:t>
      </w:r>
      <w:r w:rsidR="003C6E53" w:rsidRPr="009F337B">
        <w:rPr>
          <w:rFonts w:eastAsia="Times" w:cs="Arial"/>
          <w:i w:val="0"/>
          <w:szCs w:val="20"/>
          <w:lang w:val="en-US"/>
        </w:rPr>
        <w:t xml:space="preserve"> </w:t>
      </w:r>
      <w:r w:rsidRPr="009F337B">
        <w:rPr>
          <w:rFonts w:eastAsia="Times" w:cs="Arial"/>
          <w:i w:val="0"/>
          <w:szCs w:val="20"/>
          <w:lang w:val="en-US"/>
        </w:rPr>
        <w:t xml:space="preserve">calls for the performance of diagnostic testing to treat the infection and </w:t>
      </w:r>
      <w:r w:rsidR="00512B63" w:rsidRPr="009F337B">
        <w:rPr>
          <w:rFonts w:eastAsia="Times" w:cs="Arial"/>
          <w:i w:val="0"/>
          <w:szCs w:val="20"/>
          <w:lang w:val="en-US"/>
        </w:rPr>
        <w:t xml:space="preserve">the </w:t>
      </w:r>
      <w:r w:rsidRPr="009F337B">
        <w:rPr>
          <w:rFonts w:eastAsia="Times" w:cs="Arial"/>
          <w:i w:val="0"/>
          <w:szCs w:val="20"/>
          <w:lang w:val="en-US"/>
        </w:rPr>
        <w:t xml:space="preserve">opportunistic </w:t>
      </w:r>
      <w:r w:rsidR="00512B63" w:rsidRPr="009F337B">
        <w:rPr>
          <w:rFonts w:eastAsia="Times" w:cs="Arial"/>
          <w:i w:val="0"/>
          <w:szCs w:val="20"/>
          <w:lang w:val="en-US"/>
        </w:rPr>
        <w:t>diseases</w:t>
      </w:r>
      <w:r w:rsidRPr="009F337B">
        <w:rPr>
          <w:rFonts w:eastAsia="Times" w:cs="Arial"/>
          <w:i w:val="0"/>
          <w:szCs w:val="20"/>
          <w:lang w:val="en-US"/>
        </w:rPr>
        <w:t xml:space="preserve">, and that this is essential </w:t>
      </w:r>
      <w:r w:rsidR="00512B63" w:rsidRPr="009F337B">
        <w:rPr>
          <w:rFonts w:eastAsia="Times" w:cs="Arial"/>
          <w:i w:val="0"/>
          <w:szCs w:val="20"/>
          <w:lang w:val="en-US"/>
        </w:rPr>
        <w:t>for</w:t>
      </w:r>
      <w:r w:rsidRPr="009F337B">
        <w:rPr>
          <w:rFonts w:eastAsia="Times" w:cs="Arial"/>
          <w:i w:val="0"/>
          <w:szCs w:val="20"/>
          <w:lang w:val="en-US"/>
        </w:rPr>
        <w:t xml:space="preserve"> prescrib</w:t>
      </w:r>
      <w:r w:rsidR="00512B63" w:rsidRPr="009F337B">
        <w:rPr>
          <w:rFonts w:eastAsia="Times" w:cs="Arial"/>
          <w:i w:val="0"/>
          <w:szCs w:val="20"/>
          <w:lang w:val="en-US"/>
        </w:rPr>
        <w:t>ing</w:t>
      </w:r>
      <w:r w:rsidRPr="009F337B">
        <w:rPr>
          <w:rFonts w:eastAsia="Times" w:cs="Arial"/>
          <w:i w:val="0"/>
          <w:szCs w:val="20"/>
          <w:lang w:val="en-US"/>
        </w:rPr>
        <w:t xml:space="preserve"> the appropriate </w:t>
      </w:r>
      <w:r w:rsidR="00FE1EFF" w:rsidRPr="009F337B">
        <w:rPr>
          <w:rFonts w:eastAsia="Times" w:cs="Arial"/>
          <w:i w:val="0"/>
          <w:szCs w:val="20"/>
          <w:lang w:val="en-US"/>
        </w:rPr>
        <w:t>antiretroviral treatment</w:t>
      </w:r>
      <w:r w:rsidRPr="009F337B">
        <w:rPr>
          <w:rFonts w:eastAsia="Times" w:cs="Arial"/>
          <w:i w:val="0"/>
          <w:szCs w:val="20"/>
          <w:lang w:val="en-US"/>
        </w:rPr>
        <w:t xml:space="preserve">. Also, the lack of periodic testing </w:t>
      </w:r>
      <w:r w:rsidR="00512B63" w:rsidRPr="009F337B">
        <w:rPr>
          <w:rFonts w:eastAsia="Times" w:cs="Arial"/>
          <w:i w:val="0"/>
          <w:szCs w:val="20"/>
          <w:lang w:val="en-US"/>
        </w:rPr>
        <w:t>engenders</w:t>
      </w:r>
      <w:r w:rsidRPr="009F337B">
        <w:rPr>
          <w:rFonts w:eastAsia="Times" w:cs="Arial"/>
          <w:i w:val="0"/>
          <w:szCs w:val="20"/>
          <w:lang w:val="en-US"/>
        </w:rPr>
        <w:t xml:space="preserve"> a risk that the patient will receive inadequate treatment or that the virus </w:t>
      </w:r>
      <w:r w:rsidR="00512B63" w:rsidRPr="009F337B">
        <w:rPr>
          <w:rFonts w:eastAsia="Times" w:cs="Arial"/>
          <w:i w:val="0"/>
          <w:szCs w:val="20"/>
          <w:lang w:val="en-US"/>
        </w:rPr>
        <w:t xml:space="preserve">will </w:t>
      </w:r>
      <w:r w:rsidRPr="009F337B">
        <w:rPr>
          <w:rFonts w:eastAsia="Times" w:cs="Arial"/>
          <w:i w:val="0"/>
          <w:szCs w:val="20"/>
          <w:lang w:val="en-US"/>
        </w:rPr>
        <w:t xml:space="preserve">develop resistance to the </w:t>
      </w:r>
      <w:r w:rsidRPr="009F337B">
        <w:rPr>
          <w:i w:val="0"/>
          <w:szCs w:val="20"/>
          <w:lang w:val="en-US"/>
        </w:rPr>
        <w:t xml:space="preserve">antiretroviral drugs, increasing the risk of opportunistic infections. </w:t>
      </w:r>
      <w:r w:rsidR="00C502AD" w:rsidRPr="009F337B">
        <w:rPr>
          <w:i w:val="0"/>
          <w:szCs w:val="20"/>
          <w:lang w:val="en-US"/>
        </w:rPr>
        <w:t>In th</w:t>
      </w:r>
      <w:r w:rsidR="00512B63" w:rsidRPr="009F337B">
        <w:rPr>
          <w:i w:val="0"/>
          <w:szCs w:val="20"/>
          <w:lang w:val="en-US"/>
        </w:rPr>
        <w:t>e instant</w:t>
      </w:r>
      <w:r w:rsidR="00C502AD" w:rsidRPr="009F337B">
        <w:rPr>
          <w:i w:val="0"/>
          <w:szCs w:val="20"/>
          <w:lang w:val="en-US"/>
        </w:rPr>
        <w:t xml:space="preserve"> case, the Court notes that 39 of the presumed victims did not have access to periodic</w:t>
      </w:r>
      <w:r w:rsidR="00C502AD" w:rsidRPr="009F337B">
        <w:rPr>
          <w:rFonts w:eastAsia="Times" w:cs="Arial"/>
          <w:i w:val="0"/>
          <w:szCs w:val="20"/>
          <w:lang w:val="en-US"/>
        </w:rPr>
        <w:t xml:space="preserve"> </w:t>
      </w:r>
      <w:r w:rsidR="00C60B17" w:rsidRPr="009F337B">
        <w:rPr>
          <w:rFonts w:eastAsia="Times" w:cs="Arial"/>
          <w:i w:val="0"/>
          <w:szCs w:val="20"/>
          <w:lang w:val="en-US"/>
        </w:rPr>
        <w:t>CD4 counts viral load</w:t>
      </w:r>
      <w:r w:rsidR="00C502AD" w:rsidRPr="009F337B">
        <w:rPr>
          <w:rFonts w:eastAsia="Times" w:cs="Arial"/>
          <w:i w:val="0"/>
          <w:szCs w:val="20"/>
          <w:lang w:val="en-US"/>
        </w:rPr>
        <w:t>, phenotype and genotype testing and, in some cases, the patients had undergone no test</w:t>
      </w:r>
      <w:r w:rsidR="00512B63" w:rsidRPr="009F337B">
        <w:rPr>
          <w:rFonts w:eastAsia="Times" w:cs="Arial"/>
          <w:i w:val="0"/>
          <w:szCs w:val="20"/>
          <w:lang w:val="en-US"/>
        </w:rPr>
        <w:t>s</w:t>
      </w:r>
      <w:r w:rsidR="00C502AD" w:rsidRPr="009F337B">
        <w:rPr>
          <w:rFonts w:eastAsia="Times" w:cs="Arial"/>
          <w:i w:val="0"/>
          <w:szCs w:val="20"/>
          <w:lang w:val="en-US"/>
        </w:rPr>
        <w:t xml:space="preserve"> whatsoever.</w:t>
      </w:r>
      <w:r w:rsidR="00F46845" w:rsidRPr="009F337B">
        <w:rPr>
          <w:rStyle w:val="Refdenotaalpie"/>
          <w:rFonts w:eastAsia="Times"/>
          <w:i w:val="0"/>
          <w:lang w:val="en-US"/>
        </w:rPr>
        <w:footnoteReference w:id="139"/>
      </w:r>
      <w:r w:rsidR="00F46845" w:rsidRPr="009F337B">
        <w:rPr>
          <w:rFonts w:eastAsia="Times" w:cs="Arial"/>
          <w:i w:val="0"/>
          <w:szCs w:val="20"/>
          <w:lang w:val="en-US"/>
        </w:rPr>
        <w:t xml:space="preserve"> </w:t>
      </w:r>
      <w:r w:rsidR="00C502AD" w:rsidRPr="009F337B">
        <w:rPr>
          <w:rFonts w:eastAsia="Times" w:cs="Arial"/>
          <w:i w:val="0"/>
          <w:szCs w:val="20"/>
          <w:lang w:val="en-US"/>
        </w:rPr>
        <w:t>Specifically</w:t>
      </w:r>
      <w:r w:rsidR="00F46845" w:rsidRPr="009F337B">
        <w:rPr>
          <w:rFonts w:eastAsia="Times" w:cs="Arial"/>
          <w:i w:val="0"/>
          <w:szCs w:val="20"/>
          <w:lang w:val="en-US"/>
        </w:rPr>
        <w:t xml:space="preserve">, </w:t>
      </w:r>
      <w:r w:rsidR="00AE5F9E" w:rsidRPr="009F337B">
        <w:rPr>
          <w:rFonts w:eastAsia="Times" w:cs="Arial"/>
          <w:i w:val="0"/>
          <w:szCs w:val="20"/>
          <w:lang w:val="en-US"/>
        </w:rPr>
        <w:t>the Court</w:t>
      </w:r>
      <w:r w:rsidR="00F46845" w:rsidRPr="009F337B">
        <w:rPr>
          <w:rFonts w:eastAsia="Times" w:cs="Arial"/>
          <w:i w:val="0"/>
          <w:szCs w:val="20"/>
          <w:lang w:val="en-US"/>
        </w:rPr>
        <w:t xml:space="preserve"> </w:t>
      </w:r>
      <w:r w:rsidR="00C502AD" w:rsidRPr="009F337B">
        <w:rPr>
          <w:rFonts w:eastAsia="Times" w:cs="Arial"/>
          <w:i w:val="0"/>
          <w:szCs w:val="20"/>
          <w:lang w:val="en-US"/>
        </w:rPr>
        <w:t xml:space="preserve">notes that in some cases, </w:t>
      </w:r>
      <w:r w:rsidR="00F46845" w:rsidRPr="009F337B">
        <w:rPr>
          <w:rFonts w:eastAsia="Times" w:cs="Arial"/>
          <w:i w:val="0"/>
          <w:szCs w:val="20"/>
          <w:lang w:val="en-US"/>
        </w:rPr>
        <w:t xml:space="preserve">CD4 </w:t>
      </w:r>
      <w:r w:rsidR="00C502AD" w:rsidRPr="009F337B">
        <w:rPr>
          <w:rFonts w:eastAsia="Times" w:cs="Arial"/>
          <w:i w:val="0"/>
          <w:szCs w:val="20"/>
          <w:lang w:val="en-US"/>
        </w:rPr>
        <w:t>counts and/or viral load tests had not been performed;</w:t>
      </w:r>
      <w:r w:rsidR="00F46845" w:rsidRPr="009F337B">
        <w:rPr>
          <w:rStyle w:val="Refdenotaalpie"/>
          <w:rFonts w:eastAsia="Times"/>
          <w:i w:val="0"/>
          <w:lang w:val="en-US"/>
        </w:rPr>
        <w:footnoteReference w:id="140"/>
      </w:r>
      <w:r w:rsidR="00F46845" w:rsidRPr="009F337B">
        <w:rPr>
          <w:rFonts w:eastAsia="Times" w:cs="Arial"/>
          <w:i w:val="0"/>
          <w:szCs w:val="20"/>
          <w:lang w:val="en-US"/>
        </w:rPr>
        <w:t xml:space="preserve"> </w:t>
      </w:r>
      <w:r w:rsidR="00C502AD" w:rsidRPr="009F337B">
        <w:rPr>
          <w:rFonts w:eastAsia="Times" w:cs="Arial"/>
          <w:i w:val="0"/>
          <w:szCs w:val="20"/>
          <w:lang w:val="en-US"/>
        </w:rPr>
        <w:t>in other cases, the</w:t>
      </w:r>
      <w:r w:rsidR="00512B63" w:rsidRPr="009F337B">
        <w:rPr>
          <w:rFonts w:eastAsia="Times" w:cs="Arial"/>
          <w:i w:val="0"/>
          <w:szCs w:val="20"/>
          <w:lang w:val="en-US"/>
        </w:rPr>
        <w:t xml:space="preserve"> presumed victims</w:t>
      </w:r>
      <w:r w:rsidR="00C502AD" w:rsidRPr="009F337B">
        <w:rPr>
          <w:rFonts w:eastAsia="Times" w:cs="Arial"/>
          <w:i w:val="0"/>
          <w:szCs w:val="20"/>
          <w:lang w:val="en-US"/>
        </w:rPr>
        <w:t xml:space="preserve"> had not </w:t>
      </w:r>
      <w:r w:rsidR="00512B63" w:rsidRPr="009F337B">
        <w:rPr>
          <w:rFonts w:eastAsia="Times" w:cs="Arial"/>
          <w:i w:val="0"/>
          <w:szCs w:val="20"/>
          <w:lang w:val="en-US"/>
        </w:rPr>
        <w:lastRenderedPageBreak/>
        <w:t>undergone</w:t>
      </w:r>
      <w:r w:rsidR="00C502AD" w:rsidRPr="009F337B">
        <w:rPr>
          <w:rFonts w:eastAsia="Times" w:cs="Arial"/>
          <w:i w:val="0"/>
          <w:szCs w:val="20"/>
          <w:lang w:val="en-US"/>
        </w:rPr>
        <w:t xml:space="preserve"> genotype and/or phenotype testing,</w:t>
      </w:r>
      <w:r w:rsidR="00F46845" w:rsidRPr="009F337B">
        <w:rPr>
          <w:rStyle w:val="Refdenotaalpie"/>
          <w:rFonts w:eastAsia="Times"/>
          <w:i w:val="0"/>
          <w:lang w:val="en-US"/>
        </w:rPr>
        <w:footnoteReference w:id="141"/>
      </w:r>
      <w:r w:rsidR="00C502AD" w:rsidRPr="009F337B">
        <w:rPr>
          <w:rFonts w:eastAsia="Times" w:cs="Arial"/>
          <w:i w:val="0"/>
          <w:szCs w:val="20"/>
          <w:lang w:val="en-US"/>
        </w:rPr>
        <w:t xml:space="preserve"> and most </w:t>
      </w:r>
      <w:r w:rsidR="00512B63" w:rsidRPr="009F337B">
        <w:rPr>
          <w:rFonts w:eastAsia="Times" w:cs="Arial"/>
          <w:i w:val="0"/>
          <w:szCs w:val="20"/>
          <w:lang w:val="en-US"/>
        </w:rPr>
        <w:t xml:space="preserve">presumed </w:t>
      </w:r>
      <w:r w:rsidR="00C502AD" w:rsidRPr="009F337B">
        <w:rPr>
          <w:rFonts w:eastAsia="Times" w:cs="Arial"/>
          <w:i w:val="0"/>
          <w:szCs w:val="20"/>
          <w:lang w:val="en-US"/>
        </w:rPr>
        <w:t>victims had not undergone periodic tests</w:t>
      </w:r>
      <w:r w:rsidR="00F46845" w:rsidRPr="009F337B">
        <w:rPr>
          <w:rStyle w:val="Refdenotaalpie"/>
          <w:rFonts w:eastAsia="Times"/>
          <w:i w:val="0"/>
          <w:lang w:val="en-US"/>
        </w:rPr>
        <w:footnoteReference w:id="142"/>
      </w:r>
      <w:r w:rsidR="00F46845" w:rsidRPr="009F337B">
        <w:rPr>
          <w:rFonts w:eastAsia="Times" w:cs="Arial"/>
          <w:i w:val="0"/>
          <w:szCs w:val="20"/>
          <w:lang w:val="en-US"/>
        </w:rPr>
        <w:t xml:space="preserve"> </w:t>
      </w:r>
      <w:r w:rsidR="00C502AD" w:rsidRPr="009F337B">
        <w:rPr>
          <w:rFonts w:eastAsia="Times" w:cs="Arial"/>
          <w:i w:val="0"/>
          <w:szCs w:val="20"/>
          <w:lang w:val="en-US"/>
        </w:rPr>
        <w:t xml:space="preserve">in keeping with the standards established for the adequate care and monitoring required </w:t>
      </w:r>
      <w:r w:rsidR="000E514E" w:rsidRPr="009F337B">
        <w:rPr>
          <w:rFonts w:eastAsia="Times" w:cs="Arial"/>
          <w:i w:val="0"/>
          <w:szCs w:val="20"/>
          <w:lang w:val="en-US"/>
        </w:rPr>
        <w:t>to ensure</w:t>
      </w:r>
      <w:r w:rsidR="00C502AD" w:rsidRPr="009F337B">
        <w:rPr>
          <w:rFonts w:eastAsia="Times" w:cs="Arial"/>
          <w:i w:val="0"/>
          <w:szCs w:val="20"/>
          <w:lang w:val="en-US"/>
        </w:rPr>
        <w:t xml:space="preserve"> comprehensive medical treatment for </w:t>
      </w:r>
      <w:r w:rsidR="00080A1E" w:rsidRPr="009F337B">
        <w:rPr>
          <w:rFonts w:eastAsia="Times" w:cs="Arial"/>
          <w:i w:val="0"/>
          <w:szCs w:val="20"/>
          <w:lang w:val="en-US"/>
        </w:rPr>
        <w:t>people living with HIV</w:t>
      </w:r>
      <w:r w:rsidR="00C502AD" w:rsidRPr="009F337B">
        <w:rPr>
          <w:rFonts w:eastAsia="Times" w:cs="Arial"/>
          <w:i w:val="0"/>
          <w:szCs w:val="20"/>
          <w:lang w:val="en-US"/>
        </w:rPr>
        <w:t xml:space="preserve"> or, at one time, they themselves had</w:t>
      </w:r>
      <w:r w:rsidR="000E514E" w:rsidRPr="009F337B">
        <w:rPr>
          <w:rFonts w:eastAsia="Times" w:cs="Arial"/>
          <w:i w:val="0"/>
          <w:szCs w:val="20"/>
          <w:lang w:val="en-US"/>
        </w:rPr>
        <w:t xml:space="preserve"> had</w:t>
      </w:r>
      <w:r w:rsidR="00C502AD" w:rsidRPr="009F337B">
        <w:rPr>
          <w:rFonts w:eastAsia="Times" w:cs="Arial"/>
          <w:i w:val="0"/>
          <w:szCs w:val="20"/>
          <w:lang w:val="en-US"/>
        </w:rPr>
        <w:t xml:space="preserve"> to cover the cost of such tests.</w:t>
      </w:r>
      <w:r w:rsidR="00F46845" w:rsidRPr="009F337B">
        <w:rPr>
          <w:rStyle w:val="Refdenotaalpie"/>
          <w:rFonts w:eastAsia="Times"/>
          <w:i w:val="0"/>
          <w:lang w:val="en-US"/>
        </w:rPr>
        <w:footnoteReference w:id="143"/>
      </w:r>
      <w:r w:rsidR="00C502AD" w:rsidRPr="009F337B">
        <w:rPr>
          <w:rFonts w:eastAsia="Times" w:cs="Arial"/>
          <w:i w:val="0"/>
          <w:szCs w:val="20"/>
          <w:lang w:val="en-US"/>
        </w:rPr>
        <w:t xml:space="preserve"> In addition, the Court notes that, as a result of the foregoing, numerous victims had contracted opportunistic infections which were not treated </w:t>
      </w:r>
      <w:r w:rsidR="00F46845" w:rsidRPr="009F337B">
        <w:rPr>
          <w:rFonts w:eastAsia="Times" w:cs="Arial"/>
          <w:i w:val="0"/>
          <w:szCs w:val="20"/>
          <w:lang w:val="en-US"/>
        </w:rPr>
        <w:t>(</w:t>
      </w:r>
      <w:r w:rsidR="00F46845" w:rsidRPr="009F337B">
        <w:rPr>
          <w:rFonts w:eastAsia="Times" w:cs="Arial"/>
          <w:szCs w:val="20"/>
          <w:lang w:val="en-US"/>
        </w:rPr>
        <w:t>infra</w:t>
      </w:r>
      <w:r w:rsidR="00F46845" w:rsidRPr="009F337B">
        <w:rPr>
          <w:rFonts w:eastAsia="Times" w:cs="Arial"/>
          <w:i w:val="0"/>
          <w:szCs w:val="20"/>
          <w:lang w:val="en-US"/>
        </w:rPr>
        <w:t xml:space="preserve">, </w:t>
      </w:r>
      <w:r w:rsidR="00B63594" w:rsidRPr="009F337B">
        <w:rPr>
          <w:rFonts w:eastAsia="Times" w:cs="Arial"/>
          <w:i w:val="0"/>
          <w:szCs w:val="20"/>
          <w:lang w:val="en-US"/>
        </w:rPr>
        <w:t>paras.</w:t>
      </w:r>
      <w:r w:rsidR="00E52721" w:rsidRPr="009F337B">
        <w:rPr>
          <w:rFonts w:eastAsia="Times" w:cs="Arial"/>
          <w:i w:val="0"/>
          <w:szCs w:val="20"/>
          <w:lang w:val="en-US"/>
        </w:rPr>
        <w:t xml:space="preserve"> 159</w:t>
      </w:r>
      <w:r w:rsidR="003C46A3" w:rsidRPr="009F337B">
        <w:rPr>
          <w:rFonts w:eastAsia="Times" w:cs="Arial"/>
          <w:i w:val="0"/>
          <w:szCs w:val="20"/>
          <w:lang w:val="en-US"/>
        </w:rPr>
        <w:t xml:space="preserve"> and </w:t>
      </w:r>
      <w:r w:rsidR="00E52721" w:rsidRPr="009F337B">
        <w:rPr>
          <w:rFonts w:eastAsia="Times" w:cs="Arial"/>
          <w:i w:val="0"/>
          <w:szCs w:val="20"/>
          <w:lang w:val="en-US"/>
        </w:rPr>
        <w:t>164</w:t>
      </w:r>
      <w:r w:rsidR="00F46845" w:rsidRPr="009F337B">
        <w:rPr>
          <w:rFonts w:eastAsia="Times" w:cs="Arial"/>
          <w:i w:val="0"/>
          <w:szCs w:val="20"/>
          <w:lang w:val="en-US"/>
        </w:rPr>
        <w:t>).</w:t>
      </w:r>
    </w:p>
    <w:p w14:paraId="71D2B18C" w14:textId="77777777" w:rsidR="00E92CA8" w:rsidRPr="009F337B" w:rsidRDefault="00E92CA8" w:rsidP="00E92CA8">
      <w:pPr>
        <w:pStyle w:val="Estilo1"/>
        <w:tabs>
          <w:tab w:val="left" w:pos="709"/>
          <w:tab w:val="left" w:pos="1134"/>
        </w:tabs>
        <w:spacing w:after="0"/>
        <w:ind w:left="0" w:right="-4" w:firstLine="0"/>
        <w:rPr>
          <w:rFonts w:eastAsia="Times" w:cs="Arial"/>
          <w:i w:val="0"/>
          <w:szCs w:val="20"/>
          <w:lang w:val="en-US"/>
        </w:rPr>
      </w:pPr>
    </w:p>
    <w:p w14:paraId="40A0EBC7" w14:textId="193BDFE8" w:rsidR="00D41FD3" w:rsidRPr="009F337B" w:rsidRDefault="00C502AD" w:rsidP="00593E37">
      <w:pPr>
        <w:pStyle w:val="Estilo1"/>
        <w:numPr>
          <w:ilvl w:val="0"/>
          <w:numId w:val="1"/>
        </w:numPr>
        <w:tabs>
          <w:tab w:val="left" w:pos="709"/>
          <w:tab w:val="left" w:pos="1134"/>
        </w:tabs>
        <w:spacing w:after="0"/>
        <w:ind w:left="0" w:right="-4" w:firstLine="0"/>
        <w:rPr>
          <w:rFonts w:eastAsia="Times" w:cs="Arial"/>
          <w:i w:val="0"/>
          <w:szCs w:val="20"/>
          <w:lang w:val="en-US"/>
        </w:rPr>
      </w:pPr>
      <w:r w:rsidRPr="009F337B">
        <w:rPr>
          <w:i w:val="0"/>
          <w:szCs w:val="20"/>
          <w:lang w:val="en-US"/>
        </w:rPr>
        <w:t>Third</w:t>
      </w:r>
      <w:r w:rsidR="003C6E53" w:rsidRPr="009F337B">
        <w:rPr>
          <w:i w:val="0"/>
          <w:szCs w:val="20"/>
          <w:lang w:val="en-US"/>
        </w:rPr>
        <w:t xml:space="preserve">, </w:t>
      </w:r>
      <w:r w:rsidR="008C399E" w:rsidRPr="009F337B">
        <w:rPr>
          <w:i w:val="0"/>
          <w:szCs w:val="20"/>
          <w:lang w:val="en-US"/>
        </w:rPr>
        <w:t>the Court</w:t>
      </w:r>
      <w:r w:rsidR="003C6E53" w:rsidRPr="009F337B">
        <w:rPr>
          <w:i w:val="0"/>
          <w:szCs w:val="20"/>
          <w:lang w:val="en-US"/>
        </w:rPr>
        <w:t xml:space="preserve"> rec</w:t>
      </w:r>
      <w:r w:rsidRPr="009F337B">
        <w:rPr>
          <w:i w:val="0"/>
          <w:szCs w:val="20"/>
          <w:lang w:val="en-US"/>
        </w:rPr>
        <w:t xml:space="preserve">alls that care for </w:t>
      </w:r>
      <w:r w:rsidR="00080A1E" w:rsidRPr="009F337B">
        <w:rPr>
          <w:i w:val="0"/>
          <w:szCs w:val="20"/>
          <w:lang w:val="en-US"/>
        </w:rPr>
        <w:t>people living with HIV</w:t>
      </w:r>
      <w:r w:rsidR="003C6E53" w:rsidRPr="009F337B">
        <w:rPr>
          <w:i w:val="0"/>
          <w:szCs w:val="20"/>
          <w:lang w:val="en-US"/>
        </w:rPr>
        <w:t xml:space="preserve"> inclu</w:t>
      </w:r>
      <w:r w:rsidRPr="009F337B">
        <w:rPr>
          <w:i w:val="0"/>
          <w:szCs w:val="20"/>
          <w:lang w:val="en-US"/>
        </w:rPr>
        <w:t xml:space="preserve">des </w:t>
      </w:r>
      <w:r w:rsidR="000E514E" w:rsidRPr="009F337B">
        <w:rPr>
          <w:i w:val="0"/>
          <w:szCs w:val="20"/>
          <w:lang w:val="en-US"/>
        </w:rPr>
        <w:t>g</w:t>
      </w:r>
      <w:r w:rsidRPr="009F337B">
        <w:rPr>
          <w:i w:val="0"/>
          <w:szCs w:val="20"/>
          <w:lang w:val="en-US"/>
        </w:rPr>
        <w:t xml:space="preserve">ood quality </w:t>
      </w:r>
      <w:r w:rsidR="000E514E" w:rsidRPr="009F337B">
        <w:rPr>
          <w:i w:val="0"/>
          <w:szCs w:val="20"/>
          <w:lang w:val="en-US"/>
        </w:rPr>
        <w:t>nutrition</w:t>
      </w:r>
      <w:r w:rsidRPr="009F337B">
        <w:rPr>
          <w:i w:val="0"/>
          <w:szCs w:val="20"/>
          <w:lang w:val="en-US"/>
        </w:rPr>
        <w:t xml:space="preserve">, social and psychological support, and social, community and </w:t>
      </w:r>
      <w:r w:rsidR="00F93469" w:rsidRPr="009F337B">
        <w:rPr>
          <w:i w:val="0"/>
          <w:szCs w:val="20"/>
          <w:lang w:val="en-US"/>
        </w:rPr>
        <w:t>home-based care</w:t>
      </w:r>
      <w:r w:rsidRPr="009F337B">
        <w:rPr>
          <w:i w:val="0"/>
          <w:szCs w:val="20"/>
          <w:lang w:val="en-US"/>
        </w:rPr>
        <w:t xml:space="preserve">. In this case, the Court notes that </w:t>
      </w:r>
      <w:r w:rsidR="00005153" w:rsidRPr="009F337B">
        <w:rPr>
          <w:i w:val="0"/>
          <w:szCs w:val="20"/>
          <w:lang w:val="en-US"/>
        </w:rPr>
        <w:t>22</w:t>
      </w:r>
      <w:r w:rsidR="00CC6A68" w:rsidRPr="009F337B">
        <w:rPr>
          <w:i w:val="0"/>
          <w:szCs w:val="20"/>
          <w:lang w:val="en-US"/>
        </w:rPr>
        <w:t xml:space="preserve"> of the </w:t>
      </w:r>
      <w:r w:rsidR="00A00EE5" w:rsidRPr="009F337B">
        <w:rPr>
          <w:i w:val="0"/>
          <w:szCs w:val="20"/>
          <w:lang w:val="en-US"/>
        </w:rPr>
        <w:t>presumed</w:t>
      </w:r>
      <w:r w:rsidR="003C46A3" w:rsidRPr="009F337B">
        <w:rPr>
          <w:i w:val="0"/>
          <w:szCs w:val="20"/>
          <w:lang w:val="en-US"/>
        </w:rPr>
        <w:t xml:space="preserve"> victims</w:t>
      </w:r>
      <w:r w:rsidR="00B71709" w:rsidRPr="009F337B">
        <w:rPr>
          <w:i w:val="0"/>
          <w:szCs w:val="20"/>
          <w:lang w:val="en-US"/>
        </w:rPr>
        <w:t xml:space="preserve"> </w:t>
      </w:r>
      <w:r w:rsidRPr="009F337B">
        <w:rPr>
          <w:i w:val="0"/>
          <w:szCs w:val="20"/>
          <w:lang w:val="en-US"/>
        </w:rPr>
        <w:t xml:space="preserve">received no social support during their treatment, or </w:t>
      </w:r>
      <w:r w:rsidR="00D72CA1" w:rsidRPr="009F337B">
        <w:rPr>
          <w:i w:val="0"/>
          <w:szCs w:val="20"/>
          <w:lang w:val="en-US"/>
        </w:rPr>
        <w:t>this</w:t>
      </w:r>
      <w:r w:rsidRPr="009F337B">
        <w:rPr>
          <w:i w:val="0"/>
          <w:szCs w:val="20"/>
          <w:lang w:val="en-US"/>
        </w:rPr>
        <w:t xml:space="preserve"> was insufficient,</w:t>
      </w:r>
      <w:r w:rsidR="00B71709" w:rsidRPr="009F337B">
        <w:rPr>
          <w:rStyle w:val="Refdenotaalpie"/>
          <w:i w:val="0"/>
          <w:lang w:val="en-US"/>
        </w:rPr>
        <w:footnoteReference w:id="144"/>
      </w:r>
      <w:r w:rsidR="00B71709" w:rsidRPr="009F337B">
        <w:rPr>
          <w:i w:val="0"/>
          <w:szCs w:val="20"/>
          <w:lang w:val="en-US"/>
        </w:rPr>
        <w:t xml:space="preserve"> o</w:t>
      </w:r>
      <w:r w:rsidRPr="009F337B">
        <w:rPr>
          <w:i w:val="0"/>
          <w:szCs w:val="20"/>
          <w:lang w:val="en-US"/>
        </w:rPr>
        <w:t>r it was only provided by</w:t>
      </w:r>
      <w:r w:rsidR="00B71709" w:rsidRPr="009F337B">
        <w:rPr>
          <w:i w:val="0"/>
          <w:szCs w:val="20"/>
          <w:lang w:val="en-US"/>
        </w:rPr>
        <w:t xml:space="preserve"> a </w:t>
      </w:r>
      <w:r w:rsidRPr="009F337B">
        <w:rPr>
          <w:i w:val="0"/>
          <w:szCs w:val="20"/>
          <w:lang w:val="en-US"/>
        </w:rPr>
        <w:t>non-governmental organization</w:t>
      </w:r>
      <w:r w:rsidR="00B71709" w:rsidRPr="009F337B">
        <w:rPr>
          <w:i w:val="0"/>
          <w:szCs w:val="20"/>
          <w:lang w:val="en-US"/>
        </w:rPr>
        <w:t xml:space="preserve"> o</w:t>
      </w:r>
      <w:r w:rsidRPr="009F337B">
        <w:rPr>
          <w:i w:val="0"/>
          <w:szCs w:val="20"/>
          <w:lang w:val="en-US"/>
        </w:rPr>
        <w:t>r support group.</w:t>
      </w:r>
      <w:r w:rsidR="00B71709" w:rsidRPr="009F337B">
        <w:rPr>
          <w:rStyle w:val="Refdenotaalpie"/>
          <w:i w:val="0"/>
          <w:lang w:val="en-US"/>
        </w:rPr>
        <w:footnoteReference w:id="145"/>
      </w:r>
      <w:r w:rsidRPr="009F337B">
        <w:rPr>
          <w:i w:val="0"/>
          <w:szCs w:val="20"/>
          <w:lang w:val="en-US"/>
        </w:rPr>
        <w:t xml:space="preserve"> This </w:t>
      </w:r>
      <w:r w:rsidR="00D72CA1" w:rsidRPr="009F337B">
        <w:rPr>
          <w:i w:val="0"/>
          <w:szCs w:val="20"/>
          <w:lang w:val="en-US"/>
        </w:rPr>
        <w:t>included</w:t>
      </w:r>
      <w:r w:rsidRPr="009F337B">
        <w:rPr>
          <w:i w:val="0"/>
          <w:szCs w:val="20"/>
          <w:lang w:val="en-US"/>
        </w:rPr>
        <w:t xml:space="preserve"> </w:t>
      </w:r>
      <w:r w:rsidR="00D72CA1" w:rsidRPr="009F337B">
        <w:rPr>
          <w:i w:val="0"/>
          <w:szCs w:val="20"/>
          <w:lang w:val="en-US"/>
        </w:rPr>
        <w:t>deficiencies</w:t>
      </w:r>
      <w:r w:rsidRPr="009F337B">
        <w:rPr>
          <w:i w:val="0"/>
          <w:szCs w:val="20"/>
          <w:lang w:val="en-US"/>
        </w:rPr>
        <w:t xml:space="preserve"> in</w:t>
      </w:r>
      <w:r w:rsidR="00D72CA1" w:rsidRPr="009F337B">
        <w:rPr>
          <w:i w:val="0"/>
          <w:szCs w:val="20"/>
          <w:lang w:val="en-US"/>
        </w:rPr>
        <w:t xml:space="preserve"> the</w:t>
      </w:r>
      <w:r w:rsidRPr="009F337B">
        <w:rPr>
          <w:i w:val="0"/>
          <w:szCs w:val="20"/>
          <w:lang w:val="en-US"/>
        </w:rPr>
        <w:t xml:space="preserve"> nutritional, psychological, community and home-based support. </w:t>
      </w:r>
      <w:r w:rsidRPr="009F337B">
        <w:rPr>
          <w:i w:val="0"/>
          <w:lang w:val="en-US"/>
        </w:rPr>
        <w:t>Regarding the other</w:t>
      </w:r>
      <w:r w:rsidR="00CC6A68" w:rsidRPr="009F337B">
        <w:rPr>
          <w:i w:val="0"/>
          <w:lang w:val="en-US"/>
        </w:rPr>
        <w:t xml:space="preserve"> </w:t>
      </w:r>
      <w:r w:rsidR="00A00EE5" w:rsidRPr="009F337B">
        <w:rPr>
          <w:i w:val="0"/>
          <w:lang w:val="en-US"/>
        </w:rPr>
        <w:t>presumed</w:t>
      </w:r>
      <w:r w:rsidR="003C46A3" w:rsidRPr="009F337B">
        <w:rPr>
          <w:i w:val="0"/>
          <w:lang w:val="en-US"/>
        </w:rPr>
        <w:t xml:space="preserve"> victims</w:t>
      </w:r>
      <w:r w:rsidR="00A90CAC" w:rsidRPr="009F337B">
        <w:rPr>
          <w:i w:val="0"/>
          <w:lang w:val="en-US"/>
        </w:rPr>
        <w:t xml:space="preserve">, </w:t>
      </w:r>
      <w:r w:rsidR="008C399E" w:rsidRPr="009F337B">
        <w:rPr>
          <w:i w:val="0"/>
          <w:color w:val="000000"/>
          <w:lang w:val="en-US"/>
        </w:rPr>
        <w:t>the Court</w:t>
      </w:r>
      <w:r w:rsidR="00A90CAC" w:rsidRPr="009F337B">
        <w:rPr>
          <w:i w:val="0"/>
          <w:color w:val="000000"/>
          <w:lang w:val="en-US"/>
        </w:rPr>
        <w:t xml:space="preserve"> </w:t>
      </w:r>
      <w:r w:rsidRPr="009F337B">
        <w:rPr>
          <w:i w:val="0"/>
          <w:color w:val="000000"/>
          <w:lang w:val="en-US"/>
        </w:rPr>
        <w:t>has insufficient information to determine their situation in relation to the social support received.</w:t>
      </w:r>
    </w:p>
    <w:p w14:paraId="0329287F" w14:textId="77777777" w:rsidR="00E92CA8" w:rsidRPr="009F337B" w:rsidRDefault="00E92CA8" w:rsidP="00E92CA8">
      <w:pPr>
        <w:pStyle w:val="Estilo1"/>
        <w:tabs>
          <w:tab w:val="left" w:pos="709"/>
          <w:tab w:val="left" w:pos="1134"/>
        </w:tabs>
        <w:spacing w:after="0"/>
        <w:ind w:left="0" w:right="-4" w:firstLine="0"/>
        <w:rPr>
          <w:rFonts w:eastAsia="Times" w:cs="Arial"/>
          <w:i w:val="0"/>
          <w:szCs w:val="20"/>
          <w:lang w:val="en-US"/>
        </w:rPr>
      </w:pPr>
    </w:p>
    <w:p w14:paraId="17EDBB21" w14:textId="7EFCE39A" w:rsidR="00C502AD" w:rsidRPr="009F337B" w:rsidRDefault="00C502AD" w:rsidP="00593E37">
      <w:pPr>
        <w:pStyle w:val="Estilo1"/>
        <w:numPr>
          <w:ilvl w:val="0"/>
          <w:numId w:val="1"/>
        </w:numPr>
        <w:tabs>
          <w:tab w:val="left" w:pos="709"/>
          <w:tab w:val="left" w:pos="1134"/>
        </w:tabs>
        <w:spacing w:after="0"/>
        <w:ind w:left="0" w:right="-4" w:firstLine="0"/>
        <w:rPr>
          <w:rFonts w:eastAsia="Times" w:cs="Arial"/>
          <w:i w:val="0"/>
          <w:szCs w:val="20"/>
          <w:lang w:val="en-US"/>
        </w:rPr>
      </w:pPr>
      <w:r w:rsidRPr="009F337B">
        <w:rPr>
          <w:i w:val="0"/>
          <w:color w:val="000000"/>
          <w:lang w:val="en-US"/>
        </w:rPr>
        <w:t>Fourth</w:t>
      </w:r>
      <w:r w:rsidR="00D41FD3" w:rsidRPr="009F337B">
        <w:rPr>
          <w:i w:val="0"/>
          <w:color w:val="000000"/>
          <w:lang w:val="en-US"/>
        </w:rPr>
        <w:t>,</w:t>
      </w:r>
      <w:r w:rsidR="00D41FD3" w:rsidRPr="009F337B">
        <w:rPr>
          <w:i w:val="0"/>
          <w:lang w:val="en-US"/>
        </w:rPr>
        <w:t xml:space="preserve"> </w:t>
      </w:r>
      <w:r w:rsidR="00AE5F9E" w:rsidRPr="009F337B">
        <w:rPr>
          <w:rFonts w:eastAsia="Times" w:cs="Arial"/>
          <w:i w:val="0"/>
          <w:szCs w:val="20"/>
          <w:lang w:val="en-US"/>
        </w:rPr>
        <w:t>the Court</w:t>
      </w:r>
      <w:r w:rsidR="003308DE" w:rsidRPr="009F337B">
        <w:rPr>
          <w:rFonts w:eastAsia="Times" w:cs="Arial"/>
          <w:i w:val="0"/>
          <w:szCs w:val="20"/>
          <w:lang w:val="en-US"/>
        </w:rPr>
        <w:t xml:space="preserve"> </w:t>
      </w:r>
      <w:r w:rsidRPr="009F337B">
        <w:rPr>
          <w:rFonts w:eastAsia="Times" w:cs="Arial"/>
          <w:i w:val="0"/>
          <w:szCs w:val="20"/>
          <w:lang w:val="en-US"/>
        </w:rPr>
        <w:t>recalls that</w:t>
      </w:r>
      <w:r w:rsidR="003308DE" w:rsidRPr="009F337B">
        <w:rPr>
          <w:rFonts w:eastAsia="Times" w:cs="Arial"/>
          <w:i w:val="0"/>
          <w:szCs w:val="20"/>
          <w:lang w:val="en-US"/>
        </w:rPr>
        <w:t xml:space="preserve"> </w:t>
      </w:r>
      <w:r w:rsidRPr="009F337B">
        <w:rPr>
          <w:rFonts w:eastAsia="Times" w:cs="Arial"/>
          <w:i w:val="0"/>
          <w:szCs w:val="20"/>
          <w:lang w:val="en-US"/>
        </w:rPr>
        <w:t xml:space="preserve">one of the elements of </w:t>
      </w:r>
      <w:r w:rsidR="00A51F3B" w:rsidRPr="009F337B">
        <w:rPr>
          <w:rFonts w:eastAsia="Times" w:cs="Arial"/>
          <w:i w:val="0"/>
          <w:szCs w:val="20"/>
          <w:lang w:val="en-US"/>
        </w:rPr>
        <w:t>the right to health</w:t>
      </w:r>
      <w:r w:rsidRPr="009F337B">
        <w:rPr>
          <w:rFonts w:eastAsia="Times" w:cs="Arial"/>
          <w:i w:val="0"/>
          <w:szCs w:val="20"/>
          <w:lang w:val="en-US"/>
        </w:rPr>
        <w:t xml:space="preserve"> is that th</w:t>
      </w:r>
      <w:r w:rsidR="00D72CA1" w:rsidRPr="009F337B">
        <w:rPr>
          <w:rFonts w:eastAsia="Times" w:cs="Arial"/>
          <w:i w:val="0"/>
          <w:szCs w:val="20"/>
          <w:lang w:val="en-US"/>
        </w:rPr>
        <w:t>e</w:t>
      </w:r>
      <w:r w:rsidRPr="009F337B">
        <w:rPr>
          <w:rFonts w:eastAsia="Times" w:cs="Arial"/>
          <w:i w:val="0"/>
          <w:szCs w:val="20"/>
          <w:lang w:val="en-US"/>
        </w:rPr>
        <w:t xml:space="preserve"> most vulnerable or marginalized sectors of the population should have access to health</w:t>
      </w:r>
      <w:r w:rsidR="00D72CA1" w:rsidRPr="009F337B">
        <w:rPr>
          <w:rFonts w:eastAsia="Times" w:cs="Arial"/>
          <w:i w:val="0"/>
          <w:szCs w:val="20"/>
          <w:lang w:val="en-US"/>
        </w:rPr>
        <w:t xml:space="preserve"> care</w:t>
      </w:r>
      <w:r w:rsidRPr="009F337B">
        <w:rPr>
          <w:rFonts w:eastAsia="Times" w:cs="Arial"/>
          <w:i w:val="0"/>
          <w:szCs w:val="20"/>
          <w:lang w:val="en-US"/>
        </w:rPr>
        <w:t xml:space="preserve"> </w:t>
      </w:r>
      <w:r w:rsidR="00FB0216" w:rsidRPr="009F337B">
        <w:rPr>
          <w:rFonts w:eastAsia="Times" w:cs="Arial"/>
          <w:i w:val="0"/>
          <w:szCs w:val="20"/>
          <w:lang w:val="en-US"/>
        </w:rPr>
        <w:t>facilities</w:t>
      </w:r>
      <w:r w:rsidRPr="009F337B">
        <w:rPr>
          <w:rFonts w:eastAsia="Times" w:cs="Arial"/>
          <w:i w:val="0"/>
          <w:szCs w:val="20"/>
          <w:lang w:val="en-US"/>
        </w:rPr>
        <w:t>, goods and services, which should be within their geographical and financial reach</w:t>
      </w:r>
      <w:r w:rsidR="003A2D1F" w:rsidRPr="009F337B">
        <w:rPr>
          <w:rFonts w:eastAsia="Times" w:cs="Arial"/>
          <w:i w:val="0"/>
          <w:szCs w:val="20"/>
          <w:lang w:val="en-US"/>
        </w:rPr>
        <w:t xml:space="preserve"> (</w:t>
      </w:r>
      <w:r w:rsidR="003A2D1F" w:rsidRPr="009F337B">
        <w:rPr>
          <w:rFonts w:eastAsia="Times" w:cs="Arial"/>
          <w:szCs w:val="20"/>
          <w:lang w:val="en-US"/>
        </w:rPr>
        <w:t xml:space="preserve">supra </w:t>
      </w:r>
      <w:r w:rsidR="00C60B17" w:rsidRPr="009F337B">
        <w:rPr>
          <w:rFonts w:eastAsia="Times" w:cs="Arial"/>
          <w:i w:val="0"/>
          <w:szCs w:val="20"/>
          <w:lang w:val="en-US"/>
        </w:rPr>
        <w:t>para.</w:t>
      </w:r>
      <w:r w:rsidR="003A2D1F" w:rsidRPr="009F337B">
        <w:rPr>
          <w:rFonts w:eastAsia="Times" w:cs="Arial"/>
          <w:i w:val="0"/>
          <w:szCs w:val="20"/>
          <w:lang w:val="en-US"/>
        </w:rPr>
        <w:t xml:space="preserve"> 106)</w:t>
      </w:r>
      <w:r w:rsidR="003308DE" w:rsidRPr="009F337B">
        <w:rPr>
          <w:rFonts w:eastAsia="Times" w:cs="Arial"/>
          <w:i w:val="0"/>
          <w:szCs w:val="20"/>
          <w:lang w:val="en-US"/>
        </w:rPr>
        <w:t>.</w:t>
      </w:r>
      <w:r w:rsidRPr="009F337B">
        <w:rPr>
          <w:i w:val="0"/>
          <w:szCs w:val="20"/>
          <w:lang w:val="en-US"/>
        </w:rPr>
        <w:t xml:space="preserve"> In this case</w:t>
      </w:r>
      <w:r w:rsidR="003308DE" w:rsidRPr="009F337B">
        <w:rPr>
          <w:i w:val="0"/>
          <w:szCs w:val="20"/>
          <w:lang w:val="en-US"/>
        </w:rPr>
        <w:t xml:space="preserve">, </w:t>
      </w:r>
      <w:r w:rsidR="00AE5F9E" w:rsidRPr="009F337B">
        <w:rPr>
          <w:i w:val="0"/>
          <w:szCs w:val="20"/>
          <w:lang w:val="en-US"/>
        </w:rPr>
        <w:t>the Court</w:t>
      </w:r>
      <w:r w:rsidR="003308DE" w:rsidRPr="009F337B">
        <w:rPr>
          <w:i w:val="0"/>
          <w:szCs w:val="20"/>
          <w:lang w:val="en-US"/>
        </w:rPr>
        <w:t xml:space="preserve"> </w:t>
      </w:r>
      <w:r w:rsidRPr="009F337B">
        <w:rPr>
          <w:i w:val="0"/>
          <w:szCs w:val="20"/>
          <w:lang w:val="en-US"/>
        </w:rPr>
        <w:t>notes</w:t>
      </w:r>
      <w:r w:rsidR="00D72CA1" w:rsidRPr="009F337B">
        <w:rPr>
          <w:i w:val="0"/>
          <w:szCs w:val="20"/>
          <w:lang w:val="en-US"/>
        </w:rPr>
        <w:t xml:space="preserve"> that</w:t>
      </w:r>
      <w:r w:rsidRPr="009F337B">
        <w:rPr>
          <w:i w:val="0"/>
          <w:szCs w:val="20"/>
          <w:lang w:val="en-US"/>
        </w:rPr>
        <w:t>:</w:t>
      </w:r>
      <w:r w:rsidR="003308DE" w:rsidRPr="009F337B">
        <w:rPr>
          <w:i w:val="0"/>
          <w:szCs w:val="20"/>
          <w:lang w:val="en-US"/>
        </w:rPr>
        <w:t xml:space="preserve"> </w:t>
      </w:r>
      <w:r w:rsidRPr="009F337B">
        <w:rPr>
          <w:i w:val="0"/>
          <w:szCs w:val="20"/>
          <w:lang w:val="en-US"/>
        </w:rPr>
        <w:t>(</w:t>
      </w:r>
      <w:proofErr w:type="spellStart"/>
      <w:r w:rsidR="003308DE" w:rsidRPr="009F337B">
        <w:rPr>
          <w:i w:val="0"/>
          <w:szCs w:val="20"/>
          <w:lang w:val="en-US"/>
        </w:rPr>
        <w:t>i</w:t>
      </w:r>
      <w:proofErr w:type="spellEnd"/>
      <w:r w:rsidR="003308DE" w:rsidRPr="009F337B">
        <w:rPr>
          <w:i w:val="0"/>
          <w:szCs w:val="20"/>
          <w:lang w:val="en-US"/>
        </w:rPr>
        <w:t xml:space="preserve">) </w:t>
      </w:r>
      <w:r w:rsidR="003308DE" w:rsidRPr="009F337B">
        <w:rPr>
          <w:rFonts w:eastAsia="Cambria" w:cs="Cambria"/>
          <w:i w:val="0"/>
          <w:szCs w:val="16"/>
          <w:u w:color="000000"/>
          <w:lang w:val="en-US" w:eastAsia="es-ES"/>
        </w:rPr>
        <w:t xml:space="preserve">Corina </w:t>
      </w:r>
      <w:proofErr w:type="spellStart"/>
      <w:r w:rsidR="003308DE" w:rsidRPr="009F337B">
        <w:rPr>
          <w:rFonts w:eastAsia="Cambria" w:cs="Cambria"/>
          <w:i w:val="0"/>
          <w:szCs w:val="16"/>
          <w:u w:color="000000"/>
          <w:lang w:val="en-US" w:eastAsia="es-ES"/>
        </w:rPr>
        <w:t>Dianeth</w:t>
      </w:r>
      <w:proofErr w:type="spellEnd"/>
      <w:r w:rsidR="003308DE" w:rsidRPr="009F337B">
        <w:rPr>
          <w:rFonts w:eastAsia="Cambria" w:cs="Cambria"/>
          <w:i w:val="0"/>
          <w:szCs w:val="16"/>
          <w:u w:color="000000"/>
          <w:lang w:val="en-US" w:eastAsia="es-ES"/>
        </w:rPr>
        <w:t xml:space="preserve"> Robledo Alvarado </w:t>
      </w:r>
      <w:r w:rsidR="00D72CA1" w:rsidRPr="009F337B">
        <w:rPr>
          <w:rFonts w:eastAsia="Cambria" w:cs="Cambria"/>
          <w:i w:val="0"/>
          <w:szCs w:val="16"/>
          <w:u w:color="000000"/>
          <w:lang w:val="en-US" w:eastAsia="es-ES"/>
        </w:rPr>
        <w:t>had to go into debt</w:t>
      </w:r>
      <w:r w:rsidRPr="009F337B">
        <w:rPr>
          <w:rFonts w:eastAsia="Cambria" w:cs="Cambria"/>
          <w:i w:val="0"/>
          <w:szCs w:val="16"/>
          <w:u w:color="000000"/>
          <w:lang w:val="en-US" w:eastAsia="es-ES"/>
        </w:rPr>
        <w:t xml:space="preserve"> </w:t>
      </w:r>
      <w:r w:rsidR="00D72CA1" w:rsidRPr="009F337B">
        <w:rPr>
          <w:rFonts w:eastAsia="Cambria" w:cs="Cambria"/>
          <w:i w:val="0"/>
          <w:szCs w:val="16"/>
          <w:u w:color="000000"/>
          <w:lang w:val="en-US" w:eastAsia="es-ES"/>
        </w:rPr>
        <w:t>due</w:t>
      </w:r>
      <w:r w:rsidRPr="009F337B">
        <w:rPr>
          <w:rFonts w:eastAsia="Cambria" w:cs="Cambria"/>
          <w:i w:val="0"/>
          <w:szCs w:val="16"/>
          <w:u w:color="000000"/>
          <w:lang w:val="en-US" w:eastAsia="es-ES"/>
        </w:rPr>
        <w:t xml:space="preserve"> to the expenses arising from a five-hour journey between her home and the </w:t>
      </w:r>
      <w:r w:rsidR="003308DE" w:rsidRPr="009F337B">
        <w:rPr>
          <w:rFonts w:eastAsia="Cambria" w:cs="Cambria"/>
          <w:i w:val="0"/>
          <w:szCs w:val="16"/>
          <w:u w:color="000000"/>
          <w:lang w:val="en-US" w:eastAsia="es-ES"/>
        </w:rPr>
        <w:t>Roosevelt</w:t>
      </w:r>
      <w:r w:rsidRPr="009F337B">
        <w:rPr>
          <w:rFonts w:eastAsia="Cambria" w:cs="Cambria"/>
          <w:i w:val="0"/>
          <w:szCs w:val="16"/>
          <w:u w:color="000000"/>
          <w:lang w:val="en-US" w:eastAsia="es-ES"/>
        </w:rPr>
        <w:t xml:space="preserve"> Clinic</w:t>
      </w:r>
      <w:r w:rsidR="003308DE" w:rsidRPr="009F337B">
        <w:rPr>
          <w:rFonts w:eastAsia="Cambria" w:cs="Cambria"/>
          <w:i w:val="0"/>
          <w:szCs w:val="16"/>
          <w:u w:color="000000"/>
          <w:lang w:val="en-US" w:eastAsia="es-ES"/>
        </w:rPr>
        <w:t xml:space="preserve">; </w:t>
      </w:r>
      <w:r w:rsidRPr="009F337B">
        <w:rPr>
          <w:rFonts w:eastAsia="Cambria" w:cs="Cambria"/>
          <w:i w:val="0"/>
          <w:szCs w:val="16"/>
          <w:u w:color="000000"/>
          <w:lang w:val="en-US" w:eastAsia="es-ES"/>
        </w:rPr>
        <w:t>(</w:t>
      </w:r>
      <w:r w:rsidR="003308DE" w:rsidRPr="009F337B">
        <w:rPr>
          <w:rFonts w:eastAsia="Cambria" w:cs="Cambria"/>
          <w:i w:val="0"/>
          <w:szCs w:val="16"/>
          <w:u w:color="000000"/>
          <w:lang w:val="en-US" w:eastAsia="es-ES"/>
        </w:rPr>
        <w:t xml:space="preserve">ii) </w:t>
      </w:r>
      <w:r w:rsidR="00005153" w:rsidRPr="009F337B">
        <w:rPr>
          <w:i w:val="0"/>
          <w:szCs w:val="16"/>
          <w:lang w:val="en-US"/>
        </w:rPr>
        <w:t>Dora Marina Martínez</w:t>
      </w:r>
      <w:r w:rsidR="003308DE" w:rsidRPr="009F337B">
        <w:rPr>
          <w:i w:val="0"/>
          <w:szCs w:val="16"/>
          <w:lang w:val="en-US"/>
        </w:rPr>
        <w:t xml:space="preserve"> </w:t>
      </w:r>
      <w:proofErr w:type="spellStart"/>
      <w:r w:rsidR="003308DE" w:rsidRPr="009F337B">
        <w:rPr>
          <w:i w:val="0"/>
          <w:szCs w:val="16"/>
          <w:lang w:val="en-US"/>
        </w:rPr>
        <w:t>Sofoifa</w:t>
      </w:r>
      <w:proofErr w:type="spellEnd"/>
      <w:r w:rsidR="003308DE" w:rsidRPr="009F337B">
        <w:rPr>
          <w:i w:val="0"/>
          <w:szCs w:val="16"/>
          <w:lang w:val="en-US"/>
        </w:rPr>
        <w:t xml:space="preserve"> </w:t>
      </w:r>
      <w:r w:rsidRPr="009F337B">
        <w:rPr>
          <w:i w:val="0"/>
          <w:szCs w:val="16"/>
          <w:lang w:val="en-US"/>
        </w:rPr>
        <w:t xml:space="preserve">had to travel in the early morning hours from her home to the clinic for her appointments and </w:t>
      </w:r>
      <w:r w:rsidR="00D72CA1" w:rsidRPr="009F337B">
        <w:rPr>
          <w:i w:val="0"/>
          <w:szCs w:val="16"/>
          <w:lang w:val="en-US"/>
        </w:rPr>
        <w:t xml:space="preserve">then </w:t>
      </w:r>
      <w:r w:rsidRPr="009F337B">
        <w:rPr>
          <w:i w:val="0"/>
          <w:szCs w:val="16"/>
          <w:lang w:val="en-US"/>
        </w:rPr>
        <w:t>wait in the emergency ward</w:t>
      </w:r>
      <w:r w:rsidR="00D72CA1" w:rsidRPr="009F337B">
        <w:rPr>
          <w:i w:val="0"/>
          <w:szCs w:val="16"/>
          <w:lang w:val="en-US"/>
        </w:rPr>
        <w:t>,</w:t>
      </w:r>
      <w:r w:rsidRPr="009F337B">
        <w:rPr>
          <w:i w:val="0"/>
          <w:szCs w:val="16"/>
          <w:lang w:val="en-US"/>
        </w:rPr>
        <w:t xml:space="preserve"> </w:t>
      </w:r>
      <w:r w:rsidR="00D72CA1" w:rsidRPr="009F337B">
        <w:rPr>
          <w:i w:val="0"/>
          <w:szCs w:val="16"/>
          <w:lang w:val="en-US"/>
        </w:rPr>
        <w:t>due</w:t>
      </w:r>
      <w:r w:rsidRPr="009F337B">
        <w:rPr>
          <w:i w:val="0"/>
          <w:szCs w:val="16"/>
          <w:lang w:val="en-US"/>
        </w:rPr>
        <w:t xml:space="preserve"> to the distance, costs and dangers of the area where she lived; (iii) </w:t>
      </w:r>
      <w:r w:rsidRPr="009F337B">
        <w:rPr>
          <w:rFonts w:eastAsia="Cambria" w:cs="Cambria"/>
          <w:i w:val="0"/>
          <w:szCs w:val="16"/>
          <w:u w:color="000000"/>
          <w:lang w:val="en-US" w:eastAsia="es-ES"/>
        </w:rPr>
        <w:t xml:space="preserve">Francisco Sop </w:t>
      </w:r>
      <w:proofErr w:type="spellStart"/>
      <w:r w:rsidRPr="009F337B">
        <w:rPr>
          <w:rFonts w:eastAsia="Cambria" w:cs="Cambria"/>
          <w:i w:val="0"/>
          <w:szCs w:val="16"/>
          <w:u w:color="000000"/>
          <w:lang w:val="en-US" w:eastAsia="es-ES"/>
        </w:rPr>
        <w:t>Quiej</w:t>
      </w:r>
      <w:proofErr w:type="spellEnd"/>
      <w:r w:rsidRPr="009F337B">
        <w:rPr>
          <w:rFonts w:eastAsia="Cambria" w:cs="Cambria"/>
          <w:i w:val="0"/>
          <w:szCs w:val="16"/>
          <w:u w:color="000000"/>
          <w:lang w:val="en-US" w:eastAsia="es-ES"/>
        </w:rPr>
        <w:t xml:space="preserve"> declared that he had had to ask for loans from his family and friends to cover the cost of his two-hour journey to the clinic which cost 60 quetzals, and he could not always afford this; (iv) Zoila Marina Pérez </w:t>
      </w:r>
      <w:proofErr w:type="spellStart"/>
      <w:r w:rsidRPr="009F337B">
        <w:rPr>
          <w:rFonts w:eastAsia="Cambria" w:cs="Cambria"/>
          <w:i w:val="0"/>
          <w:szCs w:val="16"/>
          <w:u w:color="000000"/>
          <w:lang w:val="en-US" w:eastAsia="es-ES"/>
        </w:rPr>
        <w:t>Ruíz</w:t>
      </w:r>
      <w:proofErr w:type="spellEnd"/>
      <w:r w:rsidRPr="009F337B">
        <w:rPr>
          <w:rFonts w:eastAsia="Cambria" w:cs="Cambria"/>
          <w:i w:val="0"/>
          <w:szCs w:val="16"/>
          <w:u w:color="000000"/>
          <w:lang w:val="en-US" w:eastAsia="es-ES"/>
        </w:rPr>
        <w:t xml:space="preserve"> had to travel five hours to the clinic, and stopped attending her appointments due to lack of financial resources, and (v) </w:t>
      </w:r>
      <w:r w:rsidR="001F588A" w:rsidRPr="009F337B">
        <w:rPr>
          <w:rFonts w:eastAsia="Cambria" w:cs="Cambria"/>
          <w:i w:val="0"/>
          <w:szCs w:val="16"/>
          <w:u w:color="000000"/>
          <w:lang w:val="en-US" w:eastAsia="es-ES"/>
        </w:rPr>
        <w:t xml:space="preserve">the journey to the clinic took </w:t>
      </w:r>
      <w:r w:rsidRPr="009F337B">
        <w:rPr>
          <w:rFonts w:eastAsia="Cambria" w:cs="Cambria"/>
          <w:i w:val="0"/>
          <w:szCs w:val="16"/>
          <w:u w:color="000000"/>
          <w:lang w:val="en-US" w:eastAsia="es-ES"/>
        </w:rPr>
        <w:t xml:space="preserve">Miguel Lucas </w:t>
      </w:r>
      <w:proofErr w:type="spellStart"/>
      <w:r w:rsidRPr="009F337B">
        <w:rPr>
          <w:rFonts w:eastAsia="Cambria" w:cs="Cambria"/>
          <w:i w:val="0"/>
          <w:szCs w:val="16"/>
          <w:u w:color="000000"/>
          <w:lang w:val="en-US" w:eastAsia="es-ES"/>
        </w:rPr>
        <w:t>Vaíl</w:t>
      </w:r>
      <w:proofErr w:type="spellEnd"/>
      <w:r w:rsidRPr="009F337B">
        <w:rPr>
          <w:rFonts w:eastAsia="Cambria" w:cs="Cambria"/>
          <w:i w:val="0"/>
          <w:szCs w:val="16"/>
          <w:u w:color="000000"/>
          <w:lang w:val="en-US" w:eastAsia="es-ES"/>
        </w:rPr>
        <w:t xml:space="preserve"> </w:t>
      </w:r>
      <w:r w:rsidR="001F588A" w:rsidRPr="009F337B">
        <w:rPr>
          <w:rFonts w:eastAsia="Cambria" w:cs="Cambria"/>
          <w:i w:val="0"/>
          <w:szCs w:val="16"/>
          <w:u w:color="000000"/>
          <w:lang w:val="en-US" w:eastAsia="es-ES"/>
        </w:rPr>
        <w:t xml:space="preserve">five hours and cost </w:t>
      </w:r>
      <w:r w:rsidRPr="009F337B">
        <w:rPr>
          <w:rFonts w:eastAsia="Cambria" w:cs="Cambria"/>
          <w:i w:val="0"/>
          <w:szCs w:val="16"/>
          <w:u w:color="000000"/>
          <w:lang w:val="en-US" w:eastAsia="es-ES"/>
        </w:rPr>
        <w:t>150 quetzals.</w:t>
      </w:r>
    </w:p>
    <w:p w14:paraId="5A49BA81" w14:textId="77777777" w:rsidR="00E92CA8" w:rsidRPr="009F337B" w:rsidRDefault="00E92CA8" w:rsidP="00E92CA8">
      <w:pPr>
        <w:pStyle w:val="Estilo1"/>
        <w:tabs>
          <w:tab w:val="left" w:pos="709"/>
          <w:tab w:val="left" w:pos="1134"/>
        </w:tabs>
        <w:spacing w:after="0"/>
        <w:ind w:left="0" w:right="-4" w:firstLine="0"/>
        <w:rPr>
          <w:rFonts w:eastAsia="Times" w:cs="Arial"/>
          <w:i w:val="0"/>
          <w:szCs w:val="20"/>
          <w:lang w:val="en-US"/>
        </w:rPr>
      </w:pPr>
    </w:p>
    <w:p w14:paraId="531787F6" w14:textId="2FDD2377" w:rsidR="00E92CA8" w:rsidRPr="009F337B" w:rsidRDefault="00AE5F9E" w:rsidP="00593E37">
      <w:pPr>
        <w:pStyle w:val="Estilo1"/>
        <w:numPr>
          <w:ilvl w:val="0"/>
          <w:numId w:val="1"/>
        </w:numPr>
        <w:tabs>
          <w:tab w:val="left" w:pos="709"/>
          <w:tab w:val="left" w:pos="1134"/>
        </w:tabs>
        <w:spacing w:after="0"/>
        <w:ind w:left="0" w:right="-4" w:firstLine="0"/>
        <w:rPr>
          <w:rFonts w:eastAsia="Times" w:cs="Arial"/>
          <w:i w:val="0"/>
          <w:szCs w:val="20"/>
          <w:lang w:val="en-US"/>
        </w:rPr>
      </w:pPr>
      <w:r w:rsidRPr="009F337B">
        <w:rPr>
          <w:i w:val="0"/>
          <w:szCs w:val="20"/>
          <w:lang w:val="en-US"/>
        </w:rPr>
        <w:lastRenderedPageBreak/>
        <w:t>The Court</w:t>
      </w:r>
      <w:r w:rsidR="003308DE" w:rsidRPr="009F337B">
        <w:rPr>
          <w:i w:val="0"/>
          <w:szCs w:val="20"/>
          <w:lang w:val="en-US"/>
        </w:rPr>
        <w:t xml:space="preserve"> consider</w:t>
      </w:r>
      <w:r w:rsidR="00C502AD" w:rsidRPr="009F337B">
        <w:rPr>
          <w:i w:val="0"/>
          <w:szCs w:val="20"/>
          <w:lang w:val="en-US"/>
        </w:rPr>
        <w:t>s that</w:t>
      </w:r>
      <w:r w:rsidR="001F588A" w:rsidRPr="009F337B">
        <w:rPr>
          <w:i w:val="0"/>
          <w:szCs w:val="20"/>
          <w:lang w:val="en-US"/>
        </w:rPr>
        <w:t>, in the case of the five presumed victims,</w:t>
      </w:r>
      <w:r w:rsidR="00C502AD" w:rsidRPr="009F337B">
        <w:rPr>
          <w:i w:val="0"/>
          <w:szCs w:val="20"/>
          <w:lang w:val="en-US"/>
        </w:rPr>
        <w:t xml:space="preserve"> the distance to the health clinic and the</w:t>
      </w:r>
      <w:r w:rsidR="001F588A" w:rsidRPr="009F337B">
        <w:rPr>
          <w:i w:val="0"/>
          <w:szCs w:val="20"/>
          <w:lang w:val="en-US"/>
        </w:rPr>
        <w:t>ir</w:t>
      </w:r>
      <w:r w:rsidR="00C502AD" w:rsidRPr="009F337B">
        <w:rPr>
          <w:i w:val="0"/>
          <w:szCs w:val="20"/>
          <w:lang w:val="en-US"/>
        </w:rPr>
        <w:t xml:space="preserve"> precarious financial situation constituted </w:t>
      </w:r>
      <w:r w:rsidR="001F588A" w:rsidRPr="009F337B">
        <w:rPr>
          <w:i w:val="0"/>
          <w:szCs w:val="20"/>
          <w:lang w:val="en-US"/>
        </w:rPr>
        <w:t>a barrier</w:t>
      </w:r>
      <w:r w:rsidR="00C502AD" w:rsidRPr="009F337B">
        <w:rPr>
          <w:i w:val="0"/>
          <w:szCs w:val="20"/>
          <w:lang w:val="en-US"/>
        </w:rPr>
        <w:t xml:space="preserve"> to </w:t>
      </w:r>
      <w:r w:rsidR="001F588A" w:rsidRPr="009F337B">
        <w:rPr>
          <w:i w:val="0"/>
          <w:szCs w:val="20"/>
          <w:lang w:val="en-US"/>
        </w:rPr>
        <w:t xml:space="preserve">their access </w:t>
      </w:r>
      <w:r w:rsidR="00C502AD" w:rsidRPr="009F337B">
        <w:rPr>
          <w:i w:val="0"/>
          <w:szCs w:val="20"/>
          <w:lang w:val="en-US"/>
        </w:rPr>
        <w:t xml:space="preserve">to the health centers, </w:t>
      </w:r>
      <w:r w:rsidR="001F588A" w:rsidRPr="009F337B">
        <w:rPr>
          <w:i w:val="0"/>
          <w:szCs w:val="20"/>
          <w:lang w:val="en-US"/>
        </w:rPr>
        <w:t>and this</w:t>
      </w:r>
      <w:r w:rsidR="00C502AD" w:rsidRPr="009F337B">
        <w:rPr>
          <w:i w:val="0"/>
          <w:szCs w:val="20"/>
          <w:lang w:val="en-US"/>
        </w:rPr>
        <w:t xml:space="preserve"> had an impact on their possibility of receiving medical care and, therefore, on their possibility of beginning or continuing their treatment satisfactorily. The Court notes that the financial situation of the presumed victims was a determinant factor in their possibility of accessing the health </w:t>
      </w:r>
      <w:r w:rsidR="00FB0216" w:rsidRPr="009F337B">
        <w:rPr>
          <w:i w:val="0"/>
          <w:szCs w:val="20"/>
          <w:lang w:val="en-US"/>
        </w:rPr>
        <w:t>care facilities</w:t>
      </w:r>
      <w:r w:rsidR="00C502AD" w:rsidRPr="009F337B">
        <w:rPr>
          <w:i w:val="0"/>
          <w:szCs w:val="20"/>
          <w:lang w:val="en-US"/>
        </w:rPr>
        <w:t xml:space="preserve">, goods and services and that the State </w:t>
      </w:r>
      <w:r w:rsidR="001F588A" w:rsidRPr="009F337B">
        <w:rPr>
          <w:i w:val="0"/>
          <w:szCs w:val="20"/>
          <w:lang w:val="en-US"/>
        </w:rPr>
        <w:t>failed to take</w:t>
      </w:r>
      <w:r w:rsidR="00C502AD" w:rsidRPr="009F337B">
        <w:rPr>
          <w:i w:val="0"/>
          <w:szCs w:val="20"/>
          <w:lang w:val="en-US"/>
        </w:rPr>
        <w:t xml:space="preserve"> steps to mitigate this impact. Consequently, the Court considers that</w:t>
      </w:r>
      <w:r w:rsidR="00C502AD" w:rsidRPr="009F337B">
        <w:rPr>
          <w:rFonts w:eastAsia="Times" w:cs="Arial"/>
          <w:i w:val="0"/>
          <w:szCs w:val="20"/>
          <w:lang w:val="en-US"/>
        </w:rPr>
        <w:t xml:space="preserve"> </w:t>
      </w:r>
      <w:r w:rsidR="003308DE" w:rsidRPr="009F337B">
        <w:rPr>
          <w:rFonts w:eastAsia="Cambria" w:cs="Cambria"/>
          <w:i w:val="0"/>
          <w:szCs w:val="16"/>
          <w:u w:color="000000"/>
          <w:lang w:val="en-US" w:eastAsia="es-ES"/>
        </w:rPr>
        <w:t xml:space="preserve">Corina </w:t>
      </w:r>
      <w:proofErr w:type="spellStart"/>
      <w:r w:rsidR="003308DE" w:rsidRPr="009F337B">
        <w:rPr>
          <w:rFonts w:eastAsia="Cambria" w:cs="Cambria"/>
          <w:i w:val="0"/>
          <w:szCs w:val="16"/>
          <w:u w:color="000000"/>
          <w:lang w:val="en-US" w:eastAsia="es-ES"/>
        </w:rPr>
        <w:t>Dianeth</w:t>
      </w:r>
      <w:proofErr w:type="spellEnd"/>
      <w:r w:rsidR="003308DE" w:rsidRPr="009F337B">
        <w:rPr>
          <w:rFonts w:eastAsia="Cambria" w:cs="Cambria"/>
          <w:i w:val="0"/>
          <w:szCs w:val="16"/>
          <w:u w:color="000000"/>
          <w:lang w:val="en-US" w:eastAsia="es-ES"/>
        </w:rPr>
        <w:t xml:space="preserve"> Robledo Alvarado, </w:t>
      </w:r>
      <w:r w:rsidR="00005153" w:rsidRPr="009F337B">
        <w:rPr>
          <w:i w:val="0"/>
          <w:szCs w:val="16"/>
          <w:lang w:val="en-US"/>
        </w:rPr>
        <w:t>Dora Marina Martínez</w:t>
      </w:r>
      <w:r w:rsidR="003308DE" w:rsidRPr="009F337B">
        <w:rPr>
          <w:i w:val="0"/>
          <w:szCs w:val="16"/>
          <w:lang w:val="en-US"/>
        </w:rPr>
        <w:t xml:space="preserve"> </w:t>
      </w:r>
      <w:proofErr w:type="spellStart"/>
      <w:r w:rsidR="003308DE" w:rsidRPr="009F337B">
        <w:rPr>
          <w:i w:val="0"/>
          <w:szCs w:val="16"/>
          <w:lang w:val="en-US"/>
        </w:rPr>
        <w:t>Sofoifa</w:t>
      </w:r>
      <w:proofErr w:type="spellEnd"/>
      <w:r w:rsidR="00C502AD" w:rsidRPr="009F337B">
        <w:rPr>
          <w:i w:val="0"/>
          <w:szCs w:val="16"/>
          <w:lang w:val="en-US"/>
        </w:rPr>
        <w:t>,</w:t>
      </w:r>
      <w:r w:rsidR="003C46A3" w:rsidRPr="009F337B">
        <w:rPr>
          <w:i w:val="0"/>
          <w:szCs w:val="16"/>
          <w:lang w:val="en-US"/>
        </w:rPr>
        <w:t xml:space="preserve"> </w:t>
      </w:r>
      <w:r w:rsidR="003308DE" w:rsidRPr="009F337B">
        <w:rPr>
          <w:rFonts w:eastAsia="Cambria" w:cs="Cambria"/>
          <w:i w:val="0"/>
          <w:szCs w:val="16"/>
          <w:u w:color="000000"/>
          <w:lang w:val="en-US" w:eastAsia="es-ES"/>
        </w:rPr>
        <w:t>Zoila Marina Pérez</w:t>
      </w:r>
      <w:r w:rsidR="004E2664" w:rsidRPr="009F337B">
        <w:rPr>
          <w:rFonts w:eastAsia="Cambria" w:cs="Cambria"/>
          <w:i w:val="0"/>
          <w:szCs w:val="16"/>
          <w:u w:color="000000"/>
          <w:lang w:val="en-US" w:eastAsia="es-ES"/>
        </w:rPr>
        <w:t xml:space="preserve"> </w:t>
      </w:r>
      <w:proofErr w:type="spellStart"/>
      <w:r w:rsidR="004E2664" w:rsidRPr="009F337B">
        <w:rPr>
          <w:rFonts w:eastAsia="Cambria" w:cs="Cambria"/>
          <w:i w:val="0"/>
          <w:szCs w:val="16"/>
          <w:u w:color="000000"/>
          <w:lang w:val="en-US" w:eastAsia="es-ES"/>
        </w:rPr>
        <w:t>Ruí</w:t>
      </w:r>
      <w:r w:rsidR="00005153" w:rsidRPr="009F337B">
        <w:rPr>
          <w:rFonts w:eastAsia="Cambria" w:cs="Cambria"/>
          <w:i w:val="0"/>
          <w:szCs w:val="16"/>
          <w:u w:color="000000"/>
          <w:lang w:val="en-US" w:eastAsia="es-ES"/>
        </w:rPr>
        <w:t>z</w:t>
      </w:r>
      <w:proofErr w:type="spellEnd"/>
      <w:r w:rsidR="003308DE" w:rsidRPr="009F337B">
        <w:rPr>
          <w:rFonts w:eastAsia="Cambria" w:cs="Cambria"/>
          <w:i w:val="0"/>
          <w:szCs w:val="16"/>
          <w:u w:color="000000"/>
          <w:lang w:val="en-US" w:eastAsia="es-ES"/>
        </w:rPr>
        <w:t>,</w:t>
      </w:r>
      <w:r w:rsidR="003308DE" w:rsidRPr="009F337B">
        <w:rPr>
          <w:i w:val="0"/>
          <w:szCs w:val="16"/>
          <w:lang w:val="en-US"/>
        </w:rPr>
        <w:t xml:space="preserve"> </w:t>
      </w:r>
      <w:r w:rsidR="003308DE" w:rsidRPr="009F337B">
        <w:rPr>
          <w:rFonts w:eastAsia="Cambria" w:cs="Cambria"/>
          <w:i w:val="0"/>
          <w:szCs w:val="16"/>
          <w:u w:color="000000"/>
          <w:lang w:val="en-US" w:eastAsia="es-ES"/>
        </w:rPr>
        <w:t xml:space="preserve">Francisco Sop </w:t>
      </w:r>
      <w:proofErr w:type="spellStart"/>
      <w:r w:rsidR="003308DE" w:rsidRPr="009F337B">
        <w:rPr>
          <w:rFonts w:eastAsia="Cambria" w:cs="Cambria"/>
          <w:i w:val="0"/>
          <w:szCs w:val="16"/>
          <w:u w:color="000000"/>
          <w:lang w:val="en-US" w:eastAsia="es-ES"/>
        </w:rPr>
        <w:t>Quiej</w:t>
      </w:r>
      <w:proofErr w:type="spellEnd"/>
      <w:r w:rsidR="003C46A3" w:rsidRPr="009F337B">
        <w:rPr>
          <w:rFonts w:eastAsia="Cambria" w:cs="Cambria"/>
          <w:i w:val="0"/>
          <w:szCs w:val="16"/>
          <w:u w:color="000000"/>
          <w:lang w:val="en-US" w:eastAsia="es-ES"/>
        </w:rPr>
        <w:t xml:space="preserve"> and </w:t>
      </w:r>
      <w:r w:rsidR="003308DE" w:rsidRPr="009F337B">
        <w:rPr>
          <w:rFonts w:eastAsia="Cambria" w:cs="Cambria"/>
          <w:i w:val="0"/>
          <w:szCs w:val="16"/>
          <w:u w:color="000000"/>
          <w:lang w:val="en-US" w:eastAsia="es-ES"/>
        </w:rPr>
        <w:t xml:space="preserve">Miguel Lucas </w:t>
      </w:r>
      <w:proofErr w:type="spellStart"/>
      <w:r w:rsidR="003308DE" w:rsidRPr="009F337B">
        <w:rPr>
          <w:rFonts w:eastAsia="Cambria" w:cs="Cambria"/>
          <w:i w:val="0"/>
          <w:szCs w:val="16"/>
          <w:u w:color="000000"/>
          <w:lang w:val="en-US" w:eastAsia="es-ES"/>
        </w:rPr>
        <w:t>Vaíl</w:t>
      </w:r>
      <w:proofErr w:type="spellEnd"/>
      <w:r w:rsidR="003308DE" w:rsidRPr="009F337B">
        <w:rPr>
          <w:rFonts w:eastAsia="Cambria" w:cs="Cambria"/>
          <w:i w:val="0"/>
          <w:szCs w:val="16"/>
          <w:u w:color="000000"/>
          <w:lang w:val="en-US" w:eastAsia="es-ES"/>
        </w:rPr>
        <w:t xml:space="preserve"> </w:t>
      </w:r>
      <w:r w:rsidR="00C502AD" w:rsidRPr="009F337B">
        <w:rPr>
          <w:rFonts w:eastAsia="Cambria" w:cs="Cambria"/>
          <w:i w:val="0"/>
          <w:szCs w:val="16"/>
          <w:u w:color="000000"/>
          <w:lang w:val="en-US" w:eastAsia="es-ES"/>
        </w:rPr>
        <w:t>did not have adequat</w:t>
      </w:r>
      <w:r w:rsidR="00982A7E" w:rsidRPr="009F337B">
        <w:rPr>
          <w:rFonts w:eastAsia="Cambria" w:cs="Cambria"/>
          <w:i w:val="0"/>
          <w:szCs w:val="16"/>
          <w:u w:color="000000"/>
          <w:lang w:val="en-US" w:eastAsia="es-ES"/>
        </w:rPr>
        <w:t>e</w:t>
      </w:r>
      <w:r w:rsidR="00C502AD" w:rsidRPr="009F337B">
        <w:rPr>
          <w:rFonts w:eastAsia="Cambria" w:cs="Cambria"/>
          <w:i w:val="0"/>
          <w:szCs w:val="16"/>
          <w:u w:color="000000"/>
          <w:lang w:val="en-US" w:eastAsia="es-ES"/>
        </w:rPr>
        <w:t xml:space="preserve"> </w:t>
      </w:r>
      <w:r w:rsidR="00982A7E" w:rsidRPr="009F337B">
        <w:rPr>
          <w:rFonts w:eastAsia="Cambria" w:cs="Cambria"/>
          <w:i w:val="0"/>
          <w:szCs w:val="16"/>
          <w:u w:color="000000"/>
          <w:lang w:val="en-US" w:eastAsia="es-ES"/>
        </w:rPr>
        <w:t>a</w:t>
      </w:r>
      <w:r w:rsidR="00C502AD" w:rsidRPr="009F337B">
        <w:rPr>
          <w:rFonts w:eastAsia="Cambria" w:cs="Cambria"/>
          <w:i w:val="0"/>
          <w:szCs w:val="16"/>
          <w:u w:color="000000"/>
          <w:lang w:val="en-US" w:eastAsia="es-ES"/>
        </w:rPr>
        <w:t xml:space="preserve">ccess to medical care owing to their financial situation and the </w:t>
      </w:r>
      <w:r w:rsidR="00982A7E" w:rsidRPr="009F337B">
        <w:rPr>
          <w:rFonts w:eastAsia="Cambria" w:cs="Cambria"/>
          <w:i w:val="0"/>
          <w:szCs w:val="16"/>
          <w:u w:color="000000"/>
          <w:lang w:val="en-US" w:eastAsia="es-ES"/>
        </w:rPr>
        <w:t xml:space="preserve">remoteness of their place of residence. Regarding the other </w:t>
      </w:r>
      <w:r w:rsidR="00A00EE5" w:rsidRPr="009F337B">
        <w:rPr>
          <w:i w:val="0"/>
          <w:lang w:val="en-US"/>
        </w:rPr>
        <w:t>presumed</w:t>
      </w:r>
      <w:r w:rsidR="003C46A3" w:rsidRPr="009F337B">
        <w:rPr>
          <w:i w:val="0"/>
          <w:lang w:val="en-US"/>
        </w:rPr>
        <w:t xml:space="preserve"> victims</w:t>
      </w:r>
      <w:r w:rsidR="003308DE" w:rsidRPr="009F337B">
        <w:rPr>
          <w:i w:val="0"/>
          <w:lang w:val="en-US"/>
        </w:rPr>
        <w:t xml:space="preserve">, </w:t>
      </w:r>
      <w:r w:rsidR="008C399E" w:rsidRPr="009F337B">
        <w:rPr>
          <w:i w:val="0"/>
          <w:color w:val="000000"/>
          <w:lang w:val="en-US"/>
        </w:rPr>
        <w:t>the Court</w:t>
      </w:r>
      <w:r w:rsidR="003308DE" w:rsidRPr="009F337B">
        <w:rPr>
          <w:i w:val="0"/>
          <w:color w:val="000000"/>
          <w:lang w:val="en-US"/>
        </w:rPr>
        <w:t xml:space="preserve"> </w:t>
      </w:r>
      <w:r w:rsidR="00982A7E" w:rsidRPr="009F337B">
        <w:rPr>
          <w:i w:val="0"/>
          <w:color w:val="000000"/>
          <w:lang w:val="en-US"/>
        </w:rPr>
        <w:t xml:space="preserve">lacks sufficient information to determine whether their financial situation or the geographical location of their homes constituted obstacle to receiving medical care.  </w:t>
      </w:r>
    </w:p>
    <w:p w14:paraId="6476255A" w14:textId="77777777" w:rsidR="00982A7E" w:rsidRPr="009F337B" w:rsidRDefault="00982A7E" w:rsidP="00982A7E">
      <w:pPr>
        <w:pStyle w:val="Estilo1"/>
        <w:tabs>
          <w:tab w:val="left" w:pos="709"/>
          <w:tab w:val="left" w:pos="1134"/>
        </w:tabs>
        <w:spacing w:after="0"/>
        <w:ind w:left="0" w:right="-4" w:firstLine="0"/>
        <w:rPr>
          <w:rFonts w:eastAsia="Times" w:cs="Arial"/>
          <w:i w:val="0"/>
          <w:szCs w:val="20"/>
          <w:lang w:val="en-US"/>
        </w:rPr>
      </w:pPr>
    </w:p>
    <w:p w14:paraId="37105FAE" w14:textId="79252B98" w:rsidR="00982A7E" w:rsidRPr="009F337B" w:rsidRDefault="00982A7E" w:rsidP="00593E37">
      <w:pPr>
        <w:pStyle w:val="Estilo1"/>
        <w:numPr>
          <w:ilvl w:val="0"/>
          <w:numId w:val="1"/>
        </w:numPr>
        <w:tabs>
          <w:tab w:val="left" w:pos="709"/>
          <w:tab w:val="left" w:pos="1134"/>
        </w:tabs>
        <w:spacing w:after="0"/>
        <w:ind w:left="0" w:right="-4" w:firstLine="0"/>
        <w:rPr>
          <w:rFonts w:eastAsia="Times" w:cs="Arial"/>
          <w:i w:val="0"/>
          <w:szCs w:val="20"/>
          <w:lang w:val="en-US"/>
        </w:rPr>
      </w:pPr>
      <w:r w:rsidRPr="009F337B">
        <w:rPr>
          <w:rFonts w:eastAsia="Times" w:cs="Arial"/>
          <w:i w:val="0"/>
          <w:szCs w:val="20"/>
          <w:lang w:val="en-US"/>
        </w:rPr>
        <w:t>The</w:t>
      </w:r>
      <w:r w:rsidR="00AE5F9E" w:rsidRPr="009F337B">
        <w:rPr>
          <w:rFonts w:eastAsia="Times" w:cs="Arial"/>
          <w:i w:val="0"/>
          <w:szCs w:val="20"/>
          <w:lang w:val="en-US"/>
        </w:rPr>
        <w:t xml:space="preserve"> Court</w:t>
      </w:r>
      <w:r w:rsidR="00A549A5" w:rsidRPr="009F337B">
        <w:rPr>
          <w:rFonts w:eastAsia="Times" w:cs="Arial"/>
          <w:i w:val="0"/>
          <w:szCs w:val="20"/>
          <w:lang w:val="en-US"/>
        </w:rPr>
        <w:t xml:space="preserve"> consider</w:t>
      </w:r>
      <w:r w:rsidRPr="009F337B">
        <w:rPr>
          <w:rFonts w:eastAsia="Times" w:cs="Arial"/>
          <w:i w:val="0"/>
          <w:szCs w:val="20"/>
          <w:lang w:val="en-US"/>
        </w:rPr>
        <w:t xml:space="preserve">s that, since </w:t>
      </w:r>
      <w:bookmarkStart w:id="83" w:name="_Hlk6296524"/>
      <w:r w:rsidRPr="009F337B">
        <w:rPr>
          <w:rFonts w:eastAsia="Times" w:cs="Arial"/>
          <w:i w:val="0"/>
          <w:szCs w:val="20"/>
          <w:lang w:val="en-US"/>
        </w:rPr>
        <w:t>the irregular, inadequate or total lack</w:t>
      </w:r>
      <w:r w:rsidR="001F588A" w:rsidRPr="009F337B">
        <w:rPr>
          <w:rFonts w:eastAsia="Times" w:cs="Arial"/>
          <w:i w:val="0"/>
          <w:szCs w:val="20"/>
          <w:lang w:val="en-US"/>
        </w:rPr>
        <w:t xml:space="preserve"> of</w:t>
      </w:r>
      <w:r w:rsidRPr="009F337B">
        <w:rPr>
          <w:rFonts w:eastAsia="Times" w:cs="Arial"/>
          <w:i w:val="0"/>
          <w:szCs w:val="20"/>
          <w:lang w:val="en-US"/>
        </w:rPr>
        <w:t xml:space="preserve"> access to </w:t>
      </w:r>
      <w:r w:rsidR="00AC2165" w:rsidRPr="009F337B">
        <w:rPr>
          <w:rFonts w:eastAsia="Times" w:cs="Arial"/>
          <w:i w:val="0"/>
          <w:szCs w:val="20"/>
          <w:lang w:val="en-US"/>
        </w:rPr>
        <w:t>antiretroviral drugs</w:t>
      </w:r>
      <w:r w:rsidR="00F67F0E" w:rsidRPr="009F337B">
        <w:rPr>
          <w:rFonts w:eastAsia="Times" w:cs="Arial"/>
          <w:i w:val="0"/>
          <w:szCs w:val="20"/>
          <w:lang w:val="en-US"/>
        </w:rPr>
        <w:t xml:space="preserve"> (</w:t>
      </w:r>
      <w:r w:rsidR="00F67F0E" w:rsidRPr="009F337B">
        <w:rPr>
          <w:rFonts w:eastAsia="Times" w:cs="Arial"/>
          <w:szCs w:val="20"/>
          <w:lang w:val="en-US"/>
        </w:rPr>
        <w:t>supra</w:t>
      </w:r>
      <w:r w:rsidR="00F67F0E" w:rsidRPr="009F337B">
        <w:rPr>
          <w:rFonts w:eastAsia="Times" w:cs="Arial"/>
          <w:i w:val="0"/>
          <w:szCs w:val="20"/>
          <w:lang w:val="en-US"/>
        </w:rPr>
        <w:t xml:space="preserve"> </w:t>
      </w:r>
      <w:r w:rsidR="00C60B17" w:rsidRPr="009F337B">
        <w:rPr>
          <w:rFonts w:eastAsia="Times" w:cs="Arial"/>
          <w:i w:val="0"/>
          <w:szCs w:val="20"/>
          <w:lang w:val="en-US"/>
        </w:rPr>
        <w:t>para.</w:t>
      </w:r>
      <w:r w:rsidR="00F4229A" w:rsidRPr="009F337B">
        <w:rPr>
          <w:rFonts w:eastAsia="Times" w:cs="Arial"/>
          <w:i w:val="0"/>
          <w:szCs w:val="20"/>
          <w:lang w:val="en-US"/>
        </w:rPr>
        <w:t xml:space="preserve"> 121</w:t>
      </w:r>
      <w:r w:rsidR="00F67F0E" w:rsidRPr="009F337B">
        <w:rPr>
          <w:rFonts w:eastAsia="Times" w:cs="Arial"/>
          <w:i w:val="0"/>
          <w:szCs w:val="20"/>
          <w:lang w:val="en-US"/>
        </w:rPr>
        <w:t>)</w:t>
      </w:r>
      <w:r w:rsidR="00A549A5" w:rsidRPr="009F337B">
        <w:rPr>
          <w:rFonts w:eastAsia="Times" w:cs="Arial"/>
          <w:i w:val="0"/>
          <w:szCs w:val="20"/>
          <w:lang w:val="en-US"/>
        </w:rPr>
        <w:t xml:space="preserve">, </w:t>
      </w:r>
      <w:r w:rsidRPr="009F337B">
        <w:rPr>
          <w:rFonts w:eastAsia="Times" w:cs="Arial"/>
          <w:i w:val="0"/>
          <w:szCs w:val="20"/>
          <w:lang w:val="en-US"/>
        </w:rPr>
        <w:t xml:space="preserve">the lack of access to periodic </w:t>
      </w:r>
      <w:r w:rsidR="00C60B17" w:rsidRPr="009F337B">
        <w:rPr>
          <w:rFonts w:eastAsia="Times" w:cs="Arial"/>
          <w:i w:val="0"/>
          <w:szCs w:val="20"/>
          <w:lang w:val="en-US"/>
        </w:rPr>
        <w:t>CD4 counts</w:t>
      </w:r>
      <w:r w:rsidRPr="009F337B">
        <w:rPr>
          <w:rFonts w:eastAsia="Times" w:cs="Arial"/>
          <w:i w:val="0"/>
          <w:szCs w:val="20"/>
          <w:lang w:val="en-US"/>
        </w:rPr>
        <w:t>,</w:t>
      </w:r>
      <w:r w:rsidR="00C60B17" w:rsidRPr="009F337B">
        <w:rPr>
          <w:rFonts w:eastAsia="Times" w:cs="Arial"/>
          <w:i w:val="0"/>
          <w:szCs w:val="20"/>
          <w:lang w:val="en-US"/>
        </w:rPr>
        <w:t xml:space="preserve"> </w:t>
      </w:r>
      <w:r w:rsidR="001F588A" w:rsidRPr="009F337B">
        <w:rPr>
          <w:rFonts w:eastAsia="Times" w:cs="Arial"/>
          <w:i w:val="0"/>
          <w:szCs w:val="20"/>
          <w:lang w:val="en-US"/>
        </w:rPr>
        <w:t xml:space="preserve">and </w:t>
      </w:r>
      <w:r w:rsidR="00C60B17" w:rsidRPr="009F337B">
        <w:rPr>
          <w:rFonts w:eastAsia="Times" w:cs="Arial"/>
          <w:i w:val="0"/>
          <w:szCs w:val="20"/>
          <w:lang w:val="en-US"/>
        </w:rPr>
        <w:t>viral load</w:t>
      </w:r>
      <w:r w:rsidRPr="009F337B">
        <w:rPr>
          <w:rFonts w:eastAsia="Times" w:cs="Arial"/>
          <w:i w:val="0"/>
          <w:szCs w:val="20"/>
          <w:lang w:val="en-US"/>
        </w:rPr>
        <w:t>, phenotype and genotype testing</w:t>
      </w:r>
      <w:r w:rsidR="00F67F0E" w:rsidRPr="009F337B">
        <w:rPr>
          <w:rFonts w:eastAsia="Times" w:cs="Arial"/>
          <w:i w:val="0"/>
          <w:szCs w:val="20"/>
          <w:lang w:val="en-US"/>
        </w:rPr>
        <w:t xml:space="preserve"> (</w:t>
      </w:r>
      <w:r w:rsidR="00F67F0E" w:rsidRPr="009F337B">
        <w:rPr>
          <w:rFonts w:eastAsia="Times" w:cs="Arial"/>
          <w:szCs w:val="20"/>
          <w:lang w:val="en-US"/>
        </w:rPr>
        <w:t>supra</w:t>
      </w:r>
      <w:r w:rsidR="00F67F0E" w:rsidRPr="009F337B">
        <w:rPr>
          <w:rFonts w:eastAsia="Times" w:cs="Arial"/>
          <w:i w:val="0"/>
          <w:szCs w:val="20"/>
          <w:lang w:val="en-US"/>
        </w:rPr>
        <w:t xml:space="preserve"> </w:t>
      </w:r>
      <w:r w:rsidR="00C60B17" w:rsidRPr="009F337B">
        <w:rPr>
          <w:rFonts w:eastAsia="Times" w:cs="Arial"/>
          <w:i w:val="0"/>
          <w:szCs w:val="20"/>
          <w:lang w:val="en-US"/>
        </w:rPr>
        <w:t>para.</w:t>
      </w:r>
      <w:r w:rsidR="00F4229A" w:rsidRPr="009F337B">
        <w:rPr>
          <w:rFonts w:eastAsia="Times" w:cs="Arial"/>
          <w:i w:val="0"/>
          <w:szCs w:val="20"/>
          <w:lang w:val="en-US"/>
        </w:rPr>
        <w:t xml:space="preserve"> 122</w:t>
      </w:r>
      <w:r w:rsidR="00F67F0E" w:rsidRPr="009F337B">
        <w:rPr>
          <w:rFonts w:eastAsia="Times" w:cs="Arial"/>
          <w:i w:val="0"/>
          <w:szCs w:val="20"/>
          <w:lang w:val="en-US"/>
        </w:rPr>
        <w:t>)</w:t>
      </w:r>
      <w:r w:rsidR="00A549A5" w:rsidRPr="009F337B">
        <w:rPr>
          <w:rFonts w:eastAsia="Times" w:cs="Arial"/>
          <w:i w:val="0"/>
          <w:szCs w:val="20"/>
          <w:lang w:val="en-US"/>
        </w:rPr>
        <w:t>,</w:t>
      </w:r>
      <w:r w:rsidRPr="009F337B">
        <w:rPr>
          <w:rFonts w:eastAsia="Times" w:cs="Arial"/>
          <w:i w:val="0"/>
          <w:szCs w:val="20"/>
          <w:lang w:val="en-US"/>
        </w:rPr>
        <w:t xml:space="preserve"> the inadequate or total lack of social support </w:t>
      </w:r>
      <w:r w:rsidR="00F67F0E" w:rsidRPr="009F337B">
        <w:rPr>
          <w:rFonts w:eastAsia="Times" w:cs="Arial"/>
          <w:i w:val="0"/>
          <w:szCs w:val="20"/>
          <w:lang w:val="en-US"/>
        </w:rPr>
        <w:t>(</w:t>
      </w:r>
      <w:r w:rsidR="00F67F0E" w:rsidRPr="009F337B">
        <w:rPr>
          <w:rFonts w:eastAsia="Times" w:cs="Arial"/>
          <w:szCs w:val="20"/>
          <w:lang w:val="en-US"/>
        </w:rPr>
        <w:t>supra</w:t>
      </w:r>
      <w:r w:rsidR="00F67F0E" w:rsidRPr="009F337B">
        <w:rPr>
          <w:rFonts w:eastAsia="Times" w:cs="Arial"/>
          <w:i w:val="0"/>
          <w:szCs w:val="20"/>
          <w:lang w:val="en-US"/>
        </w:rPr>
        <w:t xml:space="preserve"> </w:t>
      </w:r>
      <w:r w:rsidR="00C60B17" w:rsidRPr="009F337B">
        <w:rPr>
          <w:rFonts w:eastAsia="Times" w:cs="Arial"/>
          <w:i w:val="0"/>
          <w:szCs w:val="20"/>
          <w:lang w:val="en-US"/>
        </w:rPr>
        <w:t>para.</w:t>
      </w:r>
      <w:r w:rsidR="00F4229A" w:rsidRPr="009F337B">
        <w:rPr>
          <w:rFonts w:eastAsia="Times" w:cs="Arial"/>
          <w:i w:val="0"/>
          <w:szCs w:val="20"/>
          <w:lang w:val="en-US"/>
        </w:rPr>
        <w:t xml:space="preserve"> 123</w:t>
      </w:r>
      <w:r w:rsidR="00F67F0E" w:rsidRPr="009F337B">
        <w:rPr>
          <w:rFonts w:eastAsia="Times" w:cs="Arial"/>
          <w:i w:val="0"/>
          <w:szCs w:val="20"/>
          <w:lang w:val="en-US"/>
        </w:rPr>
        <w:t>),</w:t>
      </w:r>
      <w:r w:rsidR="003C46A3" w:rsidRPr="009F337B">
        <w:rPr>
          <w:rFonts w:eastAsia="Times" w:cs="Arial"/>
          <w:i w:val="0"/>
          <w:szCs w:val="20"/>
          <w:lang w:val="en-US"/>
        </w:rPr>
        <w:t xml:space="preserve"> and </w:t>
      </w:r>
      <w:r w:rsidRPr="009F337B">
        <w:rPr>
          <w:rFonts w:eastAsia="Times" w:cs="Arial"/>
          <w:i w:val="0"/>
          <w:szCs w:val="20"/>
          <w:lang w:val="en-US"/>
        </w:rPr>
        <w:t xml:space="preserve">the impossibility of access to the health centers for financial reasons or the location of the homes of some </w:t>
      </w:r>
      <w:r w:rsidR="00CC6A68" w:rsidRPr="009F337B">
        <w:rPr>
          <w:rFonts w:eastAsia="Times" w:cs="Arial"/>
          <w:i w:val="0"/>
          <w:szCs w:val="20"/>
          <w:lang w:val="en-US"/>
        </w:rPr>
        <w:t xml:space="preserve">of the </w:t>
      </w:r>
      <w:r w:rsidR="00A00EE5" w:rsidRPr="009F337B">
        <w:rPr>
          <w:rFonts w:eastAsia="Times" w:cs="Arial"/>
          <w:i w:val="0"/>
          <w:szCs w:val="20"/>
          <w:lang w:val="en-US"/>
        </w:rPr>
        <w:t>presumed</w:t>
      </w:r>
      <w:r w:rsidR="003C46A3" w:rsidRPr="009F337B">
        <w:rPr>
          <w:rFonts w:eastAsia="Times" w:cs="Arial"/>
          <w:i w:val="0"/>
          <w:szCs w:val="20"/>
          <w:lang w:val="en-US"/>
        </w:rPr>
        <w:t xml:space="preserve"> victims</w:t>
      </w:r>
      <w:r w:rsidR="00F67F0E" w:rsidRPr="009F337B">
        <w:rPr>
          <w:rFonts w:eastAsia="Times" w:cs="Arial"/>
          <w:i w:val="0"/>
          <w:szCs w:val="20"/>
          <w:lang w:val="en-US"/>
        </w:rPr>
        <w:t xml:space="preserve"> </w:t>
      </w:r>
      <w:r w:rsidR="00F4229A" w:rsidRPr="009F337B">
        <w:rPr>
          <w:rFonts w:eastAsia="Times" w:cs="Arial"/>
          <w:i w:val="0"/>
          <w:szCs w:val="20"/>
          <w:lang w:val="en-US"/>
        </w:rPr>
        <w:t>(</w:t>
      </w:r>
      <w:r w:rsidR="00F4229A" w:rsidRPr="009F337B">
        <w:rPr>
          <w:rFonts w:eastAsia="Times" w:cs="Arial"/>
          <w:szCs w:val="20"/>
          <w:lang w:val="en-US"/>
        </w:rPr>
        <w:t xml:space="preserve">supra </w:t>
      </w:r>
      <w:r w:rsidR="00C60B17" w:rsidRPr="009F337B">
        <w:rPr>
          <w:rFonts w:eastAsia="Times" w:cs="Arial"/>
          <w:i w:val="0"/>
          <w:szCs w:val="20"/>
          <w:lang w:val="en-US"/>
        </w:rPr>
        <w:t>para.</w:t>
      </w:r>
      <w:r w:rsidR="00F4229A" w:rsidRPr="009F337B">
        <w:rPr>
          <w:rFonts w:eastAsia="Times" w:cs="Arial"/>
          <w:i w:val="0"/>
          <w:szCs w:val="20"/>
          <w:lang w:val="en-US"/>
        </w:rPr>
        <w:t xml:space="preserve"> 125)</w:t>
      </w:r>
      <w:r w:rsidRPr="009F337B">
        <w:rPr>
          <w:rFonts w:eastAsia="Times" w:cs="Arial"/>
          <w:i w:val="0"/>
          <w:szCs w:val="20"/>
          <w:lang w:val="en-US"/>
        </w:rPr>
        <w:t xml:space="preserve"> has been proved</w:t>
      </w:r>
      <w:r w:rsidR="00F67F0E" w:rsidRPr="009F337B">
        <w:rPr>
          <w:rFonts w:eastAsia="Times" w:cs="Arial"/>
          <w:i w:val="0"/>
          <w:szCs w:val="20"/>
          <w:lang w:val="en-US"/>
        </w:rPr>
        <w:t xml:space="preserve">, </w:t>
      </w:r>
      <w:r w:rsidR="003C46A3" w:rsidRPr="009F337B">
        <w:rPr>
          <w:rFonts w:eastAsia="Times" w:cs="Arial"/>
          <w:i w:val="0"/>
          <w:szCs w:val="20"/>
          <w:lang w:val="en-US"/>
        </w:rPr>
        <w:t>the State</w:t>
      </w:r>
      <w:r w:rsidR="00F67F0E" w:rsidRPr="009F337B">
        <w:rPr>
          <w:rFonts w:eastAsia="Times" w:cs="Arial"/>
          <w:i w:val="0"/>
          <w:szCs w:val="20"/>
          <w:lang w:val="en-US"/>
        </w:rPr>
        <w:t xml:space="preserve"> </w:t>
      </w:r>
      <w:r w:rsidRPr="009F337B">
        <w:rPr>
          <w:rFonts w:eastAsia="Times" w:cs="Arial"/>
          <w:i w:val="0"/>
          <w:szCs w:val="20"/>
          <w:lang w:val="en-US"/>
        </w:rPr>
        <w:t xml:space="preserve">failed to comply with its obligation to guarantee </w:t>
      </w:r>
      <w:r w:rsidR="00371ADF" w:rsidRPr="009F337B">
        <w:rPr>
          <w:rFonts w:eastAsia="Times" w:cs="Arial"/>
          <w:i w:val="0"/>
          <w:szCs w:val="20"/>
          <w:lang w:val="en-US"/>
        </w:rPr>
        <w:t xml:space="preserve">the </w:t>
      </w:r>
      <w:r w:rsidR="00A51F3B" w:rsidRPr="009F337B">
        <w:rPr>
          <w:rFonts w:eastAsia="Times" w:cs="Arial"/>
          <w:i w:val="0"/>
          <w:szCs w:val="20"/>
          <w:lang w:val="en-US"/>
        </w:rPr>
        <w:t>right to health</w:t>
      </w:r>
      <w:r w:rsidRPr="009F337B">
        <w:rPr>
          <w:rFonts w:eastAsia="Times" w:cs="Arial"/>
          <w:i w:val="0"/>
          <w:szCs w:val="20"/>
          <w:lang w:val="en-US"/>
        </w:rPr>
        <w:t xml:space="preserve"> because its omissions are incompatible with the elements of the availability, accessibility and quality of health ca</w:t>
      </w:r>
      <w:r w:rsidR="00776728" w:rsidRPr="009F337B">
        <w:rPr>
          <w:rFonts w:eastAsia="Times" w:cs="Arial"/>
          <w:i w:val="0"/>
          <w:szCs w:val="20"/>
          <w:lang w:val="en-US"/>
        </w:rPr>
        <w:t>r</w:t>
      </w:r>
      <w:r w:rsidRPr="009F337B">
        <w:rPr>
          <w:rFonts w:eastAsia="Times" w:cs="Arial"/>
          <w:i w:val="0"/>
          <w:szCs w:val="20"/>
          <w:lang w:val="en-US"/>
        </w:rPr>
        <w:t xml:space="preserve">e. </w:t>
      </w:r>
      <w:bookmarkEnd w:id="83"/>
      <w:r w:rsidRPr="009F337B">
        <w:rPr>
          <w:rFonts w:eastAsia="Times" w:cs="Arial"/>
          <w:i w:val="0"/>
          <w:szCs w:val="20"/>
          <w:lang w:val="en-US"/>
        </w:rPr>
        <w:t xml:space="preserve">The elements of availability and quality require the existence of a sufficient quantity of the goods, services and medicines needed for health care, which should also be of a good quality and appropriate from the medical perspective, which did not occur in this case. The element of accessibility requires that the health care </w:t>
      </w:r>
      <w:r w:rsidR="00FB0216" w:rsidRPr="009F337B">
        <w:rPr>
          <w:rFonts w:eastAsia="Times" w:cs="Arial"/>
          <w:i w:val="0"/>
          <w:szCs w:val="20"/>
          <w:lang w:val="en-US"/>
        </w:rPr>
        <w:t>facilities</w:t>
      </w:r>
      <w:r w:rsidRPr="009F337B">
        <w:rPr>
          <w:rFonts w:eastAsia="Times" w:cs="Arial"/>
          <w:i w:val="0"/>
          <w:szCs w:val="20"/>
          <w:lang w:val="en-US"/>
        </w:rPr>
        <w:t>, goods and services are accessible, in law and in fact, for the most vulnerable and marginalized sectors, and that they are located at a reasonable geographical distance, a situation that did not occur in this case.</w:t>
      </w:r>
    </w:p>
    <w:p w14:paraId="43B1067A" w14:textId="77777777" w:rsidR="00E92CA8" w:rsidRPr="009F337B" w:rsidRDefault="00E92CA8" w:rsidP="00E92CA8">
      <w:pPr>
        <w:pStyle w:val="Estilo1"/>
        <w:tabs>
          <w:tab w:val="left" w:pos="709"/>
          <w:tab w:val="left" w:pos="1134"/>
        </w:tabs>
        <w:spacing w:after="0"/>
        <w:ind w:left="0" w:right="-4" w:firstLine="0"/>
        <w:rPr>
          <w:rFonts w:eastAsia="Times" w:cs="Arial"/>
          <w:i w:val="0"/>
          <w:szCs w:val="20"/>
          <w:lang w:val="en-US"/>
        </w:rPr>
      </w:pPr>
    </w:p>
    <w:p w14:paraId="6110F28E" w14:textId="0A5BDE6B" w:rsidR="00661AFA" w:rsidRPr="009F337B" w:rsidRDefault="00B85062" w:rsidP="00593E37">
      <w:pPr>
        <w:pStyle w:val="Estilo1"/>
        <w:numPr>
          <w:ilvl w:val="0"/>
          <w:numId w:val="1"/>
        </w:numPr>
        <w:tabs>
          <w:tab w:val="left" w:pos="709"/>
          <w:tab w:val="left" w:pos="1134"/>
        </w:tabs>
        <w:spacing w:after="0"/>
        <w:ind w:left="0" w:right="-4" w:firstLine="0"/>
        <w:rPr>
          <w:rFonts w:eastAsia="Times" w:cs="Arial"/>
          <w:i w:val="0"/>
          <w:szCs w:val="20"/>
          <w:lang w:val="en-US"/>
        </w:rPr>
      </w:pPr>
      <w:proofErr w:type="spellStart"/>
      <w:r w:rsidRPr="006D056E">
        <w:rPr>
          <w:rFonts w:eastAsia="Times" w:cs="Arial"/>
          <w:i w:val="0"/>
          <w:szCs w:val="20"/>
          <w:lang w:val="es-CR"/>
        </w:rPr>
        <w:t>Consequently</w:t>
      </w:r>
      <w:proofErr w:type="spellEnd"/>
      <w:r w:rsidR="00DF28F8" w:rsidRPr="006D056E">
        <w:rPr>
          <w:rFonts w:eastAsia="Times" w:cs="Arial"/>
          <w:i w:val="0"/>
          <w:szCs w:val="20"/>
          <w:lang w:val="es-CR"/>
        </w:rPr>
        <w:t xml:space="preserve">, </w:t>
      </w:r>
      <w:proofErr w:type="spellStart"/>
      <w:r w:rsidR="00AE5F9E" w:rsidRPr="006D056E">
        <w:rPr>
          <w:rFonts w:eastAsia="Times" w:cs="Arial"/>
          <w:i w:val="0"/>
          <w:szCs w:val="20"/>
          <w:lang w:val="es-CR"/>
        </w:rPr>
        <w:t>the</w:t>
      </w:r>
      <w:proofErr w:type="spellEnd"/>
      <w:r w:rsidR="00AE5F9E" w:rsidRPr="006D056E">
        <w:rPr>
          <w:rFonts w:eastAsia="Times" w:cs="Arial"/>
          <w:i w:val="0"/>
          <w:szCs w:val="20"/>
          <w:lang w:val="es-CR"/>
        </w:rPr>
        <w:t xml:space="preserve"> </w:t>
      </w:r>
      <w:proofErr w:type="spellStart"/>
      <w:r w:rsidR="00AE5F9E" w:rsidRPr="006D056E">
        <w:rPr>
          <w:rFonts w:eastAsia="Times" w:cs="Arial"/>
          <w:i w:val="0"/>
          <w:szCs w:val="20"/>
          <w:lang w:val="es-CR"/>
        </w:rPr>
        <w:t>Court</w:t>
      </w:r>
      <w:proofErr w:type="spellEnd"/>
      <w:r w:rsidR="00DF28F8" w:rsidRPr="006D056E">
        <w:rPr>
          <w:rFonts w:eastAsia="Times" w:cs="Arial"/>
          <w:i w:val="0"/>
          <w:szCs w:val="20"/>
          <w:lang w:val="es-CR"/>
        </w:rPr>
        <w:t xml:space="preserve"> </w:t>
      </w:r>
      <w:proofErr w:type="spellStart"/>
      <w:r w:rsidR="00DF28F8" w:rsidRPr="006D056E">
        <w:rPr>
          <w:rFonts w:eastAsia="Times" w:cs="Arial"/>
          <w:i w:val="0"/>
          <w:szCs w:val="20"/>
          <w:lang w:val="es-CR"/>
        </w:rPr>
        <w:t>conclu</w:t>
      </w:r>
      <w:r w:rsidRPr="006D056E">
        <w:rPr>
          <w:rFonts w:eastAsia="Times" w:cs="Arial"/>
          <w:i w:val="0"/>
          <w:szCs w:val="20"/>
          <w:lang w:val="es-CR"/>
        </w:rPr>
        <w:t>des</w:t>
      </w:r>
      <w:proofErr w:type="spellEnd"/>
      <w:r w:rsidRPr="006D056E">
        <w:rPr>
          <w:rFonts w:eastAsia="Times" w:cs="Arial"/>
          <w:i w:val="0"/>
          <w:szCs w:val="20"/>
          <w:lang w:val="es-CR"/>
        </w:rPr>
        <w:t xml:space="preserve"> </w:t>
      </w:r>
      <w:proofErr w:type="spellStart"/>
      <w:r w:rsidRPr="006D056E">
        <w:rPr>
          <w:rFonts w:eastAsia="Times" w:cs="Arial"/>
          <w:i w:val="0"/>
          <w:szCs w:val="20"/>
          <w:lang w:val="es-CR"/>
        </w:rPr>
        <w:t>that</w:t>
      </w:r>
      <w:proofErr w:type="spellEnd"/>
      <w:r w:rsidR="00DF28F8" w:rsidRPr="006D056E">
        <w:rPr>
          <w:rFonts w:eastAsia="Times" w:cs="Arial"/>
          <w:i w:val="0"/>
          <w:szCs w:val="20"/>
          <w:lang w:val="es-CR"/>
        </w:rPr>
        <w:t xml:space="preserve"> </w:t>
      </w:r>
      <w:proofErr w:type="spellStart"/>
      <w:r w:rsidR="003C46A3" w:rsidRPr="006D056E">
        <w:rPr>
          <w:rFonts w:eastAsia="Times" w:cs="Arial"/>
          <w:i w:val="0"/>
          <w:szCs w:val="20"/>
          <w:lang w:val="es-CR"/>
        </w:rPr>
        <w:t>the</w:t>
      </w:r>
      <w:proofErr w:type="spellEnd"/>
      <w:r w:rsidR="003C46A3" w:rsidRPr="006D056E">
        <w:rPr>
          <w:rFonts w:eastAsia="Times" w:cs="Arial"/>
          <w:i w:val="0"/>
          <w:szCs w:val="20"/>
          <w:lang w:val="es-CR"/>
        </w:rPr>
        <w:t xml:space="preserve"> </w:t>
      </w:r>
      <w:proofErr w:type="spellStart"/>
      <w:r w:rsidR="003C46A3" w:rsidRPr="006D056E">
        <w:rPr>
          <w:rFonts w:eastAsia="Times" w:cs="Arial"/>
          <w:i w:val="0"/>
          <w:szCs w:val="20"/>
          <w:lang w:val="es-CR"/>
        </w:rPr>
        <w:t>State</w:t>
      </w:r>
      <w:proofErr w:type="spellEnd"/>
      <w:r w:rsidR="00DF28F8" w:rsidRPr="006D056E">
        <w:rPr>
          <w:rFonts w:eastAsia="Times" w:cs="Arial"/>
          <w:i w:val="0"/>
          <w:szCs w:val="20"/>
          <w:lang w:val="es-CR"/>
        </w:rPr>
        <w:t xml:space="preserve"> </w:t>
      </w:r>
      <w:proofErr w:type="spellStart"/>
      <w:r w:rsidRPr="006D056E">
        <w:rPr>
          <w:rFonts w:eastAsia="Times" w:cs="Arial"/>
          <w:i w:val="0"/>
          <w:szCs w:val="20"/>
          <w:lang w:val="es-CR"/>
        </w:rPr>
        <w:t>failed</w:t>
      </w:r>
      <w:proofErr w:type="spellEnd"/>
      <w:r w:rsidRPr="006D056E">
        <w:rPr>
          <w:rFonts w:eastAsia="Times" w:cs="Arial"/>
          <w:i w:val="0"/>
          <w:szCs w:val="20"/>
          <w:lang w:val="es-CR"/>
        </w:rPr>
        <w:t xml:space="preserve"> </w:t>
      </w:r>
      <w:proofErr w:type="spellStart"/>
      <w:r w:rsidRPr="006D056E">
        <w:rPr>
          <w:rFonts w:eastAsia="Times" w:cs="Arial"/>
          <w:i w:val="0"/>
          <w:szCs w:val="20"/>
          <w:lang w:val="es-CR"/>
        </w:rPr>
        <w:t>to</w:t>
      </w:r>
      <w:proofErr w:type="spellEnd"/>
      <w:r w:rsidRPr="006D056E">
        <w:rPr>
          <w:rFonts w:eastAsia="Times" w:cs="Arial"/>
          <w:i w:val="0"/>
          <w:szCs w:val="20"/>
          <w:lang w:val="es-CR"/>
        </w:rPr>
        <w:t xml:space="preserve"> </w:t>
      </w:r>
      <w:proofErr w:type="spellStart"/>
      <w:r w:rsidRPr="006D056E">
        <w:rPr>
          <w:rFonts w:eastAsia="Times" w:cs="Arial"/>
          <w:i w:val="0"/>
          <w:szCs w:val="20"/>
          <w:lang w:val="es-CR"/>
        </w:rPr>
        <w:t>ensure</w:t>
      </w:r>
      <w:proofErr w:type="spellEnd"/>
      <w:r w:rsidRPr="006D056E">
        <w:rPr>
          <w:rFonts w:eastAsia="Times" w:cs="Arial"/>
          <w:i w:val="0"/>
          <w:szCs w:val="20"/>
          <w:lang w:val="es-CR"/>
        </w:rPr>
        <w:t xml:space="preserve"> </w:t>
      </w:r>
      <w:proofErr w:type="spellStart"/>
      <w:r w:rsidRPr="006D056E">
        <w:rPr>
          <w:rFonts w:eastAsia="Times" w:cs="Arial"/>
          <w:i w:val="0"/>
          <w:szCs w:val="20"/>
          <w:lang w:val="es-CR"/>
        </w:rPr>
        <w:t>the</w:t>
      </w:r>
      <w:proofErr w:type="spellEnd"/>
      <w:r w:rsidRPr="006D056E">
        <w:rPr>
          <w:rFonts w:eastAsia="Times" w:cs="Arial"/>
          <w:i w:val="0"/>
          <w:szCs w:val="20"/>
          <w:lang w:val="es-CR"/>
        </w:rPr>
        <w:t xml:space="preserve"> </w:t>
      </w:r>
      <w:proofErr w:type="spellStart"/>
      <w:r w:rsidRPr="006D056E">
        <w:rPr>
          <w:rFonts w:eastAsia="Times" w:cs="Arial"/>
          <w:i w:val="0"/>
          <w:szCs w:val="20"/>
          <w:lang w:val="es-CR"/>
        </w:rPr>
        <w:t>right</w:t>
      </w:r>
      <w:proofErr w:type="spellEnd"/>
      <w:r w:rsidRPr="006D056E">
        <w:rPr>
          <w:rFonts w:eastAsia="Times" w:cs="Arial"/>
          <w:i w:val="0"/>
          <w:szCs w:val="20"/>
          <w:lang w:val="es-CR"/>
        </w:rPr>
        <w:t xml:space="preserve"> </w:t>
      </w:r>
      <w:proofErr w:type="spellStart"/>
      <w:r w:rsidRPr="006D056E">
        <w:rPr>
          <w:rFonts w:eastAsia="Times" w:cs="Arial"/>
          <w:i w:val="0"/>
          <w:szCs w:val="20"/>
          <w:lang w:val="es-CR"/>
        </w:rPr>
        <w:t>to</w:t>
      </w:r>
      <w:proofErr w:type="spellEnd"/>
      <w:r w:rsidRPr="006D056E">
        <w:rPr>
          <w:rFonts w:eastAsia="Times" w:cs="Arial"/>
          <w:i w:val="0"/>
          <w:szCs w:val="20"/>
          <w:lang w:val="es-CR"/>
        </w:rPr>
        <w:t xml:space="preserve"> </w:t>
      </w:r>
      <w:proofErr w:type="spellStart"/>
      <w:r w:rsidRPr="006D056E">
        <w:rPr>
          <w:rFonts w:eastAsia="Times" w:cs="Arial"/>
          <w:i w:val="0"/>
          <w:szCs w:val="20"/>
          <w:lang w:val="es-CR"/>
        </w:rPr>
        <w:t>health</w:t>
      </w:r>
      <w:proofErr w:type="spellEnd"/>
      <w:r w:rsidRPr="006D056E">
        <w:rPr>
          <w:rFonts w:eastAsia="Times" w:cs="Arial"/>
          <w:i w:val="0"/>
          <w:szCs w:val="20"/>
          <w:lang w:val="es-CR"/>
        </w:rPr>
        <w:t xml:space="preserve"> </w:t>
      </w:r>
      <w:proofErr w:type="spellStart"/>
      <w:r w:rsidRPr="006D056E">
        <w:rPr>
          <w:rFonts w:eastAsia="Times" w:cs="Arial"/>
          <w:i w:val="0"/>
          <w:szCs w:val="20"/>
          <w:lang w:val="es-CR"/>
        </w:rPr>
        <w:t>of</w:t>
      </w:r>
      <w:proofErr w:type="spellEnd"/>
      <w:r w:rsidR="00DF28F8" w:rsidRPr="006D056E">
        <w:rPr>
          <w:rFonts w:eastAsia="Times" w:cs="Arial"/>
          <w:i w:val="0"/>
          <w:szCs w:val="20"/>
          <w:lang w:val="es-CR"/>
        </w:rPr>
        <w:t xml:space="preserve"> </w:t>
      </w:r>
      <w:r w:rsidR="00155670" w:rsidRPr="006D056E">
        <w:rPr>
          <w:rFonts w:cs="Arial"/>
          <w:i w:val="0"/>
          <w:lang w:val="es-CR"/>
        </w:rPr>
        <w:t>Rita Mariana Dubón Orozco, Luis Edwin Cruz Grama</w:t>
      </w:r>
      <w:r w:rsidR="00005153" w:rsidRPr="006D056E">
        <w:rPr>
          <w:rFonts w:cs="Arial"/>
          <w:i w:val="0"/>
          <w:lang w:val="es-CR"/>
        </w:rPr>
        <w:t>jo</w:t>
      </w:r>
      <w:r w:rsidR="00155670" w:rsidRPr="006D056E">
        <w:rPr>
          <w:rFonts w:cs="Arial"/>
          <w:i w:val="0"/>
          <w:lang w:val="es-CR"/>
        </w:rPr>
        <w:t>,</w:t>
      </w:r>
      <w:r w:rsidR="00005153" w:rsidRPr="006D056E">
        <w:rPr>
          <w:rFonts w:cs="Arial"/>
          <w:i w:val="0"/>
          <w:lang w:val="es-CR"/>
        </w:rPr>
        <w:t xml:space="preserve"> Petrona López Robledo</w:t>
      </w:r>
      <w:r w:rsidR="002E10B2" w:rsidRPr="006D056E">
        <w:rPr>
          <w:rFonts w:cs="Arial"/>
          <w:i w:val="0"/>
          <w:lang w:val="es-CR"/>
        </w:rPr>
        <w:t>,</w:t>
      </w:r>
      <w:r w:rsidR="007E6FEA" w:rsidRPr="006D056E">
        <w:rPr>
          <w:rFonts w:cs="Arial"/>
          <w:i w:val="0"/>
          <w:lang w:val="es-CR"/>
        </w:rPr>
        <w:t xml:space="preserve"> </w:t>
      </w:r>
      <w:proofErr w:type="spellStart"/>
      <w:r w:rsidR="007E6FEA" w:rsidRPr="006D056E">
        <w:rPr>
          <w:rFonts w:cs="Arial"/>
          <w:i w:val="0"/>
          <w:lang w:val="es-CR"/>
        </w:rPr>
        <w:t>Maria</w:t>
      </w:r>
      <w:proofErr w:type="spellEnd"/>
      <w:r w:rsidR="007E6FEA" w:rsidRPr="006D056E">
        <w:rPr>
          <w:rFonts w:cs="Arial"/>
          <w:i w:val="0"/>
          <w:lang w:val="es-CR"/>
        </w:rPr>
        <w:t xml:space="preserve"> Blanca </w:t>
      </w:r>
      <w:proofErr w:type="spellStart"/>
      <w:r w:rsidR="007E6FEA" w:rsidRPr="006D056E">
        <w:rPr>
          <w:rFonts w:cs="Arial"/>
          <w:i w:val="0"/>
          <w:lang w:val="es-CR"/>
        </w:rPr>
        <w:t>Vaíl</w:t>
      </w:r>
      <w:proofErr w:type="spellEnd"/>
      <w:r w:rsidR="007E6FEA" w:rsidRPr="006D056E">
        <w:rPr>
          <w:rFonts w:cs="Arial"/>
          <w:i w:val="0"/>
          <w:lang w:val="es-CR"/>
        </w:rPr>
        <w:t xml:space="preserve"> López, Guadalupe Herminia </w:t>
      </w:r>
      <w:proofErr w:type="spellStart"/>
      <w:r w:rsidR="007E6FEA" w:rsidRPr="006D056E">
        <w:rPr>
          <w:rFonts w:cs="Arial"/>
          <w:i w:val="0"/>
          <w:lang w:val="es-CR"/>
        </w:rPr>
        <w:t>Cayaxo</w:t>
      </w:r>
      <w:r w:rsidR="00155670" w:rsidRPr="006D056E">
        <w:rPr>
          <w:rFonts w:cs="Arial"/>
          <w:i w:val="0"/>
          <w:lang w:val="es-CR"/>
        </w:rPr>
        <w:t>n</w:t>
      </w:r>
      <w:proofErr w:type="spellEnd"/>
      <w:r w:rsidR="00155670" w:rsidRPr="006D056E">
        <w:rPr>
          <w:rFonts w:cs="Arial"/>
          <w:i w:val="0"/>
          <w:lang w:val="es-CR"/>
        </w:rPr>
        <w:t xml:space="preserve"> García, José Rubén Delgad</w:t>
      </w:r>
      <w:r w:rsidR="007E6FEA" w:rsidRPr="006D056E">
        <w:rPr>
          <w:rFonts w:cs="Arial"/>
          <w:i w:val="0"/>
          <w:lang w:val="es-CR"/>
        </w:rPr>
        <w:t>o López, Elsa Miriam Estrada Ruí</w:t>
      </w:r>
      <w:r w:rsidR="00155670" w:rsidRPr="006D056E">
        <w:rPr>
          <w:rFonts w:cs="Arial"/>
          <w:i w:val="0"/>
          <w:lang w:val="es-CR"/>
        </w:rPr>
        <w:t>z, Silvia Mirtala Álvarez Villatoro, J</w:t>
      </w:r>
      <w:r w:rsidR="007E6FEA" w:rsidRPr="006D056E">
        <w:rPr>
          <w:rFonts w:cs="Arial"/>
          <w:i w:val="0"/>
          <w:lang w:val="es-CR"/>
        </w:rPr>
        <w:t xml:space="preserve">uana Aguilar, Melvin </w:t>
      </w:r>
      <w:proofErr w:type="spellStart"/>
      <w:r w:rsidR="007E6FEA" w:rsidRPr="006D056E">
        <w:rPr>
          <w:rFonts w:cs="Arial"/>
          <w:i w:val="0"/>
          <w:lang w:val="es-CR"/>
        </w:rPr>
        <w:t>Yovani</w:t>
      </w:r>
      <w:proofErr w:type="spellEnd"/>
      <w:r w:rsidR="007E6FEA" w:rsidRPr="006D056E">
        <w:rPr>
          <w:rFonts w:cs="Arial"/>
          <w:i w:val="0"/>
          <w:lang w:val="es-CR"/>
        </w:rPr>
        <w:t xml:space="preserve"> Ajtu</w:t>
      </w:r>
      <w:r w:rsidR="00155670" w:rsidRPr="006D056E">
        <w:rPr>
          <w:rFonts w:cs="Arial"/>
          <w:i w:val="0"/>
          <w:lang w:val="es-CR"/>
        </w:rPr>
        <w:t xml:space="preserve">n Escobar, José Cupertino Ramírez, Sebastián Emilio Dueñas, Julia Aguilar, Felipe </w:t>
      </w:r>
      <w:proofErr w:type="spellStart"/>
      <w:r w:rsidR="00155670" w:rsidRPr="006D056E">
        <w:rPr>
          <w:rFonts w:cs="Arial"/>
          <w:i w:val="0"/>
          <w:lang w:val="es-CR"/>
        </w:rPr>
        <w:t>Tebal</w:t>
      </w:r>
      <w:r w:rsidR="007E6FEA" w:rsidRPr="006D056E">
        <w:rPr>
          <w:rFonts w:cs="Arial"/>
          <w:i w:val="0"/>
          <w:lang w:val="es-CR"/>
        </w:rPr>
        <w:t>an</w:t>
      </w:r>
      <w:proofErr w:type="spellEnd"/>
      <w:r w:rsidR="007E6FEA" w:rsidRPr="006D056E">
        <w:rPr>
          <w:rFonts w:cs="Arial"/>
          <w:i w:val="0"/>
          <w:lang w:val="es-CR"/>
        </w:rPr>
        <w:t xml:space="preserve"> Ordoñez, Martina Candelaria </w:t>
      </w:r>
      <w:proofErr w:type="spellStart"/>
      <w:r w:rsidR="007E6FEA" w:rsidRPr="006D056E">
        <w:rPr>
          <w:rFonts w:cs="Arial"/>
          <w:i w:val="0"/>
          <w:lang w:val="es-CR"/>
        </w:rPr>
        <w:t>A</w:t>
      </w:r>
      <w:r w:rsidR="00155670" w:rsidRPr="006D056E">
        <w:rPr>
          <w:rFonts w:cs="Arial"/>
          <w:i w:val="0"/>
          <w:lang w:val="es-CR"/>
        </w:rPr>
        <w:t>lva</w:t>
      </w:r>
      <w:r w:rsidR="007E6FEA" w:rsidRPr="006D056E">
        <w:rPr>
          <w:rFonts w:cs="Arial"/>
          <w:i w:val="0"/>
          <w:lang w:val="es-CR"/>
        </w:rPr>
        <w:t>rez</w:t>
      </w:r>
      <w:proofErr w:type="spellEnd"/>
      <w:r w:rsidR="007E6FEA" w:rsidRPr="006D056E">
        <w:rPr>
          <w:rFonts w:cs="Arial"/>
          <w:i w:val="0"/>
          <w:lang w:val="es-CR"/>
        </w:rPr>
        <w:t xml:space="preserve"> Estrada, Luis Rubén Isabel </w:t>
      </w:r>
      <w:proofErr w:type="spellStart"/>
      <w:r w:rsidR="007E6FEA" w:rsidRPr="006D056E">
        <w:rPr>
          <w:rFonts w:cs="Arial"/>
          <w:i w:val="0"/>
          <w:lang w:val="es-CR"/>
        </w:rPr>
        <w:t>A</w:t>
      </w:r>
      <w:r w:rsidR="00155670" w:rsidRPr="006D056E">
        <w:rPr>
          <w:rFonts w:cs="Arial"/>
          <w:i w:val="0"/>
          <w:lang w:val="es-CR"/>
        </w:rPr>
        <w:t>lvarez</w:t>
      </w:r>
      <w:proofErr w:type="spellEnd"/>
      <w:r w:rsidR="00155670" w:rsidRPr="006D056E">
        <w:rPr>
          <w:rFonts w:cs="Arial"/>
          <w:i w:val="0"/>
          <w:lang w:val="es-CR"/>
        </w:rPr>
        <w:t xml:space="preserve"> Flores, </w:t>
      </w:r>
      <w:proofErr w:type="spellStart"/>
      <w:r w:rsidR="00155670" w:rsidRPr="006D056E">
        <w:rPr>
          <w:rFonts w:cs="Arial"/>
          <w:i w:val="0"/>
          <w:lang w:val="es-CR"/>
        </w:rPr>
        <w:t>Saira</w:t>
      </w:r>
      <w:proofErr w:type="spellEnd"/>
      <w:r w:rsidR="00155670" w:rsidRPr="006D056E">
        <w:rPr>
          <w:rFonts w:cs="Arial"/>
          <w:i w:val="0"/>
          <w:lang w:val="es-CR"/>
        </w:rPr>
        <w:t xml:space="preserve"> Elisa Barrios, </w:t>
      </w:r>
      <w:proofErr w:type="spellStart"/>
      <w:r w:rsidR="00155670" w:rsidRPr="006D056E">
        <w:rPr>
          <w:rFonts w:cs="Arial"/>
          <w:i w:val="0"/>
          <w:lang w:val="es-CR"/>
        </w:rPr>
        <w:t>F</w:t>
      </w:r>
      <w:r w:rsidR="007E6FEA" w:rsidRPr="006D056E">
        <w:rPr>
          <w:rFonts w:cs="Arial"/>
          <w:i w:val="0"/>
          <w:lang w:val="es-CR"/>
        </w:rPr>
        <w:t>elix</w:t>
      </w:r>
      <w:proofErr w:type="spellEnd"/>
      <w:r w:rsidR="007E6FEA" w:rsidRPr="006D056E">
        <w:rPr>
          <w:rFonts w:cs="Arial"/>
          <w:i w:val="0"/>
          <w:lang w:val="es-CR"/>
        </w:rPr>
        <w:t xml:space="preserve"> de Jesús Cabrera Morales, Cé</w:t>
      </w:r>
      <w:r w:rsidR="00155670" w:rsidRPr="006D056E">
        <w:rPr>
          <w:rFonts w:cs="Arial"/>
          <w:i w:val="0"/>
          <w:lang w:val="es-CR"/>
        </w:rPr>
        <w:t xml:space="preserve">sar Noé Cancinos Gómez, Aracely Cinto, Luis Rolando </w:t>
      </w:r>
      <w:proofErr w:type="spellStart"/>
      <w:r w:rsidR="00155670" w:rsidRPr="006D056E">
        <w:rPr>
          <w:rFonts w:cs="Arial"/>
          <w:i w:val="0"/>
          <w:lang w:val="es-CR"/>
        </w:rPr>
        <w:t>Cuscul</w:t>
      </w:r>
      <w:proofErr w:type="spellEnd"/>
      <w:r w:rsidR="00155670" w:rsidRPr="006D056E">
        <w:rPr>
          <w:rFonts w:cs="Arial"/>
          <w:i w:val="0"/>
          <w:lang w:val="es-CR"/>
        </w:rPr>
        <w:t xml:space="preserve"> Pivaral, María Felipe Pérez, </w:t>
      </w:r>
      <w:proofErr w:type="spellStart"/>
      <w:r w:rsidR="00155670" w:rsidRPr="006D056E">
        <w:rPr>
          <w:rFonts w:cs="Arial"/>
          <w:i w:val="0"/>
          <w:lang w:val="es-CR"/>
        </w:rPr>
        <w:t>Ismerai</w:t>
      </w:r>
      <w:proofErr w:type="spellEnd"/>
      <w:r w:rsidR="00155670" w:rsidRPr="006D056E">
        <w:rPr>
          <w:rFonts w:cs="Arial"/>
          <w:i w:val="0"/>
          <w:lang w:val="es-CR"/>
        </w:rPr>
        <w:t xml:space="preserve"> </w:t>
      </w:r>
      <w:proofErr w:type="spellStart"/>
      <w:r w:rsidR="00155670" w:rsidRPr="006D056E">
        <w:rPr>
          <w:rFonts w:cs="Arial"/>
          <w:i w:val="0"/>
          <w:lang w:val="es-CR"/>
        </w:rPr>
        <w:t>Olibia</w:t>
      </w:r>
      <w:proofErr w:type="spellEnd"/>
      <w:r w:rsidR="00155670" w:rsidRPr="006D056E">
        <w:rPr>
          <w:rFonts w:cs="Arial"/>
          <w:i w:val="0"/>
          <w:lang w:val="es-CR"/>
        </w:rPr>
        <w:t xml:space="preserve"> García </w:t>
      </w:r>
      <w:proofErr w:type="spellStart"/>
      <w:r w:rsidR="00155670" w:rsidRPr="006D056E">
        <w:rPr>
          <w:rFonts w:cs="Arial"/>
          <w:i w:val="0"/>
          <w:lang w:val="es-CR"/>
        </w:rPr>
        <w:t>Castañon</w:t>
      </w:r>
      <w:proofErr w:type="spellEnd"/>
      <w:r w:rsidR="00155670" w:rsidRPr="006D056E">
        <w:rPr>
          <w:rFonts w:cs="Arial"/>
          <w:i w:val="0"/>
          <w:lang w:val="es-CR"/>
        </w:rPr>
        <w:t xml:space="preserve">, Santos </w:t>
      </w:r>
      <w:proofErr w:type="spellStart"/>
      <w:r w:rsidR="00155670" w:rsidRPr="006D056E">
        <w:rPr>
          <w:rFonts w:cs="Arial"/>
          <w:i w:val="0"/>
          <w:lang w:val="es-CR"/>
        </w:rPr>
        <w:t>Isacar</w:t>
      </w:r>
      <w:proofErr w:type="spellEnd"/>
      <w:r w:rsidR="00155670" w:rsidRPr="006D056E">
        <w:rPr>
          <w:rFonts w:cs="Arial"/>
          <w:i w:val="0"/>
          <w:lang w:val="es-CR"/>
        </w:rPr>
        <w:t xml:space="preserve"> Vásquez Barrios, </w:t>
      </w:r>
      <w:proofErr w:type="spellStart"/>
      <w:r w:rsidR="00155670" w:rsidRPr="006D056E">
        <w:rPr>
          <w:rFonts w:cs="Arial"/>
          <w:i w:val="0"/>
          <w:lang w:val="es-CR"/>
        </w:rPr>
        <w:t>Mardo</w:t>
      </w:r>
      <w:proofErr w:type="spellEnd"/>
      <w:r w:rsidR="00155670" w:rsidRPr="006D056E">
        <w:rPr>
          <w:rFonts w:cs="Arial"/>
          <w:i w:val="0"/>
          <w:lang w:val="es-CR"/>
        </w:rPr>
        <w:t xml:space="preserve"> Luis Hernández</w:t>
      </w:r>
      <w:r w:rsidR="003C46A3" w:rsidRPr="006D056E">
        <w:rPr>
          <w:rFonts w:cs="Arial"/>
          <w:i w:val="0"/>
          <w:lang w:val="es-CR"/>
        </w:rPr>
        <w:t xml:space="preserve"> and </w:t>
      </w:r>
      <w:r w:rsidR="00155670" w:rsidRPr="006D056E">
        <w:rPr>
          <w:rFonts w:cs="Arial"/>
          <w:i w:val="0"/>
          <w:lang w:val="es-CR"/>
        </w:rPr>
        <w:t xml:space="preserve">Hernández, Luis Armando Linares Ruano, Marta Alicia Maldonado Paz, Dora Marina Martínez </w:t>
      </w:r>
      <w:proofErr w:type="spellStart"/>
      <w:r w:rsidR="00155670" w:rsidRPr="006D056E">
        <w:rPr>
          <w:rFonts w:cs="Arial"/>
          <w:i w:val="0"/>
          <w:lang w:val="es-CR"/>
        </w:rPr>
        <w:t>Sofoifa</w:t>
      </w:r>
      <w:proofErr w:type="spellEnd"/>
      <w:r w:rsidR="00155670" w:rsidRPr="006D056E">
        <w:rPr>
          <w:rFonts w:cs="Arial"/>
          <w:i w:val="0"/>
          <w:lang w:val="es-CR"/>
        </w:rPr>
        <w:t>, Pascuala de Jesús Mérida Rodríguez, Darine</w:t>
      </w:r>
      <w:r w:rsidR="007E6FEA" w:rsidRPr="006D056E">
        <w:rPr>
          <w:rFonts w:cs="Arial"/>
          <w:i w:val="0"/>
          <w:lang w:val="es-CR"/>
        </w:rPr>
        <w:t xml:space="preserve">l López Montes de Oca, Israel </w:t>
      </w:r>
      <w:proofErr w:type="spellStart"/>
      <w:r w:rsidR="007E6FEA" w:rsidRPr="006D056E">
        <w:rPr>
          <w:rFonts w:cs="Arial"/>
          <w:i w:val="0"/>
          <w:lang w:val="es-CR"/>
        </w:rPr>
        <w:t>Pe</w:t>
      </w:r>
      <w:r w:rsidR="00155670" w:rsidRPr="006D056E">
        <w:rPr>
          <w:rFonts w:cs="Arial"/>
          <w:i w:val="0"/>
          <w:lang w:val="es-CR"/>
        </w:rPr>
        <w:t>rez</w:t>
      </w:r>
      <w:proofErr w:type="spellEnd"/>
      <w:r w:rsidR="00155670" w:rsidRPr="006D056E">
        <w:rPr>
          <w:rFonts w:cs="Arial"/>
          <w:i w:val="0"/>
          <w:lang w:val="es-CR"/>
        </w:rPr>
        <w:t xml:space="preserve"> Charal, Corina </w:t>
      </w:r>
      <w:proofErr w:type="spellStart"/>
      <w:r w:rsidR="00155670" w:rsidRPr="006D056E">
        <w:rPr>
          <w:rFonts w:cs="Arial"/>
          <w:i w:val="0"/>
          <w:lang w:val="es-CR"/>
        </w:rPr>
        <w:t>Dianeth</w:t>
      </w:r>
      <w:proofErr w:type="spellEnd"/>
      <w:r w:rsidR="00155670" w:rsidRPr="006D056E">
        <w:rPr>
          <w:rFonts w:cs="Arial"/>
          <w:i w:val="0"/>
          <w:lang w:val="es-CR"/>
        </w:rPr>
        <w:t xml:space="preserve"> Robledo Alvarado, </w:t>
      </w:r>
      <w:proofErr w:type="spellStart"/>
      <w:r w:rsidR="00155670" w:rsidRPr="006D056E">
        <w:rPr>
          <w:rFonts w:cs="Arial"/>
          <w:i w:val="0"/>
          <w:lang w:val="es-CR"/>
        </w:rPr>
        <w:t>Audencio</w:t>
      </w:r>
      <w:proofErr w:type="spellEnd"/>
      <w:r w:rsidR="00155670" w:rsidRPr="006D056E">
        <w:rPr>
          <w:rFonts w:cs="Arial"/>
          <w:i w:val="0"/>
          <w:lang w:val="es-CR"/>
        </w:rPr>
        <w:t xml:space="preserve"> Rodas R</w:t>
      </w:r>
      <w:r w:rsidR="007E6FEA" w:rsidRPr="006D056E">
        <w:rPr>
          <w:rFonts w:cs="Arial"/>
          <w:i w:val="0"/>
          <w:lang w:val="es-CR"/>
        </w:rPr>
        <w:t>odríguez, Zoila Marina Pérez Ruí</w:t>
      </w:r>
      <w:r w:rsidR="00155670" w:rsidRPr="006D056E">
        <w:rPr>
          <w:rFonts w:cs="Arial"/>
          <w:i w:val="0"/>
          <w:lang w:val="es-CR"/>
        </w:rPr>
        <w:t xml:space="preserve">z, Santiago Francisco </w:t>
      </w:r>
      <w:proofErr w:type="spellStart"/>
      <w:r w:rsidR="00155670" w:rsidRPr="006D056E">
        <w:rPr>
          <w:rFonts w:cs="Arial"/>
          <w:i w:val="0"/>
          <w:lang w:val="es-CR"/>
        </w:rPr>
        <w:t>Valdéz</w:t>
      </w:r>
      <w:proofErr w:type="spellEnd"/>
      <w:r w:rsidR="00155670" w:rsidRPr="006D056E">
        <w:rPr>
          <w:rFonts w:cs="Arial"/>
          <w:i w:val="0"/>
          <w:lang w:val="es-CR"/>
        </w:rPr>
        <w:t xml:space="preserve"> Aguilar, Teresa Magdalena Ramírez Castro, Karen Judith Samayoa Vásquez, Francisco </w:t>
      </w:r>
      <w:proofErr w:type="spellStart"/>
      <w:r w:rsidR="00155670" w:rsidRPr="006D056E">
        <w:rPr>
          <w:rFonts w:cs="Arial"/>
          <w:i w:val="0"/>
          <w:lang w:val="es-CR"/>
        </w:rPr>
        <w:t>Sop</w:t>
      </w:r>
      <w:proofErr w:type="spellEnd"/>
      <w:r w:rsidR="00155670" w:rsidRPr="006D056E">
        <w:rPr>
          <w:rFonts w:cs="Arial"/>
          <w:i w:val="0"/>
          <w:lang w:val="es-CR"/>
        </w:rPr>
        <w:t xml:space="preserve"> </w:t>
      </w:r>
      <w:proofErr w:type="spellStart"/>
      <w:r w:rsidR="00155670" w:rsidRPr="006D056E">
        <w:rPr>
          <w:rFonts w:cs="Arial"/>
          <w:i w:val="0"/>
          <w:lang w:val="es-CR"/>
        </w:rPr>
        <w:t>Quiej</w:t>
      </w:r>
      <w:proofErr w:type="spellEnd"/>
      <w:r w:rsidR="00155670" w:rsidRPr="006D056E">
        <w:rPr>
          <w:rFonts w:cs="Arial"/>
          <w:i w:val="0"/>
          <w:lang w:val="es-CR"/>
        </w:rPr>
        <w:t>,</w:t>
      </w:r>
      <w:r w:rsidR="007E6FEA" w:rsidRPr="006D056E">
        <w:rPr>
          <w:rFonts w:cs="Arial"/>
          <w:i w:val="0"/>
          <w:lang w:val="es-CR"/>
        </w:rPr>
        <w:t xml:space="preserve"> </w:t>
      </w:r>
      <w:r w:rsidR="00155670" w:rsidRPr="006D056E">
        <w:rPr>
          <w:rFonts w:cs="Arial"/>
          <w:i w:val="0"/>
          <w:lang w:val="es-CR"/>
        </w:rPr>
        <w:t xml:space="preserve">Jorge Armando Tavares Barreno, Miguel Lucas </w:t>
      </w:r>
      <w:proofErr w:type="spellStart"/>
      <w:r w:rsidR="00155670" w:rsidRPr="006D056E">
        <w:rPr>
          <w:rFonts w:cs="Arial"/>
          <w:i w:val="0"/>
          <w:lang w:val="es-CR"/>
        </w:rPr>
        <w:t>Vaíl</w:t>
      </w:r>
      <w:proofErr w:type="spellEnd"/>
      <w:r w:rsidR="00155670" w:rsidRPr="006D056E">
        <w:rPr>
          <w:rFonts w:cs="Arial"/>
          <w:i w:val="0"/>
          <w:lang w:val="es-CR"/>
        </w:rPr>
        <w:t>, Santos Vásquez Oliv</w:t>
      </w:r>
      <w:r w:rsidR="007E6FEA" w:rsidRPr="006D056E">
        <w:rPr>
          <w:rFonts w:cs="Arial"/>
          <w:i w:val="0"/>
          <w:lang w:val="es-CR"/>
        </w:rPr>
        <w:t xml:space="preserve">eros, Iris Carolina Vicente </w:t>
      </w:r>
      <w:proofErr w:type="spellStart"/>
      <w:r w:rsidR="007E6FEA" w:rsidRPr="006D056E">
        <w:rPr>
          <w:rFonts w:cs="Arial"/>
          <w:i w:val="0"/>
          <w:lang w:val="es-CR"/>
        </w:rPr>
        <w:t>Bau</w:t>
      </w:r>
      <w:r w:rsidR="00155670" w:rsidRPr="006D056E">
        <w:rPr>
          <w:rFonts w:cs="Arial"/>
          <w:i w:val="0"/>
          <w:lang w:val="es-CR"/>
        </w:rPr>
        <w:t>llas</w:t>
      </w:r>
      <w:proofErr w:type="spellEnd"/>
      <w:r w:rsidR="003C46A3" w:rsidRPr="006D056E">
        <w:rPr>
          <w:rFonts w:cs="Arial"/>
          <w:i w:val="0"/>
          <w:lang w:val="es-CR"/>
        </w:rPr>
        <w:t xml:space="preserve"> and </w:t>
      </w:r>
      <w:r w:rsidR="00155670" w:rsidRPr="006D056E">
        <w:rPr>
          <w:rFonts w:cs="Arial"/>
          <w:i w:val="0"/>
          <w:lang w:val="es-CR"/>
        </w:rPr>
        <w:t>Sandra Lisbeth Zepeda Herrera</w:t>
      </w:r>
      <w:r w:rsidR="00155670" w:rsidRPr="006D056E">
        <w:rPr>
          <w:rFonts w:cs="Arial"/>
          <w:lang w:val="es-CR"/>
        </w:rPr>
        <w:t>.</w:t>
      </w:r>
      <w:r w:rsidR="00DF28F8" w:rsidRPr="006D056E">
        <w:rPr>
          <w:rFonts w:eastAsia="Times" w:cs="Arial"/>
          <w:i w:val="0"/>
          <w:szCs w:val="20"/>
          <w:lang w:val="es-CR"/>
        </w:rPr>
        <w:t xml:space="preserve"> </w:t>
      </w:r>
      <w:r w:rsidRPr="009F337B">
        <w:rPr>
          <w:rFonts w:eastAsia="Times" w:cs="Arial"/>
          <w:i w:val="0"/>
          <w:szCs w:val="20"/>
          <w:lang w:val="en-US"/>
        </w:rPr>
        <w:t xml:space="preserve">Therefore, the State is responsible for the violation of the obligation to ensure the right to health in accordance with </w:t>
      </w:r>
      <w:r w:rsidR="00AE5F9E" w:rsidRPr="009F337B">
        <w:rPr>
          <w:rFonts w:eastAsia="Times" w:cs="Arial"/>
          <w:i w:val="0"/>
          <w:szCs w:val="20"/>
          <w:lang w:val="en-US"/>
        </w:rPr>
        <w:t>Article</w:t>
      </w:r>
      <w:r w:rsidR="00661AFA" w:rsidRPr="009F337B">
        <w:rPr>
          <w:rFonts w:eastAsia="Times" w:cs="Arial"/>
          <w:i w:val="0"/>
          <w:szCs w:val="20"/>
          <w:lang w:val="en-US"/>
        </w:rPr>
        <w:t xml:space="preserve"> 26</w:t>
      </w:r>
      <w:r w:rsidR="00AE5F9E" w:rsidRPr="009F337B">
        <w:rPr>
          <w:rFonts w:eastAsia="Times" w:cs="Arial"/>
          <w:i w:val="0"/>
          <w:szCs w:val="20"/>
          <w:lang w:val="en-US"/>
        </w:rPr>
        <w:t xml:space="preserve"> of the American Convention</w:t>
      </w:r>
      <w:r w:rsidR="00661AFA" w:rsidRPr="009F337B">
        <w:rPr>
          <w:rFonts w:eastAsia="Times" w:cs="Arial"/>
          <w:i w:val="0"/>
          <w:szCs w:val="20"/>
          <w:lang w:val="en-US"/>
        </w:rPr>
        <w:t xml:space="preserve">, </w:t>
      </w:r>
      <w:r w:rsidR="000E73AE" w:rsidRPr="009F337B">
        <w:rPr>
          <w:rFonts w:eastAsia="Times" w:cs="Arial"/>
          <w:i w:val="0"/>
          <w:szCs w:val="20"/>
          <w:lang w:val="en-US"/>
        </w:rPr>
        <w:t>in relation to</w:t>
      </w:r>
      <w:r w:rsidR="00661AFA" w:rsidRPr="009F337B">
        <w:rPr>
          <w:rFonts w:eastAsia="Times" w:cs="Arial"/>
          <w:i w:val="0"/>
          <w:szCs w:val="20"/>
          <w:lang w:val="en-US"/>
        </w:rPr>
        <w:t xml:space="preserve"> </w:t>
      </w:r>
      <w:r w:rsidR="00AE5F9E" w:rsidRPr="009F337B">
        <w:rPr>
          <w:rFonts w:eastAsia="Times" w:cs="Arial"/>
          <w:i w:val="0"/>
          <w:szCs w:val="20"/>
          <w:lang w:val="en-US"/>
        </w:rPr>
        <w:t>Article</w:t>
      </w:r>
      <w:r w:rsidR="003C46A3" w:rsidRPr="009F337B">
        <w:rPr>
          <w:rFonts w:eastAsia="Times" w:cs="Arial"/>
          <w:i w:val="0"/>
          <w:szCs w:val="20"/>
          <w:lang w:val="en-US"/>
        </w:rPr>
        <w:t xml:space="preserve"> 1(1)</w:t>
      </w:r>
      <w:r w:rsidR="00661AFA" w:rsidRPr="009F337B">
        <w:rPr>
          <w:rFonts w:eastAsia="Times" w:cs="Arial"/>
          <w:i w:val="0"/>
          <w:szCs w:val="20"/>
          <w:lang w:val="en-US"/>
        </w:rPr>
        <w:t xml:space="preserve"> </w:t>
      </w:r>
      <w:r w:rsidRPr="009F337B">
        <w:rPr>
          <w:rFonts w:eastAsia="Times" w:cs="Arial"/>
          <w:i w:val="0"/>
          <w:szCs w:val="20"/>
          <w:lang w:val="en-US"/>
        </w:rPr>
        <w:t>of this instrument</w:t>
      </w:r>
      <w:r w:rsidR="00661AFA" w:rsidRPr="009F337B">
        <w:rPr>
          <w:rFonts w:eastAsia="Times" w:cs="Arial"/>
          <w:i w:val="0"/>
          <w:szCs w:val="20"/>
          <w:lang w:val="en-US"/>
        </w:rPr>
        <w:t>.</w:t>
      </w:r>
    </w:p>
    <w:p w14:paraId="6548BFBB" w14:textId="77777777" w:rsidR="00E92CA8" w:rsidRPr="009F337B" w:rsidRDefault="00E92CA8" w:rsidP="00E92CA8">
      <w:pPr>
        <w:pStyle w:val="Estilo1"/>
        <w:tabs>
          <w:tab w:val="left" w:pos="709"/>
          <w:tab w:val="left" w:pos="1134"/>
        </w:tabs>
        <w:spacing w:after="0"/>
        <w:ind w:left="0" w:right="-4" w:firstLine="0"/>
        <w:rPr>
          <w:rFonts w:eastAsia="Times" w:cs="Arial"/>
          <w:i w:val="0"/>
          <w:szCs w:val="20"/>
          <w:lang w:val="en-US"/>
        </w:rPr>
      </w:pPr>
    </w:p>
    <w:p w14:paraId="3A490EEC" w14:textId="7EC983DE" w:rsidR="00F46845" w:rsidRPr="009F337B" w:rsidRDefault="00AC0BEF" w:rsidP="00AC0BEF">
      <w:pPr>
        <w:pStyle w:val="Estilo1"/>
        <w:tabs>
          <w:tab w:val="left" w:pos="709"/>
          <w:tab w:val="left" w:pos="1134"/>
        </w:tabs>
        <w:spacing w:after="0"/>
        <w:ind w:left="0" w:right="-4" w:firstLine="0"/>
        <w:rPr>
          <w:rFonts w:eastAsia="Times" w:cs="Arial"/>
          <w:b/>
          <w:szCs w:val="20"/>
          <w:lang w:val="en-US"/>
        </w:rPr>
      </w:pPr>
      <w:r w:rsidRPr="009F337B">
        <w:rPr>
          <w:rFonts w:eastAsia="Times" w:cs="Arial"/>
          <w:b/>
          <w:szCs w:val="20"/>
          <w:lang w:val="en-US"/>
        </w:rPr>
        <w:tab/>
      </w:r>
      <w:r w:rsidRPr="009F337B">
        <w:rPr>
          <w:rFonts w:eastAsia="Times" w:cs="Arial"/>
          <w:b/>
          <w:szCs w:val="20"/>
          <w:lang w:val="en-US"/>
        </w:rPr>
        <w:tab/>
      </w:r>
      <w:r w:rsidRPr="009F337B">
        <w:rPr>
          <w:rFonts w:eastAsia="Times" w:cs="Arial"/>
          <w:b/>
          <w:szCs w:val="20"/>
          <w:lang w:val="en-US"/>
        </w:rPr>
        <w:tab/>
      </w:r>
      <w:r w:rsidR="00EE1E0E" w:rsidRPr="009F337B">
        <w:rPr>
          <w:rFonts w:eastAsia="Times" w:cs="Arial"/>
          <w:b/>
          <w:szCs w:val="20"/>
          <w:lang w:val="en-US"/>
        </w:rPr>
        <w:t>B.4.3</w:t>
      </w:r>
      <w:r w:rsidR="00F46845" w:rsidRPr="009F337B">
        <w:rPr>
          <w:rFonts w:eastAsia="Times" w:cs="Arial"/>
          <w:b/>
          <w:szCs w:val="20"/>
          <w:lang w:val="en-US"/>
        </w:rPr>
        <w:t>. An</w:t>
      </w:r>
      <w:r w:rsidR="00B85062" w:rsidRPr="009F337B">
        <w:rPr>
          <w:rFonts w:eastAsia="Times" w:cs="Arial"/>
          <w:b/>
          <w:szCs w:val="20"/>
          <w:lang w:val="en-US"/>
        </w:rPr>
        <w:t>alysis of the scope of the discrimination that occurred in this case</w:t>
      </w:r>
    </w:p>
    <w:p w14:paraId="21186310" w14:textId="77777777" w:rsidR="00E92CA8" w:rsidRPr="009F337B" w:rsidRDefault="00E92CA8" w:rsidP="00E92CA8">
      <w:pPr>
        <w:widowControl w:val="0"/>
        <w:autoSpaceDE w:val="0"/>
        <w:autoSpaceDN w:val="0"/>
        <w:adjustRightInd w:val="0"/>
        <w:textAlignment w:val="baseline"/>
        <w:rPr>
          <w:rFonts w:eastAsia="Verdana"/>
          <w:bCs/>
          <w:szCs w:val="20"/>
          <w:lang w:val="en-US" w:eastAsia="x-none"/>
        </w:rPr>
      </w:pPr>
    </w:p>
    <w:p w14:paraId="486EB2FB" w14:textId="3DF3CC28" w:rsidR="00F46845" w:rsidRPr="009F337B" w:rsidRDefault="007327F5" w:rsidP="00593E37">
      <w:pPr>
        <w:pStyle w:val="Estilo1"/>
        <w:numPr>
          <w:ilvl w:val="0"/>
          <w:numId w:val="1"/>
        </w:numPr>
        <w:tabs>
          <w:tab w:val="left" w:pos="709"/>
          <w:tab w:val="left" w:pos="1134"/>
        </w:tabs>
        <w:spacing w:after="0"/>
        <w:ind w:left="0" w:right="-4" w:firstLine="0"/>
        <w:rPr>
          <w:rFonts w:eastAsia="Times" w:cs="Arial"/>
          <w:i w:val="0"/>
          <w:szCs w:val="20"/>
          <w:lang w:val="en-US"/>
        </w:rPr>
      </w:pPr>
      <w:r w:rsidRPr="009F337B">
        <w:rPr>
          <w:rFonts w:eastAsia="Times" w:cs="Arial"/>
          <w:i w:val="0"/>
          <w:szCs w:val="20"/>
          <w:lang w:val="en-US"/>
        </w:rPr>
        <w:t>The representatives</w:t>
      </w:r>
      <w:r w:rsidR="00F46845" w:rsidRPr="009F337B">
        <w:rPr>
          <w:rFonts w:eastAsia="Times" w:cs="Arial"/>
          <w:i w:val="0"/>
          <w:szCs w:val="20"/>
          <w:lang w:val="en-US"/>
        </w:rPr>
        <w:t xml:space="preserve"> </w:t>
      </w:r>
      <w:r w:rsidR="00BC3BB7" w:rsidRPr="009F337B">
        <w:rPr>
          <w:rFonts w:eastAsia="Times" w:cs="Arial"/>
          <w:i w:val="0"/>
          <w:szCs w:val="20"/>
          <w:lang w:val="en-US"/>
        </w:rPr>
        <w:t>argued that</w:t>
      </w:r>
      <w:r w:rsidR="00F46845" w:rsidRPr="009F337B">
        <w:rPr>
          <w:rFonts w:eastAsia="Times" w:cs="Arial"/>
          <w:i w:val="0"/>
          <w:szCs w:val="20"/>
          <w:lang w:val="en-US"/>
        </w:rPr>
        <w:t xml:space="preserve"> </w:t>
      </w:r>
      <w:r w:rsidR="003C46A3" w:rsidRPr="009F337B">
        <w:rPr>
          <w:rFonts w:eastAsia="Times" w:cs="Arial"/>
          <w:i w:val="0"/>
          <w:szCs w:val="20"/>
          <w:lang w:val="en-US"/>
        </w:rPr>
        <w:t>the State</w:t>
      </w:r>
      <w:r w:rsidR="00F46845" w:rsidRPr="009F337B">
        <w:rPr>
          <w:rFonts w:eastAsia="Times" w:cs="Arial"/>
          <w:i w:val="0"/>
          <w:szCs w:val="20"/>
          <w:lang w:val="en-US"/>
        </w:rPr>
        <w:t xml:space="preserve"> </w:t>
      </w:r>
      <w:r w:rsidR="00BC3BB7" w:rsidRPr="009F337B">
        <w:rPr>
          <w:rFonts w:eastAsia="Times" w:cs="Arial"/>
          <w:i w:val="0"/>
          <w:szCs w:val="20"/>
          <w:lang w:val="en-US"/>
        </w:rPr>
        <w:t>had discriminated against</w:t>
      </w:r>
      <w:r w:rsidR="00F46845" w:rsidRPr="009F337B">
        <w:rPr>
          <w:rFonts w:eastAsia="Times" w:cs="Arial"/>
          <w:i w:val="0"/>
          <w:szCs w:val="20"/>
          <w:lang w:val="en-US"/>
        </w:rPr>
        <w:t xml:space="preserve"> </w:t>
      </w:r>
      <w:r w:rsidR="00A00EE5" w:rsidRPr="009F337B">
        <w:rPr>
          <w:rFonts w:eastAsia="Times" w:cs="Arial"/>
          <w:i w:val="0"/>
          <w:szCs w:val="20"/>
          <w:lang w:val="en-US"/>
        </w:rPr>
        <w:t>the presumed</w:t>
      </w:r>
      <w:r w:rsidR="003C46A3" w:rsidRPr="009F337B">
        <w:rPr>
          <w:rFonts w:eastAsia="Times" w:cs="Arial"/>
          <w:i w:val="0"/>
          <w:szCs w:val="20"/>
          <w:lang w:val="en-US"/>
        </w:rPr>
        <w:t xml:space="preserve"> victims</w:t>
      </w:r>
      <w:r w:rsidR="00F46845" w:rsidRPr="009F337B">
        <w:rPr>
          <w:rFonts w:eastAsia="Times" w:cs="Arial"/>
          <w:i w:val="0"/>
          <w:szCs w:val="20"/>
          <w:lang w:val="en-US"/>
        </w:rPr>
        <w:t xml:space="preserve"> </w:t>
      </w:r>
      <w:r w:rsidR="00BC3BB7" w:rsidRPr="009F337B">
        <w:rPr>
          <w:rFonts w:eastAsia="Times" w:cs="Arial"/>
          <w:i w:val="0"/>
          <w:szCs w:val="20"/>
          <w:lang w:val="en-US"/>
        </w:rPr>
        <w:t xml:space="preserve">in this case by failing to ensure them comprehensive, accessible, acceptable and good quality care, taking into account the diverse situations of vulnerability they faced. They </w:t>
      </w:r>
      <w:r w:rsidR="00BC3BB7" w:rsidRPr="009F337B">
        <w:rPr>
          <w:rFonts w:eastAsia="Times" w:cs="Arial"/>
          <w:i w:val="0"/>
          <w:szCs w:val="20"/>
          <w:lang w:val="en-US"/>
        </w:rPr>
        <w:lastRenderedPageBreak/>
        <w:t xml:space="preserve">also argued that the State had failed to adopt measures to provide comprehensive care to the presumed victims that took into account the different </w:t>
      </w:r>
      <w:r w:rsidR="003154F2" w:rsidRPr="009F337B">
        <w:rPr>
          <w:rFonts w:eastAsia="Times" w:cs="Arial"/>
          <w:i w:val="0"/>
          <w:szCs w:val="20"/>
          <w:lang w:val="en-US"/>
        </w:rPr>
        <w:t xml:space="preserve">factors of </w:t>
      </w:r>
      <w:r w:rsidR="00BC3BB7" w:rsidRPr="009F337B">
        <w:rPr>
          <w:rFonts w:eastAsia="Times" w:cs="Arial"/>
          <w:i w:val="0"/>
          <w:szCs w:val="20"/>
          <w:lang w:val="en-US"/>
        </w:rPr>
        <w:t xml:space="preserve">vulnerability that </w:t>
      </w:r>
      <w:r w:rsidR="003154F2" w:rsidRPr="009F337B">
        <w:rPr>
          <w:rFonts w:eastAsia="Times" w:cs="Arial"/>
          <w:i w:val="0"/>
          <w:szCs w:val="20"/>
          <w:lang w:val="en-US"/>
        </w:rPr>
        <w:t>coalesced</w:t>
      </w:r>
      <w:r w:rsidR="00BC3BB7" w:rsidRPr="009F337B">
        <w:rPr>
          <w:rFonts w:eastAsia="Times" w:cs="Arial"/>
          <w:i w:val="0"/>
          <w:szCs w:val="20"/>
          <w:lang w:val="en-US"/>
        </w:rPr>
        <w:t xml:space="preserve"> and resulted in a specific form of discrimination owing to the</w:t>
      </w:r>
      <w:r w:rsidR="003154F2" w:rsidRPr="009F337B">
        <w:rPr>
          <w:rFonts w:eastAsia="Times" w:cs="Arial"/>
          <w:i w:val="0"/>
          <w:szCs w:val="20"/>
          <w:lang w:val="en-US"/>
        </w:rPr>
        <w:t>ir</w:t>
      </w:r>
      <w:r w:rsidR="00BC3BB7" w:rsidRPr="009F337B">
        <w:rPr>
          <w:rFonts w:eastAsia="Times" w:cs="Arial"/>
          <w:i w:val="0"/>
          <w:szCs w:val="20"/>
          <w:lang w:val="en-US"/>
        </w:rPr>
        <w:t xml:space="preserve"> intersection. Consequently, the Court will analyze whether discrimination existed in this case. </w:t>
      </w:r>
      <w:r w:rsidR="003154F2" w:rsidRPr="009F337B">
        <w:rPr>
          <w:rFonts w:eastAsia="Times" w:cs="Arial"/>
          <w:i w:val="0"/>
          <w:szCs w:val="20"/>
          <w:lang w:val="en-US"/>
        </w:rPr>
        <w:t>Also</w:t>
      </w:r>
      <w:r w:rsidR="00BC3BB7" w:rsidRPr="009F337B">
        <w:rPr>
          <w:rFonts w:eastAsia="Times" w:cs="Arial"/>
          <w:i w:val="0"/>
          <w:szCs w:val="20"/>
          <w:lang w:val="en-US"/>
        </w:rPr>
        <w:t>, bearing in mind that, in this case, it has been alleged that several individuals were victims of discrimination for similar reasons, the Court will analyze each reason for which they were discriminated against separately</w:t>
      </w:r>
      <w:r w:rsidR="003154F2" w:rsidRPr="009F337B">
        <w:rPr>
          <w:rFonts w:eastAsia="Times" w:cs="Arial"/>
          <w:i w:val="0"/>
          <w:szCs w:val="20"/>
          <w:lang w:val="en-US"/>
        </w:rPr>
        <w:t>,</w:t>
      </w:r>
      <w:r w:rsidR="00BC3BB7" w:rsidRPr="009F337B">
        <w:rPr>
          <w:rFonts w:eastAsia="Times" w:cs="Arial"/>
          <w:i w:val="0"/>
          <w:szCs w:val="20"/>
          <w:lang w:val="en-US"/>
        </w:rPr>
        <w:t xml:space="preserve"> as </w:t>
      </w:r>
      <w:r w:rsidR="003154F2" w:rsidRPr="009F337B">
        <w:rPr>
          <w:rFonts w:eastAsia="Times" w:cs="Arial"/>
          <w:i w:val="0"/>
          <w:szCs w:val="20"/>
          <w:lang w:val="en-US"/>
        </w:rPr>
        <w:t>appropriate</w:t>
      </w:r>
      <w:r w:rsidR="00BC3BB7" w:rsidRPr="009F337B">
        <w:rPr>
          <w:rFonts w:eastAsia="Times" w:cs="Arial"/>
          <w:i w:val="0"/>
          <w:szCs w:val="20"/>
          <w:lang w:val="en-US"/>
        </w:rPr>
        <w:t xml:space="preserve">. This is </w:t>
      </w:r>
      <w:r w:rsidR="003154F2" w:rsidRPr="009F337B">
        <w:rPr>
          <w:rFonts w:eastAsia="Times" w:cs="Arial"/>
          <w:i w:val="0"/>
          <w:szCs w:val="20"/>
          <w:lang w:val="en-US"/>
        </w:rPr>
        <w:t>notwithstanding</w:t>
      </w:r>
      <w:r w:rsidR="00BC3BB7" w:rsidRPr="009F337B">
        <w:rPr>
          <w:rFonts w:eastAsia="Times" w:cs="Arial"/>
          <w:i w:val="0"/>
          <w:szCs w:val="20"/>
          <w:lang w:val="en-US"/>
        </w:rPr>
        <w:t xml:space="preserve"> the fact that the Court understands that the combination of factors of discrimination in an intersectional manner resulted in a discriminatory experience that differ</w:t>
      </w:r>
      <w:r w:rsidR="003154F2" w:rsidRPr="009F337B">
        <w:rPr>
          <w:rFonts w:eastAsia="Times" w:cs="Arial"/>
          <w:i w:val="0"/>
          <w:szCs w:val="20"/>
          <w:lang w:val="en-US"/>
        </w:rPr>
        <w:t>s</w:t>
      </w:r>
      <w:r w:rsidR="00BC3BB7" w:rsidRPr="009F337B">
        <w:rPr>
          <w:rFonts w:eastAsia="Times" w:cs="Arial"/>
          <w:i w:val="0"/>
          <w:szCs w:val="20"/>
          <w:lang w:val="en-US"/>
        </w:rPr>
        <w:t xml:space="preserve"> from the simple accumulation of different </w:t>
      </w:r>
      <w:r w:rsidR="003154F2" w:rsidRPr="009F337B">
        <w:rPr>
          <w:rFonts w:eastAsia="Times" w:cs="Arial"/>
          <w:i w:val="0"/>
          <w:szCs w:val="20"/>
          <w:lang w:val="en-US"/>
        </w:rPr>
        <w:t>reasons for the</w:t>
      </w:r>
      <w:r w:rsidR="00BC3BB7" w:rsidRPr="009F337B">
        <w:rPr>
          <w:rFonts w:eastAsia="Times" w:cs="Arial"/>
          <w:i w:val="0"/>
          <w:szCs w:val="20"/>
          <w:lang w:val="en-US"/>
        </w:rPr>
        <w:t xml:space="preserve"> discrimination against a person.</w:t>
      </w:r>
      <w:r w:rsidR="007B3E9B" w:rsidRPr="009F337B">
        <w:rPr>
          <w:rStyle w:val="Refdenotaalpie"/>
          <w:i w:val="0"/>
          <w:lang w:val="en-US"/>
        </w:rPr>
        <w:footnoteReference w:id="146"/>
      </w:r>
    </w:p>
    <w:p w14:paraId="190F2CF2" w14:textId="77777777" w:rsidR="00E92CA8" w:rsidRPr="009F337B" w:rsidRDefault="00E92CA8" w:rsidP="00E92CA8">
      <w:pPr>
        <w:pStyle w:val="Estilo1"/>
        <w:tabs>
          <w:tab w:val="left" w:pos="709"/>
          <w:tab w:val="left" w:pos="1134"/>
        </w:tabs>
        <w:spacing w:after="0"/>
        <w:ind w:left="0" w:right="-4" w:firstLine="0"/>
        <w:rPr>
          <w:rFonts w:eastAsia="Times" w:cs="Arial"/>
          <w:i w:val="0"/>
          <w:szCs w:val="20"/>
          <w:lang w:val="en-US"/>
        </w:rPr>
      </w:pPr>
    </w:p>
    <w:p w14:paraId="2EFDC407" w14:textId="4DED7F88" w:rsidR="00683E2D" w:rsidRPr="009F337B" w:rsidRDefault="00BC3BB7" w:rsidP="00593E37">
      <w:pPr>
        <w:pStyle w:val="Estilo1"/>
        <w:numPr>
          <w:ilvl w:val="0"/>
          <w:numId w:val="1"/>
        </w:numPr>
        <w:tabs>
          <w:tab w:val="left" w:pos="709"/>
          <w:tab w:val="left" w:pos="1134"/>
        </w:tabs>
        <w:spacing w:after="0"/>
        <w:ind w:left="0" w:right="-4" w:firstLine="0"/>
        <w:rPr>
          <w:rFonts w:eastAsia="Calibri"/>
          <w:i w:val="0"/>
          <w:szCs w:val="20"/>
          <w:lang w:val="en-US"/>
        </w:rPr>
      </w:pPr>
      <w:r w:rsidRPr="009F337B">
        <w:rPr>
          <w:rFonts w:eastAsia="Calibri"/>
          <w:i w:val="0"/>
          <w:szCs w:val="20"/>
          <w:lang w:val="en-US"/>
        </w:rPr>
        <w:t>In this regard</w:t>
      </w:r>
      <w:r w:rsidR="00683E2D" w:rsidRPr="009F337B">
        <w:rPr>
          <w:rFonts w:eastAsia="Calibri"/>
          <w:i w:val="0"/>
          <w:szCs w:val="20"/>
          <w:lang w:val="en-US"/>
        </w:rPr>
        <w:t xml:space="preserve">, </w:t>
      </w:r>
      <w:r w:rsidR="00AE5F9E" w:rsidRPr="009F337B">
        <w:rPr>
          <w:rFonts w:eastAsia="Calibri"/>
          <w:i w:val="0"/>
          <w:szCs w:val="20"/>
          <w:lang w:val="en-US"/>
        </w:rPr>
        <w:t>the Court</w:t>
      </w:r>
      <w:r w:rsidR="00683E2D" w:rsidRPr="009F337B">
        <w:rPr>
          <w:rFonts w:eastAsia="Calibri"/>
          <w:i w:val="0"/>
          <w:szCs w:val="20"/>
          <w:lang w:val="en-US"/>
        </w:rPr>
        <w:t xml:space="preserve"> rec</w:t>
      </w:r>
      <w:r w:rsidRPr="009F337B">
        <w:rPr>
          <w:rFonts w:eastAsia="Calibri"/>
          <w:i w:val="0"/>
          <w:szCs w:val="20"/>
          <w:lang w:val="en-US"/>
        </w:rPr>
        <w:t>alls that, as a cross-cutting condition for the accessibility of its health services,</w:t>
      </w:r>
      <w:r w:rsidR="00683E2D" w:rsidRPr="009F337B">
        <w:rPr>
          <w:rStyle w:val="Refdenotaalpie"/>
          <w:rFonts w:eastAsia="Calibri"/>
          <w:i w:val="0"/>
          <w:lang w:val="en-US"/>
        </w:rPr>
        <w:footnoteReference w:id="147"/>
      </w:r>
      <w:r w:rsidR="00683E2D" w:rsidRPr="009F337B">
        <w:rPr>
          <w:rFonts w:eastAsia="Calibri"/>
          <w:i w:val="0"/>
          <w:szCs w:val="20"/>
          <w:lang w:val="en-US"/>
        </w:rPr>
        <w:t xml:space="preserve"> </w:t>
      </w:r>
      <w:r w:rsidR="003C46A3" w:rsidRPr="009F337B">
        <w:rPr>
          <w:rFonts w:eastAsia="Calibri"/>
          <w:i w:val="0"/>
          <w:szCs w:val="20"/>
          <w:lang w:val="en-US"/>
        </w:rPr>
        <w:t>the State</w:t>
      </w:r>
      <w:r w:rsidR="00683E2D" w:rsidRPr="009F337B">
        <w:rPr>
          <w:rFonts w:eastAsia="Calibri"/>
          <w:i w:val="0"/>
          <w:szCs w:val="20"/>
          <w:lang w:val="en-US"/>
        </w:rPr>
        <w:t xml:space="preserve"> </w:t>
      </w:r>
      <w:r w:rsidRPr="009F337B">
        <w:rPr>
          <w:rFonts w:eastAsia="Calibri"/>
          <w:i w:val="0"/>
          <w:szCs w:val="20"/>
          <w:lang w:val="en-US"/>
        </w:rPr>
        <w:t xml:space="preserve">is obliged to guarantee equal treatment to </w:t>
      </w:r>
      <w:r w:rsidR="00A40B02" w:rsidRPr="009F337B">
        <w:rPr>
          <w:rFonts w:eastAsia="Calibri"/>
          <w:i w:val="0"/>
          <w:szCs w:val="20"/>
          <w:lang w:val="en-US"/>
        </w:rPr>
        <w:t>all</w:t>
      </w:r>
      <w:r w:rsidRPr="009F337B">
        <w:rPr>
          <w:rFonts w:eastAsia="Calibri"/>
          <w:i w:val="0"/>
          <w:szCs w:val="20"/>
          <w:lang w:val="en-US"/>
        </w:rPr>
        <w:t xml:space="preserve">. Thus, pursuant to </w:t>
      </w:r>
      <w:r w:rsidR="00AE5F9E" w:rsidRPr="009F337B">
        <w:rPr>
          <w:rFonts w:eastAsia="Calibri"/>
          <w:i w:val="0"/>
          <w:szCs w:val="20"/>
          <w:lang w:val="en-US"/>
        </w:rPr>
        <w:t>Article</w:t>
      </w:r>
      <w:r w:rsidR="003C46A3" w:rsidRPr="009F337B">
        <w:rPr>
          <w:rFonts w:eastAsia="Calibri"/>
          <w:i w:val="0"/>
          <w:szCs w:val="20"/>
          <w:lang w:val="en-US"/>
        </w:rPr>
        <w:t xml:space="preserve"> 1(1)</w:t>
      </w:r>
      <w:r w:rsidR="00AE5F9E" w:rsidRPr="009F337B">
        <w:rPr>
          <w:rFonts w:eastAsia="Calibri"/>
          <w:i w:val="0"/>
          <w:szCs w:val="20"/>
          <w:lang w:val="en-US"/>
        </w:rPr>
        <w:t xml:space="preserve"> of the American Convention</w:t>
      </w:r>
      <w:r w:rsidRPr="009F337B">
        <w:rPr>
          <w:rFonts w:eastAsia="Calibri"/>
          <w:i w:val="0"/>
          <w:szCs w:val="20"/>
          <w:lang w:val="en-US"/>
        </w:rPr>
        <w:t>, discriminatory treatment is prohibited,</w:t>
      </w:r>
      <w:r w:rsidR="00683E2D" w:rsidRPr="009F337B">
        <w:rPr>
          <w:i w:val="0"/>
          <w:szCs w:val="20"/>
          <w:vertAlign w:val="superscript"/>
          <w:lang w:val="en-US"/>
        </w:rPr>
        <w:footnoteReference w:id="148"/>
      </w:r>
      <w:r w:rsidR="00683E2D" w:rsidRPr="009F337B">
        <w:rPr>
          <w:rFonts w:eastAsia="Calibri"/>
          <w:i w:val="0"/>
          <w:szCs w:val="20"/>
          <w:lang w:val="en-US"/>
        </w:rPr>
        <w:t xml:space="preserve"> “</w:t>
      </w:r>
      <w:r w:rsidRPr="009F337B">
        <w:rPr>
          <w:i w:val="0"/>
          <w:szCs w:val="20"/>
          <w:lang w:val="en-US"/>
        </w:rPr>
        <w:t>for reasons of race, color, sex, […] economic status, birth, or any other social condition</w:t>
      </w:r>
      <w:r w:rsidRPr="009F337B">
        <w:rPr>
          <w:rFonts w:eastAsia="Calibri"/>
          <w:i w:val="0"/>
          <w:szCs w:val="20"/>
          <w:lang w:val="en-US"/>
        </w:rPr>
        <w:t>.</w:t>
      </w:r>
      <w:r w:rsidR="00683E2D" w:rsidRPr="009F337B">
        <w:rPr>
          <w:rFonts w:eastAsia="Calibri"/>
          <w:i w:val="0"/>
          <w:szCs w:val="20"/>
          <w:lang w:val="en-US"/>
        </w:rPr>
        <w:t>”</w:t>
      </w:r>
      <w:r w:rsidR="00683E2D" w:rsidRPr="009F337B">
        <w:rPr>
          <w:rStyle w:val="Refdenotaalpie"/>
          <w:rFonts w:eastAsia="Calibri"/>
          <w:i w:val="0"/>
          <w:lang w:val="en-US"/>
        </w:rPr>
        <w:footnoteReference w:id="149"/>
      </w:r>
      <w:r w:rsidR="00683E2D" w:rsidRPr="009F337B">
        <w:rPr>
          <w:rFonts w:eastAsia="Calibri"/>
          <w:i w:val="0"/>
          <w:szCs w:val="20"/>
          <w:lang w:val="en-US"/>
        </w:rPr>
        <w:t xml:space="preserve"> </w:t>
      </w:r>
      <w:r w:rsidR="008C399E" w:rsidRPr="009F337B">
        <w:rPr>
          <w:rFonts w:eastAsia="Calibri"/>
          <w:i w:val="0"/>
          <w:szCs w:val="20"/>
          <w:lang w:val="en-US"/>
        </w:rPr>
        <w:t>The Court</w:t>
      </w:r>
      <w:r w:rsidR="00683E2D" w:rsidRPr="009F337B">
        <w:rPr>
          <w:rFonts w:eastAsia="Calibri"/>
          <w:i w:val="0"/>
          <w:szCs w:val="20"/>
          <w:lang w:val="en-US"/>
        </w:rPr>
        <w:t xml:space="preserve"> rec</w:t>
      </w:r>
      <w:r w:rsidRPr="009F337B">
        <w:rPr>
          <w:rFonts w:eastAsia="Calibri"/>
          <w:i w:val="0"/>
          <w:szCs w:val="20"/>
          <w:lang w:val="en-US"/>
        </w:rPr>
        <w:t xml:space="preserve">alls that </w:t>
      </w:r>
      <w:r w:rsidR="00A40B02" w:rsidRPr="009F337B">
        <w:rPr>
          <w:rFonts w:eastAsia="Calibri"/>
          <w:i w:val="0"/>
          <w:szCs w:val="20"/>
          <w:lang w:val="en-US"/>
        </w:rPr>
        <w:t xml:space="preserve">the </w:t>
      </w:r>
      <w:r w:rsidR="00310E7A">
        <w:rPr>
          <w:rFonts w:eastAsia="Calibri"/>
          <w:i w:val="0"/>
          <w:szCs w:val="20"/>
          <w:lang w:val="en-US"/>
        </w:rPr>
        <w:t xml:space="preserve">list of </w:t>
      </w:r>
      <w:r w:rsidR="00A40B02" w:rsidRPr="009F337B">
        <w:rPr>
          <w:rFonts w:eastAsia="Calibri"/>
          <w:i w:val="0"/>
          <w:szCs w:val="20"/>
          <w:lang w:val="en-US"/>
        </w:rPr>
        <w:t>elements by virtue of which discrimination is prohibited under</w:t>
      </w:r>
      <w:r w:rsidR="00683E2D" w:rsidRPr="009F337B">
        <w:rPr>
          <w:i w:val="0"/>
          <w:szCs w:val="20"/>
          <w:lang w:val="en-US"/>
        </w:rPr>
        <w:t xml:space="preserve"> </w:t>
      </w:r>
      <w:r w:rsidR="00AE5F9E" w:rsidRPr="009F337B">
        <w:rPr>
          <w:i w:val="0"/>
          <w:szCs w:val="20"/>
          <w:lang w:val="en-US"/>
        </w:rPr>
        <w:t>Article</w:t>
      </w:r>
      <w:r w:rsidR="003C46A3" w:rsidRPr="009F337B">
        <w:rPr>
          <w:i w:val="0"/>
          <w:szCs w:val="20"/>
          <w:lang w:val="en-US"/>
        </w:rPr>
        <w:t xml:space="preserve"> 1(1)</w:t>
      </w:r>
      <w:r w:rsidR="00AE5F9E" w:rsidRPr="009F337B">
        <w:rPr>
          <w:i w:val="0"/>
          <w:szCs w:val="20"/>
          <w:lang w:val="en-US"/>
        </w:rPr>
        <w:t xml:space="preserve"> of the American Convention</w:t>
      </w:r>
      <w:r w:rsidR="00A40B02" w:rsidRPr="009F337B">
        <w:rPr>
          <w:i w:val="0"/>
          <w:szCs w:val="20"/>
          <w:lang w:val="en-US"/>
        </w:rPr>
        <w:t xml:space="preserve"> </w:t>
      </w:r>
      <w:r w:rsidR="00310E7A">
        <w:rPr>
          <w:i w:val="0"/>
          <w:szCs w:val="20"/>
          <w:lang w:val="en-US"/>
        </w:rPr>
        <w:t>is neither</w:t>
      </w:r>
      <w:r w:rsidR="00A40B02" w:rsidRPr="009F337B">
        <w:rPr>
          <w:i w:val="0"/>
          <w:szCs w:val="20"/>
          <w:lang w:val="en-US"/>
        </w:rPr>
        <w:t xml:space="preserve"> exhaustive </w:t>
      </w:r>
      <w:r w:rsidR="00310E7A">
        <w:rPr>
          <w:i w:val="0"/>
          <w:szCs w:val="20"/>
          <w:lang w:val="en-US"/>
        </w:rPr>
        <w:t>n</w:t>
      </w:r>
      <w:r w:rsidR="00A40B02" w:rsidRPr="009F337B">
        <w:rPr>
          <w:i w:val="0"/>
          <w:szCs w:val="20"/>
          <w:lang w:val="en-US"/>
        </w:rPr>
        <w:t>or restrictive,</w:t>
      </w:r>
      <w:r w:rsidR="00310E7A">
        <w:rPr>
          <w:i w:val="0"/>
          <w:szCs w:val="20"/>
          <w:lang w:val="en-US"/>
        </w:rPr>
        <w:t xml:space="preserve"> </w:t>
      </w:r>
      <w:r w:rsidR="00A40B02" w:rsidRPr="009F337B">
        <w:rPr>
          <w:i w:val="0"/>
          <w:szCs w:val="20"/>
          <w:lang w:val="en-US"/>
        </w:rPr>
        <w:t xml:space="preserve">merely indicative. </w:t>
      </w:r>
      <w:r w:rsidR="00FB0216" w:rsidRPr="009F337B">
        <w:rPr>
          <w:i w:val="0"/>
          <w:szCs w:val="20"/>
          <w:lang w:val="en-US"/>
        </w:rPr>
        <w:t>Thus</w:t>
      </w:r>
      <w:r w:rsidR="00A40B02" w:rsidRPr="009F337B">
        <w:rPr>
          <w:i w:val="0"/>
          <w:szCs w:val="20"/>
          <w:lang w:val="en-US"/>
        </w:rPr>
        <w:t>, the</w:t>
      </w:r>
      <w:r w:rsidR="00FB0216" w:rsidRPr="009F337B">
        <w:rPr>
          <w:i w:val="0"/>
          <w:szCs w:val="20"/>
          <w:lang w:val="en-US"/>
        </w:rPr>
        <w:t xml:space="preserve"> wording</w:t>
      </w:r>
      <w:r w:rsidR="00A40B02" w:rsidRPr="009F337B">
        <w:rPr>
          <w:i w:val="0"/>
          <w:szCs w:val="20"/>
          <w:lang w:val="en-US"/>
        </w:rPr>
        <w:t xml:space="preserve"> of this article leaves the criteria open with the inclusion of the </w:t>
      </w:r>
      <w:r w:rsidR="00FB0216" w:rsidRPr="009F337B">
        <w:rPr>
          <w:i w:val="0"/>
          <w:szCs w:val="20"/>
          <w:lang w:val="en-US"/>
        </w:rPr>
        <w:t>phrase</w:t>
      </w:r>
      <w:r w:rsidR="00A40B02" w:rsidRPr="009F337B">
        <w:rPr>
          <w:i w:val="0"/>
          <w:szCs w:val="20"/>
          <w:lang w:val="en-US"/>
        </w:rPr>
        <w:t xml:space="preserve"> “any other social condition” in order to incorporate other categories that were not explicitly indicated.</w:t>
      </w:r>
      <w:r w:rsidR="00683E2D" w:rsidRPr="009F337B">
        <w:rPr>
          <w:rStyle w:val="Refdenotaalpie"/>
          <w:rFonts w:eastAsia="Calibri"/>
          <w:i w:val="0"/>
          <w:lang w:val="en-US"/>
        </w:rPr>
        <w:footnoteReference w:id="150"/>
      </w:r>
    </w:p>
    <w:p w14:paraId="63ACE868" w14:textId="77777777" w:rsidR="00E92CA8" w:rsidRPr="009F337B" w:rsidRDefault="00E92CA8" w:rsidP="00E92CA8">
      <w:pPr>
        <w:pStyle w:val="Estilo1"/>
        <w:tabs>
          <w:tab w:val="left" w:pos="709"/>
          <w:tab w:val="left" w:pos="1134"/>
        </w:tabs>
        <w:spacing w:after="0"/>
        <w:ind w:left="0" w:right="-4" w:firstLine="0"/>
        <w:rPr>
          <w:rFonts w:eastAsia="Calibri"/>
          <w:i w:val="0"/>
          <w:szCs w:val="20"/>
          <w:lang w:val="en-US"/>
        </w:rPr>
      </w:pPr>
    </w:p>
    <w:p w14:paraId="58561DD4" w14:textId="035F9181" w:rsidR="00683E2D" w:rsidRPr="009F337B" w:rsidRDefault="00A40B02" w:rsidP="00593E37">
      <w:pPr>
        <w:pStyle w:val="Estilo1"/>
        <w:numPr>
          <w:ilvl w:val="0"/>
          <w:numId w:val="1"/>
        </w:numPr>
        <w:tabs>
          <w:tab w:val="left" w:pos="709"/>
          <w:tab w:val="left" w:pos="1134"/>
        </w:tabs>
        <w:spacing w:after="0"/>
        <w:ind w:left="0" w:right="-4" w:firstLine="0"/>
        <w:rPr>
          <w:rFonts w:eastAsia="Calibri"/>
          <w:i w:val="0"/>
          <w:szCs w:val="20"/>
          <w:lang w:val="en-US"/>
        </w:rPr>
      </w:pPr>
      <w:r w:rsidRPr="009F337B">
        <w:rPr>
          <w:rFonts w:eastAsia="Calibri"/>
          <w:i w:val="0"/>
          <w:szCs w:val="20"/>
          <w:lang w:val="en-US"/>
        </w:rPr>
        <w:t xml:space="preserve">In this regard, the Court indicates that, </w:t>
      </w:r>
      <w:r w:rsidR="00FB0216" w:rsidRPr="009F337B">
        <w:rPr>
          <w:rFonts w:eastAsia="Calibri"/>
          <w:i w:val="0"/>
          <w:szCs w:val="20"/>
          <w:lang w:val="en-US"/>
        </w:rPr>
        <w:t>within</w:t>
      </w:r>
      <w:r w:rsidRPr="009F337B">
        <w:rPr>
          <w:rFonts w:eastAsia="Calibri"/>
          <w:i w:val="0"/>
          <w:szCs w:val="20"/>
          <w:lang w:val="en-US"/>
        </w:rPr>
        <w:t xml:space="preserve"> the Convention’s sphere of protection,</w:t>
      </w:r>
      <w:r w:rsidR="00683E2D" w:rsidRPr="009F337B">
        <w:rPr>
          <w:rFonts w:eastAsia="Calibri"/>
          <w:i w:val="0"/>
          <w:szCs w:val="20"/>
          <w:lang w:val="en-US"/>
        </w:rPr>
        <w:t xml:space="preserve"> </w:t>
      </w:r>
      <w:r w:rsidR="00CA11F6" w:rsidRPr="009F337B">
        <w:rPr>
          <w:rFonts w:eastAsia="Calibri"/>
          <w:i w:val="0"/>
          <w:szCs w:val="20"/>
          <w:lang w:val="en-US"/>
        </w:rPr>
        <w:t>HIV</w:t>
      </w:r>
      <w:r w:rsidR="00683E2D" w:rsidRPr="009F337B">
        <w:rPr>
          <w:rFonts w:eastAsia="Calibri"/>
          <w:i w:val="0"/>
          <w:szCs w:val="20"/>
          <w:lang w:val="en-US"/>
        </w:rPr>
        <w:t xml:space="preserve"> </w:t>
      </w:r>
      <w:r w:rsidR="001214D6" w:rsidRPr="009F337B">
        <w:rPr>
          <w:rFonts w:eastAsia="Calibri"/>
          <w:i w:val="0"/>
          <w:szCs w:val="20"/>
          <w:lang w:val="en-US"/>
        </w:rPr>
        <w:t>is a factor based o</w:t>
      </w:r>
      <w:r w:rsidR="00FB0216" w:rsidRPr="009F337B">
        <w:rPr>
          <w:rFonts w:eastAsia="Calibri"/>
          <w:i w:val="0"/>
          <w:szCs w:val="20"/>
          <w:lang w:val="en-US"/>
        </w:rPr>
        <w:t>n</w:t>
      </w:r>
      <w:r w:rsidR="001214D6" w:rsidRPr="009F337B">
        <w:rPr>
          <w:rFonts w:eastAsia="Calibri"/>
          <w:i w:val="0"/>
          <w:szCs w:val="20"/>
          <w:lang w:val="en-US"/>
        </w:rPr>
        <w:t xml:space="preserve"> which discrimination is prohibited </w:t>
      </w:r>
      <w:r w:rsidR="00310E7A">
        <w:rPr>
          <w:rFonts w:eastAsia="Calibri"/>
          <w:i w:val="0"/>
          <w:szCs w:val="20"/>
          <w:lang w:val="en-US"/>
        </w:rPr>
        <w:t xml:space="preserve">under </w:t>
      </w:r>
      <w:r w:rsidR="001214D6" w:rsidRPr="009F337B">
        <w:rPr>
          <w:rFonts w:eastAsia="Calibri"/>
          <w:i w:val="0"/>
          <w:szCs w:val="20"/>
          <w:lang w:val="en-US"/>
        </w:rPr>
        <w:t xml:space="preserve">the phrase </w:t>
      </w:r>
      <w:r w:rsidR="001214D6" w:rsidRPr="009F337B">
        <w:rPr>
          <w:i w:val="0"/>
          <w:szCs w:val="20"/>
          <w:lang w:val="en-US"/>
        </w:rPr>
        <w:t>“any other social condition” in</w:t>
      </w:r>
      <w:r w:rsidR="001214D6" w:rsidRPr="009F337B">
        <w:rPr>
          <w:rFonts w:eastAsia="Calibri"/>
          <w:i w:val="0"/>
          <w:szCs w:val="20"/>
          <w:lang w:val="en-US"/>
        </w:rPr>
        <w:t xml:space="preserve"> </w:t>
      </w:r>
      <w:r w:rsidR="00AE5F9E" w:rsidRPr="009F337B">
        <w:rPr>
          <w:rFonts w:eastAsia="Calibri"/>
          <w:i w:val="0"/>
          <w:szCs w:val="20"/>
          <w:lang w:val="en-US"/>
        </w:rPr>
        <w:t>Article</w:t>
      </w:r>
      <w:r w:rsidR="003C46A3" w:rsidRPr="009F337B">
        <w:rPr>
          <w:rFonts w:eastAsia="Calibri"/>
          <w:i w:val="0"/>
          <w:szCs w:val="20"/>
          <w:lang w:val="en-US"/>
        </w:rPr>
        <w:t xml:space="preserve"> 1(1)</w:t>
      </w:r>
      <w:r w:rsidR="00AE5F9E" w:rsidRPr="009F337B">
        <w:rPr>
          <w:rFonts w:eastAsia="Calibri"/>
          <w:i w:val="0"/>
          <w:szCs w:val="20"/>
          <w:lang w:val="en-US"/>
        </w:rPr>
        <w:t xml:space="preserve"> of the Convention</w:t>
      </w:r>
      <w:r w:rsidR="001214D6" w:rsidRPr="009F337B">
        <w:rPr>
          <w:rFonts w:eastAsia="Calibri"/>
          <w:i w:val="0"/>
          <w:szCs w:val="20"/>
          <w:lang w:val="en-US"/>
        </w:rPr>
        <w:t>.</w:t>
      </w:r>
      <w:r w:rsidR="00683E2D" w:rsidRPr="009F337B">
        <w:rPr>
          <w:rStyle w:val="Refdenotaalpie"/>
          <w:i w:val="0"/>
          <w:snapToGrid w:val="0"/>
          <w:lang w:val="en-US"/>
        </w:rPr>
        <w:footnoteReference w:id="151"/>
      </w:r>
      <w:r w:rsidR="00683E2D" w:rsidRPr="009F337B">
        <w:rPr>
          <w:rFonts w:cs="Arial"/>
          <w:i w:val="0"/>
          <w:snapToGrid w:val="0"/>
          <w:szCs w:val="20"/>
          <w:lang w:val="en-US"/>
        </w:rPr>
        <w:t xml:space="preserve"> </w:t>
      </w:r>
      <w:r w:rsidR="00AE5F9E" w:rsidRPr="009F337B">
        <w:rPr>
          <w:rFonts w:cs="Arial"/>
          <w:i w:val="0"/>
          <w:szCs w:val="20"/>
          <w:lang w:val="en-US"/>
        </w:rPr>
        <w:t>The Court</w:t>
      </w:r>
      <w:r w:rsidR="001214D6" w:rsidRPr="009F337B">
        <w:rPr>
          <w:rFonts w:cs="Arial"/>
          <w:i w:val="0"/>
          <w:szCs w:val="20"/>
          <w:lang w:val="en-US"/>
        </w:rPr>
        <w:t xml:space="preserve"> underscores that the right to equality and non-discrimination has two aspects: a negative one related to the prohibition of arbitrary differences in treatment, and a positive one related to the State obligation to create conditions of real equality for groups that have historically been excluded or that are at greater risk of being discriminated against,</w:t>
      </w:r>
      <w:r w:rsidR="00683E2D" w:rsidRPr="009F337B">
        <w:rPr>
          <w:i w:val="0"/>
          <w:szCs w:val="20"/>
          <w:vertAlign w:val="superscript"/>
          <w:lang w:val="en-US"/>
        </w:rPr>
        <w:footnoteReference w:id="152"/>
      </w:r>
      <w:r w:rsidR="001214D6" w:rsidRPr="009F337B">
        <w:rPr>
          <w:rFonts w:eastAsia="Calibri"/>
          <w:i w:val="0"/>
          <w:szCs w:val="20"/>
          <w:lang w:val="en-US"/>
        </w:rPr>
        <w:t xml:space="preserve"> as in the case of </w:t>
      </w:r>
      <w:r w:rsidR="00683E2D" w:rsidRPr="009F337B">
        <w:rPr>
          <w:rFonts w:eastAsia="Calibri"/>
          <w:i w:val="0"/>
          <w:szCs w:val="20"/>
          <w:lang w:val="en-US"/>
        </w:rPr>
        <w:t xml:space="preserve"> </w:t>
      </w:r>
      <w:r w:rsidR="00080A1E" w:rsidRPr="009F337B">
        <w:rPr>
          <w:rFonts w:eastAsia="Calibri"/>
          <w:i w:val="0"/>
          <w:szCs w:val="20"/>
          <w:lang w:val="en-US"/>
        </w:rPr>
        <w:t>people living with HIV</w:t>
      </w:r>
      <w:r w:rsidR="001214D6" w:rsidRPr="009F337B">
        <w:rPr>
          <w:rFonts w:eastAsia="Calibri"/>
          <w:i w:val="0"/>
          <w:szCs w:val="20"/>
          <w:lang w:val="en-US"/>
        </w:rPr>
        <w:t>.</w:t>
      </w:r>
      <w:r w:rsidR="00683E2D" w:rsidRPr="009F337B">
        <w:rPr>
          <w:rStyle w:val="Refdenotaalpie"/>
          <w:rFonts w:eastAsia="Calibri"/>
          <w:i w:val="0"/>
          <w:lang w:val="en-US"/>
        </w:rPr>
        <w:footnoteReference w:id="153"/>
      </w:r>
      <w:r w:rsidR="001214D6" w:rsidRPr="009F337B">
        <w:rPr>
          <w:rFonts w:eastAsia="Calibri"/>
          <w:i w:val="0"/>
          <w:szCs w:val="20"/>
          <w:lang w:val="en-US"/>
        </w:rPr>
        <w:t xml:space="preserve"> The </w:t>
      </w:r>
      <w:r w:rsidR="00FB0216" w:rsidRPr="009F337B">
        <w:rPr>
          <w:rFonts w:eastAsia="Calibri"/>
          <w:i w:val="0"/>
          <w:szCs w:val="20"/>
          <w:lang w:val="en-US"/>
        </w:rPr>
        <w:t xml:space="preserve">obligation to </w:t>
      </w:r>
      <w:r w:rsidR="001214D6" w:rsidRPr="009F337B">
        <w:rPr>
          <w:rFonts w:eastAsia="Calibri"/>
          <w:i w:val="0"/>
          <w:szCs w:val="20"/>
          <w:lang w:val="en-US"/>
        </w:rPr>
        <w:t xml:space="preserve">adopt positive measures is increased with regard to the protection of </w:t>
      </w:r>
      <w:r w:rsidR="001214D6" w:rsidRPr="009F337B">
        <w:rPr>
          <w:rFonts w:eastAsia="Calibri"/>
          <w:i w:val="0"/>
          <w:szCs w:val="20"/>
          <w:lang w:val="en-US"/>
        </w:rPr>
        <w:lastRenderedPageBreak/>
        <w:t>people who are at risk or in a vulnerable situation, and they should be guaranteed access to medical health services on a</w:t>
      </w:r>
      <w:r w:rsidR="00FB0216" w:rsidRPr="009F337B">
        <w:rPr>
          <w:rFonts w:eastAsia="Calibri"/>
          <w:i w:val="0"/>
          <w:szCs w:val="20"/>
          <w:lang w:val="en-US"/>
        </w:rPr>
        <w:t>n</w:t>
      </w:r>
      <w:r w:rsidR="001214D6" w:rsidRPr="009F337B">
        <w:rPr>
          <w:rFonts w:eastAsia="Calibri"/>
          <w:i w:val="0"/>
          <w:szCs w:val="20"/>
          <w:lang w:val="en-US"/>
        </w:rPr>
        <w:t xml:space="preserve"> equal footing.</w:t>
      </w:r>
      <w:r w:rsidR="00683E2D" w:rsidRPr="009F337B">
        <w:rPr>
          <w:rStyle w:val="Refdenotaalpie"/>
          <w:rFonts w:eastAsia="Calibri"/>
          <w:i w:val="0"/>
          <w:lang w:val="en-US"/>
        </w:rPr>
        <w:footnoteReference w:id="154"/>
      </w:r>
    </w:p>
    <w:p w14:paraId="794FE3D2" w14:textId="77777777" w:rsidR="00E92CA8" w:rsidRPr="009F337B" w:rsidRDefault="00E92CA8" w:rsidP="00E92CA8">
      <w:pPr>
        <w:pStyle w:val="Estilo1"/>
        <w:tabs>
          <w:tab w:val="left" w:pos="709"/>
          <w:tab w:val="left" w:pos="1134"/>
        </w:tabs>
        <w:spacing w:after="0"/>
        <w:ind w:left="0" w:right="-4" w:firstLine="0"/>
        <w:rPr>
          <w:rFonts w:eastAsia="Calibri"/>
          <w:i w:val="0"/>
          <w:szCs w:val="20"/>
          <w:lang w:val="en-US"/>
        </w:rPr>
      </w:pPr>
    </w:p>
    <w:p w14:paraId="5C086E92" w14:textId="4F6109F6" w:rsidR="00683E2D" w:rsidRPr="009F337B" w:rsidRDefault="001214D6" w:rsidP="00593E37">
      <w:pPr>
        <w:pStyle w:val="Estilo1"/>
        <w:numPr>
          <w:ilvl w:val="0"/>
          <w:numId w:val="1"/>
        </w:numPr>
        <w:tabs>
          <w:tab w:val="left" w:pos="709"/>
          <w:tab w:val="left" w:pos="1134"/>
        </w:tabs>
        <w:spacing w:after="0"/>
        <w:ind w:left="0" w:right="-4" w:firstLine="0"/>
        <w:rPr>
          <w:rFonts w:eastAsia="Times" w:cs="Arial"/>
          <w:i w:val="0"/>
          <w:szCs w:val="20"/>
          <w:lang w:val="en-US"/>
        </w:rPr>
      </w:pPr>
      <w:r w:rsidRPr="009F337B">
        <w:rPr>
          <w:rFonts w:eastAsia="Calibri"/>
          <w:i w:val="0"/>
          <w:szCs w:val="20"/>
          <w:lang w:val="en-US"/>
        </w:rPr>
        <w:t>Accordingly, the State obligation to respect and to ensure</w:t>
      </w:r>
      <w:r w:rsidR="00371ADF" w:rsidRPr="009F337B">
        <w:rPr>
          <w:rFonts w:eastAsia="Calibri"/>
          <w:i w:val="0"/>
          <w:szCs w:val="20"/>
          <w:lang w:val="en-US"/>
        </w:rPr>
        <w:t xml:space="preserve"> the </w:t>
      </w:r>
      <w:r w:rsidR="00A51F3B" w:rsidRPr="009F337B">
        <w:rPr>
          <w:rFonts w:eastAsia="Calibri"/>
          <w:i w:val="0"/>
          <w:szCs w:val="20"/>
          <w:lang w:val="en-US"/>
        </w:rPr>
        <w:t>right to health</w:t>
      </w:r>
      <w:r w:rsidR="00683E2D" w:rsidRPr="009F337B">
        <w:rPr>
          <w:rFonts w:eastAsia="Calibri"/>
          <w:i w:val="0"/>
          <w:szCs w:val="20"/>
          <w:lang w:val="en-US"/>
        </w:rPr>
        <w:t xml:space="preserve"> a</w:t>
      </w:r>
      <w:r w:rsidRPr="009F337B">
        <w:rPr>
          <w:rFonts w:eastAsia="Calibri"/>
          <w:i w:val="0"/>
          <w:szCs w:val="20"/>
          <w:lang w:val="en-US"/>
        </w:rPr>
        <w:t>cquires a special dimension in relation to the protection of people in a situation of vulnerability. The Court recognizes that people living in poverty often have unequal access to health services and information, which exposes them to a greater risk of infection and of receiving inadequate or incomplete medical care.</w:t>
      </w:r>
      <w:r w:rsidR="00683E2D" w:rsidRPr="009F337B">
        <w:rPr>
          <w:rStyle w:val="Refdenotaalpie"/>
          <w:rFonts w:eastAsia="Calibri"/>
          <w:i w:val="0"/>
          <w:lang w:val="en-US"/>
        </w:rPr>
        <w:footnoteReference w:id="155"/>
      </w:r>
      <w:r w:rsidR="00683E2D" w:rsidRPr="009F337B">
        <w:rPr>
          <w:rFonts w:eastAsia="Calibri"/>
          <w:i w:val="0"/>
          <w:szCs w:val="20"/>
          <w:lang w:val="en-US"/>
        </w:rPr>
        <w:t xml:space="preserve"> </w:t>
      </w:r>
      <w:r w:rsidR="008C399E" w:rsidRPr="009F337B">
        <w:rPr>
          <w:rFonts w:eastAsia="Calibri"/>
          <w:i w:val="0"/>
          <w:szCs w:val="20"/>
          <w:lang w:val="en-US"/>
        </w:rPr>
        <w:t>The Court</w:t>
      </w:r>
      <w:r w:rsidR="00683E2D" w:rsidRPr="009F337B">
        <w:rPr>
          <w:rFonts w:eastAsia="Calibri"/>
          <w:i w:val="0"/>
          <w:szCs w:val="20"/>
          <w:lang w:val="en-US"/>
        </w:rPr>
        <w:t xml:space="preserve"> </w:t>
      </w:r>
      <w:r w:rsidRPr="009F337B">
        <w:rPr>
          <w:rFonts w:eastAsia="Calibri"/>
          <w:i w:val="0"/>
          <w:szCs w:val="20"/>
          <w:lang w:val="en-US"/>
        </w:rPr>
        <w:t>also notes the vulnerable situation of women living with HIV, especially those of child-bearing age</w:t>
      </w:r>
      <w:r w:rsidR="00683E2D" w:rsidRPr="009F337B">
        <w:rPr>
          <w:rFonts w:eastAsia="Calibri"/>
          <w:i w:val="0"/>
          <w:szCs w:val="20"/>
          <w:lang w:val="en-US"/>
        </w:rPr>
        <w:t xml:space="preserve">. </w:t>
      </w:r>
    </w:p>
    <w:p w14:paraId="76A18312" w14:textId="77777777" w:rsidR="00E92CA8" w:rsidRPr="009F337B" w:rsidRDefault="00E92CA8" w:rsidP="00E92CA8">
      <w:pPr>
        <w:pStyle w:val="Estilo1"/>
        <w:tabs>
          <w:tab w:val="left" w:pos="709"/>
          <w:tab w:val="left" w:pos="1134"/>
        </w:tabs>
        <w:spacing w:after="0"/>
        <w:ind w:left="0" w:right="-4" w:firstLine="0"/>
        <w:rPr>
          <w:rFonts w:eastAsia="Times" w:cs="Arial"/>
          <w:i w:val="0"/>
          <w:szCs w:val="20"/>
          <w:lang w:val="en-US"/>
        </w:rPr>
      </w:pPr>
    </w:p>
    <w:p w14:paraId="777AC5FE" w14:textId="6D4D34B5" w:rsidR="00F46845" w:rsidRPr="009F337B" w:rsidRDefault="009D7F8C" w:rsidP="00593E37">
      <w:pPr>
        <w:pStyle w:val="Estilo1"/>
        <w:numPr>
          <w:ilvl w:val="0"/>
          <w:numId w:val="1"/>
        </w:numPr>
        <w:tabs>
          <w:tab w:val="left" w:pos="709"/>
          <w:tab w:val="left" w:pos="1134"/>
        </w:tabs>
        <w:spacing w:after="0"/>
        <w:ind w:left="0" w:right="-4" w:firstLine="0"/>
        <w:rPr>
          <w:rFonts w:eastAsia="Times" w:cs="Arial"/>
          <w:i w:val="0"/>
          <w:szCs w:val="20"/>
          <w:lang w:val="en-US"/>
        </w:rPr>
      </w:pPr>
      <w:r w:rsidRPr="009F337B">
        <w:rPr>
          <w:rFonts w:eastAsia="Times" w:cs="Arial"/>
          <w:i w:val="0"/>
          <w:szCs w:val="20"/>
          <w:lang w:val="en-US"/>
        </w:rPr>
        <w:t xml:space="preserve">That said, the Court has indicated that extreme poverty and the </w:t>
      </w:r>
      <w:r w:rsidR="00A64843" w:rsidRPr="009F337B">
        <w:rPr>
          <w:rFonts w:eastAsia="Times" w:cs="Arial"/>
          <w:i w:val="0"/>
          <w:szCs w:val="20"/>
          <w:lang w:val="en-US"/>
        </w:rPr>
        <w:t>lack of adequate medical care for women during pregnancy and postpartum are causes of high maternal mortality and morbidity</w:t>
      </w:r>
      <w:r w:rsidR="000E28BD" w:rsidRPr="009F337B">
        <w:rPr>
          <w:rFonts w:eastAsia="Times" w:cs="Arial"/>
          <w:i w:val="0"/>
          <w:szCs w:val="20"/>
          <w:lang w:val="en-US"/>
        </w:rPr>
        <w:t>.</w:t>
      </w:r>
      <w:r w:rsidR="00A64843" w:rsidRPr="009F337B">
        <w:rPr>
          <w:rFonts w:eastAsia="Times" w:cs="Arial"/>
          <w:i w:val="0"/>
          <w:szCs w:val="20"/>
          <w:lang w:val="en-US"/>
        </w:rPr>
        <w:t xml:space="preserve"> </w:t>
      </w:r>
      <w:r w:rsidR="000E28BD" w:rsidRPr="009F337B">
        <w:rPr>
          <w:rFonts w:eastAsia="Times" w:cs="Arial"/>
          <w:i w:val="0"/>
          <w:szCs w:val="20"/>
          <w:lang w:val="en-US"/>
        </w:rPr>
        <w:t>T</w:t>
      </w:r>
      <w:r w:rsidR="00A64843" w:rsidRPr="009F337B">
        <w:rPr>
          <w:rFonts w:eastAsia="Times" w:cs="Arial"/>
          <w:i w:val="0"/>
          <w:szCs w:val="20"/>
          <w:lang w:val="en-US"/>
        </w:rPr>
        <w:t>herefor</w:t>
      </w:r>
      <w:r w:rsidR="000E28BD" w:rsidRPr="009F337B">
        <w:rPr>
          <w:rFonts w:eastAsia="Times" w:cs="Arial"/>
          <w:i w:val="0"/>
          <w:szCs w:val="20"/>
          <w:lang w:val="en-US"/>
        </w:rPr>
        <w:t>e,</w:t>
      </w:r>
      <w:r w:rsidR="00A64843" w:rsidRPr="009F337B">
        <w:rPr>
          <w:rFonts w:eastAsia="Times" w:cs="Arial"/>
          <w:i w:val="0"/>
          <w:szCs w:val="20"/>
          <w:lang w:val="en-US"/>
        </w:rPr>
        <w:t xml:space="preserve"> States must implement appropriate health policies that allow it to provide assistance with </w:t>
      </w:r>
      <w:r w:rsidR="00310E7A">
        <w:rPr>
          <w:rFonts w:eastAsia="Times" w:cs="Arial"/>
          <w:i w:val="0"/>
          <w:szCs w:val="20"/>
          <w:lang w:val="en-US"/>
        </w:rPr>
        <w:t>suitably</w:t>
      </w:r>
      <w:r w:rsidR="00A64843" w:rsidRPr="009F337B">
        <w:rPr>
          <w:rFonts w:eastAsia="Times" w:cs="Arial"/>
          <w:i w:val="0"/>
          <w:szCs w:val="20"/>
          <w:lang w:val="en-US"/>
        </w:rPr>
        <w:t xml:space="preserve"> qualified personnel during births</w:t>
      </w:r>
      <w:r w:rsidR="00310E7A">
        <w:rPr>
          <w:rFonts w:eastAsia="Times" w:cs="Arial"/>
          <w:i w:val="0"/>
          <w:szCs w:val="20"/>
          <w:lang w:val="en-US"/>
        </w:rPr>
        <w:t>;</w:t>
      </w:r>
      <w:r w:rsidR="00A64843" w:rsidRPr="009F337B">
        <w:rPr>
          <w:rFonts w:eastAsia="Times" w:cs="Arial"/>
          <w:i w:val="0"/>
          <w:szCs w:val="20"/>
          <w:lang w:val="en-US"/>
        </w:rPr>
        <w:t xml:space="preserve"> policies to prevent maternal mortality </w:t>
      </w:r>
      <w:r w:rsidR="000E28BD" w:rsidRPr="009F337B">
        <w:rPr>
          <w:rFonts w:eastAsia="Times" w:cs="Arial"/>
          <w:i w:val="0"/>
          <w:szCs w:val="20"/>
          <w:lang w:val="en-US"/>
        </w:rPr>
        <w:t>by providing</w:t>
      </w:r>
      <w:r w:rsidR="00A64843" w:rsidRPr="009F337B">
        <w:rPr>
          <w:rFonts w:eastAsia="Times" w:cs="Arial"/>
          <w:i w:val="0"/>
          <w:szCs w:val="20"/>
          <w:lang w:val="en-US"/>
        </w:rPr>
        <w:t xml:space="preserve"> adequate prenatal and postpartum controls, and legal and administrative instruments relating to health policies that record cases of maternal mortality adequately.</w:t>
      </w:r>
      <w:r w:rsidR="00F46845" w:rsidRPr="009F337B">
        <w:rPr>
          <w:rStyle w:val="Refdenotaalpie"/>
          <w:rFonts w:eastAsia="Times"/>
          <w:i w:val="0"/>
          <w:lang w:val="en-US"/>
        </w:rPr>
        <w:footnoteReference w:id="156"/>
      </w:r>
      <w:r w:rsidR="00A64843" w:rsidRPr="009F337B">
        <w:rPr>
          <w:rFonts w:eastAsia="Times" w:cs="Arial"/>
          <w:i w:val="0"/>
          <w:szCs w:val="20"/>
          <w:lang w:val="en-US"/>
        </w:rPr>
        <w:t xml:space="preserve"> The Court has also recognized that, under </w:t>
      </w:r>
      <w:r w:rsidR="003C46A3" w:rsidRPr="009F337B">
        <w:rPr>
          <w:rFonts w:eastAsia="Times" w:cs="Arial"/>
          <w:i w:val="0"/>
          <w:szCs w:val="20"/>
          <w:lang w:val="en-US"/>
        </w:rPr>
        <w:t>Article</w:t>
      </w:r>
      <w:r w:rsidR="00F46845" w:rsidRPr="009F337B">
        <w:rPr>
          <w:rFonts w:eastAsia="Times" w:cs="Arial"/>
          <w:i w:val="0"/>
          <w:szCs w:val="20"/>
          <w:lang w:val="en-US"/>
        </w:rPr>
        <w:t xml:space="preserve"> 19</w:t>
      </w:r>
      <w:r w:rsidR="00AE5F9E" w:rsidRPr="009F337B">
        <w:rPr>
          <w:rFonts w:eastAsia="Times" w:cs="Arial"/>
          <w:i w:val="0"/>
          <w:szCs w:val="20"/>
          <w:lang w:val="en-US"/>
        </w:rPr>
        <w:t xml:space="preserve"> of the Convention</w:t>
      </w:r>
      <w:r w:rsidR="00F46845" w:rsidRPr="009F337B">
        <w:rPr>
          <w:rFonts w:eastAsia="Times" w:cs="Arial"/>
          <w:i w:val="0"/>
          <w:szCs w:val="20"/>
          <w:lang w:val="en-US"/>
        </w:rPr>
        <w:t xml:space="preserve">, </w:t>
      </w:r>
      <w:r w:rsidR="003C46A3" w:rsidRPr="009F337B">
        <w:rPr>
          <w:rFonts w:eastAsia="Times" w:cs="Arial"/>
          <w:i w:val="0"/>
          <w:szCs w:val="20"/>
          <w:lang w:val="en-US"/>
        </w:rPr>
        <w:t>the State</w:t>
      </w:r>
      <w:r w:rsidR="00F46845" w:rsidRPr="009F337B">
        <w:rPr>
          <w:rFonts w:eastAsia="Times" w:cs="Arial"/>
          <w:i w:val="0"/>
          <w:szCs w:val="20"/>
          <w:lang w:val="en-US"/>
        </w:rPr>
        <w:t xml:space="preserve"> </w:t>
      </w:r>
      <w:r w:rsidR="000E28BD" w:rsidRPr="009F337B">
        <w:rPr>
          <w:rFonts w:eastAsia="Times" w:cs="Arial"/>
          <w:i w:val="0"/>
          <w:szCs w:val="20"/>
          <w:lang w:val="en-US"/>
        </w:rPr>
        <w:t>must</w:t>
      </w:r>
      <w:r w:rsidR="00A64843" w:rsidRPr="009F337B">
        <w:rPr>
          <w:rFonts w:eastAsia="Times" w:cs="Arial"/>
          <w:i w:val="0"/>
          <w:szCs w:val="20"/>
          <w:lang w:val="en-US"/>
        </w:rPr>
        <w:t xml:space="preserve"> assume its special position of guarantor with greater care and responsibility and take special measures focused on the principle of the best interest of the child.</w:t>
      </w:r>
      <w:r w:rsidR="00F46845" w:rsidRPr="009F337B">
        <w:rPr>
          <w:rStyle w:val="Refdenotaalpie"/>
          <w:rFonts w:eastAsia="Times"/>
          <w:i w:val="0"/>
          <w:lang w:val="en-US"/>
        </w:rPr>
        <w:footnoteReference w:id="157"/>
      </w:r>
    </w:p>
    <w:p w14:paraId="302F8AAB" w14:textId="77777777" w:rsidR="00E92CA8" w:rsidRPr="009F337B" w:rsidRDefault="00E92CA8" w:rsidP="00E92CA8">
      <w:pPr>
        <w:pStyle w:val="Estilo1"/>
        <w:tabs>
          <w:tab w:val="left" w:pos="709"/>
          <w:tab w:val="left" w:pos="1134"/>
        </w:tabs>
        <w:spacing w:after="0"/>
        <w:ind w:left="0" w:right="-4" w:firstLine="0"/>
        <w:rPr>
          <w:rFonts w:eastAsia="Times" w:cs="Arial"/>
          <w:i w:val="0"/>
          <w:szCs w:val="20"/>
          <w:lang w:val="en-US"/>
        </w:rPr>
      </w:pPr>
    </w:p>
    <w:p w14:paraId="7EA819A6" w14:textId="4B6B4128" w:rsidR="00F46845" w:rsidRPr="009F337B" w:rsidRDefault="00A64843" w:rsidP="00593E37">
      <w:pPr>
        <w:pStyle w:val="Estilo1"/>
        <w:numPr>
          <w:ilvl w:val="0"/>
          <w:numId w:val="1"/>
        </w:numPr>
        <w:tabs>
          <w:tab w:val="left" w:pos="709"/>
          <w:tab w:val="left" w:pos="1134"/>
        </w:tabs>
        <w:spacing w:after="0"/>
        <w:ind w:left="0" w:right="-4" w:firstLine="0"/>
        <w:rPr>
          <w:rFonts w:eastAsia="Times" w:cs="Arial"/>
          <w:i w:val="0"/>
          <w:szCs w:val="20"/>
          <w:lang w:val="en-US"/>
        </w:rPr>
      </w:pPr>
      <w:r w:rsidRPr="009F337B">
        <w:rPr>
          <w:rFonts w:eastAsia="Times" w:cs="Arial"/>
          <w:i w:val="0"/>
          <w:szCs w:val="20"/>
          <w:lang w:val="en-US"/>
        </w:rPr>
        <w:t>In this regard</w:t>
      </w:r>
      <w:r w:rsidR="00F46845" w:rsidRPr="009F337B">
        <w:rPr>
          <w:rFonts w:eastAsia="Times" w:cs="Arial"/>
          <w:i w:val="0"/>
          <w:szCs w:val="20"/>
          <w:lang w:val="en-US"/>
        </w:rPr>
        <w:t xml:space="preserve">, </w:t>
      </w:r>
      <w:r w:rsidR="008C399E" w:rsidRPr="009F337B">
        <w:rPr>
          <w:rFonts w:eastAsia="Times" w:cs="Arial"/>
          <w:i w:val="0"/>
          <w:szCs w:val="20"/>
          <w:lang w:val="en-US"/>
        </w:rPr>
        <w:t>the Court</w:t>
      </w:r>
      <w:r w:rsidR="00F46845" w:rsidRPr="009F337B">
        <w:rPr>
          <w:rFonts w:eastAsia="Times" w:cs="Arial"/>
          <w:i w:val="0"/>
          <w:szCs w:val="20"/>
          <w:lang w:val="en-US"/>
        </w:rPr>
        <w:t xml:space="preserve"> </w:t>
      </w:r>
      <w:r w:rsidRPr="009F337B">
        <w:rPr>
          <w:rFonts w:eastAsia="Times" w:cs="Arial"/>
          <w:i w:val="0"/>
          <w:szCs w:val="20"/>
          <w:lang w:val="en-US"/>
        </w:rPr>
        <w:t>notes that the</w:t>
      </w:r>
      <w:r w:rsidR="00F46845" w:rsidRPr="009F337B">
        <w:rPr>
          <w:rFonts w:eastAsia="Times" w:cs="Arial"/>
          <w:i w:val="0"/>
          <w:szCs w:val="20"/>
          <w:lang w:val="en-US"/>
        </w:rPr>
        <w:t xml:space="preserve"> </w:t>
      </w:r>
      <w:r w:rsidR="00987A47" w:rsidRPr="009F337B">
        <w:rPr>
          <w:i w:val="0"/>
          <w:szCs w:val="16"/>
          <w:lang w:val="en-US"/>
        </w:rPr>
        <w:t>Committee for the Elimination of Discrimination against Women recommended</w:t>
      </w:r>
      <w:r w:rsidR="00F46845" w:rsidRPr="009F337B">
        <w:rPr>
          <w:rFonts w:eastAsia="Times" w:cs="Arial"/>
          <w:i w:val="0"/>
          <w:szCs w:val="20"/>
          <w:lang w:val="en-US"/>
        </w:rPr>
        <w:t xml:space="preserve"> </w:t>
      </w:r>
      <w:r w:rsidR="00987A47" w:rsidRPr="009F337B">
        <w:rPr>
          <w:rFonts w:eastAsia="Times" w:cs="Arial"/>
          <w:i w:val="0"/>
          <w:szCs w:val="20"/>
          <w:lang w:val="en-US"/>
        </w:rPr>
        <w:t>“</w:t>
      </w:r>
      <w:r w:rsidR="00987A47" w:rsidRPr="009F337B">
        <w:rPr>
          <w:i w:val="0"/>
          <w:szCs w:val="20"/>
          <w:lang w:val="en-US"/>
        </w:rPr>
        <w:t xml:space="preserve">that </w:t>
      </w:r>
      <w:proofErr w:type="spellStart"/>
      <w:r w:rsidR="00987A47" w:rsidRPr="009F337B">
        <w:rPr>
          <w:i w:val="0"/>
          <w:szCs w:val="20"/>
          <w:lang w:val="en-US"/>
        </w:rPr>
        <w:t>programmes</w:t>
      </w:r>
      <w:proofErr w:type="spellEnd"/>
      <w:r w:rsidR="00987A47" w:rsidRPr="009F337B">
        <w:rPr>
          <w:i w:val="0"/>
          <w:szCs w:val="20"/>
          <w:lang w:val="en-US"/>
        </w:rPr>
        <w:t xml:space="preserve"> to combat AIDS should give special attention to the rights and needs of women and children, and to the factors relating to the reproductive role of women and their subordinate position in some societies which make them especially vulnerable to HIV infection.”</w:t>
      </w:r>
      <w:r w:rsidR="00F46845" w:rsidRPr="009F337B">
        <w:rPr>
          <w:rStyle w:val="Refdenotaalpie"/>
          <w:rFonts w:eastAsia="Times"/>
          <w:i w:val="0"/>
          <w:lang w:val="en-US"/>
        </w:rPr>
        <w:footnoteReference w:id="158"/>
      </w:r>
      <w:r w:rsidR="00F46845" w:rsidRPr="009F337B">
        <w:rPr>
          <w:rFonts w:eastAsia="Times" w:cs="Arial"/>
          <w:i w:val="0"/>
          <w:szCs w:val="20"/>
          <w:lang w:val="en-US"/>
        </w:rPr>
        <w:t xml:space="preserve"> </w:t>
      </w:r>
      <w:r w:rsidR="00310E7A">
        <w:rPr>
          <w:rFonts w:eastAsia="Times" w:cs="Arial"/>
          <w:i w:val="0"/>
          <w:szCs w:val="20"/>
          <w:lang w:val="en-US"/>
        </w:rPr>
        <w:t>Furthermore</w:t>
      </w:r>
      <w:r w:rsidRPr="009F337B">
        <w:rPr>
          <w:rFonts w:eastAsia="Times" w:cs="Arial"/>
          <w:i w:val="0"/>
          <w:szCs w:val="20"/>
          <w:lang w:val="en-US"/>
        </w:rPr>
        <w:t xml:space="preserve">, the </w:t>
      </w:r>
      <w:r w:rsidR="000E28BD" w:rsidRPr="009F337B">
        <w:rPr>
          <w:rFonts w:eastAsia="Times" w:cs="Arial"/>
          <w:i w:val="0"/>
          <w:szCs w:val="20"/>
          <w:lang w:val="en-US"/>
        </w:rPr>
        <w:t>C</w:t>
      </w:r>
      <w:r w:rsidRPr="009F337B">
        <w:rPr>
          <w:rFonts w:eastAsia="Times" w:cs="Arial"/>
          <w:i w:val="0"/>
          <w:szCs w:val="20"/>
          <w:lang w:val="en-US"/>
        </w:rPr>
        <w:t>ESCR has indicated that “States should aim to ensure universal access without discrimination for all indi</w:t>
      </w:r>
      <w:r w:rsidR="00DA41F9" w:rsidRPr="009F337B">
        <w:rPr>
          <w:rFonts w:eastAsia="Times" w:cs="Arial"/>
          <w:i w:val="0"/>
          <w:szCs w:val="20"/>
          <w:lang w:val="en-US"/>
        </w:rPr>
        <w:t xml:space="preserve">viduals, including  those from disadvantaged and marginalized groups, to a full range of quality sexual and reproductive health care, including maternal health care, […] and the prevention, diagnosis and treatment of […] </w:t>
      </w:r>
      <w:r w:rsidR="00574935" w:rsidRPr="009F337B">
        <w:rPr>
          <w:rFonts w:eastAsia="Times" w:cs="Arial"/>
          <w:i w:val="0"/>
          <w:szCs w:val="20"/>
          <w:lang w:val="en-US"/>
        </w:rPr>
        <w:t>sexually transmitted infections</w:t>
      </w:r>
      <w:r w:rsidR="003C46A3" w:rsidRPr="009F337B">
        <w:rPr>
          <w:rFonts w:eastAsia="Times" w:cs="Arial"/>
          <w:i w:val="0"/>
          <w:szCs w:val="20"/>
          <w:lang w:val="en-US"/>
        </w:rPr>
        <w:t xml:space="preserve"> and</w:t>
      </w:r>
      <w:r w:rsidR="00F46845" w:rsidRPr="009F337B">
        <w:rPr>
          <w:rFonts w:eastAsia="Times" w:cs="Arial"/>
          <w:i w:val="0"/>
          <w:szCs w:val="20"/>
          <w:lang w:val="en-US"/>
        </w:rPr>
        <w:t xml:space="preserve"> </w:t>
      </w:r>
      <w:r w:rsidR="00CA11F6" w:rsidRPr="009F337B">
        <w:rPr>
          <w:rFonts w:eastAsia="Times" w:cs="Arial"/>
          <w:i w:val="0"/>
          <w:szCs w:val="20"/>
          <w:lang w:val="en-US"/>
        </w:rPr>
        <w:t>HIV/AIDS</w:t>
      </w:r>
      <w:r w:rsidR="00DA41F9" w:rsidRPr="009F337B">
        <w:rPr>
          <w:rFonts w:eastAsia="Times" w:cs="Arial"/>
          <w:i w:val="0"/>
          <w:szCs w:val="20"/>
          <w:lang w:val="en-US"/>
        </w:rPr>
        <w:t>.</w:t>
      </w:r>
      <w:r w:rsidR="00F46845" w:rsidRPr="009F337B">
        <w:rPr>
          <w:rStyle w:val="Refdenotaalpie"/>
          <w:rFonts w:eastAsia="Times"/>
          <w:i w:val="0"/>
          <w:lang w:val="en-US"/>
        </w:rPr>
        <w:footnoteReference w:id="159"/>
      </w:r>
    </w:p>
    <w:p w14:paraId="1F362B44" w14:textId="77777777" w:rsidR="00E92CA8" w:rsidRPr="009F337B" w:rsidRDefault="00E92CA8" w:rsidP="00E92CA8">
      <w:pPr>
        <w:pStyle w:val="Estilo1"/>
        <w:tabs>
          <w:tab w:val="left" w:pos="709"/>
          <w:tab w:val="left" w:pos="1134"/>
        </w:tabs>
        <w:spacing w:after="0"/>
        <w:ind w:left="0" w:right="-4" w:firstLine="0"/>
        <w:rPr>
          <w:rFonts w:eastAsia="Times" w:cs="Arial"/>
          <w:i w:val="0"/>
          <w:szCs w:val="20"/>
          <w:lang w:val="en-US"/>
        </w:rPr>
      </w:pPr>
    </w:p>
    <w:p w14:paraId="4C67D8F8" w14:textId="4FF7D048" w:rsidR="00F46845" w:rsidRPr="009F337B" w:rsidRDefault="00DA41F9" w:rsidP="00593E37">
      <w:pPr>
        <w:pStyle w:val="Estilo1"/>
        <w:numPr>
          <w:ilvl w:val="0"/>
          <w:numId w:val="1"/>
        </w:numPr>
        <w:tabs>
          <w:tab w:val="left" w:pos="709"/>
          <w:tab w:val="left" w:pos="1134"/>
        </w:tabs>
        <w:spacing w:after="0"/>
        <w:ind w:left="0" w:right="-4" w:firstLine="0"/>
        <w:rPr>
          <w:rFonts w:eastAsia="Times" w:cs="Arial"/>
          <w:i w:val="0"/>
          <w:szCs w:val="20"/>
          <w:lang w:val="en-US"/>
        </w:rPr>
      </w:pPr>
      <w:r w:rsidRPr="009F337B">
        <w:rPr>
          <w:rFonts w:eastAsia="Times" w:cs="Arial"/>
          <w:i w:val="0"/>
          <w:szCs w:val="20"/>
          <w:lang w:val="en-US"/>
        </w:rPr>
        <w:t>The Court also not</w:t>
      </w:r>
      <w:r w:rsidR="000E28BD" w:rsidRPr="009F337B">
        <w:rPr>
          <w:rFonts w:eastAsia="Times" w:cs="Arial"/>
          <w:i w:val="0"/>
          <w:szCs w:val="20"/>
          <w:lang w:val="en-US"/>
        </w:rPr>
        <w:t>e</w:t>
      </w:r>
      <w:r w:rsidRPr="009F337B">
        <w:rPr>
          <w:rFonts w:eastAsia="Times" w:cs="Arial"/>
          <w:i w:val="0"/>
          <w:szCs w:val="20"/>
          <w:lang w:val="en-US"/>
        </w:rPr>
        <w:t>s that</w:t>
      </w:r>
      <w:r w:rsidR="000E28BD" w:rsidRPr="009F337B">
        <w:rPr>
          <w:rFonts w:eastAsia="Times" w:cs="Arial"/>
          <w:i w:val="0"/>
          <w:szCs w:val="20"/>
          <w:lang w:val="en-US"/>
        </w:rPr>
        <w:t xml:space="preserve">, </w:t>
      </w:r>
      <w:r w:rsidRPr="009F337B">
        <w:rPr>
          <w:i w:val="0"/>
          <w:szCs w:val="20"/>
          <w:lang w:val="en-US"/>
        </w:rPr>
        <w:t xml:space="preserve">in the eighth international guideline on </w:t>
      </w:r>
      <w:r w:rsidR="00CA11F6" w:rsidRPr="009F337B">
        <w:rPr>
          <w:i w:val="0"/>
          <w:iCs/>
          <w:szCs w:val="20"/>
          <w:lang w:val="en-US"/>
        </w:rPr>
        <w:t>HIV/AIDS</w:t>
      </w:r>
      <w:r w:rsidR="003C46A3" w:rsidRPr="009F337B">
        <w:rPr>
          <w:i w:val="0"/>
          <w:iCs/>
          <w:szCs w:val="20"/>
          <w:lang w:val="en-US"/>
        </w:rPr>
        <w:t xml:space="preserve"> and </w:t>
      </w:r>
      <w:r w:rsidR="00CC5BF5" w:rsidRPr="009F337B">
        <w:rPr>
          <w:i w:val="0"/>
          <w:iCs/>
          <w:szCs w:val="20"/>
          <w:lang w:val="en-US"/>
        </w:rPr>
        <w:t>human rights</w:t>
      </w:r>
      <w:r w:rsidR="000E28BD" w:rsidRPr="009F337B">
        <w:rPr>
          <w:i w:val="0"/>
          <w:iCs/>
          <w:szCs w:val="20"/>
          <w:lang w:val="en-US"/>
        </w:rPr>
        <w:t>,</w:t>
      </w:r>
      <w:r w:rsidR="000E28BD" w:rsidRPr="009F337B">
        <w:rPr>
          <w:i w:val="0"/>
          <w:szCs w:val="20"/>
          <w:lang w:val="en-US"/>
        </w:rPr>
        <w:t xml:space="preserve"> OHCHR and UNAIDS indicated</w:t>
      </w:r>
      <w:r w:rsidR="00F46845" w:rsidRPr="009F337B">
        <w:rPr>
          <w:i w:val="0"/>
          <w:szCs w:val="20"/>
          <w:lang w:val="en-US"/>
        </w:rPr>
        <w:t xml:space="preserve"> </w:t>
      </w:r>
      <w:r w:rsidRPr="009F337B">
        <w:rPr>
          <w:i w:val="0"/>
          <w:szCs w:val="20"/>
          <w:lang w:val="en-US"/>
        </w:rPr>
        <w:t xml:space="preserve">that </w:t>
      </w:r>
      <w:r w:rsidR="001071B4" w:rsidRPr="009F337B">
        <w:rPr>
          <w:rFonts w:eastAsia="Times New Roman"/>
          <w:i w:val="0"/>
          <w:szCs w:val="20"/>
          <w:lang w:val="en-US"/>
        </w:rPr>
        <w:t xml:space="preserve">States </w:t>
      </w:r>
      <w:bookmarkStart w:id="84" w:name="_Hlk6137049"/>
      <w:r w:rsidR="001071B4" w:rsidRPr="009F337B">
        <w:rPr>
          <w:rFonts w:eastAsia="Times New Roman"/>
          <w:i w:val="0"/>
          <w:szCs w:val="20"/>
          <w:lang w:val="en-US"/>
        </w:rPr>
        <w:t xml:space="preserve">“should promote a supportive and enabling environment for women, children and other vulnerable groups by addressing </w:t>
      </w:r>
      <w:r w:rsidR="001071B4" w:rsidRPr="009F337B">
        <w:rPr>
          <w:rFonts w:eastAsia="Times New Roman"/>
          <w:i w:val="0"/>
          <w:szCs w:val="20"/>
          <w:lang w:val="en-US"/>
        </w:rPr>
        <w:lastRenderedPageBreak/>
        <w:t>underlying prejudices and inequalities</w:t>
      </w:r>
      <w:bookmarkEnd w:id="84"/>
      <w:r w:rsidR="001071B4" w:rsidRPr="009F337B">
        <w:rPr>
          <w:rFonts w:eastAsia="Times New Roman"/>
          <w:szCs w:val="20"/>
          <w:lang w:val="en-US"/>
        </w:rPr>
        <w:t>.</w:t>
      </w:r>
      <w:r w:rsidR="001071B4" w:rsidRPr="009F337B">
        <w:rPr>
          <w:rFonts w:eastAsia="Times" w:cs="Arial"/>
          <w:i w:val="0"/>
          <w:szCs w:val="20"/>
          <w:lang w:val="en-US"/>
        </w:rPr>
        <w:t>”</w:t>
      </w:r>
      <w:r w:rsidR="00F159FA" w:rsidRPr="009F337B">
        <w:rPr>
          <w:rStyle w:val="Refdenotaalpie"/>
          <w:i w:val="0"/>
          <w:lang w:val="en-US"/>
        </w:rPr>
        <w:footnoteReference w:id="160"/>
      </w:r>
      <w:r w:rsidR="003C1B66" w:rsidRPr="009F337B">
        <w:rPr>
          <w:i w:val="0"/>
          <w:szCs w:val="20"/>
          <w:lang w:val="en-US"/>
        </w:rPr>
        <w:t xml:space="preserve"> </w:t>
      </w:r>
      <w:r w:rsidR="001071B4" w:rsidRPr="009F337B">
        <w:rPr>
          <w:i w:val="0"/>
          <w:szCs w:val="20"/>
          <w:lang w:val="en-US"/>
        </w:rPr>
        <w:t xml:space="preserve">This guideline has been interpreted </w:t>
      </w:r>
      <w:r w:rsidR="000E28BD" w:rsidRPr="009F337B">
        <w:rPr>
          <w:i w:val="0"/>
          <w:szCs w:val="20"/>
          <w:lang w:val="en-US"/>
        </w:rPr>
        <w:t>to mean</w:t>
      </w:r>
      <w:r w:rsidR="001071B4" w:rsidRPr="009F337B">
        <w:rPr>
          <w:i w:val="0"/>
          <w:szCs w:val="20"/>
          <w:lang w:val="en-US"/>
        </w:rPr>
        <w:t xml:space="preserve"> that States should support</w:t>
      </w:r>
      <w:r w:rsidR="000D42CD" w:rsidRPr="009F337B">
        <w:rPr>
          <w:i w:val="0"/>
          <w:szCs w:val="20"/>
          <w:lang w:val="en-US"/>
        </w:rPr>
        <w:t xml:space="preserve"> the development of</w:t>
      </w:r>
      <w:r w:rsidR="001071B4" w:rsidRPr="009F337B">
        <w:rPr>
          <w:i w:val="0"/>
          <w:szCs w:val="20"/>
          <w:lang w:val="en-US"/>
        </w:rPr>
        <w:t xml:space="preserve"> adequate, accessible and effective </w:t>
      </w:r>
      <w:r w:rsidR="000D42CD" w:rsidRPr="009F337B">
        <w:rPr>
          <w:i w:val="0"/>
          <w:szCs w:val="20"/>
          <w:lang w:val="en-US"/>
        </w:rPr>
        <w:t xml:space="preserve">HIV-related prevention and care </w:t>
      </w:r>
      <w:r w:rsidR="001071B4" w:rsidRPr="009F337B">
        <w:rPr>
          <w:i w:val="0"/>
          <w:szCs w:val="20"/>
          <w:lang w:val="en-US"/>
        </w:rPr>
        <w:t xml:space="preserve">services by and for </w:t>
      </w:r>
      <w:r w:rsidR="000D42CD" w:rsidRPr="009F337B">
        <w:rPr>
          <w:i w:val="0"/>
          <w:szCs w:val="20"/>
          <w:lang w:val="en-US"/>
        </w:rPr>
        <w:t>vulnerable communities</w:t>
      </w:r>
      <w:r w:rsidR="001071B4" w:rsidRPr="009F337B">
        <w:rPr>
          <w:i w:val="0"/>
          <w:szCs w:val="20"/>
          <w:lang w:val="en-US"/>
        </w:rPr>
        <w:t xml:space="preserve">, and that they should ensure that all women of child-bearing age have access to </w:t>
      </w:r>
      <w:r w:rsidR="000D42CD" w:rsidRPr="009F337B">
        <w:rPr>
          <w:i w:val="0"/>
          <w:szCs w:val="20"/>
          <w:lang w:val="en-US"/>
        </w:rPr>
        <w:t>accurate and comprehensive</w:t>
      </w:r>
      <w:r w:rsidR="001071B4" w:rsidRPr="009F337B">
        <w:rPr>
          <w:i w:val="0"/>
          <w:szCs w:val="20"/>
          <w:lang w:val="en-US"/>
        </w:rPr>
        <w:t xml:space="preserve"> information and counselling on </w:t>
      </w:r>
      <w:r w:rsidR="000D42CD" w:rsidRPr="009F337B">
        <w:rPr>
          <w:i w:val="0"/>
          <w:szCs w:val="20"/>
          <w:lang w:val="en-US"/>
        </w:rPr>
        <w:t xml:space="preserve">the </w:t>
      </w:r>
      <w:r w:rsidR="001071B4" w:rsidRPr="009F337B">
        <w:rPr>
          <w:i w:val="0"/>
          <w:szCs w:val="20"/>
          <w:lang w:val="en-US"/>
        </w:rPr>
        <w:t xml:space="preserve">prevention of HIV transmission and the risk of </w:t>
      </w:r>
      <w:r w:rsidR="000D42CD" w:rsidRPr="009F337B">
        <w:rPr>
          <w:i w:val="0"/>
          <w:szCs w:val="20"/>
          <w:lang w:val="en-US"/>
        </w:rPr>
        <w:t xml:space="preserve">vertical </w:t>
      </w:r>
      <w:r w:rsidR="001071B4" w:rsidRPr="009F337B">
        <w:rPr>
          <w:i w:val="0"/>
          <w:szCs w:val="20"/>
          <w:lang w:val="en-US"/>
        </w:rPr>
        <w:t>transmission</w:t>
      </w:r>
      <w:r w:rsidR="000D42CD" w:rsidRPr="009F337B">
        <w:rPr>
          <w:i w:val="0"/>
          <w:szCs w:val="20"/>
          <w:lang w:val="en-US"/>
        </w:rPr>
        <w:t xml:space="preserve"> of HIV</w:t>
      </w:r>
      <w:r w:rsidR="001071B4" w:rsidRPr="009F337B">
        <w:rPr>
          <w:i w:val="0"/>
          <w:szCs w:val="20"/>
          <w:lang w:val="en-US"/>
        </w:rPr>
        <w:t>, a</w:t>
      </w:r>
      <w:r w:rsidR="000D42CD" w:rsidRPr="009F337B">
        <w:rPr>
          <w:i w:val="0"/>
          <w:szCs w:val="20"/>
          <w:lang w:val="en-US"/>
        </w:rPr>
        <w:t xml:space="preserve">s well as to </w:t>
      </w:r>
      <w:r w:rsidR="00310E7A">
        <w:rPr>
          <w:i w:val="0"/>
          <w:szCs w:val="20"/>
          <w:lang w:val="en-US"/>
        </w:rPr>
        <w:t xml:space="preserve">resources </w:t>
      </w:r>
      <w:r w:rsidR="000D42CD" w:rsidRPr="009F337B">
        <w:rPr>
          <w:i w:val="0"/>
          <w:szCs w:val="20"/>
          <w:lang w:val="en-US"/>
        </w:rPr>
        <w:t>available</w:t>
      </w:r>
      <w:r w:rsidR="001071B4" w:rsidRPr="009F337B">
        <w:rPr>
          <w:i w:val="0"/>
          <w:szCs w:val="20"/>
          <w:lang w:val="en-US"/>
        </w:rPr>
        <w:t xml:space="preserve"> to minimize th</w:t>
      </w:r>
      <w:r w:rsidR="000D42CD" w:rsidRPr="009F337B">
        <w:rPr>
          <w:i w:val="0"/>
          <w:szCs w:val="20"/>
          <w:lang w:val="en-US"/>
        </w:rPr>
        <w:t>at</w:t>
      </w:r>
      <w:r w:rsidR="001071B4" w:rsidRPr="009F337B">
        <w:rPr>
          <w:i w:val="0"/>
          <w:szCs w:val="20"/>
          <w:lang w:val="en-US"/>
        </w:rPr>
        <w:t xml:space="preserve"> risk.</w:t>
      </w:r>
      <w:r w:rsidR="00F46845" w:rsidRPr="009F337B">
        <w:rPr>
          <w:rStyle w:val="Refdenotaalpie"/>
          <w:i w:val="0"/>
          <w:lang w:val="en-US"/>
        </w:rPr>
        <w:footnoteReference w:id="161"/>
      </w:r>
    </w:p>
    <w:p w14:paraId="1359EF54" w14:textId="77777777" w:rsidR="00E92CA8" w:rsidRPr="009F337B" w:rsidRDefault="00E92CA8" w:rsidP="00E92CA8">
      <w:pPr>
        <w:pStyle w:val="Estilo1"/>
        <w:tabs>
          <w:tab w:val="left" w:pos="709"/>
          <w:tab w:val="left" w:pos="1134"/>
        </w:tabs>
        <w:spacing w:after="0"/>
        <w:ind w:left="0" w:right="-4" w:firstLine="0"/>
        <w:rPr>
          <w:rFonts w:eastAsia="Times" w:cs="Arial"/>
          <w:i w:val="0"/>
          <w:szCs w:val="20"/>
          <w:lang w:val="en-US"/>
        </w:rPr>
      </w:pPr>
    </w:p>
    <w:p w14:paraId="00A734DC" w14:textId="70FE4839" w:rsidR="003C1B66" w:rsidRPr="009F337B" w:rsidRDefault="000E73AE" w:rsidP="00593E37">
      <w:pPr>
        <w:pStyle w:val="Estilo1"/>
        <w:numPr>
          <w:ilvl w:val="0"/>
          <w:numId w:val="1"/>
        </w:numPr>
        <w:tabs>
          <w:tab w:val="left" w:pos="709"/>
          <w:tab w:val="left" w:pos="1134"/>
        </w:tabs>
        <w:spacing w:after="0"/>
        <w:ind w:left="0" w:right="-4" w:firstLine="0"/>
        <w:rPr>
          <w:rFonts w:eastAsia="Times" w:cs="Arial"/>
          <w:i w:val="0"/>
          <w:szCs w:val="20"/>
          <w:lang w:val="en-US"/>
        </w:rPr>
      </w:pPr>
      <w:r w:rsidRPr="009F337B">
        <w:rPr>
          <w:i w:val="0"/>
          <w:szCs w:val="20"/>
          <w:lang w:val="en-US"/>
        </w:rPr>
        <w:t xml:space="preserve">In </w:t>
      </w:r>
      <w:r w:rsidR="001071B4" w:rsidRPr="009F337B">
        <w:rPr>
          <w:i w:val="0"/>
          <w:szCs w:val="20"/>
          <w:lang w:val="en-US"/>
        </w:rPr>
        <w:t xml:space="preserve">this regard, the Court notes that </w:t>
      </w:r>
      <w:r w:rsidR="00F46845" w:rsidRPr="009F337B">
        <w:rPr>
          <w:i w:val="0"/>
          <w:szCs w:val="20"/>
          <w:lang w:val="en-US"/>
        </w:rPr>
        <w:t>25</w:t>
      </w:r>
      <w:r w:rsidR="00CC6A68" w:rsidRPr="009F337B">
        <w:rPr>
          <w:i w:val="0"/>
          <w:szCs w:val="20"/>
          <w:lang w:val="en-US"/>
        </w:rPr>
        <w:t xml:space="preserve"> of the </w:t>
      </w:r>
      <w:r w:rsidR="00A00EE5" w:rsidRPr="009F337B">
        <w:rPr>
          <w:i w:val="0"/>
          <w:szCs w:val="20"/>
          <w:lang w:val="en-US"/>
        </w:rPr>
        <w:t>presumed</w:t>
      </w:r>
      <w:r w:rsidR="003C46A3" w:rsidRPr="009F337B">
        <w:rPr>
          <w:i w:val="0"/>
          <w:szCs w:val="20"/>
          <w:lang w:val="en-US"/>
        </w:rPr>
        <w:t xml:space="preserve"> victims</w:t>
      </w:r>
      <w:r w:rsidR="00F46845" w:rsidRPr="009F337B">
        <w:rPr>
          <w:i w:val="0"/>
          <w:szCs w:val="20"/>
          <w:lang w:val="en-US"/>
        </w:rPr>
        <w:t xml:space="preserve"> </w:t>
      </w:r>
      <w:r w:rsidR="001071B4" w:rsidRPr="009F337B">
        <w:rPr>
          <w:i w:val="0"/>
          <w:szCs w:val="20"/>
          <w:lang w:val="en-US"/>
        </w:rPr>
        <w:t xml:space="preserve">in this case are women, of whom five were pregnant </w:t>
      </w:r>
      <w:r w:rsidR="000E28BD" w:rsidRPr="009F337B">
        <w:rPr>
          <w:i w:val="0"/>
          <w:szCs w:val="20"/>
          <w:lang w:val="en-US"/>
        </w:rPr>
        <w:t>when</w:t>
      </w:r>
      <w:r w:rsidR="001071B4" w:rsidRPr="009F337B">
        <w:rPr>
          <w:i w:val="0"/>
          <w:szCs w:val="20"/>
          <w:lang w:val="en-US"/>
        </w:rPr>
        <w:t xml:space="preserve"> they were diagnose</w:t>
      </w:r>
      <w:r w:rsidR="000E28BD" w:rsidRPr="009F337B">
        <w:rPr>
          <w:i w:val="0"/>
          <w:szCs w:val="20"/>
          <w:lang w:val="en-US"/>
        </w:rPr>
        <w:t>d</w:t>
      </w:r>
      <w:r w:rsidR="001071B4" w:rsidRPr="009F337B">
        <w:rPr>
          <w:i w:val="0"/>
          <w:szCs w:val="20"/>
          <w:lang w:val="en-US"/>
        </w:rPr>
        <w:t xml:space="preserve"> with HIV or became pregnant after their diagnosis.</w:t>
      </w:r>
      <w:r w:rsidR="00F46845" w:rsidRPr="009F337B">
        <w:rPr>
          <w:rStyle w:val="Refdenotaalpie"/>
          <w:i w:val="0"/>
          <w:lang w:val="en-US"/>
        </w:rPr>
        <w:footnoteReference w:id="162"/>
      </w:r>
    </w:p>
    <w:p w14:paraId="37E57BF9" w14:textId="2FCA88C7" w:rsidR="00F46845" w:rsidRPr="009F337B" w:rsidRDefault="00F46845" w:rsidP="003C1B66">
      <w:pPr>
        <w:pStyle w:val="Estilo1"/>
        <w:tabs>
          <w:tab w:val="left" w:pos="709"/>
          <w:tab w:val="left" w:pos="1134"/>
        </w:tabs>
        <w:spacing w:after="0"/>
        <w:ind w:left="0" w:right="-4" w:firstLine="0"/>
        <w:rPr>
          <w:rFonts w:eastAsia="Times" w:cs="Arial"/>
          <w:i w:val="0"/>
          <w:szCs w:val="20"/>
          <w:lang w:val="en-US"/>
        </w:rPr>
      </w:pPr>
    </w:p>
    <w:p w14:paraId="00C0FED9" w14:textId="254DD633" w:rsidR="00F46845" w:rsidRPr="009F337B" w:rsidRDefault="000E28BD" w:rsidP="00593E37">
      <w:pPr>
        <w:pStyle w:val="Estilo1"/>
        <w:numPr>
          <w:ilvl w:val="0"/>
          <w:numId w:val="1"/>
        </w:numPr>
        <w:tabs>
          <w:tab w:val="left" w:pos="709"/>
          <w:tab w:val="left" w:pos="1134"/>
        </w:tabs>
        <w:spacing w:after="0"/>
        <w:ind w:left="0" w:right="-4" w:firstLine="0"/>
        <w:rPr>
          <w:rFonts w:eastAsia="Times" w:cs="Arial"/>
          <w:i w:val="0"/>
          <w:szCs w:val="20"/>
          <w:lang w:val="en-US"/>
        </w:rPr>
      </w:pPr>
      <w:r w:rsidRPr="009F337B">
        <w:rPr>
          <w:i w:val="0"/>
          <w:szCs w:val="20"/>
          <w:lang w:val="en-US"/>
        </w:rPr>
        <w:t>In this regard,</w:t>
      </w:r>
      <w:r w:rsidR="001071B4" w:rsidRPr="009F337B">
        <w:rPr>
          <w:i w:val="0"/>
          <w:szCs w:val="20"/>
          <w:lang w:val="en-US"/>
        </w:rPr>
        <w:t xml:space="preserve"> the</w:t>
      </w:r>
      <w:r w:rsidR="00AE5F9E" w:rsidRPr="009F337B">
        <w:rPr>
          <w:i w:val="0"/>
          <w:szCs w:val="20"/>
          <w:lang w:val="en-US"/>
        </w:rPr>
        <w:t xml:space="preserve"> Court</w:t>
      </w:r>
      <w:r w:rsidR="00F46845" w:rsidRPr="009F337B">
        <w:rPr>
          <w:i w:val="0"/>
          <w:szCs w:val="20"/>
          <w:lang w:val="en-US"/>
        </w:rPr>
        <w:t xml:space="preserve"> </w:t>
      </w:r>
      <w:r w:rsidR="001071B4" w:rsidRPr="009F337B">
        <w:rPr>
          <w:i w:val="0"/>
          <w:szCs w:val="20"/>
          <w:lang w:val="en-US"/>
        </w:rPr>
        <w:t>notes the following</w:t>
      </w:r>
      <w:r w:rsidR="00F46845" w:rsidRPr="009F337B">
        <w:rPr>
          <w:i w:val="0"/>
          <w:szCs w:val="20"/>
          <w:lang w:val="en-US"/>
        </w:rPr>
        <w:t xml:space="preserve">: </w:t>
      </w:r>
      <w:r w:rsidR="001071B4" w:rsidRPr="009F337B">
        <w:rPr>
          <w:i w:val="0"/>
          <w:szCs w:val="20"/>
          <w:lang w:val="en-US"/>
        </w:rPr>
        <w:t>(</w:t>
      </w:r>
      <w:proofErr w:type="spellStart"/>
      <w:r w:rsidR="00F46845" w:rsidRPr="009F337B">
        <w:rPr>
          <w:i w:val="0"/>
          <w:szCs w:val="20"/>
          <w:lang w:val="en-US"/>
        </w:rPr>
        <w:t>i</w:t>
      </w:r>
      <w:proofErr w:type="spellEnd"/>
      <w:r w:rsidR="00F46845" w:rsidRPr="009F337B">
        <w:rPr>
          <w:i w:val="0"/>
          <w:szCs w:val="20"/>
          <w:lang w:val="en-US"/>
        </w:rPr>
        <w:t xml:space="preserve">) Sandra Lisbeth Zepeda Herrera </w:t>
      </w:r>
      <w:r w:rsidR="001071B4" w:rsidRPr="009F337B">
        <w:rPr>
          <w:i w:val="0"/>
          <w:szCs w:val="20"/>
          <w:lang w:val="en-US"/>
        </w:rPr>
        <w:t>was diagnosed with HIV</w:t>
      </w:r>
      <w:r w:rsidR="00F46845" w:rsidRPr="009F337B">
        <w:rPr>
          <w:i w:val="0"/>
          <w:szCs w:val="20"/>
          <w:lang w:val="en-US"/>
        </w:rPr>
        <w:t xml:space="preserve"> </w:t>
      </w:r>
      <w:r w:rsidR="001071B4" w:rsidRPr="009F337B">
        <w:rPr>
          <w:i w:val="0"/>
          <w:szCs w:val="20"/>
          <w:lang w:val="en-US"/>
        </w:rPr>
        <w:t xml:space="preserve">when she was seven months pregnant, but did not receive adequate treatment to avoid the </w:t>
      </w:r>
      <w:r w:rsidR="004E0093" w:rsidRPr="009F337B">
        <w:rPr>
          <w:i w:val="0"/>
          <w:szCs w:val="20"/>
          <w:lang w:val="en-US"/>
        </w:rPr>
        <w:t>vertical</w:t>
      </w:r>
      <w:r w:rsidR="001071B4" w:rsidRPr="009F337B">
        <w:rPr>
          <w:i w:val="0"/>
          <w:szCs w:val="20"/>
          <w:lang w:val="en-US"/>
        </w:rPr>
        <w:t xml:space="preserve"> transmission of the virus that occurred;</w:t>
      </w:r>
      <w:r w:rsidR="00F46845" w:rsidRPr="009F337B">
        <w:rPr>
          <w:rStyle w:val="Refdenotaalpie"/>
          <w:i w:val="0"/>
          <w:lang w:val="en-US"/>
        </w:rPr>
        <w:footnoteReference w:id="163"/>
      </w:r>
      <w:r w:rsidR="00F46845" w:rsidRPr="009F337B">
        <w:rPr>
          <w:i w:val="0"/>
          <w:szCs w:val="20"/>
          <w:lang w:val="en-US"/>
        </w:rPr>
        <w:t xml:space="preserve"> </w:t>
      </w:r>
      <w:r w:rsidR="001071B4" w:rsidRPr="009F337B">
        <w:rPr>
          <w:i w:val="0"/>
          <w:szCs w:val="20"/>
          <w:lang w:val="en-US"/>
        </w:rPr>
        <w:t>(</w:t>
      </w:r>
      <w:r w:rsidR="00F46845" w:rsidRPr="009F337B">
        <w:rPr>
          <w:i w:val="0"/>
          <w:szCs w:val="20"/>
          <w:lang w:val="en-US"/>
        </w:rPr>
        <w:t xml:space="preserve">ii) </w:t>
      </w:r>
      <w:proofErr w:type="spellStart"/>
      <w:r w:rsidR="00F46845" w:rsidRPr="009F337B">
        <w:rPr>
          <w:i w:val="0"/>
          <w:szCs w:val="20"/>
          <w:lang w:val="en-US"/>
        </w:rPr>
        <w:t>Pascuala</w:t>
      </w:r>
      <w:proofErr w:type="spellEnd"/>
      <w:r w:rsidR="00F46845" w:rsidRPr="009F337B">
        <w:rPr>
          <w:i w:val="0"/>
          <w:szCs w:val="20"/>
          <w:lang w:val="en-US"/>
        </w:rPr>
        <w:t xml:space="preserve"> de Jesús Mérida</w:t>
      </w:r>
      <w:r w:rsidR="007E6FEA" w:rsidRPr="009F337B">
        <w:rPr>
          <w:i w:val="0"/>
          <w:szCs w:val="20"/>
          <w:lang w:val="en-US"/>
        </w:rPr>
        <w:t xml:space="preserve"> Rodríguez</w:t>
      </w:r>
      <w:r w:rsidR="00F46845" w:rsidRPr="009F337B">
        <w:rPr>
          <w:i w:val="0"/>
          <w:szCs w:val="20"/>
          <w:lang w:val="en-US"/>
        </w:rPr>
        <w:t xml:space="preserve"> </w:t>
      </w:r>
      <w:r w:rsidR="001071B4" w:rsidRPr="009F337B">
        <w:rPr>
          <w:i w:val="0"/>
          <w:szCs w:val="20"/>
          <w:lang w:val="en-US"/>
        </w:rPr>
        <w:t>was five months pregnant when she</w:t>
      </w:r>
      <w:r w:rsidR="00F46845" w:rsidRPr="009F337B">
        <w:rPr>
          <w:i w:val="0"/>
          <w:szCs w:val="20"/>
          <w:lang w:val="en-US"/>
        </w:rPr>
        <w:t xml:space="preserve"> </w:t>
      </w:r>
      <w:r w:rsidR="001071B4" w:rsidRPr="009F337B">
        <w:rPr>
          <w:i w:val="0"/>
          <w:szCs w:val="20"/>
          <w:lang w:val="en-US"/>
        </w:rPr>
        <w:t>was diagnosed</w:t>
      </w:r>
      <w:r w:rsidR="00F46845" w:rsidRPr="009F337B">
        <w:rPr>
          <w:i w:val="0"/>
          <w:szCs w:val="20"/>
          <w:lang w:val="en-US"/>
        </w:rPr>
        <w:t xml:space="preserve"> </w:t>
      </w:r>
      <w:r w:rsidR="001071B4" w:rsidRPr="009F337B">
        <w:rPr>
          <w:i w:val="0"/>
          <w:szCs w:val="20"/>
          <w:lang w:val="en-US"/>
        </w:rPr>
        <w:t>with</w:t>
      </w:r>
      <w:r w:rsidR="00F46845" w:rsidRPr="009F337B">
        <w:rPr>
          <w:i w:val="0"/>
          <w:szCs w:val="20"/>
          <w:lang w:val="en-US"/>
        </w:rPr>
        <w:t xml:space="preserve"> </w:t>
      </w:r>
      <w:r w:rsidR="00CA11F6" w:rsidRPr="009F337B">
        <w:rPr>
          <w:i w:val="0"/>
          <w:szCs w:val="20"/>
          <w:lang w:val="en-US"/>
        </w:rPr>
        <w:t>HIV</w:t>
      </w:r>
      <w:r w:rsidR="00F46845" w:rsidRPr="009F337B">
        <w:rPr>
          <w:i w:val="0"/>
          <w:szCs w:val="20"/>
          <w:lang w:val="en-US"/>
        </w:rPr>
        <w:t>,</w:t>
      </w:r>
      <w:r w:rsidR="003C46A3" w:rsidRPr="009F337B">
        <w:rPr>
          <w:i w:val="0"/>
          <w:szCs w:val="20"/>
          <w:lang w:val="en-US"/>
        </w:rPr>
        <w:t xml:space="preserve"> and </w:t>
      </w:r>
      <w:r w:rsidR="000D42CD" w:rsidRPr="009F337B">
        <w:rPr>
          <w:i w:val="0"/>
          <w:szCs w:val="20"/>
          <w:lang w:val="en-US"/>
        </w:rPr>
        <w:t>al</w:t>
      </w:r>
      <w:r w:rsidR="001071B4" w:rsidRPr="009F337B">
        <w:rPr>
          <w:i w:val="0"/>
          <w:szCs w:val="20"/>
          <w:lang w:val="en-US"/>
        </w:rPr>
        <w:t xml:space="preserve">though she received </w:t>
      </w:r>
      <w:r w:rsidR="00FE1EFF" w:rsidRPr="009F337B">
        <w:rPr>
          <w:i w:val="0"/>
          <w:szCs w:val="20"/>
          <w:lang w:val="en-US"/>
        </w:rPr>
        <w:t>antiretroviral treatment</w:t>
      </w:r>
      <w:r w:rsidR="00F46845" w:rsidRPr="009F337B">
        <w:rPr>
          <w:i w:val="0"/>
          <w:szCs w:val="20"/>
          <w:lang w:val="en-US"/>
        </w:rPr>
        <w:t xml:space="preserve"> </w:t>
      </w:r>
      <w:r w:rsidR="001071B4" w:rsidRPr="009F337B">
        <w:rPr>
          <w:i w:val="0"/>
          <w:szCs w:val="20"/>
          <w:lang w:val="en-US"/>
        </w:rPr>
        <w:t>from</w:t>
      </w:r>
      <w:r w:rsidR="00F46845" w:rsidRPr="009F337B">
        <w:rPr>
          <w:i w:val="0"/>
          <w:szCs w:val="20"/>
          <w:lang w:val="en-US"/>
        </w:rPr>
        <w:t xml:space="preserve"> MSF </w:t>
      </w:r>
      <w:r w:rsidR="001071B4" w:rsidRPr="009F337B">
        <w:rPr>
          <w:i w:val="0"/>
          <w:szCs w:val="20"/>
          <w:lang w:val="en-US"/>
        </w:rPr>
        <w:t xml:space="preserve">during her pregnancy, the medical staff of the hospital where she gave birth to her son refused to perform the planned </w:t>
      </w:r>
      <w:r w:rsidR="001071B4" w:rsidRPr="009F337B">
        <w:rPr>
          <w:bCs/>
          <w:i w:val="0"/>
          <w:lang w:val="en-US"/>
        </w:rPr>
        <w:t>cesarean section, which meant that she risked transmitting the virus to her son,</w:t>
      </w:r>
      <w:r w:rsidR="00F46845" w:rsidRPr="009F337B">
        <w:rPr>
          <w:rStyle w:val="Refdenotaalpie"/>
          <w:i w:val="0"/>
          <w:lang w:val="en-US"/>
        </w:rPr>
        <w:footnoteReference w:id="164"/>
      </w:r>
      <w:r w:rsidR="003C46A3" w:rsidRPr="009F337B">
        <w:rPr>
          <w:i w:val="0"/>
          <w:szCs w:val="20"/>
          <w:lang w:val="en-US"/>
        </w:rPr>
        <w:t xml:space="preserve"> and </w:t>
      </w:r>
      <w:r w:rsidR="001071B4" w:rsidRPr="009F337B">
        <w:rPr>
          <w:i w:val="0"/>
          <w:szCs w:val="20"/>
          <w:lang w:val="en-US"/>
        </w:rPr>
        <w:t>(</w:t>
      </w:r>
      <w:r w:rsidR="00F46845" w:rsidRPr="009F337B">
        <w:rPr>
          <w:i w:val="0"/>
          <w:szCs w:val="20"/>
          <w:lang w:val="en-US"/>
        </w:rPr>
        <w:t xml:space="preserve">iii) </w:t>
      </w:r>
      <w:r w:rsidR="001071B4" w:rsidRPr="009F337B">
        <w:rPr>
          <w:i w:val="0"/>
          <w:szCs w:val="20"/>
          <w:lang w:val="en-US"/>
        </w:rPr>
        <w:t xml:space="preserve">regarding the care received by </w:t>
      </w:r>
      <w:proofErr w:type="spellStart"/>
      <w:r w:rsidR="002E10B2" w:rsidRPr="009F337B">
        <w:rPr>
          <w:i w:val="0"/>
          <w:szCs w:val="20"/>
          <w:lang w:val="en-US"/>
        </w:rPr>
        <w:t>Sai</w:t>
      </w:r>
      <w:r w:rsidR="00F46845" w:rsidRPr="009F337B">
        <w:rPr>
          <w:i w:val="0"/>
          <w:szCs w:val="20"/>
          <w:lang w:val="en-US"/>
        </w:rPr>
        <w:t>ra</w:t>
      </w:r>
      <w:proofErr w:type="spellEnd"/>
      <w:r w:rsidR="00F46845" w:rsidRPr="009F337B">
        <w:rPr>
          <w:i w:val="0"/>
          <w:szCs w:val="20"/>
          <w:lang w:val="en-US"/>
        </w:rPr>
        <w:t xml:space="preserve"> Elisa Barrios, Corina </w:t>
      </w:r>
      <w:proofErr w:type="spellStart"/>
      <w:r w:rsidR="00F46845" w:rsidRPr="009F337B">
        <w:rPr>
          <w:i w:val="0"/>
          <w:szCs w:val="20"/>
          <w:lang w:val="en-US"/>
        </w:rPr>
        <w:t>Dianeth</w:t>
      </w:r>
      <w:proofErr w:type="spellEnd"/>
      <w:r w:rsidR="00F46845" w:rsidRPr="009F337B">
        <w:rPr>
          <w:i w:val="0"/>
          <w:szCs w:val="20"/>
          <w:lang w:val="en-US"/>
        </w:rPr>
        <w:t xml:space="preserve"> Robledo</w:t>
      </w:r>
      <w:r w:rsidR="00413D58" w:rsidRPr="009F337B">
        <w:rPr>
          <w:i w:val="0"/>
          <w:szCs w:val="20"/>
          <w:lang w:val="en-US"/>
        </w:rPr>
        <w:t xml:space="preserve"> Alvarado</w:t>
      </w:r>
      <w:r w:rsidR="003C46A3" w:rsidRPr="009F337B">
        <w:rPr>
          <w:i w:val="0"/>
          <w:szCs w:val="20"/>
          <w:lang w:val="en-US"/>
        </w:rPr>
        <w:t xml:space="preserve"> and </w:t>
      </w:r>
      <w:r w:rsidR="00F46845" w:rsidRPr="009F337B">
        <w:rPr>
          <w:i w:val="0"/>
          <w:szCs w:val="20"/>
          <w:lang w:val="en-US"/>
        </w:rPr>
        <w:t>Dora Marina Martínez</w:t>
      </w:r>
      <w:r w:rsidR="00413D58" w:rsidRPr="009F337B">
        <w:rPr>
          <w:i w:val="0"/>
          <w:szCs w:val="20"/>
          <w:lang w:val="en-US"/>
        </w:rPr>
        <w:t xml:space="preserve"> </w:t>
      </w:r>
      <w:proofErr w:type="spellStart"/>
      <w:r w:rsidR="00413D58" w:rsidRPr="009F337B">
        <w:rPr>
          <w:i w:val="0"/>
          <w:szCs w:val="20"/>
          <w:lang w:val="en-US"/>
        </w:rPr>
        <w:t>Sofoifa</w:t>
      </w:r>
      <w:proofErr w:type="spellEnd"/>
      <w:r w:rsidR="00F46845" w:rsidRPr="009F337B">
        <w:rPr>
          <w:i w:val="0"/>
          <w:szCs w:val="20"/>
          <w:lang w:val="en-US"/>
        </w:rPr>
        <w:t xml:space="preserve">, </w:t>
      </w:r>
      <w:r w:rsidR="00AE5F9E" w:rsidRPr="009F337B">
        <w:rPr>
          <w:i w:val="0"/>
          <w:szCs w:val="20"/>
          <w:lang w:val="en-US"/>
        </w:rPr>
        <w:t>the Court</w:t>
      </w:r>
      <w:r w:rsidR="00F46845" w:rsidRPr="009F337B">
        <w:rPr>
          <w:i w:val="0"/>
          <w:szCs w:val="20"/>
          <w:lang w:val="en-US"/>
        </w:rPr>
        <w:t xml:space="preserve"> </w:t>
      </w:r>
      <w:r w:rsidR="001071B4" w:rsidRPr="009F337B">
        <w:rPr>
          <w:i w:val="0"/>
          <w:szCs w:val="20"/>
          <w:lang w:val="en-US"/>
        </w:rPr>
        <w:t xml:space="preserve">has insufficient information to determine any </w:t>
      </w:r>
      <w:r w:rsidR="000D42CD" w:rsidRPr="009F337B">
        <w:rPr>
          <w:i w:val="0"/>
          <w:szCs w:val="20"/>
          <w:lang w:val="en-US"/>
        </w:rPr>
        <w:t xml:space="preserve">State </w:t>
      </w:r>
      <w:r w:rsidR="001071B4" w:rsidRPr="009F337B">
        <w:rPr>
          <w:i w:val="0"/>
          <w:szCs w:val="20"/>
          <w:lang w:val="en-US"/>
        </w:rPr>
        <w:t xml:space="preserve">acts or omissions related </w:t>
      </w:r>
      <w:r w:rsidR="000D42CD" w:rsidRPr="009F337B">
        <w:rPr>
          <w:i w:val="0"/>
          <w:szCs w:val="20"/>
          <w:lang w:val="en-US"/>
        </w:rPr>
        <w:t>to</w:t>
      </w:r>
      <w:r w:rsidR="001071B4" w:rsidRPr="009F337B">
        <w:rPr>
          <w:i w:val="0"/>
          <w:szCs w:val="20"/>
          <w:lang w:val="en-US"/>
        </w:rPr>
        <w:t xml:space="preserve"> their care as pregnant women living with </w:t>
      </w:r>
      <w:r w:rsidR="00CA11F6" w:rsidRPr="009F337B">
        <w:rPr>
          <w:i w:val="0"/>
          <w:szCs w:val="20"/>
          <w:lang w:val="en-US"/>
        </w:rPr>
        <w:t>HIV</w:t>
      </w:r>
      <w:r w:rsidR="00F46845" w:rsidRPr="009F337B">
        <w:rPr>
          <w:i w:val="0"/>
          <w:szCs w:val="20"/>
          <w:lang w:val="en-US"/>
        </w:rPr>
        <w:t>.</w:t>
      </w:r>
    </w:p>
    <w:p w14:paraId="1BFA2FD8" w14:textId="77777777" w:rsidR="008E387F" w:rsidRPr="009F337B" w:rsidRDefault="008E387F" w:rsidP="008E387F">
      <w:pPr>
        <w:pStyle w:val="Estilo1"/>
        <w:tabs>
          <w:tab w:val="left" w:pos="709"/>
          <w:tab w:val="left" w:pos="1134"/>
        </w:tabs>
        <w:spacing w:after="0"/>
        <w:ind w:left="0" w:right="-4" w:firstLine="0"/>
        <w:rPr>
          <w:rFonts w:eastAsia="Times" w:cs="Arial"/>
          <w:i w:val="0"/>
          <w:szCs w:val="20"/>
          <w:lang w:val="en-US"/>
        </w:rPr>
      </w:pPr>
    </w:p>
    <w:p w14:paraId="464AE9B7" w14:textId="0F392B72" w:rsidR="00F46845" w:rsidRPr="009F337B" w:rsidRDefault="001071B4" w:rsidP="00593E37">
      <w:pPr>
        <w:pStyle w:val="Estilo1"/>
        <w:numPr>
          <w:ilvl w:val="0"/>
          <w:numId w:val="1"/>
        </w:numPr>
        <w:tabs>
          <w:tab w:val="left" w:pos="709"/>
          <w:tab w:val="left" w:pos="1134"/>
        </w:tabs>
        <w:spacing w:after="0"/>
        <w:ind w:left="0" w:right="-4" w:firstLine="0"/>
        <w:rPr>
          <w:rFonts w:eastAsia="Times" w:cs="Arial"/>
          <w:i w:val="0"/>
          <w:szCs w:val="20"/>
          <w:lang w:val="en-US"/>
        </w:rPr>
      </w:pPr>
      <w:r w:rsidRPr="009F337B">
        <w:rPr>
          <w:i w:val="0"/>
          <w:szCs w:val="20"/>
          <w:lang w:val="en-US"/>
        </w:rPr>
        <w:t>Consequently</w:t>
      </w:r>
      <w:r w:rsidR="003373E6" w:rsidRPr="009F337B">
        <w:rPr>
          <w:i w:val="0"/>
          <w:szCs w:val="20"/>
          <w:lang w:val="en-US"/>
        </w:rPr>
        <w:t xml:space="preserve">, </w:t>
      </w:r>
      <w:r w:rsidR="008C399E" w:rsidRPr="009F337B">
        <w:rPr>
          <w:i w:val="0"/>
          <w:szCs w:val="20"/>
          <w:lang w:val="en-US"/>
        </w:rPr>
        <w:t>the Court</w:t>
      </w:r>
      <w:r w:rsidR="003373E6" w:rsidRPr="009F337B">
        <w:rPr>
          <w:i w:val="0"/>
          <w:szCs w:val="20"/>
          <w:lang w:val="en-US"/>
        </w:rPr>
        <w:t xml:space="preserve"> conside</w:t>
      </w:r>
      <w:r w:rsidRPr="009F337B">
        <w:rPr>
          <w:i w:val="0"/>
          <w:szCs w:val="20"/>
          <w:lang w:val="en-US"/>
        </w:rPr>
        <w:t xml:space="preserve">rs that the failure to provide </w:t>
      </w:r>
      <w:r w:rsidR="00FE1EFF" w:rsidRPr="009F337B">
        <w:rPr>
          <w:i w:val="0"/>
          <w:szCs w:val="20"/>
          <w:lang w:val="en-US"/>
        </w:rPr>
        <w:t>antiretroviral treatment</w:t>
      </w:r>
      <w:r w:rsidR="00F46845" w:rsidRPr="009F337B">
        <w:rPr>
          <w:i w:val="0"/>
          <w:szCs w:val="20"/>
          <w:lang w:val="en-US"/>
        </w:rPr>
        <w:t xml:space="preserve"> </w:t>
      </w:r>
      <w:r w:rsidRPr="009F337B">
        <w:rPr>
          <w:i w:val="0"/>
          <w:szCs w:val="20"/>
          <w:lang w:val="en-US"/>
        </w:rPr>
        <w:t>to</w:t>
      </w:r>
      <w:r w:rsidR="00F46845" w:rsidRPr="009F337B">
        <w:rPr>
          <w:i w:val="0"/>
          <w:szCs w:val="20"/>
          <w:lang w:val="en-US"/>
        </w:rPr>
        <w:t xml:space="preserve"> </w:t>
      </w:r>
      <w:r w:rsidR="007F1AEB" w:rsidRPr="009F337B">
        <w:rPr>
          <w:i w:val="0"/>
          <w:szCs w:val="20"/>
          <w:lang w:val="en-US"/>
        </w:rPr>
        <w:t>Mrs.</w:t>
      </w:r>
      <w:r w:rsidR="00F46845" w:rsidRPr="009F337B">
        <w:rPr>
          <w:i w:val="0"/>
          <w:szCs w:val="20"/>
          <w:lang w:val="en-US"/>
        </w:rPr>
        <w:t xml:space="preserve"> Zepeda Herrer</w:t>
      </w:r>
      <w:r w:rsidR="003373E6" w:rsidRPr="009F337B">
        <w:rPr>
          <w:i w:val="0"/>
          <w:szCs w:val="20"/>
          <w:lang w:val="en-US"/>
        </w:rPr>
        <w:t xml:space="preserve">a </w:t>
      </w:r>
      <w:r w:rsidRPr="009F337B">
        <w:rPr>
          <w:i w:val="0"/>
          <w:szCs w:val="20"/>
          <w:lang w:val="en-US"/>
        </w:rPr>
        <w:t xml:space="preserve">when she was pregnant, and to perform a </w:t>
      </w:r>
      <w:r w:rsidRPr="009F337B">
        <w:rPr>
          <w:bCs/>
          <w:i w:val="0"/>
          <w:lang w:val="en-US"/>
        </w:rPr>
        <w:t>cesarean section</w:t>
      </w:r>
      <w:r w:rsidRPr="009F337B">
        <w:rPr>
          <w:i w:val="0"/>
          <w:szCs w:val="20"/>
          <w:lang w:val="en-US"/>
        </w:rPr>
        <w:t xml:space="preserve"> in the case of </w:t>
      </w:r>
      <w:r w:rsidR="007F1AEB" w:rsidRPr="009F337B">
        <w:rPr>
          <w:i w:val="0"/>
          <w:szCs w:val="20"/>
          <w:lang w:val="en-US"/>
        </w:rPr>
        <w:t>Mrs.</w:t>
      </w:r>
      <w:r w:rsidR="00F46845" w:rsidRPr="009F337B">
        <w:rPr>
          <w:i w:val="0"/>
          <w:szCs w:val="20"/>
          <w:lang w:val="en-US"/>
        </w:rPr>
        <w:t xml:space="preserve"> Jesús Mérida </w:t>
      </w:r>
      <w:r w:rsidRPr="009F337B">
        <w:rPr>
          <w:i w:val="0"/>
          <w:szCs w:val="20"/>
          <w:lang w:val="en-US"/>
        </w:rPr>
        <w:t xml:space="preserve">when this had been programmed as a preventive measure constituted a form of gender-based discrimination, because the State failed to provide adequate medical care to pregnant women living with HIV, </w:t>
      </w:r>
      <w:r w:rsidR="000D42CD" w:rsidRPr="009F337B">
        <w:rPr>
          <w:i w:val="0"/>
          <w:szCs w:val="20"/>
          <w:lang w:val="en-US"/>
        </w:rPr>
        <w:t>and this</w:t>
      </w:r>
      <w:r w:rsidRPr="009F337B">
        <w:rPr>
          <w:i w:val="0"/>
          <w:szCs w:val="20"/>
          <w:lang w:val="en-US"/>
        </w:rPr>
        <w:t xml:space="preserve"> had a differentiated impact and resulted in a risk of </w:t>
      </w:r>
      <w:r w:rsidR="004E0093" w:rsidRPr="009F337B">
        <w:rPr>
          <w:i w:val="0"/>
          <w:szCs w:val="20"/>
          <w:lang w:val="en-US"/>
        </w:rPr>
        <w:t>vertical</w:t>
      </w:r>
      <w:r w:rsidRPr="009F337B">
        <w:rPr>
          <w:i w:val="0"/>
          <w:szCs w:val="20"/>
          <w:lang w:val="en-US"/>
        </w:rPr>
        <w:t xml:space="preserve"> transmission of HIV to their offspring. The Court notes that, according to information submitted by expert witness </w:t>
      </w:r>
      <w:r w:rsidR="00F46845" w:rsidRPr="009F337B">
        <w:rPr>
          <w:i w:val="0"/>
          <w:szCs w:val="20"/>
          <w:lang w:val="en-US"/>
        </w:rPr>
        <w:t xml:space="preserve">Oscar Cabrera, </w:t>
      </w:r>
      <w:r w:rsidRPr="009F337B">
        <w:rPr>
          <w:i w:val="0"/>
          <w:szCs w:val="20"/>
          <w:lang w:val="en-US"/>
        </w:rPr>
        <w:t xml:space="preserve">preventing mother-to-child transmission of HIV is a priority for eliminating HIV in children, because more than 90% of children with HIV are infected through their mothers during pregnancy, labor, birth, and breast-feeding and, without treatment, more than half the children with HIV will die </w:t>
      </w:r>
      <w:r w:rsidR="000D42CD" w:rsidRPr="009F337B">
        <w:rPr>
          <w:i w:val="0"/>
          <w:szCs w:val="20"/>
          <w:lang w:val="en-US"/>
        </w:rPr>
        <w:t>with</w:t>
      </w:r>
      <w:r w:rsidRPr="009F337B">
        <w:rPr>
          <w:i w:val="0"/>
          <w:szCs w:val="20"/>
          <w:lang w:val="en-US"/>
        </w:rPr>
        <w:t>in the</w:t>
      </w:r>
      <w:r w:rsidR="000D42CD" w:rsidRPr="009F337B">
        <w:rPr>
          <w:i w:val="0"/>
          <w:szCs w:val="20"/>
          <w:lang w:val="en-US"/>
        </w:rPr>
        <w:t>ir</w:t>
      </w:r>
      <w:r w:rsidRPr="009F337B">
        <w:rPr>
          <w:i w:val="0"/>
          <w:szCs w:val="20"/>
          <w:lang w:val="en-US"/>
        </w:rPr>
        <w:t xml:space="preserve"> first two years of life.</w:t>
      </w:r>
      <w:r w:rsidR="00F46845" w:rsidRPr="009F337B">
        <w:rPr>
          <w:rStyle w:val="Refdenotaalpie"/>
          <w:i w:val="0"/>
          <w:lang w:val="en-US"/>
        </w:rPr>
        <w:footnoteReference w:id="165"/>
      </w:r>
    </w:p>
    <w:p w14:paraId="61A36C18" w14:textId="77777777" w:rsidR="008E387F" w:rsidRPr="009F337B" w:rsidRDefault="008E387F" w:rsidP="008E387F">
      <w:pPr>
        <w:pStyle w:val="Estilo1"/>
        <w:tabs>
          <w:tab w:val="left" w:pos="709"/>
          <w:tab w:val="left" w:pos="1134"/>
        </w:tabs>
        <w:spacing w:after="0"/>
        <w:ind w:left="0" w:right="-4" w:firstLine="0"/>
        <w:rPr>
          <w:rFonts w:eastAsia="Times" w:cs="Arial"/>
          <w:i w:val="0"/>
          <w:szCs w:val="20"/>
          <w:lang w:val="en-US"/>
        </w:rPr>
      </w:pPr>
    </w:p>
    <w:p w14:paraId="0534BD05" w14:textId="0FBD8F77" w:rsidR="0008786B" w:rsidRPr="009F337B" w:rsidRDefault="001071B4" w:rsidP="00593E37">
      <w:pPr>
        <w:pStyle w:val="Estilo1"/>
        <w:numPr>
          <w:ilvl w:val="0"/>
          <w:numId w:val="1"/>
        </w:numPr>
        <w:tabs>
          <w:tab w:val="left" w:pos="709"/>
          <w:tab w:val="left" w:pos="1134"/>
        </w:tabs>
        <w:spacing w:after="0"/>
        <w:ind w:left="0" w:right="-4" w:firstLine="0"/>
        <w:rPr>
          <w:rFonts w:eastAsia="Times" w:cs="Arial"/>
          <w:i w:val="0"/>
          <w:szCs w:val="20"/>
          <w:lang w:val="en-US"/>
        </w:rPr>
      </w:pPr>
      <w:r w:rsidRPr="009F337B">
        <w:rPr>
          <w:rFonts w:eastAsia="Times" w:cs="Arial"/>
          <w:i w:val="0"/>
          <w:szCs w:val="20"/>
          <w:lang w:val="en-US"/>
        </w:rPr>
        <w:t>Furthermore, the Court considers that the condition</w:t>
      </w:r>
      <w:r w:rsidR="000D42CD" w:rsidRPr="009F337B">
        <w:rPr>
          <w:rFonts w:eastAsia="Times" w:cs="Arial"/>
          <w:i w:val="0"/>
          <w:szCs w:val="20"/>
          <w:lang w:val="en-US"/>
        </w:rPr>
        <w:t>s</w:t>
      </w:r>
      <w:r w:rsidRPr="009F337B">
        <w:rPr>
          <w:rFonts w:eastAsia="Times" w:cs="Arial"/>
          <w:i w:val="0"/>
          <w:szCs w:val="20"/>
          <w:lang w:val="en-US"/>
        </w:rPr>
        <w:t xml:space="preserve"> of </w:t>
      </w:r>
      <w:r w:rsidR="000D42CD" w:rsidRPr="009F337B">
        <w:rPr>
          <w:rFonts w:eastAsia="Times" w:cs="Arial"/>
          <w:i w:val="0"/>
          <w:szCs w:val="20"/>
          <w:lang w:val="en-US"/>
        </w:rPr>
        <w:t xml:space="preserve">being </w:t>
      </w:r>
      <w:r w:rsidRPr="009F337B">
        <w:rPr>
          <w:rFonts w:eastAsia="Times" w:cs="Arial"/>
          <w:i w:val="0"/>
          <w:szCs w:val="20"/>
          <w:lang w:val="en-US"/>
        </w:rPr>
        <w:t>women living with HIV and being pregnant co</w:t>
      </w:r>
      <w:r w:rsidR="000D42CD" w:rsidRPr="009F337B">
        <w:rPr>
          <w:rFonts w:eastAsia="Times" w:cs="Arial"/>
          <w:i w:val="0"/>
          <w:szCs w:val="20"/>
          <w:lang w:val="en-US"/>
        </w:rPr>
        <w:t>alesced</w:t>
      </w:r>
      <w:r w:rsidRPr="009F337B">
        <w:rPr>
          <w:rFonts w:eastAsia="Times" w:cs="Arial"/>
          <w:i w:val="0"/>
          <w:szCs w:val="20"/>
          <w:lang w:val="en-US"/>
        </w:rPr>
        <w:t xml:space="preserve"> in an intersectional manner for Mrs. Zepeda Herrera and Mrs. Jesús Mérida who, owing to their situation, formed part of a vulnerable group so that the discrimination against them was the result of several factors that intersected and </w:t>
      </w:r>
      <w:r w:rsidR="005738CE" w:rsidRPr="009F337B">
        <w:rPr>
          <w:rFonts w:eastAsia="Times" w:cs="Arial"/>
          <w:i w:val="0"/>
          <w:szCs w:val="20"/>
          <w:lang w:val="en-US"/>
        </w:rPr>
        <w:lastRenderedPageBreak/>
        <w:t>conditioned each other. In this regard, the Court recalls that intersectional discrimination is the result of the confluence of different factors of vulnerability or sources of discrimination associated with certain conditions of an individual. Thus, as the Court has indicated, discrimination against women based on sex and gender is indivisibly combined with other factors that affect women, and this type of discrimination may affect women from some groups to a different degree or in a different way than it affects men. Consequently, in their legal instruments, States should recognize and prohibit these intersecting forms of discrimination and their combined negative impact on the women concerned, as well as adopt and implement policies and programs to eliminate such situations.</w:t>
      </w:r>
      <w:r w:rsidR="00603BE7" w:rsidRPr="009F337B">
        <w:rPr>
          <w:rStyle w:val="Refdenotaalpie"/>
          <w:rFonts w:eastAsia="Times"/>
          <w:i w:val="0"/>
          <w:lang w:val="en-US"/>
        </w:rPr>
        <w:footnoteReference w:id="166"/>
      </w:r>
    </w:p>
    <w:p w14:paraId="7C5D9B6C" w14:textId="77777777" w:rsidR="008E387F" w:rsidRPr="009F337B" w:rsidRDefault="008E387F" w:rsidP="008E387F">
      <w:pPr>
        <w:pStyle w:val="Estilo1"/>
        <w:tabs>
          <w:tab w:val="left" w:pos="709"/>
          <w:tab w:val="left" w:pos="1134"/>
        </w:tabs>
        <w:spacing w:after="0"/>
        <w:ind w:left="0" w:right="-4" w:firstLine="0"/>
        <w:rPr>
          <w:rFonts w:eastAsia="Times" w:cs="Arial"/>
          <w:i w:val="0"/>
          <w:szCs w:val="20"/>
          <w:lang w:val="en-US"/>
        </w:rPr>
      </w:pPr>
    </w:p>
    <w:p w14:paraId="007C5746" w14:textId="16595820" w:rsidR="00975B9D" w:rsidRPr="009F337B" w:rsidRDefault="005738CE" w:rsidP="00593E37">
      <w:pPr>
        <w:pStyle w:val="Estilo1"/>
        <w:numPr>
          <w:ilvl w:val="0"/>
          <w:numId w:val="1"/>
        </w:numPr>
        <w:tabs>
          <w:tab w:val="left" w:pos="709"/>
          <w:tab w:val="left" w:pos="1134"/>
        </w:tabs>
        <w:spacing w:after="0"/>
        <w:ind w:left="0" w:right="-4" w:firstLine="0"/>
        <w:rPr>
          <w:rFonts w:eastAsia="Times" w:cs="Arial"/>
          <w:i w:val="0"/>
          <w:szCs w:val="20"/>
          <w:lang w:val="en-US"/>
        </w:rPr>
      </w:pPr>
      <w:r w:rsidRPr="009F337B">
        <w:rPr>
          <w:i w:val="0"/>
          <w:lang w:val="en-US"/>
        </w:rPr>
        <w:t>Consequently</w:t>
      </w:r>
      <w:r w:rsidR="001F2110" w:rsidRPr="009F337B">
        <w:rPr>
          <w:i w:val="0"/>
          <w:lang w:val="en-US"/>
        </w:rPr>
        <w:t xml:space="preserve">, </w:t>
      </w:r>
      <w:r w:rsidR="00AE5F9E" w:rsidRPr="009F337B">
        <w:rPr>
          <w:i w:val="0"/>
          <w:lang w:val="en-US"/>
        </w:rPr>
        <w:t>the Court</w:t>
      </w:r>
      <w:r w:rsidR="001F2110" w:rsidRPr="009F337B">
        <w:rPr>
          <w:i w:val="0"/>
          <w:lang w:val="en-US"/>
        </w:rPr>
        <w:t xml:space="preserve"> conclu</w:t>
      </w:r>
      <w:r w:rsidRPr="009F337B">
        <w:rPr>
          <w:i w:val="0"/>
          <w:lang w:val="en-US"/>
        </w:rPr>
        <w:t>des that</w:t>
      </w:r>
      <w:r w:rsidR="001F2110" w:rsidRPr="009F337B">
        <w:rPr>
          <w:i w:val="0"/>
          <w:lang w:val="en-US"/>
        </w:rPr>
        <w:t xml:space="preserve"> </w:t>
      </w:r>
      <w:r w:rsidR="003C46A3" w:rsidRPr="009F337B">
        <w:rPr>
          <w:i w:val="0"/>
          <w:lang w:val="en-US"/>
        </w:rPr>
        <w:t>the State</w:t>
      </w:r>
      <w:r w:rsidR="001F2110" w:rsidRPr="009F337B">
        <w:rPr>
          <w:i w:val="0"/>
          <w:lang w:val="en-US"/>
        </w:rPr>
        <w:t xml:space="preserve"> </w:t>
      </w:r>
      <w:r w:rsidRPr="009F337B">
        <w:rPr>
          <w:i w:val="0"/>
          <w:lang w:val="en-US"/>
        </w:rPr>
        <w:t xml:space="preserve">is responsible for the violation of the prohibition of discrimination </w:t>
      </w:r>
      <w:r w:rsidR="000E73AE" w:rsidRPr="009F337B">
        <w:rPr>
          <w:i w:val="0"/>
          <w:lang w:val="en-US"/>
        </w:rPr>
        <w:t>in relation to</w:t>
      </w:r>
      <w:r w:rsidR="001F2110" w:rsidRPr="009F337B">
        <w:rPr>
          <w:i w:val="0"/>
          <w:lang w:val="en-US"/>
        </w:rPr>
        <w:t xml:space="preserve"> </w:t>
      </w:r>
      <w:r w:rsidRPr="009F337B">
        <w:rPr>
          <w:i w:val="0"/>
          <w:lang w:val="en-US"/>
        </w:rPr>
        <w:t xml:space="preserve">the obligation to ensure </w:t>
      </w:r>
      <w:r w:rsidR="00A51F3B" w:rsidRPr="009F337B">
        <w:rPr>
          <w:i w:val="0"/>
          <w:lang w:val="en-US"/>
        </w:rPr>
        <w:t>the right to health</w:t>
      </w:r>
      <w:r w:rsidR="001F2110" w:rsidRPr="009F337B">
        <w:rPr>
          <w:i w:val="0"/>
          <w:lang w:val="en-US"/>
        </w:rPr>
        <w:t xml:space="preserve">, </w:t>
      </w:r>
      <w:r w:rsidRPr="009F337B">
        <w:rPr>
          <w:i w:val="0"/>
          <w:lang w:val="en-US"/>
        </w:rPr>
        <w:t>recognized in</w:t>
      </w:r>
      <w:r w:rsidR="001F2110" w:rsidRPr="009F337B">
        <w:rPr>
          <w:i w:val="0"/>
          <w:lang w:val="en-US"/>
        </w:rPr>
        <w:t xml:space="preserve"> </w:t>
      </w:r>
      <w:r w:rsidR="00AE5F9E" w:rsidRPr="009F337B">
        <w:rPr>
          <w:i w:val="0"/>
          <w:lang w:val="en-US"/>
        </w:rPr>
        <w:t>Article</w:t>
      </w:r>
      <w:r w:rsidR="001F2110" w:rsidRPr="009F337B">
        <w:rPr>
          <w:i w:val="0"/>
          <w:lang w:val="en-US"/>
        </w:rPr>
        <w:t xml:space="preserve"> 26</w:t>
      </w:r>
      <w:r w:rsidR="00AE5F9E" w:rsidRPr="009F337B">
        <w:rPr>
          <w:i w:val="0"/>
          <w:lang w:val="en-US"/>
        </w:rPr>
        <w:t xml:space="preserve"> of the Convention</w:t>
      </w:r>
      <w:r w:rsidR="001F2110" w:rsidRPr="009F337B">
        <w:rPr>
          <w:i w:val="0"/>
          <w:lang w:val="en-US"/>
        </w:rPr>
        <w:t xml:space="preserve">, </w:t>
      </w:r>
      <w:r w:rsidR="000E73AE" w:rsidRPr="009F337B">
        <w:rPr>
          <w:i w:val="0"/>
          <w:lang w:val="en-US"/>
        </w:rPr>
        <w:t>in relation to</w:t>
      </w:r>
      <w:r w:rsidR="001F2110" w:rsidRPr="009F337B">
        <w:rPr>
          <w:i w:val="0"/>
          <w:lang w:val="en-US"/>
        </w:rPr>
        <w:t xml:space="preserve"> </w:t>
      </w:r>
      <w:r w:rsidR="00AE5F9E" w:rsidRPr="009F337B">
        <w:rPr>
          <w:i w:val="0"/>
          <w:lang w:val="en-US"/>
        </w:rPr>
        <w:t>Article</w:t>
      </w:r>
      <w:r w:rsidR="003C46A3" w:rsidRPr="009F337B">
        <w:rPr>
          <w:i w:val="0"/>
          <w:lang w:val="en-US"/>
        </w:rPr>
        <w:t xml:space="preserve"> 1(1)</w:t>
      </w:r>
      <w:r w:rsidR="001F2110" w:rsidRPr="009F337B">
        <w:rPr>
          <w:i w:val="0"/>
          <w:lang w:val="en-US"/>
        </w:rPr>
        <w:t xml:space="preserve">, </w:t>
      </w:r>
      <w:r w:rsidRPr="009F337B">
        <w:rPr>
          <w:i w:val="0"/>
          <w:lang w:val="en-US"/>
        </w:rPr>
        <w:t xml:space="preserve">to the detriment of </w:t>
      </w:r>
      <w:r w:rsidR="001F2110" w:rsidRPr="009F337B">
        <w:rPr>
          <w:i w:val="0"/>
          <w:szCs w:val="20"/>
          <w:lang w:val="en-US"/>
        </w:rPr>
        <w:t>Sandra Lisbeth Zepeda Herrera</w:t>
      </w:r>
      <w:r w:rsidR="003C46A3" w:rsidRPr="009F337B">
        <w:rPr>
          <w:i w:val="0"/>
          <w:szCs w:val="20"/>
          <w:lang w:val="en-US"/>
        </w:rPr>
        <w:t xml:space="preserve"> and</w:t>
      </w:r>
      <w:r w:rsidR="001F2110" w:rsidRPr="009F337B">
        <w:rPr>
          <w:i w:val="0"/>
          <w:szCs w:val="20"/>
          <w:lang w:val="en-US"/>
        </w:rPr>
        <w:t xml:space="preserve"> </w:t>
      </w:r>
      <w:proofErr w:type="spellStart"/>
      <w:r w:rsidR="001F2110" w:rsidRPr="009F337B">
        <w:rPr>
          <w:i w:val="0"/>
          <w:szCs w:val="20"/>
          <w:lang w:val="en-US"/>
        </w:rPr>
        <w:t>Pascuala</w:t>
      </w:r>
      <w:proofErr w:type="spellEnd"/>
      <w:r w:rsidR="001F2110" w:rsidRPr="009F337B">
        <w:rPr>
          <w:i w:val="0"/>
          <w:szCs w:val="20"/>
          <w:lang w:val="en-US"/>
        </w:rPr>
        <w:t xml:space="preserve"> de Jesús Mérida</w:t>
      </w:r>
      <w:r w:rsidR="00413D58" w:rsidRPr="009F337B">
        <w:rPr>
          <w:i w:val="0"/>
          <w:szCs w:val="20"/>
          <w:lang w:val="en-US"/>
        </w:rPr>
        <w:t xml:space="preserve"> Rodríguez</w:t>
      </w:r>
      <w:r w:rsidR="001F2110" w:rsidRPr="009F337B">
        <w:rPr>
          <w:i w:val="0"/>
          <w:lang w:val="en-US"/>
        </w:rPr>
        <w:t>.</w:t>
      </w:r>
      <w:bookmarkStart w:id="86" w:name="_Ref512160371"/>
      <w:bookmarkStart w:id="87" w:name="_Ref512872301"/>
    </w:p>
    <w:p w14:paraId="3DDFD0B9" w14:textId="77777777" w:rsidR="008E387F" w:rsidRPr="009F337B" w:rsidRDefault="008E387F" w:rsidP="008E387F">
      <w:pPr>
        <w:pStyle w:val="Estilo1"/>
        <w:tabs>
          <w:tab w:val="left" w:pos="709"/>
          <w:tab w:val="left" w:pos="1134"/>
        </w:tabs>
        <w:spacing w:after="0"/>
        <w:ind w:left="0" w:right="-4" w:firstLine="0"/>
        <w:rPr>
          <w:rFonts w:eastAsia="Times" w:cs="Arial"/>
          <w:i w:val="0"/>
          <w:szCs w:val="20"/>
          <w:lang w:val="en-US"/>
        </w:rPr>
      </w:pPr>
    </w:p>
    <w:p w14:paraId="77C2D058" w14:textId="7518EE06" w:rsidR="003B481F" w:rsidRPr="009F337B" w:rsidRDefault="00AC0BEF" w:rsidP="00AC0BEF">
      <w:pPr>
        <w:pStyle w:val="Estilo1"/>
        <w:tabs>
          <w:tab w:val="left" w:pos="709"/>
          <w:tab w:val="left" w:pos="1134"/>
        </w:tabs>
        <w:spacing w:after="0"/>
        <w:ind w:left="0" w:right="-4" w:firstLine="0"/>
        <w:rPr>
          <w:rFonts w:eastAsia="Times" w:cs="Arial"/>
          <w:b/>
          <w:szCs w:val="20"/>
          <w:lang w:val="en-US"/>
        </w:rPr>
      </w:pPr>
      <w:r w:rsidRPr="009F337B">
        <w:rPr>
          <w:rFonts w:eastAsia="Times" w:cs="Arial"/>
          <w:b/>
          <w:szCs w:val="20"/>
          <w:lang w:val="en-US"/>
        </w:rPr>
        <w:tab/>
      </w:r>
      <w:r w:rsidRPr="009F337B">
        <w:rPr>
          <w:rFonts w:eastAsia="Times" w:cs="Arial"/>
          <w:b/>
          <w:szCs w:val="20"/>
          <w:lang w:val="en-US"/>
        </w:rPr>
        <w:tab/>
      </w:r>
      <w:r w:rsidRPr="009F337B">
        <w:rPr>
          <w:rFonts w:eastAsia="Times" w:cs="Arial"/>
          <w:b/>
          <w:szCs w:val="20"/>
          <w:lang w:val="en-US"/>
        </w:rPr>
        <w:tab/>
      </w:r>
      <w:r w:rsidR="003B481F" w:rsidRPr="009F337B">
        <w:rPr>
          <w:rFonts w:eastAsia="Times" w:cs="Arial"/>
          <w:b/>
          <w:szCs w:val="20"/>
          <w:lang w:val="en-US"/>
        </w:rPr>
        <w:t xml:space="preserve">B.4.4. </w:t>
      </w:r>
      <w:r w:rsidR="00D2413F" w:rsidRPr="009F337B">
        <w:rPr>
          <w:rFonts w:eastAsia="Times" w:cs="Arial"/>
          <w:b/>
          <w:szCs w:val="20"/>
          <w:lang w:val="en-US"/>
        </w:rPr>
        <w:t>The violation of the principle of progressivity in relation to the right to health</w:t>
      </w:r>
    </w:p>
    <w:p w14:paraId="7B184A03" w14:textId="0B88744D" w:rsidR="008E387F" w:rsidRPr="009F337B" w:rsidRDefault="008E387F" w:rsidP="008E387F">
      <w:pPr>
        <w:rPr>
          <w:lang w:val="en-US"/>
        </w:rPr>
      </w:pPr>
    </w:p>
    <w:p w14:paraId="07BFC5F2" w14:textId="6B01CB18" w:rsidR="003B481F" w:rsidRPr="009F337B" w:rsidRDefault="00AE5F9E" w:rsidP="00593E37">
      <w:pPr>
        <w:pStyle w:val="Estilo1"/>
        <w:numPr>
          <w:ilvl w:val="0"/>
          <w:numId w:val="1"/>
        </w:numPr>
        <w:tabs>
          <w:tab w:val="left" w:pos="709"/>
          <w:tab w:val="left" w:pos="1134"/>
        </w:tabs>
        <w:spacing w:after="0"/>
        <w:ind w:left="0" w:right="-4" w:firstLine="0"/>
        <w:rPr>
          <w:rFonts w:eastAsia="Times" w:cs="Arial"/>
          <w:i w:val="0"/>
          <w:szCs w:val="20"/>
          <w:lang w:val="en-US"/>
        </w:rPr>
      </w:pPr>
      <w:r w:rsidRPr="009F337B">
        <w:rPr>
          <w:rFonts w:eastAsia="Times" w:cs="Arial"/>
          <w:i w:val="0"/>
          <w:szCs w:val="20"/>
          <w:lang w:val="en-US"/>
        </w:rPr>
        <w:t>The Court</w:t>
      </w:r>
      <w:r w:rsidR="003B481F" w:rsidRPr="009F337B">
        <w:rPr>
          <w:rFonts w:eastAsia="Times" w:cs="Arial"/>
          <w:i w:val="0"/>
          <w:szCs w:val="20"/>
          <w:lang w:val="en-US"/>
        </w:rPr>
        <w:t xml:space="preserve"> </w:t>
      </w:r>
      <w:r w:rsidR="005738CE" w:rsidRPr="009F337B">
        <w:rPr>
          <w:rFonts w:eastAsia="Times" w:cs="Arial"/>
          <w:i w:val="0"/>
          <w:szCs w:val="20"/>
          <w:lang w:val="en-US"/>
        </w:rPr>
        <w:t>recalls that</w:t>
      </w:r>
      <w:r w:rsidR="003B481F" w:rsidRPr="009F337B">
        <w:rPr>
          <w:rFonts w:eastAsia="Times" w:cs="Arial"/>
          <w:i w:val="0"/>
          <w:szCs w:val="20"/>
          <w:lang w:val="en-US"/>
        </w:rPr>
        <w:t xml:space="preserve"> </w:t>
      </w:r>
      <w:r w:rsidR="006E03A4" w:rsidRPr="009F337B">
        <w:rPr>
          <w:rFonts w:eastAsia="Times" w:cs="Arial"/>
          <w:i w:val="0"/>
          <w:szCs w:val="20"/>
          <w:lang w:val="en-US"/>
        </w:rPr>
        <w:t xml:space="preserve">one of the disputes in this case refers to whether the State violated the principle of progressivity </w:t>
      </w:r>
      <w:r w:rsidR="003B481F" w:rsidRPr="009F337B">
        <w:rPr>
          <w:rFonts w:eastAsia="Times" w:cs="Arial"/>
          <w:i w:val="0"/>
          <w:szCs w:val="20"/>
          <w:lang w:val="en-US"/>
        </w:rPr>
        <w:t>cont</w:t>
      </w:r>
      <w:r w:rsidR="006E03A4" w:rsidRPr="009F337B">
        <w:rPr>
          <w:rFonts w:eastAsia="Times" w:cs="Arial"/>
          <w:i w:val="0"/>
          <w:szCs w:val="20"/>
          <w:lang w:val="en-US"/>
        </w:rPr>
        <w:t>ained in</w:t>
      </w:r>
      <w:r w:rsidR="003B481F" w:rsidRPr="009F337B">
        <w:rPr>
          <w:rFonts w:eastAsia="Times" w:cs="Arial"/>
          <w:i w:val="0"/>
          <w:szCs w:val="20"/>
          <w:lang w:val="en-US"/>
        </w:rPr>
        <w:t xml:space="preserve"> </w:t>
      </w:r>
      <w:r w:rsidRPr="009F337B">
        <w:rPr>
          <w:rFonts w:eastAsia="Times" w:cs="Arial"/>
          <w:i w:val="0"/>
          <w:szCs w:val="20"/>
          <w:lang w:val="en-US"/>
        </w:rPr>
        <w:t>Article</w:t>
      </w:r>
      <w:r w:rsidR="003B481F" w:rsidRPr="009F337B">
        <w:rPr>
          <w:rFonts w:eastAsia="Times" w:cs="Arial"/>
          <w:i w:val="0"/>
          <w:szCs w:val="20"/>
          <w:lang w:val="en-US"/>
        </w:rPr>
        <w:t xml:space="preserve"> 26</w:t>
      </w:r>
      <w:r w:rsidRPr="009F337B">
        <w:rPr>
          <w:rFonts w:eastAsia="Times" w:cs="Arial"/>
          <w:i w:val="0"/>
          <w:szCs w:val="20"/>
          <w:lang w:val="en-US"/>
        </w:rPr>
        <w:t xml:space="preserve"> of the Convention</w:t>
      </w:r>
      <w:r w:rsidR="003B481F" w:rsidRPr="009F337B">
        <w:rPr>
          <w:rFonts w:eastAsia="Times" w:cs="Arial"/>
          <w:i w:val="0"/>
          <w:szCs w:val="20"/>
          <w:lang w:val="en-US"/>
        </w:rPr>
        <w:t xml:space="preserve">, </w:t>
      </w:r>
      <w:r w:rsidR="006E03A4" w:rsidRPr="009F337B">
        <w:rPr>
          <w:rFonts w:eastAsia="Times" w:cs="Arial"/>
          <w:i w:val="0"/>
          <w:szCs w:val="20"/>
          <w:lang w:val="en-US"/>
        </w:rPr>
        <w:t xml:space="preserve">owing to the alleged </w:t>
      </w:r>
      <w:r w:rsidR="009F1A03" w:rsidRPr="009F337B">
        <w:rPr>
          <w:rFonts w:eastAsia="Times" w:cs="Arial"/>
          <w:i w:val="0"/>
          <w:szCs w:val="20"/>
          <w:lang w:val="en-US"/>
        </w:rPr>
        <w:t>retrogressive</w:t>
      </w:r>
      <w:r w:rsidR="006E03A4" w:rsidRPr="009F337B">
        <w:rPr>
          <w:rFonts w:eastAsia="Times" w:cs="Arial"/>
          <w:i w:val="0"/>
          <w:szCs w:val="20"/>
          <w:lang w:val="en-US"/>
        </w:rPr>
        <w:t xml:space="preserve"> measures it adopted that prejudiced the full realization </w:t>
      </w:r>
      <w:r w:rsidR="00371ADF" w:rsidRPr="009F337B">
        <w:rPr>
          <w:rFonts w:eastAsia="Times" w:cs="Arial"/>
          <w:i w:val="0"/>
          <w:szCs w:val="20"/>
          <w:lang w:val="en-US"/>
        </w:rPr>
        <w:t xml:space="preserve">of the </w:t>
      </w:r>
      <w:r w:rsidR="00A51F3B" w:rsidRPr="009F337B">
        <w:rPr>
          <w:rFonts w:eastAsia="Times" w:cs="Arial"/>
          <w:i w:val="0"/>
          <w:szCs w:val="20"/>
          <w:lang w:val="en-US"/>
        </w:rPr>
        <w:t>right to health</w:t>
      </w:r>
      <w:r w:rsidR="003B481F" w:rsidRPr="009F337B">
        <w:rPr>
          <w:rFonts w:eastAsia="Times" w:cs="Arial"/>
          <w:i w:val="0"/>
          <w:szCs w:val="20"/>
          <w:lang w:val="en-US"/>
        </w:rPr>
        <w:t xml:space="preserve"> </w:t>
      </w:r>
      <w:r w:rsidR="006E03A4" w:rsidRPr="009F337B">
        <w:rPr>
          <w:rFonts w:eastAsia="Times" w:cs="Arial"/>
          <w:i w:val="0"/>
          <w:szCs w:val="20"/>
          <w:lang w:val="en-US"/>
        </w:rPr>
        <w:t>of</w:t>
      </w:r>
      <w:r w:rsidR="003B481F" w:rsidRPr="009F337B">
        <w:rPr>
          <w:rFonts w:eastAsia="Times" w:cs="Arial"/>
          <w:i w:val="0"/>
          <w:szCs w:val="20"/>
          <w:lang w:val="en-US"/>
        </w:rPr>
        <w:t xml:space="preserve"> </w:t>
      </w:r>
      <w:r w:rsidR="00080A1E" w:rsidRPr="009F337B">
        <w:rPr>
          <w:rFonts w:eastAsia="Times" w:cs="Arial"/>
          <w:i w:val="0"/>
          <w:szCs w:val="20"/>
          <w:lang w:val="en-US"/>
        </w:rPr>
        <w:t>people living with HIV</w:t>
      </w:r>
      <w:r w:rsidR="008E2262" w:rsidRPr="009F337B">
        <w:rPr>
          <w:rFonts w:eastAsia="Times" w:cs="Arial"/>
          <w:i w:val="0"/>
          <w:szCs w:val="20"/>
          <w:lang w:val="en-US"/>
        </w:rPr>
        <w:t xml:space="preserve"> in Guatemala</w:t>
      </w:r>
      <w:r w:rsidR="003B481F" w:rsidRPr="009F337B">
        <w:rPr>
          <w:rFonts w:eastAsia="Times" w:cs="Arial"/>
          <w:i w:val="0"/>
          <w:szCs w:val="20"/>
          <w:lang w:val="en-US"/>
        </w:rPr>
        <w:t xml:space="preserve">. </w:t>
      </w:r>
      <w:r w:rsidR="006E03A4" w:rsidRPr="009F337B">
        <w:rPr>
          <w:rFonts w:eastAsia="Times" w:cs="Arial"/>
          <w:i w:val="0"/>
          <w:szCs w:val="20"/>
          <w:lang w:val="en-US"/>
        </w:rPr>
        <w:t>In this regard,</w:t>
      </w:r>
      <w:r w:rsidR="003B481F" w:rsidRPr="009F337B">
        <w:rPr>
          <w:rFonts w:eastAsia="Times" w:cs="Arial"/>
          <w:i w:val="0"/>
          <w:szCs w:val="20"/>
          <w:lang w:val="en-US"/>
        </w:rPr>
        <w:t xml:space="preserve"> </w:t>
      </w:r>
      <w:r w:rsidR="007327F5" w:rsidRPr="009F337B">
        <w:rPr>
          <w:rFonts w:eastAsia="Times" w:cs="Arial"/>
          <w:i w:val="0"/>
          <w:szCs w:val="20"/>
          <w:lang w:val="en-US"/>
        </w:rPr>
        <w:t>the representatives</w:t>
      </w:r>
      <w:r w:rsidR="003B481F" w:rsidRPr="009F337B">
        <w:rPr>
          <w:rFonts w:eastAsia="Times" w:cs="Arial"/>
          <w:i w:val="0"/>
          <w:szCs w:val="20"/>
          <w:lang w:val="en-US"/>
        </w:rPr>
        <w:t xml:space="preserve"> </w:t>
      </w:r>
      <w:r w:rsidR="006E03A4" w:rsidRPr="009F337B">
        <w:rPr>
          <w:rFonts w:eastAsia="Times" w:cs="Arial"/>
          <w:i w:val="0"/>
          <w:szCs w:val="20"/>
          <w:lang w:val="en-US"/>
        </w:rPr>
        <w:t xml:space="preserve">asserted that, despite being aware of the existence of an HIV epidemic in its territory, the State adopted </w:t>
      </w:r>
      <w:r w:rsidR="009F1A03" w:rsidRPr="009F337B">
        <w:rPr>
          <w:rFonts w:eastAsia="Times" w:cs="Arial"/>
          <w:i w:val="0"/>
          <w:szCs w:val="20"/>
          <w:lang w:val="en-US"/>
        </w:rPr>
        <w:t>retrogressive</w:t>
      </w:r>
      <w:r w:rsidR="006E03A4" w:rsidRPr="009F337B">
        <w:rPr>
          <w:rFonts w:eastAsia="Times" w:cs="Arial"/>
          <w:i w:val="0"/>
          <w:szCs w:val="20"/>
          <w:lang w:val="en-US"/>
        </w:rPr>
        <w:t xml:space="preserve"> measures and did not </w:t>
      </w:r>
      <w:r w:rsidR="00D43F9E" w:rsidRPr="009F337B">
        <w:rPr>
          <w:rFonts w:eastAsia="Times" w:cs="Arial"/>
          <w:i w:val="0"/>
          <w:szCs w:val="20"/>
          <w:lang w:val="en-US"/>
        </w:rPr>
        <w:t xml:space="preserve">use the </w:t>
      </w:r>
      <w:r w:rsidR="006E03A4" w:rsidRPr="009F337B">
        <w:rPr>
          <w:rFonts w:eastAsia="Times" w:cs="Arial"/>
          <w:i w:val="0"/>
          <w:szCs w:val="20"/>
          <w:lang w:val="en-US"/>
        </w:rPr>
        <w:t>maximum</w:t>
      </w:r>
      <w:r w:rsidR="00D43F9E" w:rsidRPr="009F337B">
        <w:rPr>
          <w:rFonts w:eastAsia="Times" w:cs="Arial"/>
          <w:i w:val="0"/>
          <w:szCs w:val="20"/>
          <w:lang w:val="en-US"/>
        </w:rPr>
        <w:t xml:space="preserve"> of its available resources</w:t>
      </w:r>
      <w:r w:rsidR="006E03A4" w:rsidRPr="009F337B">
        <w:rPr>
          <w:rFonts w:eastAsia="Times" w:cs="Arial"/>
          <w:i w:val="0"/>
          <w:szCs w:val="20"/>
          <w:lang w:val="en-US"/>
        </w:rPr>
        <w:t xml:space="preserve"> to prevent the propagation of the virus and to ensure the right to health. Speci</w:t>
      </w:r>
      <w:r w:rsidR="00D43F9E" w:rsidRPr="009F337B">
        <w:rPr>
          <w:rFonts w:eastAsia="Times" w:cs="Arial"/>
          <w:i w:val="0"/>
          <w:szCs w:val="20"/>
          <w:lang w:val="en-US"/>
        </w:rPr>
        <w:t>fic</w:t>
      </w:r>
      <w:r w:rsidR="006E03A4" w:rsidRPr="009F337B">
        <w:rPr>
          <w:rFonts w:eastAsia="Times" w:cs="Arial"/>
          <w:i w:val="0"/>
          <w:szCs w:val="20"/>
          <w:lang w:val="en-US"/>
        </w:rPr>
        <w:t xml:space="preserve">ally, the representatives referred to the legal barriers concerning patents that had prevented </w:t>
      </w:r>
      <w:r w:rsidR="00D43F9E" w:rsidRPr="009F337B">
        <w:rPr>
          <w:rFonts w:eastAsia="Times" w:cs="Arial"/>
          <w:i w:val="0"/>
          <w:szCs w:val="20"/>
          <w:lang w:val="en-US"/>
        </w:rPr>
        <w:t>a</w:t>
      </w:r>
      <w:r w:rsidR="006E03A4" w:rsidRPr="009F337B">
        <w:rPr>
          <w:rFonts w:eastAsia="Times" w:cs="Arial"/>
          <w:i w:val="0"/>
          <w:szCs w:val="20"/>
          <w:lang w:val="en-US"/>
        </w:rPr>
        <w:t xml:space="preserve"> permanent supply of low-cost drugs under the public health system. </w:t>
      </w:r>
      <w:r w:rsidR="00D43F9E" w:rsidRPr="009F337B">
        <w:rPr>
          <w:rFonts w:eastAsia="Times" w:cs="Arial"/>
          <w:i w:val="0"/>
          <w:szCs w:val="20"/>
          <w:lang w:val="en-US"/>
        </w:rPr>
        <w:t>They also</w:t>
      </w:r>
      <w:r w:rsidR="006E03A4" w:rsidRPr="009F337B">
        <w:rPr>
          <w:rFonts w:eastAsia="Times" w:cs="Arial"/>
          <w:i w:val="0"/>
          <w:szCs w:val="20"/>
          <w:lang w:val="en-US"/>
        </w:rPr>
        <w:t xml:space="preserve"> referred to obstacles in relation to administrative contracting and to acts of corruption</w:t>
      </w:r>
      <w:r w:rsidR="003B481F" w:rsidRPr="009F337B">
        <w:rPr>
          <w:rFonts w:eastAsia="Times" w:cs="Arial"/>
          <w:i w:val="0"/>
          <w:szCs w:val="20"/>
          <w:lang w:val="en-US"/>
        </w:rPr>
        <w:t>.</w:t>
      </w:r>
    </w:p>
    <w:p w14:paraId="56D450CC" w14:textId="77777777" w:rsidR="008E387F" w:rsidRPr="009F337B" w:rsidRDefault="008E387F" w:rsidP="008E387F">
      <w:pPr>
        <w:pStyle w:val="Estilo1"/>
        <w:tabs>
          <w:tab w:val="left" w:pos="709"/>
          <w:tab w:val="left" w:pos="1134"/>
        </w:tabs>
        <w:spacing w:after="0"/>
        <w:ind w:left="0" w:right="-4" w:firstLine="0"/>
        <w:rPr>
          <w:rFonts w:eastAsia="Times" w:cs="Arial"/>
          <w:i w:val="0"/>
          <w:szCs w:val="20"/>
          <w:lang w:val="en-US"/>
        </w:rPr>
      </w:pPr>
    </w:p>
    <w:p w14:paraId="128A97DB" w14:textId="38CCA10A" w:rsidR="00455930" w:rsidRPr="009F337B" w:rsidRDefault="00AC0BEF" w:rsidP="00AC0BEF">
      <w:pPr>
        <w:pStyle w:val="Estilo1"/>
        <w:tabs>
          <w:tab w:val="left" w:pos="709"/>
          <w:tab w:val="left" w:pos="1134"/>
        </w:tabs>
        <w:spacing w:after="0"/>
        <w:ind w:left="0" w:right="-4" w:firstLine="0"/>
        <w:rPr>
          <w:rFonts w:eastAsia="Times" w:cs="Arial"/>
          <w:b/>
          <w:szCs w:val="20"/>
          <w:lang w:val="en-US"/>
        </w:rPr>
      </w:pPr>
      <w:r w:rsidRPr="009F337B">
        <w:rPr>
          <w:rFonts w:eastAsia="Times" w:cs="Arial"/>
          <w:b/>
          <w:szCs w:val="20"/>
          <w:lang w:val="en-US"/>
        </w:rPr>
        <w:tab/>
      </w:r>
      <w:r w:rsidRPr="009F337B">
        <w:rPr>
          <w:rFonts w:eastAsia="Times" w:cs="Arial"/>
          <w:b/>
          <w:szCs w:val="20"/>
          <w:lang w:val="en-US"/>
        </w:rPr>
        <w:tab/>
      </w:r>
      <w:r w:rsidRPr="009F337B">
        <w:rPr>
          <w:rFonts w:eastAsia="Times" w:cs="Arial"/>
          <w:b/>
          <w:szCs w:val="20"/>
          <w:lang w:val="en-US"/>
        </w:rPr>
        <w:tab/>
      </w:r>
      <w:r w:rsidR="00455930" w:rsidRPr="009F337B">
        <w:rPr>
          <w:rFonts w:eastAsia="Times" w:cs="Arial"/>
          <w:b/>
          <w:szCs w:val="20"/>
          <w:lang w:val="en-US"/>
        </w:rPr>
        <w:t xml:space="preserve">B.4.1.1. </w:t>
      </w:r>
      <w:r w:rsidR="006E03A4" w:rsidRPr="009F337B">
        <w:rPr>
          <w:rFonts w:eastAsia="Times" w:cs="Arial"/>
          <w:b/>
          <w:szCs w:val="20"/>
          <w:lang w:val="en-US"/>
        </w:rPr>
        <w:t>Standards for</w:t>
      </w:r>
      <w:r w:rsidR="00455930" w:rsidRPr="009F337B">
        <w:rPr>
          <w:rFonts w:eastAsia="Times" w:cs="Arial"/>
          <w:b/>
          <w:szCs w:val="20"/>
          <w:lang w:val="en-US"/>
        </w:rPr>
        <w:t xml:space="preserve"> </w:t>
      </w:r>
      <w:r w:rsidR="00A51F3B" w:rsidRPr="009F337B">
        <w:rPr>
          <w:rFonts w:eastAsia="Times" w:cs="Arial"/>
          <w:b/>
          <w:szCs w:val="20"/>
          <w:lang w:val="en-US"/>
        </w:rPr>
        <w:t>the right to health</w:t>
      </w:r>
      <w:r w:rsidR="0056206E" w:rsidRPr="009F337B">
        <w:rPr>
          <w:rFonts w:eastAsia="Times" w:cs="Arial"/>
          <w:b/>
          <w:szCs w:val="20"/>
          <w:lang w:val="en-US"/>
        </w:rPr>
        <w:t xml:space="preserve"> a</w:t>
      </w:r>
      <w:r w:rsidR="006E03A4" w:rsidRPr="009F337B">
        <w:rPr>
          <w:rFonts w:eastAsia="Times" w:cs="Arial"/>
          <w:b/>
          <w:szCs w:val="20"/>
          <w:lang w:val="en-US"/>
        </w:rPr>
        <w:t>p</w:t>
      </w:r>
      <w:r w:rsidR="0056206E" w:rsidRPr="009F337B">
        <w:rPr>
          <w:rFonts w:eastAsia="Times" w:cs="Arial"/>
          <w:b/>
          <w:szCs w:val="20"/>
          <w:lang w:val="en-US"/>
        </w:rPr>
        <w:t>plicable</w:t>
      </w:r>
      <w:r w:rsidR="00455930" w:rsidRPr="009F337B">
        <w:rPr>
          <w:rFonts w:eastAsia="Times" w:cs="Arial"/>
          <w:b/>
          <w:szCs w:val="20"/>
          <w:lang w:val="en-US"/>
        </w:rPr>
        <w:t xml:space="preserve"> </w:t>
      </w:r>
      <w:r w:rsidR="000E73AE" w:rsidRPr="009F337B">
        <w:rPr>
          <w:rFonts w:eastAsia="Times" w:cs="Arial"/>
          <w:b/>
          <w:szCs w:val="20"/>
          <w:lang w:val="en-US"/>
        </w:rPr>
        <w:t>to</w:t>
      </w:r>
      <w:r w:rsidR="006E03A4" w:rsidRPr="009F337B">
        <w:rPr>
          <w:rFonts w:eastAsia="Times" w:cs="Arial"/>
          <w:b/>
          <w:szCs w:val="20"/>
          <w:lang w:val="en-US"/>
        </w:rPr>
        <w:t xml:space="preserve"> the principle of progressivity</w:t>
      </w:r>
    </w:p>
    <w:p w14:paraId="35518D02" w14:textId="77777777" w:rsidR="008E387F" w:rsidRPr="009F337B" w:rsidRDefault="008E387F" w:rsidP="008E387F">
      <w:pPr>
        <w:pStyle w:val="Estilo1"/>
        <w:tabs>
          <w:tab w:val="left" w:pos="709"/>
          <w:tab w:val="left" w:pos="1134"/>
        </w:tabs>
        <w:spacing w:after="0"/>
        <w:ind w:left="0" w:right="-4" w:firstLine="0"/>
        <w:rPr>
          <w:rFonts w:eastAsia="Times" w:cs="Arial"/>
          <w:i w:val="0"/>
          <w:szCs w:val="20"/>
          <w:lang w:val="en-US"/>
        </w:rPr>
      </w:pPr>
    </w:p>
    <w:p w14:paraId="63197FB2" w14:textId="3FD6FDBC" w:rsidR="003B481F" w:rsidRPr="009F337B" w:rsidRDefault="00AE5F9E" w:rsidP="00593E37">
      <w:pPr>
        <w:pStyle w:val="Estilo1"/>
        <w:numPr>
          <w:ilvl w:val="0"/>
          <w:numId w:val="1"/>
        </w:numPr>
        <w:tabs>
          <w:tab w:val="left" w:pos="709"/>
          <w:tab w:val="left" w:pos="1134"/>
        </w:tabs>
        <w:spacing w:after="0"/>
        <w:ind w:left="0" w:right="-4" w:firstLine="0"/>
        <w:rPr>
          <w:rFonts w:eastAsia="Times" w:cs="Arial"/>
          <w:i w:val="0"/>
          <w:szCs w:val="20"/>
          <w:lang w:val="en-US"/>
        </w:rPr>
      </w:pPr>
      <w:r w:rsidRPr="009F337B">
        <w:rPr>
          <w:rFonts w:eastAsia="Times" w:cs="Arial"/>
          <w:i w:val="0"/>
          <w:szCs w:val="20"/>
          <w:lang w:val="en-US"/>
        </w:rPr>
        <w:t>The Court</w:t>
      </w:r>
      <w:r w:rsidR="003B481F" w:rsidRPr="009F337B">
        <w:rPr>
          <w:rFonts w:eastAsia="Times" w:cs="Arial"/>
          <w:i w:val="0"/>
          <w:szCs w:val="20"/>
          <w:lang w:val="en-US"/>
        </w:rPr>
        <w:t xml:space="preserve"> </w:t>
      </w:r>
      <w:r w:rsidR="006E03A4" w:rsidRPr="009F337B">
        <w:rPr>
          <w:rFonts w:eastAsia="Times" w:cs="Arial"/>
          <w:i w:val="0"/>
          <w:szCs w:val="20"/>
          <w:lang w:val="en-US"/>
        </w:rPr>
        <w:t>finds it pertinent to reiterate that, by virtue of</w:t>
      </w:r>
      <w:r w:rsidR="003C46A3" w:rsidRPr="009F337B">
        <w:rPr>
          <w:rFonts w:eastAsia="Times" w:cs="Arial"/>
          <w:i w:val="0"/>
          <w:szCs w:val="20"/>
          <w:lang w:val="en-US"/>
        </w:rPr>
        <w:t xml:space="preserve"> Article</w:t>
      </w:r>
      <w:r w:rsidR="003B481F" w:rsidRPr="009F337B">
        <w:rPr>
          <w:rFonts w:eastAsia="Times" w:cs="Arial"/>
          <w:i w:val="0"/>
          <w:szCs w:val="20"/>
          <w:lang w:val="en-US"/>
        </w:rPr>
        <w:t xml:space="preserve"> 26</w:t>
      </w:r>
      <w:r w:rsidRPr="009F337B">
        <w:rPr>
          <w:rFonts w:eastAsia="Times" w:cs="Arial"/>
          <w:i w:val="0"/>
          <w:szCs w:val="20"/>
          <w:lang w:val="en-US"/>
        </w:rPr>
        <w:t xml:space="preserve"> of the Convention</w:t>
      </w:r>
      <w:r w:rsidR="003B481F" w:rsidRPr="009F337B">
        <w:rPr>
          <w:rFonts w:eastAsia="Times" w:cs="Arial"/>
          <w:i w:val="0"/>
          <w:szCs w:val="20"/>
          <w:lang w:val="en-US"/>
        </w:rPr>
        <w:t xml:space="preserve">, </w:t>
      </w:r>
      <w:r w:rsidR="006E03A4" w:rsidRPr="009F337B">
        <w:rPr>
          <w:rFonts w:eastAsia="Times" w:cs="Arial"/>
          <w:i w:val="0"/>
          <w:szCs w:val="20"/>
          <w:lang w:val="en-US"/>
        </w:rPr>
        <w:t xml:space="preserve">it has full competence to examine violations of the rights derived from the </w:t>
      </w:r>
      <w:r w:rsidR="00233F74" w:rsidRPr="009F337B">
        <w:rPr>
          <w:rFonts w:eastAsia="Times" w:cs="Arial"/>
          <w:i w:val="0"/>
          <w:szCs w:val="20"/>
          <w:lang w:val="en-US"/>
        </w:rPr>
        <w:t>economic, social, education</w:t>
      </w:r>
      <w:r w:rsidR="0007623F" w:rsidRPr="009F337B">
        <w:rPr>
          <w:rFonts w:eastAsia="Times" w:cs="Arial"/>
          <w:i w:val="0"/>
          <w:szCs w:val="20"/>
          <w:lang w:val="en-US"/>
        </w:rPr>
        <w:t>al</w:t>
      </w:r>
      <w:r w:rsidR="00233F74" w:rsidRPr="009F337B">
        <w:rPr>
          <w:rFonts w:eastAsia="Times" w:cs="Arial"/>
          <w:i w:val="0"/>
          <w:szCs w:val="20"/>
          <w:lang w:val="en-US"/>
        </w:rPr>
        <w:t xml:space="preserve">, scientific and cultural </w:t>
      </w:r>
      <w:r w:rsidR="00795CA3">
        <w:rPr>
          <w:rFonts w:eastAsia="Times" w:cs="Arial"/>
          <w:i w:val="0"/>
          <w:szCs w:val="20"/>
          <w:lang w:val="en-US"/>
        </w:rPr>
        <w:t>standards</w:t>
      </w:r>
      <w:r w:rsidR="00233F74" w:rsidRPr="009F337B">
        <w:rPr>
          <w:rFonts w:eastAsia="Times" w:cs="Arial"/>
          <w:i w:val="0"/>
          <w:szCs w:val="20"/>
          <w:lang w:val="en-US"/>
        </w:rPr>
        <w:t xml:space="preserve"> </w:t>
      </w:r>
      <w:r w:rsidR="006E03A4" w:rsidRPr="009F337B">
        <w:rPr>
          <w:rFonts w:eastAsia="Times" w:cs="Arial"/>
          <w:i w:val="0"/>
          <w:szCs w:val="20"/>
          <w:lang w:val="en-US"/>
        </w:rPr>
        <w:t xml:space="preserve">of </w:t>
      </w:r>
      <w:r w:rsidR="00664AA6" w:rsidRPr="009F337B">
        <w:rPr>
          <w:rFonts w:eastAsia="Times" w:cs="Arial"/>
          <w:i w:val="0"/>
          <w:szCs w:val="20"/>
          <w:lang w:val="en-US"/>
        </w:rPr>
        <w:t>the OAS Charter</w:t>
      </w:r>
      <w:r w:rsidR="003B481F" w:rsidRPr="009F337B">
        <w:rPr>
          <w:rFonts w:eastAsia="Times" w:cs="Arial"/>
          <w:i w:val="0"/>
          <w:szCs w:val="20"/>
          <w:lang w:val="en-US"/>
        </w:rPr>
        <w:t xml:space="preserve"> (</w:t>
      </w:r>
      <w:r w:rsidR="003B481F" w:rsidRPr="009F337B">
        <w:rPr>
          <w:rFonts w:eastAsia="Times" w:cs="Arial"/>
          <w:szCs w:val="20"/>
          <w:lang w:val="en-US"/>
        </w:rPr>
        <w:t>supra</w:t>
      </w:r>
      <w:r w:rsidR="003B481F" w:rsidRPr="009F337B">
        <w:rPr>
          <w:rFonts w:eastAsia="Times" w:cs="Arial"/>
          <w:i w:val="0"/>
          <w:szCs w:val="20"/>
          <w:lang w:val="en-US"/>
        </w:rPr>
        <w:t xml:space="preserve"> </w:t>
      </w:r>
      <w:r w:rsidR="00C60B17" w:rsidRPr="009F337B">
        <w:rPr>
          <w:rFonts w:eastAsia="Times" w:cs="Arial"/>
          <w:i w:val="0"/>
          <w:szCs w:val="20"/>
          <w:lang w:val="en-US"/>
        </w:rPr>
        <w:t>para.</w:t>
      </w:r>
      <w:r w:rsidR="00F4229A" w:rsidRPr="009F337B">
        <w:rPr>
          <w:rFonts w:eastAsia="Times" w:cs="Arial"/>
          <w:i w:val="0"/>
          <w:szCs w:val="20"/>
          <w:lang w:val="en-US"/>
        </w:rPr>
        <w:t xml:space="preserve"> 97</w:t>
      </w:r>
      <w:r w:rsidR="003B481F" w:rsidRPr="009F337B">
        <w:rPr>
          <w:rFonts w:eastAsia="Times" w:cs="Arial"/>
          <w:i w:val="0"/>
          <w:szCs w:val="20"/>
          <w:lang w:val="en-US"/>
        </w:rPr>
        <w:t xml:space="preserve">). </w:t>
      </w:r>
      <w:r w:rsidR="006E03A4" w:rsidRPr="009F337B">
        <w:rPr>
          <w:rFonts w:eastAsia="Times" w:cs="Arial"/>
          <w:i w:val="0"/>
          <w:szCs w:val="20"/>
          <w:lang w:val="en-US"/>
        </w:rPr>
        <w:t xml:space="preserve">The </w:t>
      </w:r>
      <w:r w:rsidR="008C399E" w:rsidRPr="009F337B">
        <w:rPr>
          <w:rFonts w:eastAsia="Times" w:cs="Arial"/>
          <w:i w:val="0"/>
          <w:szCs w:val="20"/>
          <w:lang w:val="en-US"/>
        </w:rPr>
        <w:t>Court</w:t>
      </w:r>
      <w:r w:rsidR="006E03A4" w:rsidRPr="009F337B">
        <w:rPr>
          <w:rFonts w:eastAsia="Times" w:cs="Arial"/>
          <w:i w:val="0"/>
          <w:szCs w:val="20"/>
          <w:lang w:val="en-US"/>
        </w:rPr>
        <w:t xml:space="preserve"> also</w:t>
      </w:r>
      <w:r w:rsidR="003B481F" w:rsidRPr="009F337B">
        <w:rPr>
          <w:rFonts w:eastAsia="Times" w:cs="Arial"/>
          <w:i w:val="0"/>
          <w:szCs w:val="20"/>
          <w:lang w:val="en-US"/>
        </w:rPr>
        <w:t xml:space="preserve"> reitera</w:t>
      </w:r>
      <w:r w:rsidR="006E03A4" w:rsidRPr="009F337B">
        <w:rPr>
          <w:rFonts w:eastAsia="Times" w:cs="Arial"/>
          <w:i w:val="0"/>
          <w:szCs w:val="20"/>
          <w:lang w:val="en-US"/>
        </w:rPr>
        <w:t>tes that two types of obligation</w:t>
      </w:r>
      <w:r w:rsidR="0007623F" w:rsidRPr="009F337B">
        <w:rPr>
          <w:rFonts w:eastAsia="Times" w:cs="Arial"/>
          <w:i w:val="0"/>
          <w:szCs w:val="20"/>
          <w:lang w:val="en-US"/>
        </w:rPr>
        <w:t>s</w:t>
      </w:r>
      <w:r w:rsidR="00F13D1B" w:rsidRPr="009F337B">
        <w:rPr>
          <w:rFonts w:eastAsia="Times" w:cs="Arial"/>
          <w:i w:val="0"/>
          <w:szCs w:val="20"/>
          <w:lang w:val="en-US"/>
        </w:rPr>
        <w:t xml:space="preserve"> arise from these provisions: those that can be claimed immediately, and those of a progressive nature. Regarding the latter, the Court considers that</w:t>
      </w:r>
      <w:r w:rsidR="0007623F" w:rsidRPr="009F337B">
        <w:rPr>
          <w:rFonts w:eastAsia="Times" w:cs="Arial"/>
          <w:i w:val="0"/>
          <w:szCs w:val="20"/>
          <w:lang w:val="en-US"/>
        </w:rPr>
        <w:t>, in general,</w:t>
      </w:r>
      <w:r w:rsidR="00F13D1B" w:rsidRPr="009F337B">
        <w:rPr>
          <w:rFonts w:eastAsia="Times" w:cs="Arial"/>
          <w:i w:val="0"/>
          <w:szCs w:val="20"/>
          <w:lang w:val="en-US"/>
        </w:rPr>
        <w:t xml:space="preserve"> </w:t>
      </w:r>
      <w:r w:rsidR="0007623F" w:rsidRPr="009F337B">
        <w:rPr>
          <w:rFonts w:eastAsia="Times" w:cs="Arial"/>
          <w:i w:val="0"/>
          <w:szCs w:val="20"/>
          <w:lang w:val="en-US"/>
        </w:rPr>
        <w:t xml:space="preserve">it will not be possible to achieve </w:t>
      </w:r>
      <w:r w:rsidR="00F13D1B" w:rsidRPr="009F337B">
        <w:rPr>
          <w:rFonts w:eastAsia="Times" w:cs="Arial"/>
          <w:i w:val="0"/>
          <w:szCs w:val="20"/>
          <w:lang w:val="en-US"/>
        </w:rPr>
        <w:t xml:space="preserve">the progressive development of </w:t>
      </w:r>
      <w:r w:rsidR="00BD4205" w:rsidRPr="009F337B">
        <w:rPr>
          <w:rFonts w:eastAsia="Times" w:cs="Arial"/>
          <w:i w:val="0"/>
          <w:szCs w:val="20"/>
          <w:lang w:val="en-US"/>
        </w:rPr>
        <w:t>economic, social, cultural and environmental rights</w:t>
      </w:r>
      <w:r w:rsidR="003B481F" w:rsidRPr="009F337B">
        <w:rPr>
          <w:rFonts w:eastAsia="Times" w:cs="Arial"/>
          <w:i w:val="0"/>
          <w:szCs w:val="20"/>
          <w:lang w:val="en-US"/>
        </w:rPr>
        <w:t xml:space="preserve"> </w:t>
      </w:r>
      <w:r w:rsidR="00F13D1B" w:rsidRPr="009F337B">
        <w:rPr>
          <w:rFonts w:eastAsia="Times" w:cs="Arial"/>
          <w:i w:val="0"/>
          <w:szCs w:val="20"/>
          <w:lang w:val="en-US"/>
        </w:rPr>
        <w:t>in the short-term and, therefore</w:t>
      </w:r>
      <w:r w:rsidR="003B481F" w:rsidRPr="009F337B">
        <w:rPr>
          <w:rFonts w:eastAsia="Times" w:cs="Arial"/>
          <w:i w:val="0"/>
          <w:szCs w:val="20"/>
          <w:lang w:val="en-US"/>
        </w:rPr>
        <w:t>, “</w:t>
      </w:r>
      <w:r w:rsidR="00F13D1B" w:rsidRPr="009F337B">
        <w:rPr>
          <w:rFonts w:eastAsia="Times" w:cs="Arial"/>
          <w:i w:val="0"/>
          <w:szCs w:val="20"/>
          <w:lang w:val="en-US"/>
        </w:rPr>
        <w:t>a necessary flexibility device is required reflecting the realities of the real world and the difficulties involved for any country in ensuring their full realization.</w:t>
      </w:r>
      <w:r w:rsidR="003B481F" w:rsidRPr="009F337B">
        <w:rPr>
          <w:rFonts w:eastAsia="Times" w:cs="Arial"/>
          <w:i w:val="0"/>
          <w:szCs w:val="20"/>
          <w:lang w:val="en-US"/>
        </w:rPr>
        <w:t>”</w:t>
      </w:r>
      <w:r w:rsidR="003B481F" w:rsidRPr="009F337B">
        <w:rPr>
          <w:rStyle w:val="Refdenotaalpie"/>
          <w:rFonts w:eastAsia="Times"/>
          <w:i w:val="0"/>
          <w:lang w:val="en-US"/>
        </w:rPr>
        <w:footnoteReference w:id="167"/>
      </w:r>
    </w:p>
    <w:p w14:paraId="2DCFED8E" w14:textId="77777777" w:rsidR="008E387F" w:rsidRPr="009F337B" w:rsidRDefault="008E387F" w:rsidP="008E387F">
      <w:pPr>
        <w:pStyle w:val="Estilo1"/>
        <w:tabs>
          <w:tab w:val="left" w:pos="709"/>
          <w:tab w:val="left" w:pos="1134"/>
        </w:tabs>
        <w:spacing w:after="0"/>
        <w:ind w:left="0" w:right="-4" w:firstLine="0"/>
        <w:rPr>
          <w:rFonts w:eastAsia="Times" w:cs="Arial"/>
          <w:i w:val="0"/>
          <w:szCs w:val="20"/>
          <w:lang w:val="en-US"/>
        </w:rPr>
      </w:pPr>
    </w:p>
    <w:p w14:paraId="6444C500" w14:textId="6CDD3BCE" w:rsidR="003B481F" w:rsidRPr="009F337B" w:rsidRDefault="008C399E" w:rsidP="00593E37">
      <w:pPr>
        <w:pStyle w:val="Estilo1"/>
        <w:numPr>
          <w:ilvl w:val="0"/>
          <w:numId w:val="1"/>
        </w:numPr>
        <w:tabs>
          <w:tab w:val="left" w:pos="709"/>
          <w:tab w:val="left" w:pos="1134"/>
        </w:tabs>
        <w:spacing w:after="0"/>
        <w:ind w:left="0" w:right="-4" w:firstLine="0"/>
        <w:rPr>
          <w:rFonts w:eastAsia="Times" w:cs="Arial"/>
          <w:i w:val="0"/>
          <w:szCs w:val="20"/>
          <w:lang w:val="en-US"/>
        </w:rPr>
      </w:pPr>
      <w:r w:rsidRPr="009F337B">
        <w:rPr>
          <w:rFonts w:eastAsia="Times" w:cs="Arial"/>
          <w:i w:val="0"/>
          <w:szCs w:val="20"/>
          <w:lang w:val="en-US"/>
        </w:rPr>
        <w:lastRenderedPageBreak/>
        <w:t>The Court</w:t>
      </w:r>
      <w:r w:rsidR="003B481F" w:rsidRPr="009F337B">
        <w:rPr>
          <w:rFonts w:eastAsia="Times" w:cs="Arial"/>
          <w:i w:val="0"/>
          <w:szCs w:val="20"/>
          <w:lang w:val="en-US"/>
        </w:rPr>
        <w:t xml:space="preserve"> </w:t>
      </w:r>
      <w:r w:rsidR="00F13D1B" w:rsidRPr="009F337B">
        <w:rPr>
          <w:rFonts w:eastAsia="Times" w:cs="Arial"/>
          <w:i w:val="0"/>
          <w:szCs w:val="20"/>
          <w:lang w:val="en-US"/>
        </w:rPr>
        <w:t>has also determined that, in the context of this flexibility regarding the</w:t>
      </w:r>
      <w:r w:rsidR="001811F9" w:rsidRPr="009F337B">
        <w:rPr>
          <w:rFonts w:eastAsia="Times" w:cs="Arial"/>
          <w:i w:val="0"/>
          <w:szCs w:val="20"/>
          <w:lang w:val="en-US"/>
        </w:rPr>
        <w:t xml:space="preserve"> realization</w:t>
      </w:r>
      <w:r w:rsidR="00F13D1B" w:rsidRPr="009F337B">
        <w:rPr>
          <w:rFonts w:eastAsia="Times" w:cs="Arial"/>
          <w:i w:val="0"/>
          <w:szCs w:val="20"/>
          <w:lang w:val="en-US"/>
        </w:rPr>
        <w:t xml:space="preserve"> time frame and methods, the State has essentially, although not exclusively, an obligation </w:t>
      </w:r>
      <w:r w:rsidR="001811F9" w:rsidRPr="009F337B">
        <w:rPr>
          <w:rFonts w:eastAsia="Times" w:cs="Arial"/>
          <w:i w:val="0"/>
          <w:szCs w:val="20"/>
          <w:lang w:val="en-US"/>
        </w:rPr>
        <w:t>to</w:t>
      </w:r>
      <w:r w:rsidR="00F13D1B" w:rsidRPr="009F337B">
        <w:rPr>
          <w:rFonts w:eastAsia="Times" w:cs="Arial"/>
          <w:i w:val="0"/>
          <w:szCs w:val="20"/>
          <w:lang w:val="en-US"/>
        </w:rPr>
        <w:t xml:space="preserve"> act; in other words, an obligation to take measures and provide the necessary means and elements to respond to the requirements for the </w:t>
      </w:r>
      <w:r w:rsidR="00786015" w:rsidRPr="009F337B">
        <w:rPr>
          <w:rFonts w:eastAsia="Times" w:cs="Arial"/>
          <w:i w:val="0"/>
          <w:szCs w:val="20"/>
          <w:lang w:val="en-US"/>
        </w:rPr>
        <w:t>realization</w:t>
      </w:r>
      <w:r w:rsidR="00F13D1B" w:rsidRPr="009F337B">
        <w:rPr>
          <w:rFonts w:eastAsia="Times" w:cs="Arial"/>
          <w:i w:val="0"/>
          <w:szCs w:val="20"/>
          <w:lang w:val="en-US"/>
        </w:rPr>
        <w:t xml:space="preserve"> of the rights involved, always to the extent </w:t>
      </w:r>
      <w:r w:rsidR="001811F9" w:rsidRPr="009F337B">
        <w:rPr>
          <w:rFonts w:eastAsia="Times" w:cs="Arial"/>
          <w:i w:val="0"/>
          <w:szCs w:val="20"/>
          <w:lang w:val="en-US"/>
        </w:rPr>
        <w:t>permitted</w:t>
      </w:r>
      <w:r w:rsidR="00F13D1B" w:rsidRPr="009F337B">
        <w:rPr>
          <w:rFonts w:eastAsia="Times" w:cs="Arial"/>
          <w:i w:val="0"/>
          <w:szCs w:val="20"/>
          <w:lang w:val="en-US"/>
        </w:rPr>
        <w:t xml:space="preserve"> by the economic and financial resources</w:t>
      </w:r>
      <w:r w:rsidR="009F1A03" w:rsidRPr="009F337B">
        <w:rPr>
          <w:rFonts w:eastAsia="Times" w:cs="Arial"/>
          <w:i w:val="0"/>
          <w:szCs w:val="20"/>
          <w:lang w:val="en-US"/>
        </w:rPr>
        <w:t xml:space="preserve"> available to comply with </w:t>
      </w:r>
      <w:r w:rsidR="001811F9" w:rsidRPr="009F337B">
        <w:rPr>
          <w:rFonts w:eastAsia="Times" w:cs="Arial"/>
          <w:i w:val="0"/>
          <w:szCs w:val="20"/>
          <w:lang w:val="en-US"/>
        </w:rPr>
        <w:t>its</w:t>
      </w:r>
      <w:r w:rsidR="009F1A03" w:rsidRPr="009F337B">
        <w:rPr>
          <w:rFonts w:eastAsia="Times" w:cs="Arial"/>
          <w:i w:val="0"/>
          <w:szCs w:val="20"/>
          <w:lang w:val="en-US"/>
        </w:rPr>
        <w:t xml:space="preserve"> respective international commitment.</w:t>
      </w:r>
      <w:r w:rsidR="003B481F" w:rsidRPr="009F337B">
        <w:rPr>
          <w:rStyle w:val="Refdenotaalpie"/>
          <w:rFonts w:eastAsia="Times"/>
          <w:i w:val="0"/>
          <w:lang w:val="en-US"/>
        </w:rPr>
        <w:footnoteReference w:id="168"/>
      </w:r>
      <w:r w:rsidR="003B481F" w:rsidRPr="009F337B">
        <w:rPr>
          <w:rFonts w:eastAsia="Times" w:cs="Arial"/>
          <w:i w:val="0"/>
          <w:szCs w:val="20"/>
          <w:lang w:val="en-US"/>
        </w:rPr>
        <w:t xml:space="preserve"> </w:t>
      </w:r>
      <w:r w:rsidR="009F1A03" w:rsidRPr="009F337B">
        <w:rPr>
          <w:rFonts w:eastAsia="Times" w:cs="Arial"/>
          <w:i w:val="0"/>
          <w:szCs w:val="20"/>
          <w:lang w:val="en-US"/>
        </w:rPr>
        <w:t xml:space="preserve">Thus, the progressive implementation of the said measures may be subject to accountability and, if appropriate, compliance with the respective commitment assumed by the State may be claimed before the courts called on the decide eventual </w:t>
      </w:r>
      <w:r w:rsidR="001811F9" w:rsidRPr="009F337B">
        <w:rPr>
          <w:rFonts w:eastAsia="Times" w:cs="Arial"/>
          <w:i w:val="0"/>
          <w:szCs w:val="20"/>
          <w:lang w:val="en-US"/>
        </w:rPr>
        <w:t xml:space="preserve">human rights </w:t>
      </w:r>
      <w:r w:rsidR="009F1A03" w:rsidRPr="009F337B">
        <w:rPr>
          <w:rFonts w:eastAsia="Times" w:cs="Arial"/>
          <w:i w:val="0"/>
          <w:szCs w:val="20"/>
          <w:lang w:val="en-US"/>
        </w:rPr>
        <w:t>violations.</w:t>
      </w:r>
      <w:r w:rsidR="003B481F" w:rsidRPr="009F337B">
        <w:rPr>
          <w:rStyle w:val="Refdenotaalpie"/>
          <w:rFonts w:eastAsia="Times"/>
          <w:i w:val="0"/>
          <w:lang w:val="en-US"/>
        </w:rPr>
        <w:footnoteReference w:id="169"/>
      </w:r>
    </w:p>
    <w:p w14:paraId="16FB6025" w14:textId="77777777" w:rsidR="008E387F" w:rsidRPr="009F337B" w:rsidRDefault="008E387F" w:rsidP="008E387F">
      <w:pPr>
        <w:pStyle w:val="Estilo1"/>
        <w:tabs>
          <w:tab w:val="left" w:pos="709"/>
          <w:tab w:val="left" w:pos="1134"/>
        </w:tabs>
        <w:spacing w:after="0"/>
        <w:ind w:left="0" w:right="-4" w:firstLine="0"/>
        <w:rPr>
          <w:rFonts w:eastAsia="Times" w:cs="Arial"/>
          <w:i w:val="0"/>
          <w:szCs w:val="20"/>
          <w:lang w:val="en-US"/>
        </w:rPr>
      </w:pPr>
    </w:p>
    <w:p w14:paraId="3D467C13" w14:textId="0E17044E" w:rsidR="003B481F" w:rsidRPr="009F337B" w:rsidRDefault="009F1A03" w:rsidP="00593E37">
      <w:pPr>
        <w:pStyle w:val="Estilo1"/>
        <w:numPr>
          <w:ilvl w:val="0"/>
          <w:numId w:val="1"/>
        </w:numPr>
        <w:tabs>
          <w:tab w:val="left" w:pos="709"/>
          <w:tab w:val="left" w:pos="1134"/>
        </w:tabs>
        <w:spacing w:after="0"/>
        <w:ind w:left="0" w:right="-4" w:firstLine="0"/>
        <w:rPr>
          <w:rFonts w:eastAsia="Times" w:cs="Arial"/>
          <w:i w:val="0"/>
          <w:szCs w:val="20"/>
          <w:lang w:val="en-US"/>
        </w:rPr>
      </w:pPr>
      <w:r w:rsidRPr="009F337B">
        <w:rPr>
          <w:rFonts w:cs="Verdana"/>
          <w:i w:val="0"/>
          <w:szCs w:val="20"/>
          <w:lang w:val="en-US"/>
        </w:rPr>
        <w:t>In correlation</w:t>
      </w:r>
      <w:r w:rsidR="001811F9" w:rsidRPr="009F337B">
        <w:rPr>
          <w:rFonts w:cs="Verdana"/>
          <w:i w:val="0"/>
          <w:szCs w:val="20"/>
          <w:lang w:val="en-US"/>
        </w:rPr>
        <w:t xml:space="preserve"> to the above</w:t>
      </w:r>
      <w:r w:rsidRPr="009F337B">
        <w:rPr>
          <w:rFonts w:cs="Verdana"/>
          <w:i w:val="0"/>
          <w:szCs w:val="20"/>
          <w:lang w:val="en-US"/>
        </w:rPr>
        <w:t xml:space="preserve">, the Court has </w:t>
      </w:r>
      <w:r w:rsidRPr="009F337B">
        <w:rPr>
          <w:i w:val="0"/>
          <w:lang w:val="en-US"/>
        </w:rPr>
        <w:t>considered that it revealed an obligation – although a conditioned obligation – of non-</w:t>
      </w:r>
      <w:proofErr w:type="spellStart"/>
      <w:r w:rsidRPr="009F337B">
        <w:rPr>
          <w:i w:val="0"/>
          <w:lang w:val="en-US"/>
        </w:rPr>
        <w:t>retrogressivity</w:t>
      </w:r>
      <w:proofErr w:type="spellEnd"/>
      <w:r w:rsidRPr="009F337B">
        <w:rPr>
          <w:i w:val="0"/>
          <w:lang w:val="en-US"/>
        </w:rPr>
        <w:t xml:space="preserve">, which should not always be understood as a prohibition of measures that restrict the exercise of a right. </w:t>
      </w:r>
      <w:r w:rsidR="001811F9" w:rsidRPr="009F337B">
        <w:rPr>
          <w:i w:val="0"/>
          <w:lang w:val="en-US"/>
        </w:rPr>
        <w:t>In this regard, t</w:t>
      </w:r>
      <w:r w:rsidRPr="009F337B">
        <w:rPr>
          <w:i w:val="0"/>
          <w:lang w:val="en-US"/>
        </w:rPr>
        <w:t xml:space="preserve">he Court referred to the </w:t>
      </w:r>
      <w:r w:rsidR="001811F9" w:rsidRPr="009F337B">
        <w:rPr>
          <w:i w:val="0"/>
          <w:lang w:val="en-US"/>
        </w:rPr>
        <w:t>opinion</w:t>
      </w:r>
      <w:r w:rsidRPr="009F337B">
        <w:rPr>
          <w:i w:val="0"/>
          <w:lang w:val="en-US"/>
        </w:rPr>
        <w:t xml:space="preserve"> of the </w:t>
      </w:r>
      <w:r w:rsidR="001811F9" w:rsidRPr="009F337B">
        <w:rPr>
          <w:i w:val="0"/>
          <w:lang w:val="en-US"/>
        </w:rPr>
        <w:t>CESCR</w:t>
      </w:r>
      <w:r w:rsidRPr="009F337B">
        <w:rPr>
          <w:i w:val="0"/>
          <w:lang w:val="en-US"/>
        </w:rPr>
        <w:t xml:space="preserve"> that “any deliberately retrogressive measures in that regard would require the most careful consideration and would need to be fully </w:t>
      </w:r>
      <w:r w:rsidRPr="009F337B">
        <w:rPr>
          <w:rStyle w:val="highlight"/>
          <w:i w:val="0"/>
          <w:lang w:val="en-US"/>
        </w:rPr>
        <w:t>justified</w:t>
      </w:r>
      <w:r w:rsidRPr="009F337B">
        <w:rPr>
          <w:i w:val="0"/>
          <w:lang w:val="en-US"/>
        </w:rPr>
        <w:t xml:space="preserve"> by reference to the totality of the rights provided for in the [International Covenant on Economic, Social and Cultural Rights] and in the context of the full use of the maximum available resources.</w:t>
      </w:r>
      <w:r w:rsidR="003B481F" w:rsidRPr="009F337B">
        <w:rPr>
          <w:rFonts w:cs="Verdana"/>
          <w:i w:val="0"/>
          <w:szCs w:val="20"/>
          <w:lang w:val="en-US"/>
        </w:rPr>
        <w:t>”</w:t>
      </w:r>
      <w:r w:rsidR="003B481F" w:rsidRPr="009F337B">
        <w:rPr>
          <w:rStyle w:val="Refdenotaalpie"/>
          <w:i w:val="0"/>
          <w:lang w:val="en-US"/>
        </w:rPr>
        <w:footnoteReference w:id="170"/>
      </w:r>
      <w:r w:rsidRPr="009F337B">
        <w:rPr>
          <w:rFonts w:cs="Verdana"/>
          <w:i w:val="0"/>
          <w:szCs w:val="20"/>
          <w:lang w:val="en-US"/>
        </w:rPr>
        <w:t xml:space="preserve"> Similarly, </w:t>
      </w:r>
      <w:r w:rsidR="00AE5F9E" w:rsidRPr="009F337B">
        <w:rPr>
          <w:rFonts w:cs="Verdana"/>
          <w:i w:val="0"/>
          <w:szCs w:val="20"/>
          <w:lang w:val="en-US"/>
        </w:rPr>
        <w:t>the Inter-American Commission</w:t>
      </w:r>
      <w:r w:rsidR="003B481F" w:rsidRPr="009F337B">
        <w:rPr>
          <w:rFonts w:cs="Verdana"/>
          <w:i w:val="0"/>
          <w:szCs w:val="20"/>
          <w:lang w:val="en-US"/>
        </w:rPr>
        <w:t xml:space="preserve"> </w:t>
      </w:r>
      <w:r w:rsidRPr="009F337B">
        <w:rPr>
          <w:rFonts w:cs="Verdana"/>
          <w:i w:val="0"/>
          <w:szCs w:val="20"/>
          <w:lang w:val="en-US"/>
        </w:rPr>
        <w:t xml:space="preserve">has considered that to evaluate whether a retrogressive measure is </w:t>
      </w:r>
      <w:r w:rsidR="003B481F" w:rsidRPr="009F337B">
        <w:rPr>
          <w:rFonts w:cs="Verdana"/>
          <w:i w:val="0"/>
          <w:szCs w:val="20"/>
          <w:lang w:val="en-US"/>
        </w:rPr>
        <w:t xml:space="preserve">compatible </w:t>
      </w:r>
      <w:r w:rsidRPr="009F337B">
        <w:rPr>
          <w:rFonts w:cs="Verdana"/>
          <w:i w:val="0"/>
          <w:szCs w:val="20"/>
          <w:lang w:val="en-US"/>
        </w:rPr>
        <w:t>with</w:t>
      </w:r>
      <w:r w:rsidR="003B481F" w:rsidRPr="009F337B">
        <w:rPr>
          <w:rFonts w:cs="Verdana"/>
          <w:i w:val="0"/>
          <w:szCs w:val="20"/>
          <w:lang w:val="en-US"/>
        </w:rPr>
        <w:t xml:space="preserve"> </w:t>
      </w:r>
      <w:r w:rsidR="00AE5F9E" w:rsidRPr="009F337B">
        <w:rPr>
          <w:rFonts w:cs="Verdana"/>
          <w:i w:val="0"/>
          <w:szCs w:val="20"/>
          <w:lang w:val="en-US"/>
        </w:rPr>
        <w:t>the American Convention</w:t>
      </w:r>
      <w:r w:rsidR="003B481F" w:rsidRPr="009F337B">
        <w:rPr>
          <w:rFonts w:cs="Verdana"/>
          <w:i w:val="0"/>
          <w:szCs w:val="20"/>
          <w:lang w:val="en-US"/>
        </w:rPr>
        <w:t xml:space="preserve">, </w:t>
      </w:r>
      <w:r w:rsidRPr="009F337B">
        <w:rPr>
          <w:rFonts w:cs="Verdana"/>
          <w:i w:val="0"/>
          <w:szCs w:val="20"/>
          <w:lang w:val="en-US"/>
        </w:rPr>
        <w:t>it is necessary</w:t>
      </w:r>
      <w:r w:rsidR="003B481F" w:rsidRPr="009F337B">
        <w:rPr>
          <w:rFonts w:cs="Verdana"/>
          <w:i w:val="0"/>
          <w:szCs w:val="20"/>
          <w:lang w:val="en-US"/>
        </w:rPr>
        <w:t xml:space="preserve"> “</w:t>
      </w:r>
      <w:r w:rsidR="008E38FE" w:rsidRPr="009F337B">
        <w:rPr>
          <w:rFonts w:cs="Verdana"/>
          <w:i w:val="0"/>
          <w:szCs w:val="20"/>
          <w:lang w:val="en-US"/>
        </w:rPr>
        <w:t xml:space="preserve">to </w:t>
      </w:r>
      <w:r w:rsidR="003B481F" w:rsidRPr="009F337B">
        <w:rPr>
          <w:rFonts w:cs="Verdana"/>
          <w:i w:val="0"/>
          <w:szCs w:val="20"/>
          <w:lang w:val="en-US"/>
        </w:rPr>
        <w:t>determin</w:t>
      </w:r>
      <w:r w:rsidR="008E38FE" w:rsidRPr="009F337B">
        <w:rPr>
          <w:rFonts w:cs="Verdana"/>
          <w:i w:val="0"/>
          <w:szCs w:val="20"/>
          <w:lang w:val="en-US"/>
        </w:rPr>
        <w:t xml:space="preserve">e whether it is justified by reasons of sufficient </w:t>
      </w:r>
      <w:r w:rsidR="001811F9" w:rsidRPr="009F337B">
        <w:rPr>
          <w:rFonts w:cs="Verdana"/>
          <w:i w:val="0"/>
          <w:szCs w:val="20"/>
          <w:lang w:val="en-US"/>
        </w:rPr>
        <w:t>importance</w:t>
      </w:r>
      <w:r w:rsidR="008E38FE" w:rsidRPr="009F337B">
        <w:rPr>
          <w:rFonts w:cs="Verdana"/>
          <w:i w:val="0"/>
          <w:szCs w:val="20"/>
          <w:lang w:val="en-US"/>
        </w:rPr>
        <w:t>.</w:t>
      </w:r>
      <w:r w:rsidR="003B481F" w:rsidRPr="009F337B">
        <w:rPr>
          <w:rFonts w:cs="Verdana"/>
          <w:i w:val="0"/>
          <w:szCs w:val="20"/>
          <w:lang w:val="en-US"/>
        </w:rPr>
        <w:t>”</w:t>
      </w:r>
      <w:r w:rsidR="003B481F" w:rsidRPr="009F337B">
        <w:rPr>
          <w:rStyle w:val="Refdenotaalpie"/>
          <w:i w:val="0"/>
          <w:lang w:val="en-US"/>
        </w:rPr>
        <w:footnoteReference w:id="171"/>
      </w:r>
      <w:r w:rsidR="003B481F" w:rsidRPr="009F337B">
        <w:rPr>
          <w:rFonts w:cs="Verdana"/>
          <w:i w:val="0"/>
          <w:szCs w:val="20"/>
          <w:lang w:val="en-US"/>
        </w:rPr>
        <w:t xml:space="preserve"> </w:t>
      </w:r>
      <w:r w:rsidR="008E38FE" w:rsidRPr="009F337B">
        <w:rPr>
          <w:rFonts w:cs="Verdana"/>
          <w:i w:val="0"/>
          <w:szCs w:val="20"/>
          <w:lang w:val="en-US"/>
        </w:rPr>
        <w:t>Based on the foregoing, it can be asserted that this</w:t>
      </w:r>
      <w:r w:rsidR="001811F9" w:rsidRPr="009F337B">
        <w:rPr>
          <w:rFonts w:cs="Verdana"/>
          <w:i w:val="0"/>
          <w:szCs w:val="20"/>
          <w:lang w:val="en-US"/>
        </w:rPr>
        <w:t xml:space="preserve"> aspect </w:t>
      </w:r>
      <w:r w:rsidR="008E38FE" w:rsidRPr="009F337B">
        <w:rPr>
          <w:rFonts w:cs="Verdana"/>
          <w:i w:val="0"/>
          <w:szCs w:val="20"/>
          <w:lang w:val="en-US"/>
        </w:rPr>
        <w:t xml:space="preserve">of the </w:t>
      </w:r>
      <w:r w:rsidR="006E03A4" w:rsidRPr="009F337B">
        <w:rPr>
          <w:rFonts w:cs="Verdana"/>
          <w:i w:val="0"/>
          <w:szCs w:val="20"/>
          <w:lang w:val="en-US"/>
        </w:rPr>
        <w:t>principle of progressivity</w:t>
      </w:r>
      <w:r w:rsidR="008E38FE" w:rsidRPr="009F337B">
        <w:rPr>
          <w:rFonts w:cs="Verdana"/>
          <w:i w:val="0"/>
          <w:szCs w:val="20"/>
          <w:lang w:val="en-US"/>
        </w:rPr>
        <w:t xml:space="preserve"> is</w:t>
      </w:r>
      <w:r w:rsidR="003B481F" w:rsidRPr="009F337B">
        <w:rPr>
          <w:rFonts w:cs="Verdana"/>
          <w:i w:val="0"/>
          <w:szCs w:val="20"/>
          <w:lang w:val="en-US"/>
        </w:rPr>
        <w:t xml:space="preserve"> justiciable </w:t>
      </w:r>
      <w:r w:rsidR="008E38FE" w:rsidRPr="009F337B">
        <w:rPr>
          <w:rFonts w:cs="Verdana"/>
          <w:i w:val="0"/>
          <w:szCs w:val="20"/>
          <w:lang w:val="en-US"/>
        </w:rPr>
        <w:t xml:space="preserve">when </w:t>
      </w:r>
      <w:r w:rsidR="00BD4205" w:rsidRPr="009F337B">
        <w:rPr>
          <w:rFonts w:cs="Verdana"/>
          <w:i w:val="0"/>
          <w:szCs w:val="20"/>
          <w:lang w:val="en-US"/>
        </w:rPr>
        <w:t>economic, social, cultural and environmental rights</w:t>
      </w:r>
      <w:r w:rsidR="008E38FE" w:rsidRPr="009F337B">
        <w:rPr>
          <w:rFonts w:cs="Verdana"/>
          <w:i w:val="0"/>
          <w:szCs w:val="20"/>
          <w:lang w:val="en-US"/>
        </w:rPr>
        <w:t xml:space="preserve"> are involved</w:t>
      </w:r>
      <w:r w:rsidR="003B481F" w:rsidRPr="009F337B">
        <w:rPr>
          <w:rFonts w:cs="Verdana"/>
          <w:i w:val="0"/>
          <w:szCs w:val="20"/>
          <w:lang w:val="en-US"/>
        </w:rPr>
        <w:t>.</w:t>
      </w:r>
    </w:p>
    <w:p w14:paraId="389CE8EF" w14:textId="77777777" w:rsidR="008E387F" w:rsidRPr="009F337B" w:rsidRDefault="008E387F" w:rsidP="008E387F">
      <w:pPr>
        <w:pStyle w:val="Estilo1"/>
        <w:tabs>
          <w:tab w:val="left" w:pos="709"/>
          <w:tab w:val="left" w:pos="1134"/>
        </w:tabs>
        <w:spacing w:after="0"/>
        <w:ind w:left="0" w:right="-4" w:firstLine="0"/>
        <w:rPr>
          <w:rFonts w:eastAsia="Times" w:cs="Arial"/>
          <w:i w:val="0"/>
          <w:szCs w:val="20"/>
          <w:lang w:val="en-US"/>
        </w:rPr>
      </w:pPr>
    </w:p>
    <w:p w14:paraId="21C525ED" w14:textId="23F92D2D" w:rsidR="00455930" w:rsidRPr="009F337B" w:rsidRDefault="00AC0BEF" w:rsidP="00AC0BEF">
      <w:pPr>
        <w:pStyle w:val="Estilo1"/>
        <w:tabs>
          <w:tab w:val="left" w:pos="709"/>
          <w:tab w:val="left" w:pos="1134"/>
        </w:tabs>
        <w:spacing w:after="0"/>
        <w:ind w:left="0" w:right="-4" w:firstLine="0"/>
        <w:rPr>
          <w:rFonts w:eastAsia="Times" w:cs="Arial"/>
          <w:b/>
          <w:szCs w:val="20"/>
          <w:lang w:val="en-US"/>
        </w:rPr>
      </w:pPr>
      <w:r w:rsidRPr="009F337B">
        <w:rPr>
          <w:rFonts w:eastAsia="Times" w:cs="Arial"/>
          <w:b/>
          <w:szCs w:val="20"/>
          <w:lang w:val="en-US"/>
        </w:rPr>
        <w:tab/>
      </w:r>
      <w:r w:rsidRPr="009F337B">
        <w:rPr>
          <w:rFonts w:eastAsia="Times" w:cs="Arial"/>
          <w:b/>
          <w:szCs w:val="20"/>
          <w:lang w:val="en-US"/>
        </w:rPr>
        <w:tab/>
      </w:r>
      <w:r w:rsidRPr="009F337B">
        <w:rPr>
          <w:rFonts w:eastAsia="Times" w:cs="Arial"/>
          <w:b/>
          <w:szCs w:val="20"/>
          <w:lang w:val="en-US"/>
        </w:rPr>
        <w:tab/>
      </w:r>
      <w:r w:rsidR="00455930" w:rsidRPr="009F337B">
        <w:rPr>
          <w:rFonts w:eastAsia="Times" w:cs="Arial"/>
          <w:b/>
          <w:szCs w:val="20"/>
          <w:lang w:val="en-US"/>
        </w:rPr>
        <w:t>B.4.1.2. A</w:t>
      </w:r>
      <w:r w:rsidR="005776D6" w:rsidRPr="009F337B">
        <w:rPr>
          <w:rFonts w:eastAsia="Times" w:cs="Arial"/>
          <w:b/>
          <w:szCs w:val="20"/>
          <w:lang w:val="en-US"/>
        </w:rPr>
        <w:t xml:space="preserve">nalysis of compliance with the obligation of progressivity prior to </w:t>
      </w:r>
      <w:r w:rsidR="00455930" w:rsidRPr="009F337B">
        <w:rPr>
          <w:rFonts w:eastAsia="Times" w:cs="Arial"/>
          <w:b/>
          <w:szCs w:val="20"/>
          <w:lang w:val="en-US"/>
        </w:rPr>
        <w:t>2004</w:t>
      </w:r>
    </w:p>
    <w:p w14:paraId="16C402AE" w14:textId="77777777" w:rsidR="008E387F" w:rsidRPr="009F337B" w:rsidRDefault="008E387F" w:rsidP="008E387F">
      <w:pPr>
        <w:pStyle w:val="Estilo1"/>
        <w:tabs>
          <w:tab w:val="left" w:pos="709"/>
          <w:tab w:val="left" w:pos="1134"/>
        </w:tabs>
        <w:spacing w:after="0"/>
        <w:ind w:left="0" w:right="-4" w:firstLine="0"/>
        <w:rPr>
          <w:rFonts w:eastAsia="Times" w:cs="Arial"/>
          <w:i w:val="0"/>
          <w:szCs w:val="20"/>
          <w:lang w:val="en-US"/>
        </w:rPr>
      </w:pPr>
    </w:p>
    <w:p w14:paraId="5412AE08" w14:textId="7CFEC656" w:rsidR="003B481F" w:rsidRPr="009F337B" w:rsidRDefault="00CE12D8" w:rsidP="00593E37">
      <w:pPr>
        <w:pStyle w:val="Estilo1"/>
        <w:numPr>
          <w:ilvl w:val="0"/>
          <w:numId w:val="1"/>
        </w:numPr>
        <w:tabs>
          <w:tab w:val="left" w:pos="709"/>
          <w:tab w:val="left" w:pos="1134"/>
        </w:tabs>
        <w:spacing w:after="0"/>
        <w:ind w:left="0" w:right="-4" w:firstLine="0"/>
        <w:rPr>
          <w:rFonts w:eastAsia="Times" w:cs="Arial"/>
          <w:i w:val="0"/>
          <w:szCs w:val="20"/>
          <w:lang w:val="en-US"/>
        </w:rPr>
      </w:pPr>
      <w:r w:rsidRPr="009F337B">
        <w:rPr>
          <w:rFonts w:eastAsia="Times" w:cs="Arial"/>
          <w:i w:val="0"/>
          <w:szCs w:val="20"/>
          <w:lang w:val="en-US"/>
        </w:rPr>
        <w:lastRenderedPageBreak/>
        <w:t xml:space="preserve">In this judgment </w:t>
      </w:r>
      <w:r w:rsidR="003B481F" w:rsidRPr="009F337B">
        <w:rPr>
          <w:rFonts w:eastAsia="Times" w:cs="Arial"/>
          <w:i w:val="0"/>
          <w:szCs w:val="20"/>
          <w:lang w:val="en-US"/>
        </w:rPr>
        <w:t>(</w:t>
      </w:r>
      <w:r w:rsidR="003B481F" w:rsidRPr="009F337B">
        <w:rPr>
          <w:rFonts w:eastAsia="Times" w:cs="Arial"/>
          <w:szCs w:val="20"/>
          <w:lang w:val="en-US"/>
        </w:rPr>
        <w:t>supra</w:t>
      </w:r>
      <w:r w:rsidR="003B481F" w:rsidRPr="009F337B">
        <w:rPr>
          <w:rFonts w:eastAsia="Times" w:cs="Arial"/>
          <w:i w:val="0"/>
          <w:szCs w:val="20"/>
          <w:lang w:val="en-US"/>
        </w:rPr>
        <w:t xml:space="preserve"> </w:t>
      </w:r>
      <w:r w:rsidR="00B63594" w:rsidRPr="009F337B">
        <w:rPr>
          <w:rFonts w:eastAsia="Times" w:cs="Arial"/>
          <w:i w:val="0"/>
          <w:szCs w:val="20"/>
          <w:lang w:val="en-US"/>
        </w:rPr>
        <w:t>paras.</w:t>
      </w:r>
      <w:r w:rsidR="003B481F" w:rsidRPr="009F337B">
        <w:rPr>
          <w:rFonts w:eastAsia="Times" w:cs="Arial"/>
          <w:i w:val="0"/>
          <w:szCs w:val="20"/>
          <w:lang w:val="en-US"/>
        </w:rPr>
        <w:t xml:space="preserve"> </w:t>
      </w:r>
      <w:r w:rsidR="00F4229A" w:rsidRPr="009F337B">
        <w:rPr>
          <w:rFonts w:eastAsia="Times" w:cs="Arial"/>
          <w:i w:val="0"/>
          <w:szCs w:val="20"/>
          <w:lang w:val="en-US"/>
        </w:rPr>
        <w:t xml:space="preserve">118 </w:t>
      </w:r>
      <w:r w:rsidRPr="009F337B">
        <w:rPr>
          <w:rFonts w:eastAsia="Times" w:cs="Arial"/>
          <w:i w:val="0"/>
          <w:szCs w:val="20"/>
          <w:lang w:val="en-US"/>
        </w:rPr>
        <w:t>to</w:t>
      </w:r>
      <w:r w:rsidR="00F4229A" w:rsidRPr="009F337B">
        <w:rPr>
          <w:rFonts w:eastAsia="Times" w:cs="Arial"/>
          <w:i w:val="0"/>
          <w:szCs w:val="20"/>
          <w:lang w:val="en-US"/>
        </w:rPr>
        <w:t xml:space="preserve"> 127</w:t>
      </w:r>
      <w:r w:rsidR="003B481F" w:rsidRPr="009F337B">
        <w:rPr>
          <w:rFonts w:eastAsia="Times" w:cs="Arial"/>
          <w:i w:val="0"/>
          <w:szCs w:val="20"/>
          <w:lang w:val="en-US"/>
        </w:rPr>
        <w:t xml:space="preserve">), </w:t>
      </w:r>
      <w:r w:rsidRPr="009F337B">
        <w:rPr>
          <w:rFonts w:eastAsia="Times" w:cs="Arial"/>
          <w:i w:val="0"/>
          <w:szCs w:val="20"/>
          <w:lang w:val="en-US"/>
        </w:rPr>
        <w:t>the Court has already found that</w:t>
      </w:r>
      <w:r w:rsidR="003B481F" w:rsidRPr="009F337B">
        <w:rPr>
          <w:rFonts w:eastAsia="Times" w:cs="Arial"/>
          <w:i w:val="0"/>
          <w:szCs w:val="20"/>
          <w:lang w:val="en-US"/>
        </w:rPr>
        <w:t xml:space="preserve"> </w:t>
      </w:r>
      <w:r w:rsidR="003C46A3" w:rsidRPr="009F337B">
        <w:rPr>
          <w:rFonts w:eastAsia="Times" w:cs="Arial"/>
          <w:i w:val="0"/>
          <w:szCs w:val="20"/>
          <w:lang w:val="en-US"/>
        </w:rPr>
        <w:t>the State</w:t>
      </w:r>
      <w:r w:rsidR="003B481F" w:rsidRPr="009F337B">
        <w:rPr>
          <w:rFonts w:eastAsia="Times" w:cs="Arial"/>
          <w:i w:val="0"/>
          <w:szCs w:val="20"/>
          <w:lang w:val="en-US"/>
        </w:rPr>
        <w:t xml:space="preserve"> viol</w:t>
      </w:r>
      <w:r w:rsidRPr="009F337B">
        <w:rPr>
          <w:rFonts w:eastAsia="Times" w:cs="Arial"/>
          <w:i w:val="0"/>
          <w:szCs w:val="20"/>
          <w:lang w:val="en-US"/>
        </w:rPr>
        <w:t>ated</w:t>
      </w:r>
      <w:r w:rsidR="003B481F" w:rsidRPr="009F337B">
        <w:rPr>
          <w:rFonts w:eastAsia="Times" w:cs="Arial"/>
          <w:i w:val="0"/>
          <w:szCs w:val="20"/>
          <w:lang w:val="en-US"/>
        </w:rPr>
        <w:t xml:space="preserve"> </w:t>
      </w:r>
      <w:r w:rsidR="00A51F3B" w:rsidRPr="009F337B">
        <w:rPr>
          <w:rFonts w:eastAsia="Times" w:cs="Arial"/>
          <w:i w:val="0"/>
          <w:szCs w:val="20"/>
          <w:lang w:val="en-US"/>
        </w:rPr>
        <w:t>the right to health</w:t>
      </w:r>
      <w:r w:rsidR="003B481F" w:rsidRPr="009F337B">
        <w:rPr>
          <w:rFonts w:eastAsia="Times" w:cs="Arial"/>
          <w:i w:val="0"/>
          <w:szCs w:val="20"/>
          <w:lang w:val="en-US"/>
        </w:rPr>
        <w:t xml:space="preserve"> </w:t>
      </w:r>
      <w:r w:rsidRPr="009F337B">
        <w:rPr>
          <w:rFonts w:eastAsia="Times" w:cs="Arial"/>
          <w:i w:val="0"/>
          <w:szCs w:val="20"/>
          <w:lang w:val="en-US"/>
        </w:rPr>
        <w:t>of</w:t>
      </w:r>
      <w:r w:rsidR="003B481F" w:rsidRPr="009F337B">
        <w:rPr>
          <w:rFonts w:eastAsia="Times" w:cs="Arial"/>
          <w:i w:val="0"/>
          <w:szCs w:val="20"/>
          <w:lang w:val="en-US"/>
        </w:rPr>
        <w:t xml:space="preserve"> </w:t>
      </w:r>
      <w:r w:rsidR="00B01727" w:rsidRPr="009F337B">
        <w:rPr>
          <w:rFonts w:eastAsia="Times" w:cs="Arial"/>
          <w:i w:val="0"/>
          <w:szCs w:val="20"/>
          <w:lang w:val="en-US"/>
        </w:rPr>
        <w:t>49</w:t>
      </w:r>
      <w:r w:rsidR="003B481F" w:rsidRPr="009F337B">
        <w:rPr>
          <w:rFonts w:eastAsia="Times" w:cs="Arial"/>
          <w:i w:val="0"/>
          <w:szCs w:val="20"/>
          <w:lang w:val="en-US"/>
        </w:rPr>
        <w:t xml:space="preserve"> v</w:t>
      </w:r>
      <w:r w:rsidRPr="009F337B">
        <w:rPr>
          <w:rFonts w:eastAsia="Times" w:cs="Arial"/>
          <w:i w:val="0"/>
          <w:szCs w:val="20"/>
          <w:lang w:val="en-US"/>
        </w:rPr>
        <w:t xml:space="preserve">ictims by failing to ensure them adequate medical treatment as </w:t>
      </w:r>
      <w:r w:rsidR="00080A1E" w:rsidRPr="009F337B">
        <w:rPr>
          <w:rFonts w:eastAsia="Times" w:cs="Arial"/>
          <w:i w:val="0"/>
          <w:szCs w:val="20"/>
          <w:lang w:val="en-US"/>
        </w:rPr>
        <w:t>people living with HIV</w:t>
      </w:r>
      <w:r w:rsidR="003B481F" w:rsidRPr="009F337B">
        <w:rPr>
          <w:rFonts w:eastAsia="Times" w:cs="Arial"/>
          <w:i w:val="0"/>
          <w:szCs w:val="20"/>
          <w:lang w:val="en-US"/>
        </w:rPr>
        <w:t xml:space="preserve">. </w:t>
      </w:r>
      <w:r w:rsidRPr="009F337B">
        <w:rPr>
          <w:rFonts w:eastAsia="Times" w:cs="Arial"/>
          <w:i w:val="0"/>
          <w:szCs w:val="20"/>
          <w:lang w:val="en-US"/>
        </w:rPr>
        <w:t>The Court will now examine the a</w:t>
      </w:r>
      <w:r w:rsidR="00496FE4" w:rsidRPr="009F337B">
        <w:rPr>
          <w:rFonts w:eastAsia="Times" w:cs="Arial"/>
          <w:i w:val="0"/>
          <w:szCs w:val="20"/>
          <w:lang w:val="en-US"/>
        </w:rPr>
        <w:t xml:space="preserve">llegation that the State violated the commitment established in </w:t>
      </w:r>
      <w:r w:rsidR="00AE5F9E" w:rsidRPr="009F337B">
        <w:rPr>
          <w:rFonts w:eastAsia="Times" w:cs="Arial"/>
          <w:i w:val="0"/>
          <w:szCs w:val="20"/>
          <w:lang w:val="en-US"/>
        </w:rPr>
        <w:t>Article</w:t>
      </w:r>
      <w:r w:rsidR="003B481F" w:rsidRPr="009F337B">
        <w:rPr>
          <w:rFonts w:eastAsia="Times" w:cs="Arial"/>
          <w:i w:val="0"/>
          <w:szCs w:val="20"/>
          <w:lang w:val="en-US"/>
        </w:rPr>
        <w:t xml:space="preserve"> 26 </w:t>
      </w:r>
      <w:r w:rsidR="00A32ED8" w:rsidRPr="009F337B">
        <w:rPr>
          <w:rFonts w:eastAsia="Times" w:cs="Arial"/>
          <w:i w:val="0"/>
          <w:szCs w:val="20"/>
          <w:lang w:val="en-US"/>
        </w:rPr>
        <w:t>concerning</w:t>
      </w:r>
      <w:r w:rsidR="003B481F" w:rsidRPr="009F337B">
        <w:rPr>
          <w:rFonts w:eastAsia="Times" w:cs="Arial"/>
          <w:i w:val="0"/>
          <w:szCs w:val="20"/>
          <w:lang w:val="en-US"/>
        </w:rPr>
        <w:t xml:space="preserve"> </w:t>
      </w:r>
      <w:r w:rsidR="00496FE4" w:rsidRPr="009F337B">
        <w:rPr>
          <w:rFonts w:eastAsia="Times" w:cs="Arial"/>
          <w:i w:val="0"/>
          <w:szCs w:val="20"/>
          <w:lang w:val="en-US"/>
        </w:rPr>
        <w:t>compliance with its obligation of progressivity. This obligation consists in the adoption of provisions, especially of an economic and technical nature – to the extent of available resources and by either legislative or other appropriate means – to achieve progressively the full realization of certain</w:t>
      </w:r>
      <w:r w:rsidR="003B481F" w:rsidRPr="009F337B">
        <w:rPr>
          <w:rFonts w:eastAsia="Times" w:cs="Arial"/>
          <w:i w:val="0"/>
          <w:szCs w:val="20"/>
          <w:lang w:val="en-US"/>
        </w:rPr>
        <w:t xml:space="preserve"> </w:t>
      </w:r>
      <w:r w:rsidR="00BD4205" w:rsidRPr="009F337B">
        <w:rPr>
          <w:rFonts w:eastAsia="Times" w:cs="Arial"/>
          <w:i w:val="0"/>
          <w:szCs w:val="20"/>
          <w:lang w:val="en-US"/>
        </w:rPr>
        <w:t>economic, social, cultural and environmental rights</w:t>
      </w:r>
      <w:r w:rsidR="003B481F" w:rsidRPr="009F337B">
        <w:rPr>
          <w:rFonts w:eastAsia="Times" w:cs="Arial"/>
          <w:i w:val="0"/>
          <w:szCs w:val="20"/>
          <w:lang w:val="en-US"/>
        </w:rPr>
        <w:t xml:space="preserve">. </w:t>
      </w:r>
      <w:r w:rsidR="00496FE4" w:rsidRPr="009F337B">
        <w:rPr>
          <w:rFonts w:eastAsia="Times" w:cs="Arial"/>
          <w:i w:val="0"/>
          <w:szCs w:val="20"/>
          <w:lang w:val="en-US"/>
        </w:rPr>
        <w:t>In addition,</w:t>
      </w:r>
      <w:r w:rsidR="003B481F" w:rsidRPr="009F337B">
        <w:rPr>
          <w:rFonts w:eastAsia="Times" w:cs="Arial"/>
          <w:i w:val="0"/>
          <w:szCs w:val="20"/>
          <w:lang w:val="en-US"/>
        </w:rPr>
        <w:t xml:space="preserve"> </w:t>
      </w:r>
      <w:r w:rsidR="008C399E" w:rsidRPr="009F337B">
        <w:rPr>
          <w:rFonts w:eastAsia="Times" w:cs="Arial"/>
          <w:i w:val="0"/>
          <w:szCs w:val="20"/>
          <w:lang w:val="en-US"/>
        </w:rPr>
        <w:t>the Court</w:t>
      </w:r>
      <w:r w:rsidR="003B481F" w:rsidRPr="009F337B">
        <w:rPr>
          <w:rFonts w:eastAsia="Times" w:cs="Arial"/>
          <w:i w:val="0"/>
          <w:szCs w:val="20"/>
          <w:lang w:val="en-US"/>
        </w:rPr>
        <w:t xml:space="preserve"> rec</w:t>
      </w:r>
      <w:r w:rsidR="00496FE4" w:rsidRPr="009F337B">
        <w:rPr>
          <w:rFonts w:eastAsia="Times" w:cs="Arial"/>
          <w:i w:val="0"/>
          <w:szCs w:val="20"/>
          <w:lang w:val="en-US"/>
        </w:rPr>
        <w:t>alls th</w:t>
      </w:r>
      <w:r w:rsidR="00A32ED8" w:rsidRPr="009F337B">
        <w:rPr>
          <w:rFonts w:eastAsia="Times" w:cs="Arial"/>
          <w:i w:val="0"/>
          <w:szCs w:val="20"/>
          <w:lang w:val="en-US"/>
        </w:rPr>
        <w:t>a</w:t>
      </w:r>
      <w:r w:rsidR="00496FE4" w:rsidRPr="009F337B">
        <w:rPr>
          <w:rFonts w:eastAsia="Times" w:cs="Arial"/>
          <w:i w:val="0"/>
          <w:szCs w:val="20"/>
          <w:lang w:val="en-US"/>
        </w:rPr>
        <w:t xml:space="preserve">t the progressive realization of the </w:t>
      </w:r>
      <w:r w:rsidR="00CC5BF5" w:rsidRPr="009F337B">
        <w:rPr>
          <w:rFonts w:eastAsia="Times" w:cs="Arial"/>
          <w:i w:val="0"/>
          <w:szCs w:val="20"/>
          <w:lang w:val="en-US"/>
        </w:rPr>
        <w:t>ESCER</w:t>
      </w:r>
      <w:r w:rsidR="003B481F" w:rsidRPr="009F337B">
        <w:rPr>
          <w:rFonts w:eastAsia="Times" w:cs="Arial"/>
          <w:i w:val="0"/>
          <w:szCs w:val="20"/>
          <w:lang w:val="en-US"/>
        </w:rPr>
        <w:t xml:space="preserve"> </w:t>
      </w:r>
      <w:r w:rsidR="00496FE4" w:rsidRPr="009F337B">
        <w:rPr>
          <w:rFonts w:eastAsia="Times" w:cs="Arial"/>
          <w:i w:val="0"/>
          <w:szCs w:val="20"/>
          <w:lang w:val="en-US"/>
        </w:rPr>
        <w:t xml:space="preserve">means that the States Parties have the specific and constant obligation to advance as rapidly and effectively as possible towards the full realization of the </w:t>
      </w:r>
      <w:r w:rsidR="00CC5BF5" w:rsidRPr="009F337B">
        <w:rPr>
          <w:rFonts w:eastAsia="Times" w:cs="Arial"/>
          <w:i w:val="0"/>
          <w:szCs w:val="20"/>
          <w:lang w:val="en-US"/>
        </w:rPr>
        <w:t>ESCER</w:t>
      </w:r>
      <w:r w:rsidR="00496FE4" w:rsidRPr="009F337B">
        <w:rPr>
          <w:rFonts w:eastAsia="Times" w:cs="Arial"/>
          <w:i w:val="0"/>
          <w:szCs w:val="20"/>
          <w:lang w:val="en-US"/>
        </w:rPr>
        <w:t>.</w:t>
      </w:r>
      <w:r w:rsidR="003B481F" w:rsidRPr="009F337B">
        <w:rPr>
          <w:rStyle w:val="Refdenotaalpie"/>
          <w:rFonts w:eastAsia="Times"/>
          <w:i w:val="0"/>
          <w:lang w:val="en-US"/>
        </w:rPr>
        <w:footnoteReference w:id="172"/>
      </w:r>
      <w:r w:rsidR="00496FE4" w:rsidRPr="009F337B">
        <w:rPr>
          <w:rFonts w:eastAsia="Times" w:cs="Arial"/>
          <w:i w:val="0"/>
          <w:szCs w:val="20"/>
          <w:lang w:val="en-US"/>
        </w:rPr>
        <w:t xml:space="preserve"> In this regard, the Court reiterates that the obligation of progressivity:</w:t>
      </w:r>
    </w:p>
    <w:p w14:paraId="382E62ED" w14:textId="77777777" w:rsidR="008E387F" w:rsidRPr="009F337B" w:rsidRDefault="008E387F" w:rsidP="008E387F">
      <w:pPr>
        <w:pStyle w:val="Estilo1"/>
        <w:tabs>
          <w:tab w:val="left" w:pos="709"/>
          <w:tab w:val="left" w:pos="1134"/>
        </w:tabs>
        <w:spacing w:after="0"/>
        <w:ind w:left="0" w:right="-4" w:firstLine="0"/>
        <w:rPr>
          <w:rFonts w:eastAsia="Times" w:cs="Arial"/>
          <w:i w:val="0"/>
          <w:szCs w:val="20"/>
          <w:lang w:val="en-US"/>
        </w:rPr>
      </w:pPr>
    </w:p>
    <w:p w14:paraId="6BAB4D88" w14:textId="4937DC61" w:rsidR="003B481F" w:rsidRPr="009F337B" w:rsidRDefault="00B01727" w:rsidP="00496FE4">
      <w:pPr>
        <w:pStyle w:val="Estilo1"/>
        <w:tabs>
          <w:tab w:val="left" w:pos="709"/>
          <w:tab w:val="left" w:pos="1134"/>
        </w:tabs>
        <w:spacing w:after="0"/>
        <w:ind w:left="709" w:right="855" w:firstLine="0"/>
        <w:rPr>
          <w:rFonts w:eastAsia="Times New Roman"/>
          <w:bCs/>
          <w:i w:val="0"/>
          <w:sz w:val="18"/>
          <w:szCs w:val="18"/>
          <w:lang w:val="en-US"/>
        </w:rPr>
      </w:pPr>
      <w:r w:rsidRPr="009F337B">
        <w:rPr>
          <w:rFonts w:eastAsia="Times New Roman"/>
          <w:i w:val="0"/>
          <w:sz w:val="18"/>
          <w:szCs w:val="18"/>
          <w:lang w:val="en-US"/>
        </w:rPr>
        <w:t xml:space="preserve">(…) </w:t>
      </w:r>
      <w:r w:rsidR="00496FE4" w:rsidRPr="009F337B">
        <w:rPr>
          <w:rFonts w:eastAsia="Times New Roman"/>
          <w:bCs/>
          <w:i w:val="0"/>
          <w:sz w:val="18"/>
          <w:szCs w:val="18"/>
          <w:lang w:val="en-US"/>
        </w:rPr>
        <w:t xml:space="preserve">should not be interpreted </w:t>
      </w:r>
      <w:r w:rsidR="00A32ED8" w:rsidRPr="009F337B">
        <w:rPr>
          <w:rFonts w:eastAsia="Times New Roman"/>
          <w:bCs/>
          <w:i w:val="0"/>
          <w:sz w:val="18"/>
          <w:szCs w:val="18"/>
          <w:lang w:val="en-US"/>
        </w:rPr>
        <w:t>to mean</w:t>
      </w:r>
      <w:r w:rsidR="00496FE4" w:rsidRPr="009F337B">
        <w:rPr>
          <w:rFonts w:eastAsia="Times New Roman"/>
          <w:bCs/>
          <w:i w:val="0"/>
          <w:sz w:val="18"/>
          <w:szCs w:val="18"/>
          <w:lang w:val="en-US"/>
        </w:rPr>
        <w:t xml:space="preserve"> that, during their implementation, these obligations become deprived of specific content, which also does not mean that States may postpone indefinitely the adoption of measures to make the rights in question effective, especially almost forty years after the entry into force of the inter-American treaty. Therefore, the obligation of non-</w:t>
      </w:r>
      <w:proofErr w:type="spellStart"/>
      <w:r w:rsidR="00496FE4" w:rsidRPr="009F337B">
        <w:rPr>
          <w:rFonts w:eastAsia="Times New Roman"/>
          <w:bCs/>
          <w:i w:val="0"/>
          <w:sz w:val="18"/>
          <w:szCs w:val="18"/>
          <w:lang w:val="en-US"/>
        </w:rPr>
        <w:t>retrogressivity</w:t>
      </w:r>
      <w:proofErr w:type="spellEnd"/>
      <w:r w:rsidR="00496FE4" w:rsidRPr="009F337B">
        <w:rPr>
          <w:rFonts w:eastAsia="Times New Roman"/>
          <w:bCs/>
          <w:i w:val="0"/>
          <w:sz w:val="18"/>
          <w:szCs w:val="18"/>
          <w:lang w:val="en-US"/>
        </w:rPr>
        <w:t xml:space="preserve"> applies with regard to </w:t>
      </w:r>
      <w:r w:rsidR="006C0BCB">
        <w:rPr>
          <w:rFonts w:eastAsia="Times New Roman"/>
          <w:bCs/>
          <w:i w:val="0"/>
          <w:sz w:val="18"/>
          <w:szCs w:val="18"/>
          <w:lang w:val="en-US"/>
        </w:rPr>
        <w:t>any</w:t>
      </w:r>
      <w:r w:rsidR="00496FE4" w:rsidRPr="009F337B">
        <w:rPr>
          <w:rFonts w:eastAsia="Times New Roman"/>
          <w:bCs/>
          <w:i w:val="0"/>
          <w:sz w:val="18"/>
          <w:szCs w:val="18"/>
          <w:lang w:val="en-US"/>
        </w:rPr>
        <w:t xml:space="preserve"> realization of the rights </w:t>
      </w:r>
      <w:r w:rsidR="00A32ED8" w:rsidRPr="009F337B">
        <w:rPr>
          <w:rFonts w:eastAsia="Times New Roman"/>
          <w:bCs/>
          <w:i w:val="0"/>
          <w:sz w:val="18"/>
          <w:szCs w:val="18"/>
          <w:lang w:val="en-US"/>
        </w:rPr>
        <w:t xml:space="preserve">that has been </w:t>
      </w:r>
      <w:r w:rsidR="00496FE4" w:rsidRPr="009F337B">
        <w:rPr>
          <w:rFonts w:eastAsia="Times New Roman"/>
          <w:bCs/>
          <w:i w:val="0"/>
          <w:sz w:val="18"/>
          <w:szCs w:val="18"/>
          <w:lang w:val="en-US"/>
        </w:rPr>
        <w:t>achieved.</w:t>
      </w:r>
      <w:r w:rsidR="003B481F" w:rsidRPr="009F337B">
        <w:rPr>
          <w:rFonts w:eastAsia="Times New Roman"/>
          <w:bCs/>
          <w:i w:val="0"/>
          <w:sz w:val="18"/>
          <w:szCs w:val="18"/>
          <w:lang w:val="en-US"/>
        </w:rPr>
        <w:t>”</w:t>
      </w:r>
      <w:r w:rsidR="003B481F" w:rsidRPr="009F337B">
        <w:rPr>
          <w:rStyle w:val="Refdenotaalpie"/>
          <w:rFonts w:eastAsia="Times New Roman"/>
          <w:bCs/>
          <w:i w:val="0"/>
          <w:sz w:val="18"/>
          <w:szCs w:val="18"/>
          <w:lang w:val="en-US"/>
        </w:rPr>
        <w:footnoteReference w:id="173"/>
      </w:r>
    </w:p>
    <w:p w14:paraId="33729A54" w14:textId="77777777" w:rsidR="008E387F" w:rsidRPr="009F337B" w:rsidRDefault="008E387F" w:rsidP="008E387F">
      <w:pPr>
        <w:pStyle w:val="Estilo1"/>
        <w:tabs>
          <w:tab w:val="left" w:pos="709"/>
          <w:tab w:val="left" w:pos="1134"/>
        </w:tabs>
        <w:spacing w:after="0"/>
        <w:ind w:left="0" w:right="855" w:firstLine="0"/>
        <w:rPr>
          <w:rFonts w:eastAsia="Times" w:cs="Arial"/>
          <w:i w:val="0"/>
          <w:sz w:val="16"/>
          <w:szCs w:val="16"/>
          <w:lang w:val="en-US"/>
        </w:rPr>
      </w:pPr>
    </w:p>
    <w:p w14:paraId="26DD8A3B" w14:textId="1E67CE99" w:rsidR="00496FE4" w:rsidRPr="009F337B" w:rsidRDefault="00496FE4" w:rsidP="00593E37">
      <w:pPr>
        <w:pStyle w:val="Estilo1"/>
        <w:numPr>
          <w:ilvl w:val="0"/>
          <w:numId w:val="1"/>
        </w:numPr>
        <w:tabs>
          <w:tab w:val="left" w:pos="709"/>
          <w:tab w:val="left" w:pos="1134"/>
        </w:tabs>
        <w:spacing w:after="0"/>
        <w:ind w:left="0" w:right="-4" w:firstLine="0"/>
        <w:rPr>
          <w:rFonts w:eastAsia="Times" w:cs="Arial"/>
          <w:i w:val="0"/>
          <w:szCs w:val="20"/>
          <w:lang w:val="en-US"/>
        </w:rPr>
      </w:pPr>
      <w:r w:rsidRPr="009F337B">
        <w:rPr>
          <w:rFonts w:eastAsia="Times" w:cs="Arial"/>
          <w:i w:val="0"/>
          <w:szCs w:val="20"/>
          <w:lang w:val="en-US"/>
        </w:rPr>
        <w:t xml:space="preserve">Bearing in mind that the matter analyzed refers to the specific measures that, in the opinion </w:t>
      </w:r>
      <w:r w:rsidR="00AE5F9E" w:rsidRPr="009F337B">
        <w:rPr>
          <w:rFonts w:eastAsia="Times" w:cs="Arial"/>
          <w:i w:val="0"/>
          <w:szCs w:val="20"/>
          <w:lang w:val="en-US"/>
        </w:rPr>
        <w:t>of the Commission</w:t>
      </w:r>
      <w:r w:rsidR="003C46A3" w:rsidRPr="009F337B">
        <w:rPr>
          <w:rFonts w:eastAsia="Times" w:cs="Arial"/>
          <w:i w:val="0"/>
          <w:szCs w:val="20"/>
          <w:lang w:val="en-US"/>
        </w:rPr>
        <w:t xml:space="preserve"> and</w:t>
      </w:r>
      <w:r w:rsidR="00CC6A68" w:rsidRPr="009F337B">
        <w:rPr>
          <w:rFonts w:eastAsia="Times" w:cs="Arial"/>
          <w:i w:val="0"/>
          <w:szCs w:val="20"/>
          <w:lang w:val="en-US"/>
        </w:rPr>
        <w:t xml:space="preserve"> of the </w:t>
      </w:r>
      <w:r w:rsidR="007327F5" w:rsidRPr="009F337B">
        <w:rPr>
          <w:rFonts w:eastAsia="Times" w:cs="Arial"/>
          <w:i w:val="0"/>
          <w:szCs w:val="20"/>
          <w:lang w:val="en-US"/>
        </w:rPr>
        <w:t>representatives</w:t>
      </w:r>
      <w:r w:rsidR="003B481F" w:rsidRPr="009F337B">
        <w:rPr>
          <w:rFonts w:eastAsia="Times" w:cs="Arial"/>
          <w:i w:val="0"/>
          <w:szCs w:val="20"/>
          <w:lang w:val="en-US"/>
        </w:rPr>
        <w:t xml:space="preserve">, </w:t>
      </w:r>
      <w:r w:rsidRPr="009F337B">
        <w:rPr>
          <w:rFonts w:eastAsia="Times" w:cs="Arial"/>
          <w:i w:val="0"/>
          <w:szCs w:val="20"/>
          <w:lang w:val="en-US"/>
        </w:rPr>
        <w:t xml:space="preserve">were retrogressive </w:t>
      </w:r>
      <w:r w:rsidR="00A32ED8" w:rsidRPr="009F337B">
        <w:rPr>
          <w:rFonts w:eastAsia="Times" w:cs="Arial"/>
          <w:i w:val="0"/>
          <w:szCs w:val="20"/>
          <w:lang w:val="en-US"/>
        </w:rPr>
        <w:t>for the</w:t>
      </w:r>
      <w:r w:rsidRPr="009F337B">
        <w:rPr>
          <w:rFonts w:eastAsia="Times" w:cs="Arial"/>
          <w:i w:val="0"/>
          <w:szCs w:val="20"/>
          <w:lang w:val="en-US"/>
        </w:rPr>
        <w:t xml:space="preserve"> prevent</w:t>
      </w:r>
      <w:r w:rsidR="00A32ED8" w:rsidRPr="009F337B">
        <w:rPr>
          <w:rFonts w:eastAsia="Times" w:cs="Arial"/>
          <w:i w:val="0"/>
          <w:szCs w:val="20"/>
          <w:lang w:val="en-US"/>
        </w:rPr>
        <w:t>ion</w:t>
      </w:r>
      <w:r w:rsidRPr="009F337B">
        <w:rPr>
          <w:rFonts w:eastAsia="Times" w:cs="Arial"/>
          <w:i w:val="0"/>
          <w:szCs w:val="20"/>
          <w:lang w:val="en-US"/>
        </w:rPr>
        <w:t xml:space="preserve"> and combat</w:t>
      </w:r>
      <w:r w:rsidR="00A32ED8" w:rsidRPr="009F337B">
        <w:rPr>
          <w:rFonts w:eastAsia="Times" w:cs="Arial"/>
          <w:i w:val="0"/>
          <w:szCs w:val="20"/>
          <w:lang w:val="en-US"/>
        </w:rPr>
        <w:t xml:space="preserve"> of</w:t>
      </w:r>
      <w:r w:rsidRPr="009F337B">
        <w:rPr>
          <w:rFonts w:eastAsia="Times" w:cs="Arial"/>
          <w:i w:val="0"/>
          <w:szCs w:val="20"/>
          <w:lang w:val="en-US"/>
        </w:rPr>
        <w:t xml:space="preserve"> HIV </w:t>
      </w:r>
      <w:r w:rsidR="008E2262" w:rsidRPr="009F337B">
        <w:rPr>
          <w:rFonts w:eastAsia="Times" w:cs="Arial"/>
          <w:i w:val="0"/>
          <w:szCs w:val="20"/>
          <w:lang w:val="en-US"/>
        </w:rPr>
        <w:t>in Guatemala</w:t>
      </w:r>
      <w:r w:rsidR="003B481F" w:rsidRPr="009F337B">
        <w:rPr>
          <w:rFonts w:eastAsia="Times" w:cs="Arial"/>
          <w:i w:val="0"/>
          <w:szCs w:val="20"/>
          <w:lang w:val="en-US"/>
        </w:rPr>
        <w:t xml:space="preserve">, </w:t>
      </w:r>
      <w:r w:rsidR="00AE5F9E" w:rsidRPr="009F337B">
        <w:rPr>
          <w:rFonts w:eastAsia="Times" w:cs="Arial"/>
          <w:i w:val="0"/>
          <w:szCs w:val="20"/>
          <w:lang w:val="en-US"/>
        </w:rPr>
        <w:t>the Court</w:t>
      </w:r>
      <w:r w:rsidR="003B481F" w:rsidRPr="009F337B">
        <w:rPr>
          <w:rFonts w:eastAsia="Times" w:cs="Arial"/>
          <w:i w:val="0"/>
          <w:szCs w:val="20"/>
          <w:lang w:val="en-US"/>
        </w:rPr>
        <w:t xml:space="preserve"> </w:t>
      </w:r>
      <w:r w:rsidRPr="009F337B">
        <w:rPr>
          <w:rFonts w:eastAsia="Times" w:cs="Arial"/>
          <w:i w:val="0"/>
          <w:szCs w:val="20"/>
          <w:lang w:val="en-US"/>
        </w:rPr>
        <w:t xml:space="preserve">clarifies that, in this case, it does not have to </w:t>
      </w:r>
      <w:r w:rsidR="00A32ED8" w:rsidRPr="009F337B">
        <w:rPr>
          <w:rFonts w:eastAsia="Times" w:cs="Arial"/>
          <w:i w:val="0"/>
          <w:szCs w:val="20"/>
          <w:lang w:val="en-US"/>
        </w:rPr>
        <w:t>assess</w:t>
      </w:r>
      <w:r w:rsidRPr="009F337B">
        <w:rPr>
          <w:rFonts w:eastAsia="Times" w:cs="Arial"/>
          <w:i w:val="0"/>
          <w:szCs w:val="20"/>
          <w:lang w:val="en-US"/>
        </w:rPr>
        <w:t xml:space="preserve"> whether the State’s current public policy for combating HIV is insufficient in relation to the obligations established </w:t>
      </w:r>
      <w:r w:rsidR="00A32ED8" w:rsidRPr="009F337B">
        <w:rPr>
          <w:rFonts w:eastAsia="Times" w:cs="Arial"/>
          <w:i w:val="0"/>
          <w:szCs w:val="20"/>
          <w:lang w:val="en-US"/>
        </w:rPr>
        <w:t>in</w:t>
      </w:r>
      <w:r w:rsidRPr="009F337B">
        <w:rPr>
          <w:rFonts w:eastAsia="Times" w:cs="Arial"/>
          <w:i w:val="0"/>
          <w:szCs w:val="20"/>
          <w:lang w:val="en-US"/>
        </w:rPr>
        <w:t xml:space="preserve"> </w:t>
      </w:r>
      <w:r w:rsidR="00AE5F9E" w:rsidRPr="009F337B">
        <w:rPr>
          <w:rFonts w:eastAsia="Times" w:cs="Arial"/>
          <w:i w:val="0"/>
          <w:szCs w:val="20"/>
          <w:lang w:val="en-US"/>
        </w:rPr>
        <w:t>Article</w:t>
      </w:r>
      <w:r w:rsidR="003B481F" w:rsidRPr="009F337B">
        <w:rPr>
          <w:rFonts w:eastAsia="Times" w:cs="Arial"/>
          <w:i w:val="0"/>
          <w:szCs w:val="20"/>
          <w:lang w:val="en-US"/>
        </w:rPr>
        <w:t xml:space="preserve"> 26</w:t>
      </w:r>
      <w:r w:rsidR="00AE5F9E" w:rsidRPr="009F337B">
        <w:rPr>
          <w:rFonts w:eastAsia="Times" w:cs="Arial"/>
          <w:i w:val="0"/>
          <w:szCs w:val="20"/>
          <w:lang w:val="en-US"/>
        </w:rPr>
        <w:t xml:space="preserve"> of the Convention</w:t>
      </w:r>
      <w:r w:rsidR="003B481F" w:rsidRPr="009F337B">
        <w:rPr>
          <w:rFonts w:eastAsia="Times" w:cs="Arial"/>
          <w:i w:val="0"/>
          <w:szCs w:val="20"/>
          <w:lang w:val="en-US"/>
        </w:rPr>
        <w:t xml:space="preserve">. </w:t>
      </w:r>
      <w:r w:rsidRPr="009F337B">
        <w:rPr>
          <w:rFonts w:eastAsia="Times" w:cs="Arial"/>
          <w:i w:val="0"/>
          <w:szCs w:val="20"/>
          <w:lang w:val="en-US"/>
        </w:rPr>
        <w:t>Indeed</w:t>
      </w:r>
      <w:r w:rsidR="003B481F" w:rsidRPr="009F337B">
        <w:rPr>
          <w:rFonts w:eastAsia="Times" w:cs="Arial"/>
          <w:i w:val="0"/>
          <w:szCs w:val="20"/>
          <w:lang w:val="en-US"/>
        </w:rPr>
        <w:t xml:space="preserve">, </w:t>
      </w:r>
      <w:r w:rsidR="00AE5F9E" w:rsidRPr="009F337B">
        <w:rPr>
          <w:rFonts w:eastAsia="Times" w:cs="Arial"/>
          <w:i w:val="0"/>
          <w:szCs w:val="20"/>
          <w:lang w:val="en-US"/>
        </w:rPr>
        <w:t>the Court</w:t>
      </w:r>
      <w:r w:rsidR="003B481F" w:rsidRPr="009F337B">
        <w:rPr>
          <w:rFonts w:eastAsia="Times" w:cs="Arial"/>
          <w:i w:val="0"/>
          <w:szCs w:val="20"/>
          <w:lang w:val="en-US"/>
        </w:rPr>
        <w:t xml:space="preserve"> </w:t>
      </w:r>
      <w:r w:rsidRPr="009F337B">
        <w:rPr>
          <w:rFonts w:eastAsia="Times" w:cs="Arial"/>
          <w:i w:val="0"/>
          <w:szCs w:val="20"/>
          <w:lang w:val="en-US"/>
        </w:rPr>
        <w:t>notes that</w:t>
      </w:r>
      <w:r w:rsidR="003B481F" w:rsidRPr="009F337B">
        <w:rPr>
          <w:rFonts w:eastAsia="Times" w:cs="Arial"/>
          <w:i w:val="0"/>
          <w:szCs w:val="20"/>
          <w:lang w:val="en-US"/>
        </w:rPr>
        <w:t xml:space="preserve"> </w:t>
      </w:r>
      <w:r w:rsidR="003C46A3" w:rsidRPr="009F337B">
        <w:rPr>
          <w:rFonts w:eastAsia="Times" w:cs="Arial"/>
          <w:i w:val="0"/>
          <w:szCs w:val="20"/>
          <w:lang w:val="en-US"/>
        </w:rPr>
        <w:t>the State</w:t>
      </w:r>
      <w:r w:rsidR="003B481F" w:rsidRPr="009F337B">
        <w:rPr>
          <w:rFonts w:eastAsia="Times" w:cs="Arial"/>
          <w:i w:val="0"/>
          <w:szCs w:val="20"/>
          <w:lang w:val="en-US"/>
        </w:rPr>
        <w:t xml:space="preserve"> ha</w:t>
      </w:r>
      <w:r w:rsidRPr="009F337B">
        <w:rPr>
          <w:rFonts w:eastAsia="Times" w:cs="Arial"/>
          <w:i w:val="0"/>
          <w:szCs w:val="20"/>
          <w:lang w:val="en-US"/>
        </w:rPr>
        <w:t>s promoted a series of actions to combat the HIV epidemic</w:t>
      </w:r>
      <w:r w:rsidR="003B481F" w:rsidRPr="009F337B">
        <w:rPr>
          <w:rFonts w:eastAsia="Times" w:cs="Arial"/>
          <w:i w:val="0"/>
          <w:szCs w:val="20"/>
          <w:lang w:val="en-US"/>
        </w:rPr>
        <w:t xml:space="preserve"> </w:t>
      </w:r>
      <w:r w:rsidR="008E2262" w:rsidRPr="009F337B">
        <w:rPr>
          <w:rFonts w:eastAsia="Times" w:cs="Arial"/>
          <w:i w:val="0"/>
          <w:szCs w:val="20"/>
          <w:lang w:val="en-US"/>
        </w:rPr>
        <w:t>in Guatemala</w:t>
      </w:r>
      <w:r w:rsidR="003B481F" w:rsidRPr="009F337B">
        <w:rPr>
          <w:rFonts w:eastAsia="Times" w:cs="Arial"/>
          <w:i w:val="0"/>
          <w:szCs w:val="20"/>
          <w:lang w:val="en-US"/>
        </w:rPr>
        <w:t xml:space="preserve">. </w:t>
      </w:r>
      <w:r w:rsidRPr="009F337B">
        <w:rPr>
          <w:rFonts w:eastAsia="Times" w:cs="Arial"/>
          <w:i w:val="0"/>
          <w:szCs w:val="20"/>
          <w:lang w:val="en-US"/>
        </w:rPr>
        <w:t xml:space="preserve">The State </w:t>
      </w:r>
      <w:r w:rsidR="00A32ED8" w:rsidRPr="009F337B">
        <w:rPr>
          <w:rFonts w:eastAsia="Times" w:cs="Arial"/>
          <w:i w:val="0"/>
          <w:szCs w:val="20"/>
          <w:lang w:val="en-US"/>
        </w:rPr>
        <w:t xml:space="preserve">has </w:t>
      </w:r>
      <w:r w:rsidRPr="009F337B">
        <w:rPr>
          <w:rFonts w:eastAsia="Times" w:cs="Arial"/>
          <w:i w:val="0"/>
          <w:szCs w:val="20"/>
          <w:lang w:val="en-US"/>
        </w:rPr>
        <w:t xml:space="preserve">described these actions to the Court on different occasions and they include the promulgation of laws and decrees, government decisions, care protocols, cooperation agreements and manuals </w:t>
      </w:r>
      <w:r w:rsidR="003B481F" w:rsidRPr="009F337B">
        <w:rPr>
          <w:rFonts w:eastAsia="Times" w:cs="Arial"/>
          <w:i w:val="0"/>
          <w:szCs w:val="20"/>
          <w:lang w:val="en-US"/>
        </w:rPr>
        <w:t>(</w:t>
      </w:r>
      <w:r w:rsidR="003B481F" w:rsidRPr="009F337B">
        <w:rPr>
          <w:rFonts w:eastAsia="Times" w:cs="Arial"/>
          <w:szCs w:val="20"/>
          <w:lang w:val="en-US"/>
        </w:rPr>
        <w:t>supra</w:t>
      </w:r>
      <w:r w:rsidR="003B481F" w:rsidRPr="009F337B">
        <w:rPr>
          <w:rFonts w:eastAsia="Times" w:cs="Arial"/>
          <w:i w:val="0"/>
          <w:szCs w:val="20"/>
          <w:lang w:val="en-US"/>
        </w:rPr>
        <w:t xml:space="preserve"> </w:t>
      </w:r>
      <w:r w:rsidR="00B63594" w:rsidRPr="009F337B">
        <w:rPr>
          <w:rFonts w:eastAsia="Times" w:cs="Arial"/>
          <w:i w:val="0"/>
          <w:szCs w:val="20"/>
          <w:lang w:val="en-US"/>
        </w:rPr>
        <w:t>paras.</w:t>
      </w:r>
      <w:r w:rsidR="00F4229A" w:rsidRPr="009F337B">
        <w:rPr>
          <w:rFonts w:eastAsia="Times" w:cs="Arial"/>
          <w:i w:val="0"/>
          <w:szCs w:val="20"/>
          <w:lang w:val="en-US"/>
        </w:rPr>
        <w:t xml:space="preserve"> 41 </w:t>
      </w:r>
      <w:r w:rsidRPr="009F337B">
        <w:rPr>
          <w:rFonts w:eastAsia="Times" w:cs="Arial"/>
          <w:i w:val="0"/>
          <w:szCs w:val="20"/>
          <w:lang w:val="en-US"/>
        </w:rPr>
        <w:t>to</w:t>
      </w:r>
      <w:r w:rsidR="00F4229A" w:rsidRPr="009F337B">
        <w:rPr>
          <w:rFonts w:eastAsia="Times" w:cs="Arial"/>
          <w:i w:val="0"/>
          <w:szCs w:val="20"/>
          <w:lang w:val="en-US"/>
        </w:rPr>
        <w:t xml:space="preserve"> 54</w:t>
      </w:r>
      <w:r w:rsidR="003B481F" w:rsidRPr="009F337B">
        <w:rPr>
          <w:rFonts w:eastAsia="Times" w:cs="Arial"/>
          <w:i w:val="0"/>
          <w:szCs w:val="20"/>
          <w:lang w:val="en-US"/>
        </w:rPr>
        <w:t xml:space="preserve">). </w:t>
      </w:r>
      <w:r w:rsidRPr="009F337B">
        <w:rPr>
          <w:rFonts w:eastAsia="Times" w:cs="Arial"/>
          <w:i w:val="0"/>
          <w:szCs w:val="20"/>
          <w:lang w:val="en-US"/>
        </w:rPr>
        <w:t>Furt</w:t>
      </w:r>
      <w:r w:rsidR="00AD4530" w:rsidRPr="009F337B">
        <w:rPr>
          <w:rFonts w:eastAsia="Times" w:cs="Arial"/>
          <w:i w:val="0"/>
          <w:szCs w:val="20"/>
          <w:lang w:val="en-US"/>
        </w:rPr>
        <w:t>h</w:t>
      </w:r>
      <w:r w:rsidRPr="009F337B">
        <w:rPr>
          <w:rFonts w:eastAsia="Times" w:cs="Arial"/>
          <w:i w:val="0"/>
          <w:szCs w:val="20"/>
          <w:lang w:val="en-US"/>
        </w:rPr>
        <w:t>er</w:t>
      </w:r>
      <w:r w:rsidR="003B481F" w:rsidRPr="009F337B">
        <w:rPr>
          <w:rFonts w:eastAsia="Times" w:cs="Arial"/>
          <w:i w:val="0"/>
          <w:szCs w:val="20"/>
          <w:lang w:val="en-US"/>
        </w:rPr>
        <w:t xml:space="preserve">, </w:t>
      </w:r>
      <w:r w:rsidR="00AE5F9E" w:rsidRPr="009F337B">
        <w:rPr>
          <w:rFonts w:eastAsia="Times" w:cs="Arial"/>
          <w:i w:val="0"/>
          <w:szCs w:val="20"/>
          <w:lang w:val="en-US"/>
        </w:rPr>
        <w:t>the Court</w:t>
      </w:r>
      <w:r w:rsidR="003B481F" w:rsidRPr="009F337B">
        <w:rPr>
          <w:rFonts w:eastAsia="Times" w:cs="Arial"/>
          <w:i w:val="0"/>
          <w:szCs w:val="20"/>
          <w:lang w:val="en-US"/>
        </w:rPr>
        <w:t xml:space="preserve"> </w:t>
      </w:r>
      <w:r w:rsidRPr="009F337B">
        <w:rPr>
          <w:rFonts w:eastAsia="Times" w:cs="Arial"/>
          <w:i w:val="0"/>
          <w:szCs w:val="20"/>
          <w:lang w:val="en-US"/>
        </w:rPr>
        <w:t>notes that</w:t>
      </w:r>
      <w:r w:rsidR="00AD4530" w:rsidRPr="009F337B">
        <w:rPr>
          <w:rFonts w:eastAsia="Times" w:cs="Arial"/>
          <w:i w:val="0"/>
          <w:szCs w:val="20"/>
          <w:lang w:val="en-US"/>
        </w:rPr>
        <w:t>, from 2004 to 2017,</w:t>
      </w:r>
      <w:r w:rsidRPr="009F337B">
        <w:rPr>
          <w:rFonts w:eastAsia="Times" w:cs="Arial"/>
          <w:i w:val="0"/>
          <w:szCs w:val="20"/>
          <w:lang w:val="en-US"/>
        </w:rPr>
        <w:t xml:space="preserve"> the State progressively increased the budget allocated to combat HIV</w:t>
      </w:r>
      <w:r w:rsidR="00AD4530" w:rsidRPr="009F337B">
        <w:rPr>
          <w:rFonts w:eastAsia="Times" w:cs="Arial"/>
          <w:i w:val="0"/>
          <w:szCs w:val="20"/>
          <w:lang w:val="en-US"/>
        </w:rPr>
        <w:t>, and that it has adopted other public policy measures aimed at achieving a greater protection for the population.</w:t>
      </w:r>
    </w:p>
    <w:p w14:paraId="40CAA7FD" w14:textId="77777777" w:rsidR="008E387F" w:rsidRPr="009F337B" w:rsidRDefault="008E387F" w:rsidP="008E387F">
      <w:pPr>
        <w:pStyle w:val="Estilo1"/>
        <w:tabs>
          <w:tab w:val="left" w:pos="709"/>
          <w:tab w:val="left" w:pos="1134"/>
        </w:tabs>
        <w:spacing w:after="0"/>
        <w:ind w:left="0" w:right="-4" w:firstLine="0"/>
        <w:rPr>
          <w:rFonts w:eastAsia="Times" w:cs="Arial"/>
          <w:i w:val="0"/>
          <w:szCs w:val="20"/>
          <w:lang w:val="en-US"/>
        </w:rPr>
      </w:pPr>
    </w:p>
    <w:p w14:paraId="5EAF8818" w14:textId="734F093B" w:rsidR="003B481F" w:rsidRPr="009F337B" w:rsidRDefault="00AD4530" w:rsidP="00593E37">
      <w:pPr>
        <w:pStyle w:val="Estilo1"/>
        <w:numPr>
          <w:ilvl w:val="0"/>
          <w:numId w:val="1"/>
        </w:numPr>
        <w:tabs>
          <w:tab w:val="left" w:pos="709"/>
          <w:tab w:val="left" w:pos="1134"/>
        </w:tabs>
        <w:spacing w:after="0"/>
        <w:ind w:left="0" w:right="-4" w:firstLine="0"/>
        <w:rPr>
          <w:rFonts w:eastAsia="Times" w:cs="Arial"/>
          <w:i w:val="0"/>
          <w:szCs w:val="20"/>
          <w:lang w:val="en-US"/>
        </w:rPr>
      </w:pPr>
      <w:r w:rsidRPr="009F337B">
        <w:rPr>
          <w:rFonts w:eastAsia="Times" w:cs="Arial"/>
          <w:i w:val="0"/>
          <w:szCs w:val="20"/>
          <w:lang w:val="en-US"/>
        </w:rPr>
        <w:t xml:space="preserve">Nevertheless, the Court reiterates that the obligations regarding the progressive realization of the </w:t>
      </w:r>
      <w:r w:rsidR="00CC5BF5" w:rsidRPr="009F337B">
        <w:rPr>
          <w:rFonts w:eastAsia="Times" w:cs="Arial"/>
          <w:i w:val="0"/>
          <w:szCs w:val="20"/>
          <w:lang w:val="en-US"/>
        </w:rPr>
        <w:t>ESCER</w:t>
      </w:r>
      <w:r w:rsidR="003B481F" w:rsidRPr="009F337B">
        <w:rPr>
          <w:rFonts w:eastAsia="Times" w:cs="Arial"/>
          <w:i w:val="0"/>
          <w:szCs w:val="20"/>
          <w:lang w:val="en-US"/>
        </w:rPr>
        <w:t xml:space="preserve"> require </w:t>
      </w:r>
      <w:r w:rsidRPr="009F337B">
        <w:rPr>
          <w:rFonts w:eastAsia="Times" w:cs="Arial"/>
          <w:i w:val="0"/>
          <w:szCs w:val="20"/>
          <w:lang w:val="en-US"/>
        </w:rPr>
        <w:t>the continual execution of actions to achieve the full enjoyment of these rights. Thus, the progressive dimensi</w:t>
      </w:r>
      <w:r w:rsidR="00A32ED8" w:rsidRPr="009F337B">
        <w:rPr>
          <w:rFonts w:eastAsia="Times" w:cs="Arial"/>
          <w:i w:val="0"/>
          <w:szCs w:val="20"/>
          <w:lang w:val="en-US"/>
        </w:rPr>
        <w:t>o</w:t>
      </w:r>
      <w:r w:rsidRPr="009F337B">
        <w:rPr>
          <w:rFonts w:eastAsia="Times" w:cs="Arial"/>
          <w:i w:val="0"/>
          <w:szCs w:val="20"/>
          <w:lang w:val="en-US"/>
        </w:rPr>
        <w:t xml:space="preserve">n of the protection of </w:t>
      </w:r>
      <w:r w:rsidR="00CC5BF5" w:rsidRPr="009F337B">
        <w:rPr>
          <w:rFonts w:eastAsia="Times" w:cs="Arial"/>
          <w:i w:val="0"/>
          <w:szCs w:val="20"/>
          <w:lang w:val="en-US"/>
        </w:rPr>
        <w:t>ESCER</w:t>
      </w:r>
      <w:r w:rsidR="003B481F" w:rsidRPr="009F337B">
        <w:rPr>
          <w:rFonts w:eastAsia="Times" w:cs="Arial"/>
          <w:i w:val="0"/>
          <w:szCs w:val="20"/>
          <w:lang w:val="en-US"/>
        </w:rPr>
        <w:t xml:space="preserve">, </w:t>
      </w:r>
      <w:r w:rsidRPr="009F337B">
        <w:rPr>
          <w:rFonts w:eastAsia="Times" w:cs="Arial"/>
          <w:i w:val="0"/>
          <w:szCs w:val="20"/>
          <w:lang w:val="en-US"/>
        </w:rPr>
        <w:t xml:space="preserve">although </w:t>
      </w:r>
      <w:r w:rsidR="00A32ED8" w:rsidRPr="009F337B">
        <w:rPr>
          <w:rFonts w:eastAsia="Times" w:cs="Arial"/>
          <w:i w:val="0"/>
          <w:szCs w:val="20"/>
          <w:lang w:val="en-US"/>
        </w:rPr>
        <w:t>acknowledg</w:t>
      </w:r>
      <w:r w:rsidRPr="009F337B">
        <w:rPr>
          <w:rFonts w:eastAsia="Times" w:cs="Arial"/>
          <w:i w:val="0"/>
          <w:szCs w:val="20"/>
          <w:lang w:val="en-US"/>
        </w:rPr>
        <w:t xml:space="preserve">ing the gradual nature of their realization, also includes a sense of progress, which calls for an effective improvement of the enjoyment and exercise of these rights, so that social inequalities are corrected and the inclusion of vulnerable groups is facilitated. Accordingly, the obligation of progressive realization prohibits </w:t>
      </w:r>
      <w:r w:rsidR="00A32ED8" w:rsidRPr="009F337B">
        <w:rPr>
          <w:rFonts w:eastAsia="Times" w:cs="Arial"/>
          <w:i w:val="0"/>
          <w:szCs w:val="20"/>
          <w:lang w:val="en-US"/>
        </w:rPr>
        <w:t>State</w:t>
      </w:r>
      <w:r w:rsidRPr="009F337B">
        <w:rPr>
          <w:rFonts w:eastAsia="Times" w:cs="Arial"/>
          <w:i w:val="0"/>
          <w:szCs w:val="20"/>
          <w:lang w:val="en-US"/>
        </w:rPr>
        <w:t xml:space="preserve"> inactivity in </w:t>
      </w:r>
      <w:r w:rsidR="00A32ED8" w:rsidRPr="009F337B">
        <w:rPr>
          <w:rFonts w:eastAsia="Times" w:cs="Arial"/>
          <w:i w:val="0"/>
          <w:szCs w:val="20"/>
          <w:lang w:val="en-US"/>
        </w:rPr>
        <w:t>the</w:t>
      </w:r>
      <w:r w:rsidRPr="009F337B">
        <w:rPr>
          <w:rFonts w:eastAsia="Times" w:cs="Arial"/>
          <w:i w:val="0"/>
          <w:szCs w:val="20"/>
          <w:lang w:val="en-US"/>
        </w:rPr>
        <w:t xml:space="preserve"> task of implementing actions to achieve the comprehensive protection of the</w:t>
      </w:r>
      <w:r w:rsidR="00A32ED8" w:rsidRPr="009F337B">
        <w:rPr>
          <w:rFonts w:eastAsia="Times" w:cs="Arial"/>
          <w:i w:val="0"/>
          <w:szCs w:val="20"/>
          <w:lang w:val="en-US"/>
        </w:rPr>
        <w:t>se</w:t>
      </w:r>
      <w:r w:rsidRPr="009F337B">
        <w:rPr>
          <w:rFonts w:eastAsia="Times" w:cs="Arial"/>
          <w:i w:val="0"/>
          <w:szCs w:val="20"/>
          <w:lang w:val="en-US"/>
        </w:rPr>
        <w:t xml:space="preserve"> rights, especially </w:t>
      </w:r>
      <w:r w:rsidR="00A32ED8" w:rsidRPr="009F337B">
        <w:rPr>
          <w:rFonts w:eastAsia="Times" w:cs="Arial"/>
          <w:i w:val="0"/>
          <w:szCs w:val="20"/>
          <w:lang w:val="en-US"/>
        </w:rPr>
        <w:t>when</w:t>
      </w:r>
      <w:r w:rsidRPr="009F337B">
        <w:rPr>
          <w:rFonts w:eastAsia="Times" w:cs="Arial"/>
          <w:i w:val="0"/>
          <w:szCs w:val="20"/>
          <w:lang w:val="en-US"/>
        </w:rPr>
        <w:t xml:space="preserve"> the total absence of State protection places the individual at risk of suffering harm to his or her life or personal integrity. This risk occurs for </w:t>
      </w:r>
      <w:r w:rsidR="00080A1E" w:rsidRPr="009F337B">
        <w:rPr>
          <w:rFonts w:eastAsia="Times" w:cs="Arial"/>
          <w:i w:val="0"/>
          <w:szCs w:val="20"/>
          <w:lang w:val="en-US"/>
        </w:rPr>
        <w:t>people living with HIV</w:t>
      </w:r>
      <w:r w:rsidR="003B481F" w:rsidRPr="009F337B">
        <w:rPr>
          <w:rFonts w:eastAsia="Times" w:cs="Arial"/>
          <w:i w:val="0"/>
          <w:szCs w:val="20"/>
          <w:lang w:val="en-US"/>
        </w:rPr>
        <w:t xml:space="preserve"> </w:t>
      </w:r>
      <w:r w:rsidRPr="009F337B">
        <w:rPr>
          <w:rFonts w:eastAsia="Times" w:cs="Arial"/>
          <w:i w:val="0"/>
          <w:szCs w:val="20"/>
          <w:lang w:val="en-US"/>
        </w:rPr>
        <w:t>who do not receive adequate medical care. Consequently, the Court considers that the State failed to comply with its treaty-based obligation to ensure progressive realization because</w:t>
      </w:r>
      <w:r w:rsidR="007208FD" w:rsidRPr="009F337B">
        <w:rPr>
          <w:rFonts w:eastAsia="Times" w:cs="Arial"/>
          <w:i w:val="0"/>
          <w:szCs w:val="20"/>
          <w:lang w:val="en-US"/>
        </w:rPr>
        <w:t xml:space="preserve"> it did not have public policies or programs</w:t>
      </w:r>
      <w:r w:rsidRPr="009F337B">
        <w:rPr>
          <w:rFonts w:eastAsia="Times" w:cs="Arial"/>
          <w:i w:val="0"/>
          <w:szCs w:val="20"/>
          <w:lang w:val="en-US"/>
        </w:rPr>
        <w:t xml:space="preserve"> that</w:t>
      </w:r>
      <w:r w:rsidR="007208FD" w:rsidRPr="009F337B">
        <w:rPr>
          <w:rFonts w:eastAsia="Times" w:cs="Arial"/>
          <w:i w:val="0"/>
          <w:szCs w:val="20"/>
          <w:lang w:val="en-US"/>
        </w:rPr>
        <w:t xml:space="preserve"> </w:t>
      </w:r>
      <w:r w:rsidR="007208FD" w:rsidRPr="009F337B">
        <w:rPr>
          <w:rFonts w:eastAsia="Times" w:cs="Arial"/>
          <w:szCs w:val="20"/>
          <w:lang w:val="en-US"/>
        </w:rPr>
        <w:t>de facto</w:t>
      </w:r>
      <w:r w:rsidR="007208FD" w:rsidRPr="009F337B">
        <w:rPr>
          <w:rFonts w:eastAsia="Times" w:cs="Arial"/>
          <w:i w:val="0"/>
          <w:szCs w:val="20"/>
          <w:lang w:val="en-US"/>
        </w:rPr>
        <w:t xml:space="preserve"> </w:t>
      </w:r>
      <w:r w:rsidRPr="009F337B">
        <w:rPr>
          <w:rFonts w:eastAsia="Times" w:cs="Arial"/>
          <w:i w:val="0"/>
          <w:szCs w:val="20"/>
          <w:lang w:val="en-US"/>
        </w:rPr>
        <w:t>– and not only</w:t>
      </w:r>
      <w:r w:rsidR="007208FD" w:rsidRPr="009F337B">
        <w:rPr>
          <w:rFonts w:eastAsia="Times" w:cs="Arial"/>
          <w:i w:val="0"/>
          <w:szCs w:val="20"/>
          <w:lang w:val="en-US"/>
        </w:rPr>
        <w:t xml:space="preserve"> </w:t>
      </w:r>
      <w:r w:rsidR="007208FD" w:rsidRPr="009F337B">
        <w:rPr>
          <w:rFonts w:eastAsia="Times" w:cs="Arial"/>
          <w:szCs w:val="20"/>
          <w:lang w:val="en-US"/>
        </w:rPr>
        <w:t>de jure</w:t>
      </w:r>
      <w:r w:rsidR="007208FD" w:rsidRPr="009F337B">
        <w:rPr>
          <w:rFonts w:eastAsia="Times" w:cs="Arial"/>
          <w:i w:val="0"/>
          <w:szCs w:val="20"/>
          <w:lang w:val="en-US"/>
        </w:rPr>
        <w:t xml:space="preserve"> </w:t>
      </w:r>
      <w:r w:rsidRPr="009F337B">
        <w:rPr>
          <w:rFonts w:eastAsia="Times" w:cs="Arial"/>
          <w:i w:val="0"/>
          <w:szCs w:val="20"/>
          <w:lang w:val="en-US"/>
        </w:rPr>
        <w:t xml:space="preserve">– allowed it to make progress in complying with its obligation to achieve the full </w:t>
      </w:r>
      <w:r w:rsidR="00786015" w:rsidRPr="009F337B">
        <w:rPr>
          <w:rFonts w:eastAsia="Times" w:cs="Arial"/>
          <w:i w:val="0"/>
          <w:szCs w:val="20"/>
          <w:lang w:val="en-US"/>
        </w:rPr>
        <w:t>realization</w:t>
      </w:r>
      <w:r w:rsidRPr="009F337B">
        <w:rPr>
          <w:rFonts w:eastAsia="Times" w:cs="Arial"/>
          <w:i w:val="0"/>
          <w:szCs w:val="20"/>
          <w:lang w:val="en-US"/>
        </w:rPr>
        <w:t xml:space="preserve"> </w:t>
      </w:r>
      <w:r w:rsidR="00371ADF" w:rsidRPr="009F337B">
        <w:rPr>
          <w:rFonts w:eastAsia="Times" w:cs="Arial"/>
          <w:i w:val="0"/>
          <w:szCs w:val="20"/>
          <w:lang w:val="en-US"/>
        </w:rPr>
        <w:t xml:space="preserve">of the </w:t>
      </w:r>
      <w:r w:rsidR="00A51F3B" w:rsidRPr="009F337B">
        <w:rPr>
          <w:rFonts w:eastAsia="Times" w:cs="Arial"/>
          <w:i w:val="0"/>
          <w:szCs w:val="20"/>
          <w:lang w:val="en-US"/>
        </w:rPr>
        <w:t>right to health</w:t>
      </w:r>
      <w:r w:rsidR="003B481F" w:rsidRPr="009F337B">
        <w:rPr>
          <w:rFonts w:eastAsia="Times" w:cs="Arial"/>
          <w:i w:val="0"/>
          <w:szCs w:val="20"/>
          <w:lang w:val="en-US"/>
        </w:rPr>
        <w:t>.</w:t>
      </w:r>
    </w:p>
    <w:p w14:paraId="4337EE20" w14:textId="77777777" w:rsidR="008E387F" w:rsidRPr="009F337B" w:rsidRDefault="008E387F" w:rsidP="008E387F">
      <w:pPr>
        <w:pStyle w:val="Estilo1"/>
        <w:tabs>
          <w:tab w:val="left" w:pos="709"/>
          <w:tab w:val="left" w:pos="1134"/>
        </w:tabs>
        <w:spacing w:after="0"/>
        <w:ind w:left="0" w:right="-4" w:firstLine="0"/>
        <w:rPr>
          <w:rFonts w:eastAsia="Times" w:cs="Arial"/>
          <w:i w:val="0"/>
          <w:szCs w:val="20"/>
          <w:lang w:val="en-US"/>
        </w:rPr>
      </w:pPr>
    </w:p>
    <w:p w14:paraId="0F04DE88" w14:textId="57ECB8F7" w:rsidR="003B481F" w:rsidRPr="009F337B" w:rsidRDefault="00AD4530" w:rsidP="00593E37">
      <w:pPr>
        <w:pStyle w:val="Estilo1"/>
        <w:numPr>
          <w:ilvl w:val="0"/>
          <w:numId w:val="1"/>
        </w:numPr>
        <w:tabs>
          <w:tab w:val="left" w:pos="709"/>
          <w:tab w:val="left" w:pos="1134"/>
        </w:tabs>
        <w:spacing w:after="0"/>
        <w:ind w:left="0" w:right="-4" w:firstLine="0"/>
        <w:rPr>
          <w:rFonts w:eastAsia="Times" w:cs="Arial"/>
          <w:i w:val="0"/>
          <w:szCs w:val="20"/>
          <w:lang w:val="en-US"/>
        </w:rPr>
      </w:pPr>
      <w:r w:rsidRPr="009F337B">
        <w:rPr>
          <w:rFonts w:eastAsia="Times" w:cs="Arial"/>
          <w:i w:val="0"/>
          <w:szCs w:val="20"/>
          <w:lang w:val="en-US"/>
        </w:rPr>
        <w:t>Indeed, determination of w</w:t>
      </w:r>
      <w:r w:rsidR="00EE50D2" w:rsidRPr="009F337B">
        <w:rPr>
          <w:rFonts w:eastAsia="Times" w:cs="Arial"/>
          <w:i w:val="0"/>
          <w:szCs w:val="20"/>
          <w:lang w:val="en-US"/>
        </w:rPr>
        <w:t xml:space="preserve">hen </w:t>
      </w:r>
      <w:r w:rsidR="007208FD" w:rsidRPr="009F337B">
        <w:rPr>
          <w:rFonts w:eastAsia="Times" w:cs="Arial"/>
          <w:i w:val="0"/>
          <w:szCs w:val="20"/>
          <w:lang w:val="en-US"/>
        </w:rPr>
        <w:t>a</w:t>
      </w:r>
      <w:r w:rsidR="00EE50D2" w:rsidRPr="009F337B">
        <w:rPr>
          <w:rFonts w:eastAsia="Times" w:cs="Arial"/>
          <w:i w:val="0"/>
          <w:szCs w:val="20"/>
          <w:lang w:val="en-US"/>
        </w:rPr>
        <w:t xml:space="preserve"> State</w:t>
      </w:r>
      <w:r w:rsidR="007208FD" w:rsidRPr="009F337B">
        <w:rPr>
          <w:rFonts w:eastAsia="Times" w:cs="Arial"/>
          <w:i w:val="0"/>
          <w:szCs w:val="20"/>
          <w:lang w:val="en-US"/>
        </w:rPr>
        <w:t xml:space="preserve"> has</w:t>
      </w:r>
      <w:r w:rsidR="00EE50D2" w:rsidRPr="009F337B">
        <w:rPr>
          <w:rFonts w:eastAsia="Times" w:cs="Arial"/>
          <w:i w:val="0"/>
          <w:szCs w:val="20"/>
          <w:lang w:val="en-US"/>
        </w:rPr>
        <w:t xml:space="preserve"> failed to comply with the obligation should be made on the basis of the particular</w:t>
      </w:r>
      <w:r w:rsidR="006C0BCB">
        <w:rPr>
          <w:rFonts w:eastAsia="Times" w:cs="Arial"/>
          <w:i w:val="0"/>
          <w:szCs w:val="20"/>
          <w:lang w:val="en-US"/>
        </w:rPr>
        <w:t xml:space="preserve">ities </w:t>
      </w:r>
      <w:r w:rsidR="00EE50D2" w:rsidRPr="009F337B">
        <w:rPr>
          <w:rFonts w:eastAsia="Times" w:cs="Arial"/>
          <w:i w:val="0"/>
          <w:szCs w:val="20"/>
          <w:lang w:val="en-US"/>
        </w:rPr>
        <w:t xml:space="preserve">of </w:t>
      </w:r>
      <w:r w:rsidR="007208FD" w:rsidRPr="009F337B">
        <w:rPr>
          <w:rFonts w:eastAsia="Times" w:cs="Arial"/>
          <w:i w:val="0"/>
          <w:szCs w:val="20"/>
          <w:lang w:val="en-US"/>
        </w:rPr>
        <w:t>its</w:t>
      </w:r>
      <w:r w:rsidR="00EE50D2" w:rsidRPr="009F337B">
        <w:rPr>
          <w:rFonts w:eastAsia="Times" w:cs="Arial"/>
          <w:i w:val="0"/>
          <w:szCs w:val="20"/>
          <w:lang w:val="en-US"/>
        </w:rPr>
        <w:t xml:space="preserve"> laws and the available resources. However, the Court recognizes that the leeway enjoyed by States for the effective realization of the ESCER does not justify inaction in protecting them. Thus, in this case, the Court recalls that it has been </w:t>
      </w:r>
      <w:r w:rsidR="007208FD" w:rsidRPr="009F337B">
        <w:rPr>
          <w:rFonts w:eastAsia="Times" w:cs="Arial"/>
          <w:i w:val="0"/>
          <w:szCs w:val="20"/>
          <w:lang w:val="en-US"/>
        </w:rPr>
        <w:t>demonstrated</w:t>
      </w:r>
      <w:r w:rsidR="00EE50D2" w:rsidRPr="009F337B">
        <w:rPr>
          <w:rFonts w:eastAsia="Times" w:cs="Arial"/>
          <w:i w:val="0"/>
          <w:szCs w:val="20"/>
          <w:lang w:val="en-US"/>
        </w:rPr>
        <w:t xml:space="preserve"> that the State, despite having a series of laws and programs aimed at caring for people living with HIV, failed to provide medical treatment before 2004 to ensure </w:t>
      </w:r>
      <w:r w:rsidR="00A51F3B" w:rsidRPr="009F337B">
        <w:rPr>
          <w:rFonts w:eastAsia="Times" w:cs="Arial"/>
          <w:i w:val="0"/>
          <w:szCs w:val="20"/>
          <w:lang w:val="en-US"/>
        </w:rPr>
        <w:t>the right to health</w:t>
      </w:r>
      <w:r w:rsidR="003B481F" w:rsidRPr="009F337B">
        <w:rPr>
          <w:rFonts w:eastAsia="Times" w:cs="Arial"/>
          <w:i w:val="0"/>
          <w:szCs w:val="20"/>
          <w:lang w:val="en-US"/>
        </w:rPr>
        <w:t xml:space="preserve"> </w:t>
      </w:r>
      <w:r w:rsidR="00EE50D2" w:rsidRPr="009F337B">
        <w:rPr>
          <w:rFonts w:eastAsia="Times" w:cs="Arial"/>
          <w:i w:val="0"/>
          <w:szCs w:val="20"/>
          <w:lang w:val="en-US"/>
        </w:rPr>
        <w:t>of these individuals, with the exception of treating a limited number of them</w:t>
      </w:r>
      <w:r w:rsidR="006C0BCB">
        <w:rPr>
          <w:rFonts w:eastAsia="Times" w:cs="Arial"/>
          <w:i w:val="0"/>
          <w:szCs w:val="20"/>
          <w:lang w:val="en-US"/>
        </w:rPr>
        <w:t xml:space="preserve">; </w:t>
      </w:r>
      <w:r w:rsidR="007208FD" w:rsidRPr="009F337B">
        <w:rPr>
          <w:rFonts w:eastAsia="Times" w:cs="Arial"/>
          <w:i w:val="0"/>
          <w:szCs w:val="20"/>
          <w:lang w:val="en-US"/>
        </w:rPr>
        <w:t xml:space="preserve">rather </w:t>
      </w:r>
      <w:r w:rsidR="006C0BCB">
        <w:rPr>
          <w:rFonts w:eastAsia="Times" w:cs="Arial"/>
          <w:i w:val="0"/>
          <w:szCs w:val="20"/>
          <w:lang w:val="en-US"/>
        </w:rPr>
        <w:t xml:space="preserve">it </w:t>
      </w:r>
      <w:r w:rsidR="00EE50D2" w:rsidRPr="009F337B">
        <w:rPr>
          <w:rFonts w:eastAsia="Times" w:cs="Arial"/>
          <w:i w:val="0"/>
          <w:szCs w:val="20"/>
          <w:lang w:val="en-US"/>
        </w:rPr>
        <w:t>entrust</w:t>
      </w:r>
      <w:r w:rsidR="007208FD" w:rsidRPr="009F337B">
        <w:rPr>
          <w:rFonts w:eastAsia="Times" w:cs="Arial"/>
          <w:i w:val="0"/>
          <w:szCs w:val="20"/>
          <w:lang w:val="en-US"/>
        </w:rPr>
        <w:t>ed</w:t>
      </w:r>
      <w:r w:rsidR="00EE50D2" w:rsidRPr="009F337B">
        <w:rPr>
          <w:rFonts w:eastAsia="Times" w:cs="Arial"/>
          <w:i w:val="0"/>
          <w:szCs w:val="20"/>
          <w:lang w:val="en-US"/>
        </w:rPr>
        <w:t xml:space="preserve"> this task to non-governmental organizations. The State acknowledged this situation before the Court on several occasions and sought to justify the lack of progressive medical care before 2004 despite the existence of domestic laws that established an obligation of protection for different authorities. Consequently, the Court considers that the State’s inaction, prior to 2004, constituted non-compliance with the State obligations in relation to progressive protection </w:t>
      </w:r>
      <w:r w:rsidR="00371ADF" w:rsidRPr="009F337B">
        <w:rPr>
          <w:rFonts w:eastAsia="Times" w:cs="Arial"/>
          <w:i w:val="0"/>
          <w:szCs w:val="20"/>
          <w:lang w:val="en-US"/>
        </w:rPr>
        <w:t xml:space="preserve">of the </w:t>
      </w:r>
      <w:r w:rsidR="00A51F3B" w:rsidRPr="009F337B">
        <w:rPr>
          <w:rFonts w:eastAsia="Times" w:cs="Arial"/>
          <w:i w:val="0"/>
          <w:szCs w:val="20"/>
          <w:lang w:val="en-US"/>
        </w:rPr>
        <w:t>right to health</w:t>
      </w:r>
      <w:r w:rsidR="003B481F" w:rsidRPr="009F337B">
        <w:rPr>
          <w:rFonts w:eastAsia="Times" w:cs="Arial"/>
          <w:i w:val="0"/>
          <w:szCs w:val="20"/>
          <w:lang w:val="en-US"/>
        </w:rPr>
        <w:t xml:space="preserve">, </w:t>
      </w:r>
      <w:r w:rsidR="00EE50D2" w:rsidRPr="009F337B">
        <w:rPr>
          <w:rFonts w:eastAsia="Times" w:cs="Arial"/>
          <w:i w:val="0"/>
          <w:szCs w:val="20"/>
          <w:lang w:val="en-US"/>
        </w:rPr>
        <w:t>in violation of</w:t>
      </w:r>
      <w:r w:rsidR="003B481F" w:rsidRPr="009F337B">
        <w:rPr>
          <w:rFonts w:eastAsia="Times" w:cs="Arial"/>
          <w:i w:val="0"/>
          <w:szCs w:val="20"/>
          <w:lang w:val="en-US"/>
        </w:rPr>
        <w:t xml:space="preserve"> </w:t>
      </w:r>
      <w:r w:rsidR="00AE5F9E" w:rsidRPr="009F337B">
        <w:rPr>
          <w:rFonts w:eastAsia="Times" w:cs="Arial"/>
          <w:i w:val="0"/>
          <w:szCs w:val="20"/>
          <w:lang w:val="en-US"/>
        </w:rPr>
        <w:t>Article</w:t>
      </w:r>
      <w:r w:rsidR="003B481F" w:rsidRPr="009F337B">
        <w:rPr>
          <w:rFonts w:eastAsia="Times" w:cs="Arial"/>
          <w:i w:val="0"/>
          <w:szCs w:val="20"/>
          <w:lang w:val="en-US"/>
        </w:rPr>
        <w:t xml:space="preserve"> 26</w:t>
      </w:r>
      <w:r w:rsidR="00AE5F9E" w:rsidRPr="009F337B">
        <w:rPr>
          <w:rFonts w:eastAsia="Times" w:cs="Arial"/>
          <w:i w:val="0"/>
          <w:szCs w:val="20"/>
          <w:lang w:val="en-US"/>
        </w:rPr>
        <w:t xml:space="preserve"> of the American Convention</w:t>
      </w:r>
      <w:r w:rsidR="003B481F" w:rsidRPr="009F337B">
        <w:rPr>
          <w:rFonts w:eastAsia="Times" w:cs="Arial"/>
          <w:i w:val="0"/>
          <w:szCs w:val="20"/>
          <w:lang w:val="en-US"/>
        </w:rPr>
        <w:t>.</w:t>
      </w:r>
    </w:p>
    <w:p w14:paraId="1CBCACA6" w14:textId="77777777" w:rsidR="008E387F" w:rsidRPr="009F337B" w:rsidRDefault="008E387F" w:rsidP="008E387F">
      <w:pPr>
        <w:pStyle w:val="Estilo1"/>
        <w:tabs>
          <w:tab w:val="left" w:pos="709"/>
          <w:tab w:val="left" w:pos="1134"/>
        </w:tabs>
        <w:spacing w:after="0"/>
        <w:ind w:left="0" w:right="-4" w:firstLine="0"/>
        <w:rPr>
          <w:rFonts w:eastAsia="Times" w:cs="Arial"/>
          <w:i w:val="0"/>
          <w:szCs w:val="20"/>
          <w:lang w:val="en-US"/>
        </w:rPr>
      </w:pPr>
    </w:p>
    <w:p w14:paraId="7E77DC4C" w14:textId="3A145C57" w:rsidR="003A013F" w:rsidRPr="009F337B" w:rsidRDefault="003A013F" w:rsidP="00593E37">
      <w:pPr>
        <w:pStyle w:val="Estilo1"/>
        <w:numPr>
          <w:ilvl w:val="0"/>
          <w:numId w:val="1"/>
        </w:numPr>
        <w:tabs>
          <w:tab w:val="left" w:pos="709"/>
          <w:tab w:val="left" w:pos="1134"/>
        </w:tabs>
        <w:spacing w:after="0"/>
        <w:ind w:left="0" w:right="-4" w:firstLine="0"/>
        <w:rPr>
          <w:rFonts w:eastAsia="Times" w:cs="Arial"/>
          <w:i w:val="0"/>
          <w:szCs w:val="20"/>
          <w:lang w:val="en-US"/>
        </w:rPr>
      </w:pPr>
      <w:r w:rsidRPr="009F337B">
        <w:rPr>
          <w:i w:val="0"/>
          <w:lang w:val="en-US"/>
        </w:rPr>
        <w:t>Consequently</w:t>
      </w:r>
      <w:r w:rsidR="003B481F" w:rsidRPr="009F337B">
        <w:rPr>
          <w:i w:val="0"/>
          <w:lang w:val="en-US"/>
        </w:rPr>
        <w:t xml:space="preserve">, </w:t>
      </w:r>
      <w:r w:rsidRPr="009F337B">
        <w:rPr>
          <w:i w:val="0"/>
          <w:lang w:val="en-US" w:eastAsia="es-ES_tradnl"/>
        </w:rPr>
        <w:t xml:space="preserve">owing to the State inaction with regard to protection of the right to health of the population of people living with HIV, despite the existence of an international obligation and State regulations, the Court concludes that the State is responsible for violating the principle of progressivity contained in </w:t>
      </w:r>
      <w:r w:rsidRPr="009F337B">
        <w:rPr>
          <w:i w:val="0"/>
          <w:lang w:val="en-US"/>
        </w:rPr>
        <w:t>Article 26 of the Convention, in relation to Article 1(1) of this instrument</w:t>
      </w:r>
      <w:r w:rsidRPr="009F337B">
        <w:rPr>
          <w:lang w:val="en-US"/>
        </w:rPr>
        <w:t>.</w:t>
      </w:r>
    </w:p>
    <w:p w14:paraId="352211C9" w14:textId="77777777" w:rsidR="008E387F" w:rsidRPr="009F337B" w:rsidRDefault="008E387F" w:rsidP="008E387F">
      <w:pPr>
        <w:pStyle w:val="Estilo1"/>
        <w:tabs>
          <w:tab w:val="left" w:pos="709"/>
          <w:tab w:val="left" w:pos="1134"/>
        </w:tabs>
        <w:spacing w:after="0"/>
        <w:ind w:left="0" w:right="-4" w:firstLine="0"/>
        <w:rPr>
          <w:rFonts w:eastAsia="Times" w:cs="Arial"/>
          <w:i w:val="0"/>
          <w:szCs w:val="20"/>
          <w:lang w:val="en-US"/>
        </w:rPr>
      </w:pPr>
    </w:p>
    <w:p w14:paraId="4626D626" w14:textId="23CCA838" w:rsidR="00455930" w:rsidRPr="009F337B" w:rsidRDefault="00AC0BEF" w:rsidP="00AC0BEF">
      <w:pPr>
        <w:pStyle w:val="Estilo1"/>
        <w:tabs>
          <w:tab w:val="left" w:pos="709"/>
          <w:tab w:val="left" w:pos="1134"/>
        </w:tabs>
        <w:spacing w:after="0"/>
        <w:ind w:left="0" w:right="-4" w:firstLine="0"/>
        <w:rPr>
          <w:rFonts w:eastAsia="Times" w:cs="Arial"/>
          <w:b/>
          <w:szCs w:val="20"/>
          <w:lang w:val="en-US"/>
        </w:rPr>
      </w:pPr>
      <w:r w:rsidRPr="009F337B">
        <w:rPr>
          <w:rFonts w:eastAsia="Times" w:cs="Arial"/>
          <w:b/>
          <w:szCs w:val="20"/>
          <w:lang w:val="en-US"/>
        </w:rPr>
        <w:tab/>
      </w:r>
      <w:r w:rsidRPr="009F337B">
        <w:rPr>
          <w:rFonts w:eastAsia="Times" w:cs="Arial"/>
          <w:b/>
          <w:szCs w:val="20"/>
          <w:lang w:val="en-US"/>
        </w:rPr>
        <w:tab/>
      </w:r>
      <w:r w:rsidRPr="009F337B">
        <w:rPr>
          <w:rFonts w:eastAsia="Times" w:cs="Arial"/>
          <w:b/>
          <w:szCs w:val="20"/>
          <w:lang w:val="en-US"/>
        </w:rPr>
        <w:tab/>
      </w:r>
      <w:r w:rsidR="00455930" w:rsidRPr="009F337B">
        <w:rPr>
          <w:rFonts w:eastAsia="Times" w:cs="Arial"/>
          <w:b/>
          <w:szCs w:val="20"/>
          <w:lang w:val="en-US"/>
        </w:rPr>
        <w:t>B.4.1.3. An</w:t>
      </w:r>
      <w:r w:rsidR="00F3419F" w:rsidRPr="009F337B">
        <w:rPr>
          <w:rFonts w:eastAsia="Times" w:cs="Arial"/>
          <w:b/>
          <w:szCs w:val="20"/>
          <w:lang w:val="en-US"/>
        </w:rPr>
        <w:t xml:space="preserve">alysis of compliance with the obligations of progressivity </w:t>
      </w:r>
      <w:r w:rsidR="000E73AE" w:rsidRPr="009F337B">
        <w:rPr>
          <w:rFonts w:eastAsia="Times" w:cs="Arial"/>
          <w:b/>
          <w:szCs w:val="20"/>
          <w:lang w:val="en-US"/>
        </w:rPr>
        <w:t>in relation to</w:t>
      </w:r>
      <w:r w:rsidR="00455930" w:rsidRPr="009F337B">
        <w:rPr>
          <w:rFonts w:eastAsia="Times" w:cs="Arial"/>
          <w:b/>
          <w:szCs w:val="20"/>
          <w:lang w:val="en-US"/>
        </w:rPr>
        <w:t xml:space="preserve"> </w:t>
      </w:r>
      <w:r w:rsidR="00F3419F" w:rsidRPr="009F337B">
        <w:rPr>
          <w:rFonts w:eastAsia="Times" w:cs="Arial"/>
          <w:b/>
          <w:szCs w:val="20"/>
          <w:lang w:val="en-US"/>
        </w:rPr>
        <w:t>the alleged legal barriers concerning intellectual property and administrative contracting</w:t>
      </w:r>
    </w:p>
    <w:p w14:paraId="76D8A95A" w14:textId="77777777" w:rsidR="008E387F" w:rsidRPr="009F337B" w:rsidRDefault="008E387F" w:rsidP="008E387F">
      <w:pPr>
        <w:pStyle w:val="Estilo1"/>
        <w:tabs>
          <w:tab w:val="left" w:pos="709"/>
          <w:tab w:val="left" w:pos="1134"/>
        </w:tabs>
        <w:spacing w:after="0"/>
        <w:ind w:left="0" w:right="-4" w:firstLine="0"/>
        <w:rPr>
          <w:rFonts w:eastAsia="Times" w:cs="Arial"/>
          <w:i w:val="0"/>
          <w:szCs w:val="20"/>
          <w:lang w:val="en-US"/>
        </w:rPr>
      </w:pPr>
    </w:p>
    <w:p w14:paraId="6644A65B" w14:textId="173F67E8" w:rsidR="003B481F" w:rsidRPr="009F337B" w:rsidRDefault="001D727F" w:rsidP="00593E37">
      <w:pPr>
        <w:pStyle w:val="Estilo1"/>
        <w:numPr>
          <w:ilvl w:val="0"/>
          <w:numId w:val="1"/>
        </w:numPr>
        <w:tabs>
          <w:tab w:val="left" w:pos="709"/>
          <w:tab w:val="left" w:pos="1134"/>
        </w:tabs>
        <w:spacing w:after="0"/>
        <w:ind w:left="0" w:right="-4" w:firstLine="0"/>
        <w:rPr>
          <w:rFonts w:eastAsia="Times" w:cs="Arial"/>
          <w:i w:val="0"/>
          <w:szCs w:val="20"/>
          <w:lang w:val="en-US"/>
        </w:rPr>
      </w:pPr>
      <w:r w:rsidRPr="009F337B">
        <w:rPr>
          <w:rFonts w:eastAsia="Times" w:cs="Arial"/>
          <w:i w:val="0"/>
          <w:szCs w:val="20"/>
          <w:lang w:val="en-US"/>
        </w:rPr>
        <w:t xml:space="preserve">The Court notes that </w:t>
      </w:r>
      <w:r w:rsidR="00CC6A68" w:rsidRPr="009F337B">
        <w:rPr>
          <w:rFonts w:eastAsia="Times" w:cs="Arial"/>
          <w:i w:val="0"/>
          <w:szCs w:val="20"/>
          <w:lang w:val="en-US"/>
        </w:rPr>
        <w:t xml:space="preserve">the </w:t>
      </w:r>
      <w:r w:rsidR="007327F5" w:rsidRPr="009F337B">
        <w:rPr>
          <w:rFonts w:eastAsia="Times" w:cs="Arial"/>
          <w:i w:val="0"/>
          <w:szCs w:val="20"/>
          <w:lang w:val="en-US"/>
        </w:rPr>
        <w:t>representatives</w:t>
      </w:r>
      <w:r w:rsidRPr="009F337B">
        <w:rPr>
          <w:rFonts w:eastAsia="Times" w:cs="Arial"/>
          <w:i w:val="0"/>
          <w:szCs w:val="20"/>
          <w:lang w:val="en-US"/>
        </w:rPr>
        <w:t>’ petition refers specifically to the legal barriers concerning intellectu</w:t>
      </w:r>
      <w:r w:rsidR="00D53148" w:rsidRPr="009F337B">
        <w:rPr>
          <w:rFonts w:eastAsia="Times" w:cs="Arial"/>
          <w:i w:val="0"/>
          <w:szCs w:val="20"/>
          <w:lang w:val="en-US"/>
        </w:rPr>
        <w:t>a</w:t>
      </w:r>
      <w:r w:rsidRPr="009F337B">
        <w:rPr>
          <w:rFonts w:eastAsia="Times" w:cs="Arial"/>
          <w:i w:val="0"/>
          <w:szCs w:val="20"/>
          <w:lang w:val="en-US"/>
        </w:rPr>
        <w:t xml:space="preserve">l property </w:t>
      </w:r>
      <w:r w:rsidR="00D53148" w:rsidRPr="009F337B">
        <w:rPr>
          <w:rFonts w:eastAsia="Times" w:cs="Arial"/>
          <w:i w:val="0"/>
          <w:szCs w:val="20"/>
          <w:lang w:val="en-US"/>
        </w:rPr>
        <w:t>and administrative contracting</w:t>
      </w:r>
      <w:r w:rsidR="007208FD" w:rsidRPr="009F337B">
        <w:rPr>
          <w:rFonts w:eastAsia="Times" w:cs="Arial"/>
          <w:i w:val="0"/>
          <w:szCs w:val="20"/>
          <w:lang w:val="en-US"/>
        </w:rPr>
        <w:t xml:space="preserve"> practices</w:t>
      </w:r>
      <w:r w:rsidR="00D53148" w:rsidRPr="009F337B">
        <w:rPr>
          <w:rFonts w:eastAsia="Times" w:cs="Arial"/>
          <w:i w:val="0"/>
          <w:szCs w:val="20"/>
          <w:lang w:val="en-US"/>
        </w:rPr>
        <w:t xml:space="preserve"> that allegedly constituted retrogressive measures because they had prevented the health system from having a permanent supply of </w:t>
      </w:r>
      <w:r w:rsidR="00D52F4C" w:rsidRPr="009F337B">
        <w:rPr>
          <w:rFonts w:eastAsia="Times" w:cs="Arial"/>
          <w:i w:val="0"/>
          <w:szCs w:val="20"/>
          <w:lang w:val="en-US"/>
        </w:rPr>
        <w:t>antiretroviral drugs</w:t>
      </w:r>
      <w:r w:rsidR="003B481F" w:rsidRPr="009F337B">
        <w:rPr>
          <w:rFonts w:eastAsia="Times" w:cs="Arial"/>
          <w:i w:val="0"/>
          <w:szCs w:val="20"/>
          <w:lang w:val="en-US"/>
        </w:rPr>
        <w:t xml:space="preserve">. </w:t>
      </w:r>
      <w:r w:rsidR="00D53148" w:rsidRPr="009F337B">
        <w:rPr>
          <w:rFonts w:eastAsia="Times" w:cs="Arial"/>
          <w:i w:val="0"/>
          <w:szCs w:val="20"/>
          <w:lang w:val="en-US"/>
        </w:rPr>
        <w:t>In</w:t>
      </w:r>
      <w:r w:rsidR="00CC6A68" w:rsidRPr="009F337B">
        <w:rPr>
          <w:rFonts w:eastAsia="Times" w:cs="Arial"/>
          <w:i w:val="0"/>
          <w:szCs w:val="20"/>
          <w:lang w:val="en-US"/>
        </w:rPr>
        <w:t xml:space="preserve"> the </w:t>
      </w:r>
      <w:r w:rsidR="007327F5" w:rsidRPr="009F337B">
        <w:rPr>
          <w:rFonts w:eastAsia="Times" w:cs="Arial"/>
          <w:i w:val="0"/>
          <w:szCs w:val="20"/>
          <w:lang w:val="en-US"/>
        </w:rPr>
        <w:t>representatives</w:t>
      </w:r>
      <w:r w:rsidR="00D53148" w:rsidRPr="009F337B">
        <w:rPr>
          <w:rFonts w:eastAsia="Times" w:cs="Arial"/>
          <w:i w:val="0"/>
          <w:szCs w:val="20"/>
          <w:lang w:val="en-US"/>
        </w:rPr>
        <w:t>’ opinion</w:t>
      </w:r>
      <w:r w:rsidR="003B481F" w:rsidRPr="009F337B">
        <w:rPr>
          <w:rFonts w:eastAsia="Times" w:cs="Arial"/>
          <w:i w:val="0"/>
          <w:szCs w:val="20"/>
          <w:lang w:val="en-US"/>
        </w:rPr>
        <w:t xml:space="preserve">, </w:t>
      </w:r>
      <w:r w:rsidR="00D53148" w:rsidRPr="009F337B">
        <w:rPr>
          <w:rFonts w:eastAsia="Times" w:cs="Arial"/>
          <w:i w:val="0"/>
          <w:szCs w:val="20"/>
          <w:lang w:val="en-US"/>
        </w:rPr>
        <w:t xml:space="preserve">these barriers had prevented the State from </w:t>
      </w:r>
      <w:r w:rsidR="007208FD" w:rsidRPr="009F337B">
        <w:rPr>
          <w:rFonts w:eastAsia="Times" w:cs="Arial"/>
          <w:i w:val="0"/>
          <w:szCs w:val="20"/>
          <w:lang w:val="en-US"/>
        </w:rPr>
        <w:t>us</w:t>
      </w:r>
      <w:r w:rsidR="00D53148" w:rsidRPr="009F337B">
        <w:rPr>
          <w:rFonts w:eastAsia="Times" w:cs="Arial"/>
          <w:i w:val="0"/>
          <w:szCs w:val="20"/>
          <w:lang w:val="en-US"/>
        </w:rPr>
        <w:t xml:space="preserve">ing the maximum resources available to prevent the propagation of the virus and to ensure the right to health. In this regard, the Court notes that the Commission did not refer directly to the Law on Industrial Property in its Merits Report as an obstacle to compliance with the State’s obligation to respond to HIV, but it did mention some commitments made by the Government during a meeting held by </w:t>
      </w:r>
      <w:r w:rsidR="00AE5F9E" w:rsidRPr="009F337B">
        <w:rPr>
          <w:rFonts w:eastAsia="Times" w:cs="Arial"/>
          <w:i w:val="0"/>
          <w:szCs w:val="20"/>
          <w:lang w:val="en-US"/>
        </w:rPr>
        <w:t>the President</w:t>
      </w:r>
      <w:r w:rsidR="003B481F" w:rsidRPr="009F337B">
        <w:rPr>
          <w:rFonts w:eastAsia="Times" w:cs="Arial"/>
          <w:i w:val="0"/>
          <w:szCs w:val="20"/>
          <w:lang w:val="en-US"/>
        </w:rPr>
        <w:t xml:space="preserve"> </w:t>
      </w:r>
      <w:r w:rsidR="000C535D" w:rsidRPr="009F337B">
        <w:rPr>
          <w:rFonts w:eastAsia="Times" w:cs="Arial"/>
          <w:i w:val="0"/>
          <w:szCs w:val="20"/>
          <w:lang w:val="en-US"/>
        </w:rPr>
        <w:t>of</w:t>
      </w:r>
      <w:r w:rsidR="003B481F" w:rsidRPr="009F337B">
        <w:rPr>
          <w:rFonts w:eastAsia="Times" w:cs="Arial"/>
          <w:i w:val="0"/>
          <w:szCs w:val="20"/>
          <w:lang w:val="en-US"/>
        </w:rPr>
        <w:t xml:space="preserve"> Guatemala, </w:t>
      </w:r>
      <w:r w:rsidR="00D53148" w:rsidRPr="009F337B">
        <w:rPr>
          <w:rFonts w:eastAsia="Times" w:cs="Arial"/>
          <w:i w:val="0"/>
          <w:szCs w:val="20"/>
          <w:lang w:val="en-US"/>
        </w:rPr>
        <w:t>the</w:t>
      </w:r>
      <w:r w:rsidR="003B481F" w:rsidRPr="009F337B">
        <w:rPr>
          <w:rFonts w:eastAsia="Times" w:cs="Arial"/>
          <w:i w:val="0"/>
          <w:szCs w:val="20"/>
          <w:lang w:val="en-US"/>
        </w:rPr>
        <w:t xml:space="preserve"> </w:t>
      </w:r>
      <w:r w:rsidR="005E44D9" w:rsidRPr="009F337B">
        <w:rPr>
          <w:rFonts w:eastAsia="Times" w:cs="Arial"/>
          <w:i w:val="0"/>
          <w:szCs w:val="20"/>
          <w:lang w:val="en-US"/>
        </w:rPr>
        <w:t>Ministry of Public Health</w:t>
      </w:r>
      <w:r w:rsidR="003B481F" w:rsidRPr="009F337B">
        <w:rPr>
          <w:rFonts w:eastAsia="Times" w:cs="Arial"/>
          <w:i w:val="0"/>
          <w:szCs w:val="20"/>
          <w:lang w:val="en-US"/>
        </w:rPr>
        <w:t xml:space="preserve">, </w:t>
      </w:r>
      <w:r w:rsidR="00D53148" w:rsidRPr="009F337B">
        <w:rPr>
          <w:rFonts w:eastAsia="Times" w:cs="Arial"/>
          <w:i w:val="0"/>
          <w:szCs w:val="20"/>
          <w:lang w:val="en-US"/>
        </w:rPr>
        <w:t xml:space="preserve">the Executive Director of the AIDS Prevention Foundation, and the Director of the </w:t>
      </w:r>
      <w:proofErr w:type="spellStart"/>
      <w:r w:rsidR="00D53148" w:rsidRPr="009F337B">
        <w:rPr>
          <w:rFonts w:eastAsia="Times" w:cs="Arial"/>
          <w:szCs w:val="20"/>
          <w:lang w:val="en-US"/>
        </w:rPr>
        <w:t>Asociación</w:t>
      </w:r>
      <w:proofErr w:type="spellEnd"/>
      <w:r w:rsidR="00D53148" w:rsidRPr="009F337B">
        <w:rPr>
          <w:rFonts w:eastAsia="Times" w:cs="Arial"/>
          <w:szCs w:val="20"/>
          <w:lang w:val="en-US"/>
        </w:rPr>
        <w:t xml:space="preserve"> </w:t>
      </w:r>
      <w:r w:rsidR="003B481F" w:rsidRPr="009F337B">
        <w:rPr>
          <w:rFonts w:eastAsia="Times" w:cs="Arial"/>
          <w:szCs w:val="20"/>
          <w:lang w:val="en-US"/>
        </w:rPr>
        <w:t xml:space="preserve">de </w:t>
      </w:r>
      <w:proofErr w:type="spellStart"/>
      <w:r w:rsidR="003B481F" w:rsidRPr="009F337B">
        <w:rPr>
          <w:rFonts w:eastAsia="Times" w:cs="Arial"/>
          <w:szCs w:val="20"/>
          <w:lang w:val="en-US"/>
        </w:rPr>
        <w:t>Salud</w:t>
      </w:r>
      <w:proofErr w:type="spellEnd"/>
      <w:r w:rsidR="003B481F" w:rsidRPr="009F337B">
        <w:rPr>
          <w:rFonts w:eastAsia="Times" w:cs="Arial"/>
          <w:szCs w:val="20"/>
          <w:lang w:val="en-US"/>
        </w:rPr>
        <w:t xml:space="preserve"> Integral </w:t>
      </w:r>
      <w:r w:rsidR="00D53148" w:rsidRPr="009F337B">
        <w:rPr>
          <w:rFonts w:eastAsia="Times" w:cs="Arial"/>
          <w:szCs w:val="20"/>
          <w:lang w:val="en-US"/>
        </w:rPr>
        <w:t>(</w:t>
      </w:r>
      <w:r w:rsidR="003B481F" w:rsidRPr="009F337B">
        <w:rPr>
          <w:rFonts w:eastAsia="Times" w:cs="Arial"/>
          <w:i w:val="0"/>
          <w:szCs w:val="20"/>
          <w:lang w:val="en-US"/>
        </w:rPr>
        <w:t>ASI</w:t>
      </w:r>
      <w:r w:rsidR="00D53148" w:rsidRPr="009F337B">
        <w:rPr>
          <w:rFonts w:eastAsia="Times" w:cs="Arial"/>
          <w:i w:val="0"/>
          <w:szCs w:val="20"/>
          <w:lang w:val="en-US"/>
        </w:rPr>
        <w:t>).</w:t>
      </w:r>
      <w:r w:rsidR="003B481F" w:rsidRPr="009F337B">
        <w:rPr>
          <w:rStyle w:val="Refdenotaalpie"/>
          <w:rFonts w:eastAsia="Times"/>
          <w:i w:val="0"/>
          <w:lang w:val="en-US"/>
        </w:rPr>
        <w:footnoteReference w:id="174"/>
      </w:r>
      <w:r w:rsidR="00D53148" w:rsidRPr="009F337B">
        <w:rPr>
          <w:rFonts w:eastAsia="Times" w:cs="Arial"/>
          <w:i w:val="0"/>
          <w:szCs w:val="20"/>
          <w:lang w:val="en-US"/>
        </w:rPr>
        <w:t xml:space="preserve"> The meeting was held following the </w:t>
      </w:r>
      <w:r w:rsidR="0016125F" w:rsidRPr="009F337B">
        <w:rPr>
          <w:rFonts w:eastAsia="Times" w:cs="Arial"/>
          <w:i w:val="0"/>
          <w:szCs w:val="20"/>
          <w:lang w:val="en-US"/>
        </w:rPr>
        <w:t>Constitutional Court</w:t>
      </w:r>
      <w:r w:rsidR="00D53148" w:rsidRPr="009F337B">
        <w:rPr>
          <w:rFonts w:eastAsia="Times" w:cs="Arial"/>
          <w:i w:val="0"/>
          <w:szCs w:val="20"/>
          <w:lang w:val="en-US"/>
        </w:rPr>
        <w:t>’s ruling of January 29,</w:t>
      </w:r>
      <w:r w:rsidR="003B481F" w:rsidRPr="009F337B">
        <w:rPr>
          <w:rFonts w:eastAsia="Times" w:cs="Arial"/>
          <w:i w:val="0"/>
          <w:szCs w:val="20"/>
          <w:lang w:val="en-US"/>
        </w:rPr>
        <w:t xml:space="preserve"> 2003.</w:t>
      </w:r>
    </w:p>
    <w:p w14:paraId="1FDA1048" w14:textId="77777777" w:rsidR="008E387F" w:rsidRPr="009F337B" w:rsidRDefault="008E387F" w:rsidP="008E387F">
      <w:pPr>
        <w:pStyle w:val="Estilo1"/>
        <w:tabs>
          <w:tab w:val="left" w:pos="709"/>
          <w:tab w:val="left" w:pos="1134"/>
        </w:tabs>
        <w:spacing w:after="0"/>
        <w:ind w:left="0" w:right="-4" w:firstLine="0"/>
        <w:rPr>
          <w:rFonts w:eastAsia="Times" w:cs="Arial"/>
          <w:i w:val="0"/>
          <w:szCs w:val="20"/>
          <w:lang w:val="en-US"/>
        </w:rPr>
      </w:pPr>
    </w:p>
    <w:p w14:paraId="72AED323" w14:textId="5AC9CB33" w:rsidR="003B481F" w:rsidRPr="009F337B" w:rsidRDefault="00AE5F9E" w:rsidP="00593E37">
      <w:pPr>
        <w:pStyle w:val="Estilo1"/>
        <w:numPr>
          <w:ilvl w:val="0"/>
          <w:numId w:val="1"/>
        </w:numPr>
        <w:tabs>
          <w:tab w:val="left" w:pos="709"/>
          <w:tab w:val="left" w:pos="1134"/>
        </w:tabs>
        <w:spacing w:after="0"/>
        <w:ind w:left="0" w:right="-4" w:firstLine="0"/>
        <w:rPr>
          <w:rFonts w:eastAsia="Times" w:cs="Arial"/>
          <w:i w:val="0"/>
          <w:szCs w:val="20"/>
          <w:lang w:val="en-US"/>
        </w:rPr>
      </w:pPr>
      <w:r w:rsidRPr="009F337B">
        <w:rPr>
          <w:rFonts w:eastAsia="Times" w:cs="Arial"/>
          <w:i w:val="0"/>
          <w:szCs w:val="20"/>
          <w:lang w:val="en-US"/>
        </w:rPr>
        <w:t>The Court</w:t>
      </w:r>
      <w:r w:rsidR="003B481F" w:rsidRPr="009F337B">
        <w:rPr>
          <w:rFonts w:eastAsia="Times" w:cs="Arial"/>
          <w:i w:val="0"/>
          <w:szCs w:val="20"/>
          <w:lang w:val="en-US"/>
        </w:rPr>
        <w:t xml:space="preserve"> consider</w:t>
      </w:r>
      <w:r w:rsidR="00D53148" w:rsidRPr="009F337B">
        <w:rPr>
          <w:rFonts w:eastAsia="Times" w:cs="Arial"/>
          <w:i w:val="0"/>
          <w:szCs w:val="20"/>
          <w:lang w:val="en-US"/>
        </w:rPr>
        <w:t xml:space="preserve">s that the facts contained in the </w:t>
      </w:r>
      <w:r w:rsidR="003C46A3" w:rsidRPr="009F337B">
        <w:rPr>
          <w:rFonts w:eastAsia="Times" w:cs="Arial"/>
          <w:i w:val="0"/>
          <w:szCs w:val="20"/>
          <w:lang w:val="en-US"/>
        </w:rPr>
        <w:t>Merits Report</w:t>
      </w:r>
      <w:r w:rsidR="003B481F" w:rsidRPr="009F337B">
        <w:rPr>
          <w:rFonts w:eastAsia="Times" w:cs="Arial"/>
          <w:i w:val="0"/>
          <w:szCs w:val="20"/>
          <w:lang w:val="en-US"/>
        </w:rPr>
        <w:t xml:space="preserve"> </w:t>
      </w:r>
      <w:r w:rsidR="00D53148" w:rsidRPr="009F337B">
        <w:rPr>
          <w:rFonts w:eastAsia="Times" w:cs="Arial"/>
          <w:i w:val="0"/>
          <w:szCs w:val="20"/>
          <w:lang w:val="en-US"/>
        </w:rPr>
        <w:t xml:space="preserve">concerning the commitments made by </w:t>
      </w:r>
      <w:r w:rsidRPr="009F337B">
        <w:rPr>
          <w:rFonts w:eastAsia="Times" w:cs="Arial"/>
          <w:i w:val="0"/>
          <w:szCs w:val="20"/>
          <w:lang w:val="en-US"/>
        </w:rPr>
        <w:t>the President</w:t>
      </w:r>
      <w:r w:rsidR="003B481F" w:rsidRPr="009F337B">
        <w:rPr>
          <w:rFonts w:eastAsia="Times" w:cs="Arial"/>
          <w:i w:val="0"/>
          <w:szCs w:val="20"/>
          <w:lang w:val="en-US"/>
        </w:rPr>
        <w:t xml:space="preserve"> </w:t>
      </w:r>
      <w:r w:rsidR="00D53148" w:rsidRPr="009F337B">
        <w:rPr>
          <w:rFonts w:eastAsia="Times" w:cs="Arial"/>
          <w:i w:val="0"/>
          <w:szCs w:val="20"/>
          <w:lang w:val="en-US"/>
        </w:rPr>
        <w:t xml:space="preserve">following the ruling </w:t>
      </w:r>
      <w:r w:rsidRPr="009F337B">
        <w:rPr>
          <w:rFonts w:eastAsia="Times" w:cs="Arial"/>
          <w:i w:val="0"/>
          <w:szCs w:val="20"/>
          <w:lang w:val="en-US"/>
        </w:rPr>
        <w:t xml:space="preserve">of the </w:t>
      </w:r>
      <w:r w:rsidR="0016125F" w:rsidRPr="009F337B">
        <w:rPr>
          <w:rFonts w:eastAsia="Times" w:cs="Arial"/>
          <w:i w:val="0"/>
          <w:szCs w:val="20"/>
          <w:lang w:val="en-US"/>
        </w:rPr>
        <w:t>Constitutional Court</w:t>
      </w:r>
      <w:r w:rsidR="00D53148" w:rsidRPr="009F337B">
        <w:rPr>
          <w:rFonts w:eastAsia="Times" w:cs="Arial"/>
          <w:i w:val="0"/>
          <w:szCs w:val="20"/>
          <w:lang w:val="en-US"/>
        </w:rPr>
        <w:t>; namely, those related to the adoption of various measures: (</w:t>
      </w:r>
      <w:proofErr w:type="spellStart"/>
      <w:r w:rsidR="00D53148" w:rsidRPr="009F337B">
        <w:rPr>
          <w:rFonts w:eastAsia="Times" w:cs="Arial"/>
          <w:i w:val="0"/>
          <w:szCs w:val="20"/>
          <w:lang w:val="en-US"/>
        </w:rPr>
        <w:t>i</w:t>
      </w:r>
      <w:proofErr w:type="spellEnd"/>
      <w:r w:rsidR="00D53148" w:rsidRPr="009F337B">
        <w:rPr>
          <w:rFonts w:eastAsia="Times" w:cs="Arial"/>
          <w:i w:val="0"/>
          <w:szCs w:val="20"/>
          <w:lang w:val="en-US"/>
        </w:rPr>
        <w:t>) to annul</w:t>
      </w:r>
      <w:r w:rsidR="003B481F" w:rsidRPr="009F337B">
        <w:rPr>
          <w:rFonts w:eastAsia="Times" w:cs="Arial"/>
          <w:i w:val="0"/>
          <w:szCs w:val="20"/>
          <w:lang w:val="en-US"/>
        </w:rPr>
        <w:t xml:space="preserve"> </w:t>
      </w:r>
      <w:r w:rsidR="00926020" w:rsidRPr="009F337B">
        <w:rPr>
          <w:rFonts w:eastAsia="Times" w:cs="Arial"/>
          <w:i w:val="0"/>
          <w:szCs w:val="20"/>
          <w:lang w:val="en-US"/>
        </w:rPr>
        <w:t>Decree</w:t>
      </w:r>
      <w:r w:rsidR="003B481F" w:rsidRPr="009F337B">
        <w:rPr>
          <w:rFonts w:eastAsia="Times" w:cs="Arial"/>
          <w:i w:val="0"/>
          <w:szCs w:val="20"/>
          <w:lang w:val="en-US"/>
        </w:rPr>
        <w:t xml:space="preserve"> No. 9-2003, </w:t>
      </w:r>
      <w:r w:rsidR="00D53148" w:rsidRPr="009F337B">
        <w:rPr>
          <w:rFonts w:eastAsia="Times" w:cs="Arial"/>
          <w:i w:val="0"/>
          <w:szCs w:val="20"/>
          <w:lang w:val="en-US"/>
        </w:rPr>
        <w:t>(</w:t>
      </w:r>
      <w:r w:rsidR="003B481F" w:rsidRPr="009F337B">
        <w:rPr>
          <w:rFonts w:eastAsia="Times" w:cs="Arial"/>
          <w:i w:val="0"/>
          <w:szCs w:val="20"/>
          <w:lang w:val="en-US"/>
        </w:rPr>
        <w:t xml:space="preserve">ii) </w:t>
      </w:r>
      <w:r w:rsidR="00D53148" w:rsidRPr="009F337B">
        <w:rPr>
          <w:rFonts w:eastAsia="Times" w:cs="Arial"/>
          <w:i w:val="0"/>
          <w:szCs w:val="20"/>
          <w:lang w:val="en-US"/>
        </w:rPr>
        <w:t>to promulgate</w:t>
      </w:r>
      <w:r w:rsidR="003B481F" w:rsidRPr="009F337B">
        <w:rPr>
          <w:rFonts w:eastAsia="Times" w:cs="Arial"/>
          <w:i w:val="0"/>
          <w:szCs w:val="20"/>
          <w:lang w:val="en-US"/>
        </w:rPr>
        <w:t xml:space="preserve"> </w:t>
      </w:r>
      <w:r w:rsidR="00926020" w:rsidRPr="009F337B">
        <w:rPr>
          <w:rFonts w:eastAsia="Times" w:cs="Arial"/>
          <w:i w:val="0"/>
          <w:szCs w:val="20"/>
          <w:lang w:val="en-US"/>
        </w:rPr>
        <w:t>Decree</w:t>
      </w:r>
      <w:r w:rsidR="003B481F" w:rsidRPr="009F337B">
        <w:rPr>
          <w:rFonts w:eastAsia="Times" w:cs="Arial"/>
          <w:i w:val="0"/>
          <w:szCs w:val="20"/>
          <w:lang w:val="en-US"/>
        </w:rPr>
        <w:t xml:space="preserve"> No. 34-2004,</w:t>
      </w:r>
      <w:r w:rsidR="003C46A3" w:rsidRPr="009F337B">
        <w:rPr>
          <w:rFonts w:eastAsia="Times" w:cs="Arial"/>
          <w:i w:val="0"/>
          <w:szCs w:val="20"/>
          <w:lang w:val="en-US"/>
        </w:rPr>
        <w:t xml:space="preserve"> and </w:t>
      </w:r>
      <w:r w:rsidR="00D53148" w:rsidRPr="009F337B">
        <w:rPr>
          <w:rFonts w:eastAsia="Times" w:cs="Arial"/>
          <w:i w:val="0"/>
          <w:szCs w:val="20"/>
          <w:lang w:val="en-US"/>
        </w:rPr>
        <w:t>(</w:t>
      </w:r>
      <w:r w:rsidR="003B481F" w:rsidRPr="009F337B">
        <w:rPr>
          <w:rFonts w:eastAsia="Times" w:cs="Arial"/>
          <w:i w:val="0"/>
          <w:szCs w:val="20"/>
          <w:lang w:val="en-US"/>
        </w:rPr>
        <w:t xml:space="preserve">iii) </w:t>
      </w:r>
      <w:r w:rsidR="00D53148" w:rsidRPr="009F337B">
        <w:rPr>
          <w:rFonts w:eastAsia="Times" w:cs="Arial"/>
          <w:i w:val="0"/>
          <w:szCs w:val="20"/>
          <w:lang w:val="en-US"/>
        </w:rPr>
        <w:t xml:space="preserve">to promulgate </w:t>
      </w:r>
      <w:r w:rsidR="00926020" w:rsidRPr="009F337B">
        <w:rPr>
          <w:rFonts w:eastAsia="Times" w:cs="Arial"/>
          <w:i w:val="0"/>
          <w:szCs w:val="20"/>
          <w:lang w:val="en-US"/>
        </w:rPr>
        <w:t>Decree</w:t>
      </w:r>
      <w:r w:rsidR="003B481F" w:rsidRPr="009F337B">
        <w:rPr>
          <w:rFonts w:eastAsia="Times" w:cs="Arial"/>
          <w:i w:val="0"/>
          <w:szCs w:val="20"/>
          <w:lang w:val="en-US"/>
        </w:rPr>
        <w:t xml:space="preserve"> 30-2005, </w:t>
      </w:r>
      <w:r w:rsidR="00D53148" w:rsidRPr="009F337B">
        <w:rPr>
          <w:rFonts w:eastAsia="Times" w:cs="Arial"/>
          <w:i w:val="0"/>
          <w:szCs w:val="20"/>
          <w:lang w:val="en-US"/>
        </w:rPr>
        <w:t xml:space="preserve">are of a contextual nature for the effects of this case. In other words, these facts are relevant </w:t>
      </w:r>
      <w:r w:rsidR="008A1ED1" w:rsidRPr="009F337B">
        <w:rPr>
          <w:rFonts w:eastAsia="Times" w:cs="Arial"/>
          <w:i w:val="0"/>
          <w:szCs w:val="20"/>
          <w:lang w:val="en-US"/>
        </w:rPr>
        <w:t xml:space="preserve">“to provide </w:t>
      </w:r>
      <w:r w:rsidR="00F434D7" w:rsidRPr="009F337B">
        <w:rPr>
          <w:rFonts w:eastAsia="Times" w:cs="Arial"/>
          <w:i w:val="0"/>
          <w:szCs w:val="20"/>
          <w:lang w:val="en-US"/>
        </w:rPr>
        <w:t>a framework for</w:t>
      </w:r>
      <w:r w:rsidR="008A1ED1" w:rsidRPr="009F337B">
        <w:rPr>
          <w:rFonts w:eastAsia="Times" w:cs="Arial"/>
          <w:i w:val="0"/>
          <w:szCs w:val="20"/>
          <w:lang w:val="en-US"/>
        </w:rPr>
        <w:t xml:space="preserve"> the facts that are alleged to have led to violations [of human rights] in the context of the specific circumstances in which they took place.</w:t>
      </w:r>
      <w:r w:rsidR="003B481F" w:rsidRPr="009F337B">
        <w:rPr>
          <w:rFonts w:eastAsia="Times" w:cs="Arial"/>
          <w:i w:val="0"/>
          <w:szCs w:val="20"/>
          <w:lang w:val="en-US"/>
        </w:rPr>
        <w:t>”</w:t>
      </w:r>
      <w:r w:rsidR="003B481F" w:rsidRPr="009F337B">
        <w:rPr>
          <w:rStyle w:val="Refdenotaalpie"/>
          <w:rFonts w:eastAsia="Times"/>
          <w:i w:val="0"/>
          <w:lang w:val="en-US"/>
        </w:rPr>
        <w:footnoteReference w:id="175"/>
      </w:r>
      <w:r w:rsidR="003B481F" w:rsidRPr="009F337B">
        <w:rPr>
          <w:rFonts w:eastAsia="Times" w:cs="Arial"/>
          <w:i w:val="0"/>
          <w:szCs w:val="20"/>
          <w:lang w:val="en-US"/>
        </w:rPr>
        <w:t xml:space="preserve"> </w:t>
      </w:r>
      <w:r w:rsidR="008A1ED1" w:rsidRPr="009F337B">
        <w:rPr>
          <w:rFonts w:eastAsia="Times" w:cs="Arial"/>
          <w:i w:val="0"/>
          <w:szCs w:val="20"/>
          <w:lang w:val="en-US"/>
        </w:rPr>
        <w:t xml:space="preserve">Thus, the facts mentioned by </w:t>
      </w:r>
      <w:r w:rsidRPr="009F337B">
        <w:rPr>
          <w:rFonts w:eastAsia="Times" w:cs="Arial"/>
          <w:i w:val="0"/>
          <w:szCs w:val="20"/>
          <w:lang w:val="en-US"/>
        </w:rPr>
        <w:t>the Commission</w:t>
      </w:r>
      <w:r w:rsidR="003B481F" w:rsidRPr="009F337B">
        <w:rPr>
          <w:rFonts w:eastAsia="Times" w:cs="Arial"/>
          <w:i w:val="0"/>
          <w:szCs w:val="20"/>
          <w:lang w:val="en-US"/>
        </w:rPr>
        <w:t xml:space="preserve"> </w:t>
      </w:r>
      <w:r w:rsidR="008A1ED1" w:rsidRPr="009F337B">
        <w:rPr>
          <w:rFonts w:eastAsia="Times" w:cs="Arial"/>
          <w:i w:val="0"/>
          <w:szCs w:val="20"/>
          <w:lang w:val="en-US"/>
        </w:rPr>
        <w:t xml:space="preserve">as </w:t>
      </w:r>
      <w:r w:rsidR="00F434D7" w:rsidRPr="009F337B">
        <w:rPr>
          <w:rFonts w:eastAsia="Times" w:cs="Arial"/>
          <w:i w:val="0"/>
          <w:szCs w:val="20"/>
          <w:lang w:val="en-US"/>
        </w:rPr>
        <w:t>some</w:t>
      </w:r>
      <w:r w:rsidR="008A1ED1" w:rsidRPr="009F337B">
        <w:rPr>
          <w:rFonts w:eastAsia="Times" w:cs="Arial"/>
          <w:i w:val="0"/>
          <w:szCs w:val="20"/>
          <w:lang w:val="en-US"/>
        </w:rPr>
        <w:t xml:space="preserve"> of the commitments made by the Government </w:t>
      </w:r>
      <w:r w:rsidR="008A1ED1" w:rsidRPr="009F337B">
        <w:rPr>
          <w:rFonts w:eastAsia="Times" w:cs="Arial"/>
          <w:i w:val="0"/>
          <w:szCs w:val="20"/>
          <w:lang w:val="en-US"/>
        </w:rPr>
        <w:lastRenderedPageBreak/>
        <w:t xml:space="preserve">of </w:t>
      </w:r>
      <w:r w:rsidR="003B481F" w:rsidRPr="009F337B">
        <w:rPr>
          <w:rFonts w:eastAsia="Times" w:cs="Arial"/>
          <w:i w:val="0"/>
          <w:szCs w:val="20"/>
          <w:lang w:val="en-US"/>
        </w:rPr>
        <w:t xml:space="preserve">Guatemala </w:t>
      </w:r>
      <w:r w:rsidR="008A1ED1" w:rsidRPr="009F337B">
        <w:rPr>
          <w:rFonts w:eastAsia="Times" w:cs="Arial"/>
          <w:i w:val="0"/>
          <w:szCs w:val="20"/>
          <w:lang w:val="en-US"/>
        </w:rPr>
        <w:t xml:space="preserve">following the ruling </w:t>
      </w:r>
      <w:r w:rsidRPr="009F337B">
        <w:rPr>
          <w:rFonts w:eastAsia="Times" w:cs="Arial"/>
          <w:i w:val="0"/>
          <w:szCs w:val="20"/>
          <w:lang w:val="en-US"/>
        </w:rPr>
        <w:t xml:space="preserve">of the </w:t>
      </w:r>
      <w:r w:rsidR="0016125F" w:rsidRPr="009F337B">
        <w:rPr>
          <w:rFonts w:eastAsia="Times" w:cs="Arial"/>
          <w:i w:val="0"/>
          <w:szCs w:val="20"/>
          <w:lang w:val="en-US"/>
        </w:rPr>
        <w:t>Constitutional Court</w:t>
      </w:r>
      <w:r w:rsidR="003B481F" w:rsidRPr="009F337B">
        <w:rPr>
          <w:rFonts w:eastAsia="Times" w:cs="Arial"/>
          <w:i w:val="0"/>
          <w:szCs w:val="20"/>
          <w:lang w:val="en-US"/>
        </w:rPr>
        <w:t xml:space="preserve"> </w:t>
      </w:r>
      <w:r w:rsidR="008A1ED1" w:rsidRPr="009F337B">
        <w:rPr>
          <w:rFonts w:eastAsia="Times" w:cs="Arial"/>
          <w:i w:val="0"/>
          <w:szCs w:val="20"/>
          <w:lang w:val="en-US"/>
        </w:rPr>
        <w:t xml:space="preserve">will be considered, as pertinent, in order to define the scope of the State obligation to ensure access to effective judicial remedies to </w:t>
      </w:r>
      <w:r w:rsidR="00A00EE5" w:rsidRPr="009F337B">
        <w:rPr>
          <w:rFonts w:eastAsia="Times" w:cs="Arial"/>
          <w:i w:val="0"/>
          <w:szCs w:val="20"/>
          <w:lang w:val="en-US"/>
        </w:rPr>
        <w:t>the presumed</w:t>
      </w:r>
      <w:r w:rsidR="003C46A3" w:rsidRPr="009F337B">
        <w:rPr>
          <w:rFonts w:eastAsia="Times" w:cs="Arial"/>
          <w:i w:val="0"/>
          <w:szCs w:val="20"/>
          <w:lang w:val="en-US"/>
        </w:rPr>
        <w:t xml:space="preserve"> victims</w:t>
      </w:r>
      <w:r w:rsidR="008E387F" w:rsidRPr="009F337B">
        <w:rPr>
          <w:rFonts w:eastAsia="Times" w:cs="Arial"/>
          <w:i w:val="0"/>
          <w:szCs w:val="20"/>
          <w:lang w:val="en-US"/>
        </w:rPr>
        <w:t xml:space="preserve"> </w:t>
      </w:r>
      <w:r w:rsidR="008A1ED1" w:rsidRPr="009F337B">
        <w:rPr>
          <w:rFonts w:eastAsia="Times" w:cs="Arial"/>
          <w:i w:val="0"/>
          <w:szCs w:val="20"/>
          <w:lang w:val="en-US"/>
        </w:rPr>
        <w:t>in this case</w:t>
      </w:r>
      <w:r w:rsidR="008E387F" w:rsidRPr="009F337B">
        <w:rPr>
          <w:rFonts w:eastAsia="Times" w:cs="Arial"/>
          <w:i w:val="0"/>
          <w:szCs w:val="20"/>
          <w:lang w:val="en-US"/>
        </w:rPr>
        <w:t>.</w:t>
      </w:r>
    </w:p>
    <w:p w14:paraId="65AEA622" w14:textId="77777777" w:rsidR="008E387F" w:rsidRPr="009F337B" w:rsidRDefault="008E387F" w:rsidP="008E387F">
      <w:pPr>
        <w:pStyle w:val="Estilo1"/>
        <w:tabs>
          <w:tab w:val="left" w:pos="709"/>
          <w:tab w:val="left" w:pos="1134"/>
        </w:tabs>
        <w:spacing w:after="0"/>
        <w:ind w:left="0" w:right="-4" w:firstLine="0"/>
        <w:rPr>
          <w:rFonts w:eastAsia="Times" w:cs="Arial"/>
          <w:i w:val="0"/>
          <w:szCs w:val="20"/>
          <w:lang w:val="en-US"/>
        </w:rPr>
      </w:pPr>
    </w:p>
    <w:p w14:paraId="37E6DD00" w14:textId="50851D78" w:rsidR="003B481F" w:rsidRPr="009F337B" w:rsidRDefault="00F434D7" w:rsidP="00593E37">
      <w:pPr>
        <w:pStyle w:val="Estilo1"/>
        <w:numPr>
          <w:ilvl w:val="0"/>
          <w:numId w:val="1"/>
        </w:numPr>
        <w:tabs>
          <w:tab w:val="left" w:pos="709"/>
          <w:tab w:val="left" w:pos="1134"/>
        </w:tabs>
        <w:spacing w:after="0"/>
        <w:ind w:left="0" w:right="-4" w:firstLine="0"/>
        <w:rPr>
          <w:rFonts w:eastAsia="Times" w:cs="Arial"/>
          <w:i w:val="0"/>
          <w:szCs w:val="20"/>
          <w:lang w:val="en-US"/>
        </w:rPr>
      </w:pPr>
      <w:r w:rsidRPr="009F337B">
        <w:rPr>
          <w:rFonts w:eastAsia="Times" w:cs="Arial"/>
          <w:i w:val="0"/>
          <w:szCs w:val="20"/>
          <w:lang w:val="en-US"/>
        </w:rPr>
        <w:t>The</w:t>
      </w:r>
      <w:r w:rsidR="008C399E" w:rsidRPr="009F337B">
        <w:rPr>
          <w:i w:val="0"/>
          <w:lang w:val="en-US"/>
        </w:rPr>
        <w:t xml:space="preserve"> Court</w:t>
      </w:r>
      <w:r w:rsidR="003B481F" w:rsidRPr="009F337B">
        <w:rPr>
          <w:i w:val="0"/>
          <w:lang w:val="en-US"/>
        </w:rPr>
        <w:t xml:space="preserve"> </w:t>
      </w:r>
      <w:r w:rsidRPr="009F337B">
        <w:rPr>
          <w:i w:val="0"/>
          <w:lang w:val="en-US"/>
        </w:rPr>
        <w:t xml:space="preserve">also </w:t>
      </w:r>
      <w:r w:rsidR="008A1ED1" w:rsidRPr="009F337B">
        <w:rPr>
          <w:i w:val="0"/>
          <w:lang w:val="en-US"/>
        </w:rPr>
        <w:t>notes that</w:t>
      </w:r>
      <w:r w:rsidRPr="009F337B">
        <w:rPr>
          <w:i w:val="0"/>
          <w:lang w:val="en-US"/>
        </w:rPr>
        <w:t xml:space="preserve"> </w:t>
      </w:r>
      <w:r w:rsidR="00AE5F9E" w:rsidRPr="009F337B">
        <w:rPr>
          <w:i w:val="0"/>
          <w:lang w:val="en-US"/>
        </w:rPr>
        <w:t>the Commission</w:t>
      </w:r>
      <w:r w:rsidR="003B481F" w:rsidRPr="009F337B">
        <w:rPr>
          <w:i w:val="0"/>
          <w:lang w:val="en-US"/>
        </w:rPr>
        <w:t xml:space="preserve"> </w:t>
      </w:r>
      <w:r w:rsidR="008A1ED1" w:rsidRPr="009F337B">
        <w:rPr>
          <w:i w:val="0"/>
          <w:lang w:val="en-US"/>
        </w:rPr>
        <w:t>did not refer in its Merits Report to administrative contracting</w:t>
      </w:r>
      <w:r w:rsidR="00BB4833">
        <w:rPr>
          <w:i w:val="0"/>
          <w:lang w:val="en-US"/>
        </w:rPr>
        <w:t xml:space="preserve"> laws and practice</w:t>
      </w:r>
      <w:r w:rsidR="008A1ED1" w:rsidRPr="009F337B">
        <w:rPr>
          <w:i w:val="0"/>
          <w:lang w:val="en-US"/>
        </w:rPr>
        <w:t xml:space="preserve"> or to acts of corruption that could have represented an obstacle to the effective use of the available resources.</w:t>
      </w:r>
    </w:p>
    <w:p w14:paraId="6DA0B3F9" w14:textId="77777777" w:rsidR="008E387F" w:rsidRPr="009F337B" w:rsidRDefault="008E387F" w:rsidP="008E387F">
      <w:pPr>
        <w:pStyle w:val="Estilo1"/>
        <w:tabs>
          <w:tab w:val="left" w:pos="709"/>
          <w:tab w:val="left" w:pos="1134"/>
        </w:tabs>
        <w:spacing w:after="0"/>
        <w:ind w:left="0" w:right="-4" w:firstLine="0"/>
        <w:rPr>
          <w:rFonts w:eastAsia="Times" w:cs="Arial"/>
          <w:i w:val="0"/>
          <w:szCs w:val="20"/>
          <w:lang w:val="en-US"/>
        </w:rPr>
      </w:pPr>
    </w:p>
    <w:p w14:paraId="067B1F89" w14:textId="57088D59" w:rsidR="008E387F" w:rsidRPr="009F337B" w:rsidRDefault="000E73AE" w:rsidP="00593E37">
      <w:pPr>
        <w:pStyle w:val="Estilo1"/>
        <w:numPr>
          <w:ilvl w:val="0"/>
          <w:numId w:val="1"/>
        </w:numPr>
        <w:tabs>
          <w:tab w:val="left" w:pos="709"/>
          <w:tab w:val="left" w:pos="1134"/>
        </w:tabs>
        <w:spacing w:after="0"/>
        <w:ind w:left="0" w:right="-4" w:firstLine="0"/>
        <w:rPr>
          <w:rFonts w:eastAsia="Times" w:cs="Arial"/>
          <w:i w:val="0"/>
          <w:szCs w:val="20"/>
          <w:lang w:val="en-US"/>
        </w:rPr>
      </w:pPr>
      <w:r w:rsidRPr="009F337B">
        <w:rPr>
          <w:i w:val="0"/>
          <w:lang w:val="en-US"/>
        </w:rPr>
        <w:t xml:space="preserve">In </w:t>
      </w:r>
      <w:r w:rsidR="008A1ED1" w:rsidRPr="009F337B">
        <w:rPr>
          <w:i w:val="0"/>
          <w:lang w:val="en-US"/>
        </w:rPr>
        <w:t xml:space="preserve">this regard, the Court recalls that the factual framework of the proceedings before it is constituted by the facts contained in the Merits Report. Consequently, it is not admissible for the parties to allege new facts that differ from those contained in that report, without prejudice to </w:t>
      </w:r>
      <w:r w:rsidR="00F434D7" w:rsidRPr="009F337B">
        <w:rPr>
          <w:i w:val="0"/>
          <w:lang w:val="en-US"/>
        </w:rPr>
        <w:t>presenting</w:t>
      </w:r>
      <w:r w:rsidR="008A1ED1" w:rsidRPr="009F337B">
        <w:rPr>
          <w:i w:val="0"/>
          <w:lang w:val="en-US"/>
        </w:rPr>
        <w:t xml:space="preserve"> those that explain, clarify or reject the facts that have been submitted to the</w:t>
      </w:r>
      <w:r w:rsidR="00F434D7" w:rsidRPr="009F337B">
        <w:rPr>
          <w:i w:val="0"/>
          <w:lang w:val="en-US"/>
        </w:rPr>
        <w:t xml:space="preserve"> Court’s</w:t>
      </w:r>
      <w:r w:rsidR="008A1ED1" w:rsidRPr="009F337B">
        <w:rPr>
          <w:i w:val="0"/>
          <w:lang w:val="en-US"/>
        </w:rPr>
        <w:t xml:space="preserve"> consideration. The exception to this principle are facts classified as supervening or when facts come to light or there is access to evidence about them subsequently, provided that </w:t>
      </w:r>
      <w:r w:rsidR="00F434D7" w:rsidRPr="009F337B">
        <w:rPr>
          <w:i w:val="0"/>
          <w:lang w:val="en-US"/>
        </w:rPr>
        <w:t>such facts</w:t>
      </w:r>
      <w:r w:rsidR="008A1ED1" w:rsidRPr="009F337B">
        <w:rPr>
          <w:i w:val="0"/>
          <w:lang w:val="en-US"/>
        </w:rPr>
        <w:t xml:space="preserve"> are </w:t>
      </w:r>
      <w:r w:rsidR="00F434D7" w:rsidRPr="009F337B">
        <w:rPr>
          <w:i w:val="0"/>
          <w:lang w:val="en-US"/>
        </w:rPr>
        <w:t>related</w:t>
      </w:r>
      <w:r w:rsidR="008A1ED1" w:rsidRPr="009F337B">
        <w:rPr>
          <w:i w:val="0"/>
          <w:lang w:val="en-US"/>
        </w:rPr>
        <w:t xml:space="preserve"> to the facts of the proceedings.</w:t>
      </w:r>
      <w:r w:rsidR="003B481F" w:rsidRPr="009F337B">
        <w:rPr>
          <w:i w:val="0"/>
          <w:vertAlign w:val="superscript"/>
          <w:lang w:val="en-US"/>
        </w:rPr>
        <w:footnoteReference w:id="176"/>
      </w:r>
      <w:r w:rsidR="003B481F" w:rsidRPr="009F337B">
        <w:rPr>
          <w:i w:val="0"/>
          <w:lang w:val="en-US"/>
        </w:rPr>
        <w:t xml:space="preserve"> </w:t>
      </w:r>
      <w:r w:rsidR="008A1ED1" w:rsidRPr="009F337B">
        <w:rPr>
          <w:i w:val="0"/>
          <w:lang w:val="en-US"/>
        </w:rPr>
        <w:t>These</w:t>
      </w:r>
      <w:r w:rsidR="003B481F" w:rsidRPr="009F337B">
        <w:rPr>
          <w:i w:val="0"/>
          <w:lang w:val="en-US"/>
        </w:rPr>
        <w:t xml:space="preserve"> </w:t>
      </w:r>
      <w:r w:rsidR="00473F70" w:rsidRPr="009F337B">
        <w:rPr>
          <w:i w:val="0"/>
          <w:lang w:val="en-US"/>
        </w:rPr>
        <w:t>considerations</w:t>
      </w:r>
      <w:r w:rsidR="003B481F" w:rsidRPr="009F337B">
        <w:rPr>
          <w:i w:val="0"/>
          <w:lang w:val="en-US"/>
        </w:rPr>
        <w:t xml:space="preserve"> inclu</w:t>
      </w:r>
      <w:r w:rsidR="008A1ED1" w:rsidRPr="009F337B">
        <w:rPr>
          <w:i w:val="0"/>
          <w:lang w:val="en-US"/>
        </w:rPr>
        <w:t xml:space="preserve">de the context presented by </w:t>
      </w:r>
      <w:r w:rsidR="00AE5F9E" w:rsidRPr="009F337B">
        <w:rPr>
          <w:i w:val="0"/>
          <w:lang w:val="en-US"/>
        </w:rPr>
        <w:t>the Commission</w:t>
      </w:r>
      <w:r w:rsidR="003B481F" w:rsidRPr="009F337B">
        <w:rPr>
          <w:i w:val="0"/>
          <w:lang w:val="en-US"/>
        </w:rPr>
        <w:t xml:space="preserve"> </w:t>
      </w:r>
      <w:r w:rsidR="008A1ED1" w:rsidRPr="009F337B">
        <w:rPr>
          <w:i w:val="0"/>
          <w:lang w:val="en-US"/>
        </w:rPr>
        <w:t>in its</w:t>
      </w:r>
      <w:r w:rsidR="003B481F" w:rsidRPr="009F337B">
        <w:rPr>
          <w:i w:val="0"/>
          <w:lang w:val="en-US"/>
        </w:rPr>
        <w:t xml:space="preserve"> </w:t>
      </w:r>
      <w:r w:rsidR="003C46A3" w:rsidRPr="009F337B">
        <w:rPr>
          <w:i w:val="0"/>
          <w:lang w:val="en-US"/>
        </w:rPr>
        <w:t>Merits Report</w:t>
      </w:r>
      <w:r w:rsidR="003B481F" w:rsidRPr="009F337B">
        <w:rPr>
          <w:i w:val="0"/>
          <w:lang w:val="en-US"/>
        </w:rPr>
        <w:t xml:space="preserve">, </w:t>
      </w:r>
      <w:r w:rsidR="008A1ED1" w:rsidRPr="009F337B">
        <w:rPr>
          <w:i w:val="0"/>
          <w:lang w:val="en-US"/>
        </w:rPr>
        <w:t>which forms part of the factual framework of a case before this Court.</w:t>
      </w:r>
      <w:r w:rsidR="003B481F" w:rsidRPr="009F337B">
        <w:rPr>
          <w:i w:val="0"/>
          <w:vertAlign w:val="superscript"/>
          <w:lang w:val="en-US"/>
        </w:rPr>
        <w:footnoteReference w:id="177"/>
      </w:r>
      <w:r w:rsidR="003B481F" w:rsidRPr="009F337B">
        <w:rPr>
          <w:i w:val="0"/>
          <w:lang w:val="en-US"/>
        </w:rPr>
        <w:t xml:space="preserve"> </w:t>
      </w:r>
      <w:r w:rsidR="008A1ED1" w:rsidRPr="009F337B">
        <w:rPr>
          <w:i w:val="0"/>
          <w:lang w:val="en-US"/>
        </w:rPr>
        <w:t xml:space="preserve">Ultimately, it corresponds to the Court to decide, in each case, </w:t>
      </w:r>
      <w:r w:rsidR="00805FE9" w:rsidRPr="009F337B">
        <w:rPr>
          <w:i w:val="0"/>
          <w:lang w:val="en-US"/>
        </w:rPr>
        <w:t xml:space="preserve">on the admissibility of arguments concerning the factual framework </w:t>
      </w:r>
      <w:r w:rsidR="005A1767">
        <w:rPr>
          <w:i w:val="0"/>
          <w:lang w:val="en-US"/>
        </w:rPr>
        <w:t xml:space="preserve">in order </w:t>
      </w:r>
      <w:r w:rsidR="00805FE9" w:rsidRPr="009F337B">
        <w:rPr>
          <w:i w:val="0"/>
          <w:lang w:val="en-US"/>
        </w:rPr>
        <w:t>to safeguard the procedural balance between the parties.</w:t>
      </w:r>
      <w:r w:rsidR="003B481F" w:rsidRPr="009F337B">
        <w:rPr>
          <w:i w:val="0"/>
          <w:vertAlign w:val="superscript"/>
          <w:lang w:val="en-US"/>
        </w:rPr>
        <w:footnoteReference w:id="178"/>
      </w:r>
    </w:p>
    <w:p w14:paraId="5AC92806" w14:textId="47BD1C02" w:rsidR="008E387F" w:rsidRPr="009F337B" w:rsidRDefault="008E387F" w:rsidP="008E387F">
      <w:pPr>
        <w:pStyle w:val="Estilo1"/>
        <w:tabs>
          <w:tab w:val="left" w:pos="709"/>
          <w:tab w:val="left" w:pos="1134"/>
        </w:tabs>
        <w:spacing w:after="0"/>
        <w:ind w:left="0" w:right="-4" w:firstLine="0"/>
        <w:rPr>
          <w:rFonts w:eastAsia="Times" w:cs="Arial"/>
          <w:i w:val="0"/>
          <w:szCs w:val="20"/>
          <w:lang w:val="en-US"/>
        </w:rPr>
      </w:pPr>
    </w:p>
    <w:p w14:paraId="13500CCE" w14:textId="0F6E673B" w:rsidR="00EE1E0E" w:rsidRPr="009F337B" w:rsidRDefault="00F434D7" w:rsidP="00593E37">
      <w:pPr>
        <w:pStyle w:val="Estilo1"/>
        <w:numPr>
          <w:ilvl w:val="0"/>
          <w:numId w:val="1"/>
        </w:numPr>
        <w:tabs>
          <w:tab w:val="left" w:pos="709"/>
          <w:tab w:val="left" w:pos="1134"/>
        </w:tabs>
        <w:spacing w:after="0"/>
        <w:ind w:left="0" w:right="-4" w:firstLine="0"/>
        <w:rPr>
          <w:rFonts w:eastAsia="Times" w:cs="Arial"/>
          <w:i w:val="0"/>
          <w:szCs w:val="20"/>
          <w:lang w:val="en-US"/>
        </w:rPr>
      </w:pPr>
      <w:r w:rsidRPr="009F337B">
        <w:rPr>
          <w:i w:val="0"/>
          <w:lang w:val="en-US"/>
        </w:rPr>
        <w:t>Bearing in mind</w:t>
      </w:r>
      <w:r w:rsidR="00805FE9" w:rsidRPr="009F337B">
        <w:rPr>
          <w:i w:val="0"/>
          <w:lang w:val="en-US"/>
        </w:rPr>
        <w:t xml:space="preserve"> that </w:t>
      </w:r>
      <w:r w:rsidRPr="009F337B">
        <w:rPr>
          <w:i w:val="0"/>
          <w:lang w:val="en-US"/>
        </w:rPr>
        <w:t>some</w:t>
      </w:r>
      <w:r w:rsidR="00805FE9" w:rsidRPr="009F337B">
        <w:rPr>
          <w:i w:val="0"/>
          <w:lang w:val="en-US"/>
        </w:rPr>
        <w:t xml:space="preserve"> </w:t>
      </w:r>
      <w:r w:rsidR="005A1767">
        <w:rPr>
          <w:i w:val="0"/>
          <w:lang w:val="en-US"/>
        </w:rPr>
        <w:t xml:space="preserve">of the </w:t>
      </w:r>
      <w:r w:rsidR="00805FE9" w:rsidRPr="009F337B">
        <w:rPr>
          <w:i w:val="0"/>
          <w:lang w:val="en-US"/>
        </w:rPr>
        <w:t xml:space="preserve">facts that are the purpose of the dispute </w:t>
      </w:r>
      <w:r w:rsidRPr="009F337B">
        <w:rPr>
          <w:i w:val="0"/>
          <w:lang w:val="en-US"/>
        </w:rPr>
        <w:t xml:space="preserve">– </w:t>
      </w:r>
      <w:r w:rsidR="005A1767">
        <w:rPr>
          <w:i w:val="0"/>
          <w:lang w:val="en-US"/>
        </w:rPr>
        <w:t xml:space="preserve">for example, </w:t>
      </w:r>
      <w:r w:rsidR="00805FE9" w:rsidRPr="009F337B">
        <w:rPr>
          <w:i w:val="0"/>
          <w:lang w:val="en-US"/>
        </w:rPr>
        <w:t xml:space="preserve">those that presumably constitute a violation of the </w:t>
      </w:r>
      <w:r w:rsidR="006E03A4" w:rsidRPr="009F337B">
        <w:rPr>
          <w:i w:val="0"/>
          <w:lang w:val="en-US"/>
        </w:rPr>
        <w:t>principle of progressivity</w:t>
      </w:r>
      <w:r w:rsidR="00805FE9" w:rsidRPr="009F337B">
        <w:rPr>
          <w:i w:val="0"/>
          <w:lang w:val="en-US"/>
        </w:rPr>
        <w:t xml:space="preserve"> owing to the alleged legal barriers concerning intellectual property, administrative contracting</w:t>
      </w:r>
      <w:r w:rsidR="005A1767">
        <w:rPr>
          <w:i w:val="0"/>
          <w:lang w:val="en-US"/>
        </w:rPr>
        <w:t xml:space="preserve"> </w:t>
      </w:r>
      <w:r w:rsidR="005A1767" w:rsidRPr="009F337B">
        <w:rPr>
          <w:i w:val="0"/>
          <w:lang w:val="en-US"/>
        </w:rPr>
        <w:t>laws and practice</w:t>
      </w:r>
      <w:r w:rsidR="00805FE9" w:rsidRPr="009F337B">
        <w:rPr>
          <w:i w:val="0"/>
          <w:lang w:val="en-US"/>
        </w:rPr>
        <w:t>, and alleged corruption</w:t>
      </w:r>
      <w:r w:rsidRPr="009F337B">
        <w:rPr>
          <w:i w:val="0"/>
          <w:lang w:val="en-US"/>
        </w:rPr>
        <w:t xml:space="preserve"> – are</w:t>
      </w:r>
      <w:r w:rsidR="00805FE9" w:rsidRPr="009F337B">
        <w:rPr>
          <w:i w:val="0"/>
          <w:lang w:val="en-US"/>
        </w:rPr>
        <w:t xml:space="preserve"> not included in the factual framework submitted by </w:t>
      </w:r>
      <w:r w:rsidR="00AE5F9E" w:rsidRPr="009F337B">
        <w:rPr>
          <w:i w:val="0"/>
          <w:lang w:val="en-US"/>
        </w:rPr>
        <w:t>the Commission</w:t>
      </w:r>
      <w:r w:rsidR="003B481F" w:rsidRPr="009F337B">
        <w:rPr>
          <w:i w:val="0"/>
          <w:lang w:val="en-US"/>
        </w:rPr>
        <w:t xml:space="preserve">, </w:t>
      </w:r>
      <w:r w:rsidR="00AE5F9E" w:rsidRPr="009F337B">
        <w:rPr>
          <w:i w:val="0"/>
          <w:lang w:val="en-US"/>
        </w:rPr>
        <w:t>the Court</w:t>
      </w:r>
      <w:r w:rsidR="003B481F" w:rsidRPr="009F337B">
        <w:rPr>
          <w:i w:val="0"/>
          <w:lang w:val="en-US"/>
        </w:rPr>
        <w:t xml:space="preserve"> consider</w:t>
      </w:r>
      <w:r w:rsidR="00805FE9" w:rsidRPr="009F337B">
        <w:rPr>
          <w:i w:val="0"/>
          <w:lang w:val="en-US"/>
        </w:rPr>
        <w:t>s that, in this case, it is not</w:t>
      </w:r>
      <w:r w:rsidRPr="009F337B">
        <w:rPr>
          <w:i w:val="0"/>
          <w:lang w:val="en-US"/>
        </w:rPr>
        <w:t xml:space="preserve"> admissible</w:t>
      </w:r>
      <w:r w:rsidR="003B481F" w:rsidRPr="009F337B">
        <w:rPr>
          <w:i w:val="0"/>
          <w:lang w:val="en-US"/>
        </w:rPr>
        <w:t xml:space="preserve"> </w:t>
      </w:r>
      <w:r w:rsidR="00805FE9" w:rsidRPr="009F337B">
        <w:rPr>
          <w:i w:val="0"/>
          <w:lang w:val="en-US"/>
        </w:rPr>
        <w:t xml:space="preserve">to rule on whether they constitute the basis for a violation of the principle of progressivity contained in </w:t>
      </w:r>
      <w:r w:rsidR="00AE5F9E" w:rsidRPr="009F337B">
        <w:rPr>
          <w:i w:val="0"/>
          <w:lang w:val="en-US"/>
        </w:rPr>
        <w:t>Article</w:t>
      </w:r>
      <w:r w:rsidR="003B481F" w:rsidRPr="009F337B">
        <w:rPr>
          <w:i w:val="0"/>
          <w:lang w:val="en-US"/>
        </w:rPr>
        <w:t xml:space="preserve"> 26</w:t>
      </w:r>
      <w:r w:rsidR="00AE5F9E" w:rsidRPr="009F337B">
        <w:rPr>
          <w:i w:val="0"/>
          <w:lang w:val="en-US"/>
        </w:rPr>
        <w:t xml:space="preserve"> of the Convention</w:t>
      </w:r>
      <w:r w:rsidR="003B481F" w:rsidRPr="009F337B">
        <w:rPr>
          <w:i w:val="0"/>
          <w:lang w:val="en-US"/>
        </w:rPr>
        <w:t>.</w:t>
      </w:r>
      <w:bookmarkEnd w:id="86"/>
      <w:bookmarkEnd w:id="87"/>
    </w:p>
    <w:p w14:paraId="07449CD9" w14:textId="5494AF65" w:rsidR="00F46845" w:rsidRPr="009F337B" w:rsidRDefault="00DF1FF8" w:rsidP="00C543F7">
      <w:pPr>
        <w:pStyle w:val="Ttulo3"/>
        <w:rPr>
          <w:lang w:val="en-US"/>
        </w:rPr>
      </w:pPr>
      <w:bookmarkStart w:id="89" w:name="_Toc527466493"/>
      <w:r w:rsidRPr="009F337B">
        <w:rPr>
          <w:lang w:val="en-US"/>
        </w:rPr>
        <w:t>B.5</w:t>
      </w:r>
      <w:r w:rsidR="00F46845" w:rsidRPr="009F337B">
        <w:rPr>
          <w:lang w:val="en-US"/>
        </w:rPr>
        <w:t xml:space="preserve">. </w:t>
      </w:r>
      <w:r w:rsidR="00F3419F" w:rsidRPr="009F337B">
        <w:rPr>
          <w:lang w:val="en-US"/>
        </w:rPr>
        <w:t>The violation of the rights to life and to</w:t>
      </w:r>
      <w:r w:rsidR="00F46845" w:rsidRPr="009F337B">
        <w:rPr>
          <w:lang w:val="en-US"/>
        </w:rPr>
        <w:t xml:space="preserve"> </w:t>
      </w:r>
      <w:r w:rsidR="003C46A3" w:rsidRPr="009F337B">
        <w:rPr>
          <w:lang w:val="en-US"/>
        </w:rPr>
        <w:t>personal integrity</w:t>
      </w:r>
      <w:bookmarkEnd w:id="89"/>
    </w:p>
    <w:p w14:paraId="347D845B" w14:textId="77777777" w:rsidR="008E387F" w:rsidRPr="009F337B" w:rsidRDefault="008E387F" w:rsidP="008E387F">
      <w:pPr>
        <w:rPr>
          <w:lang w:val="en-US"/>
        </w:rPr>
      </w:pPr>
    </w:p>
    <w:p w14:paraId="700BC5F0" w14:textId="2BC8BE3E" w:rsidR="00F46845" w:rsidRPr="009F337B" w:rsidRDefault="008C399E" w:rsidP="00593E37">
      <w:pPr>
        <w:pStyle w:val="Estilo1"/>
        <w:numPr>
          <w:ilvl w:val="0"/>
          <w:numId w:val="1"/>
        </w:numPr>
        <w:tabs>
          <w:tab w:val="left" w:pos="709"/>
          <w:tab w:val="left" w:pos="1134"/>
        </w:tabs>
        <w:spacing w:after="0"/>
        <w:ind w:left="0" w:right="-4" w:firstLine="0"/>
        <w:rPr>
          <w:rFonts w:eastAsia="Times" w:cs="Arial"/>
          <w:i w:val="0"/>
          <w:szCs w:val="20"/>
          <w:lang w:val="en-US"/>
        </w:rPr>
      </w:pPr>
      <w:r w:rsidRPr="009F337B">
        <w:rPr>
          <w:rFonts w:eastAsia="Times" w:cs="Arial"/>
          <w:i w:val="0"/>
          <w:szCs w:val="20"/>
          <w:lang w:val="en-US"/>
        </w:rPr>
        <w:t>The Court</w:t>
      </w:r>
      <w:r w:rsidR="00F46845" w:rsidRPr="009F337B">
        <w:rPr>
          <w:rFonts w:eastAsia="Times" w:cs="Arial"/>
          <w:i w:val="0"/>
          <w:szCs w:val="20"/>
          <w:lang w:val="en-US"/>
        </w:rPr>
        <w:t xml:space="preserve"> rec</w:t>
      </w:r>
      <w:r w:rsidR="00AC6FE1" w:rsidRPr="009F337B">
        <w:rPr>
          <w:rFonts w:eastAsia="Times" w:cs="Arial"/>
          <w:i w:val="0"/>
          <w:szCs w:val="20"/>
          <w:lang w:val="en-US"/>
        </w:rPr>
        <w:t>alls that one of the disputes in this case relates to whether the State is responsible for the effects that the medical care</w:t>
      </w:r>
      <w:r w:rsidR="00F434D7" w:rsidRPr="009F337B">
        <w:rPr>
          <w:rFonts w:eastAsia="Times" w:cs="Arial"/>
          <w:i w:val="0"/>
          <w:szCs w:val="20"/>
          <w:lang w:val="en-US"/>
        </w:rPr>
        <w:t xml:space="preserve"> provided by the State</w:t>
      </w:r>
      <w:r w:rsidR="00AC6FE1" w:rsidRPr="009F337B">
        <w:rPr>
          <w:rFonts w:eastAsia="Times" w:cs="Arial"/>
          <w:i w:val="0"/>
          <w:szCs w:val="20"/>
          <w:lang w:val="en-US"/>
        </w:rPr>
        <w:t xml:space="preserve"> – or </w:t>
      </w:r>
      <w:r w:rsidR="00F434D7" w:rsidRPr="009F337B">
        <w:rPr>
          <w:rFonts w:eastAsia="Times" w:cs="Arial"/>
          <w:i w:val="0"/>
          <w:szCs w:val="20"/>
          <w:lang w:val="en-US"/>
        </w:rPr>
        <w:t xml:space="preserve">the </w:t>
      </w:r>
      <w:r w:rsidR="00AC6FE1" w:rsidRPr="009F337B">
        <w:rPr>
          <w:rFonts w:eastAsia="Times" w:cs="Arial"/>
          <w:i w:val="0"/>
          <w:szCs w:val="20"/>
          <w:lang w:val="en-US"/>
        </w:rPr>
        <w:t xml:space="preserve">lack of it – may have had on the </w:t>
      </w:r>
      <w:r w:rsidR="003C46A3" w:rsidRPr="009F337B">
        <w:rPr>
          <w:rFonts w:eastAsia="Times" w:cs="Arial"/>
          <w:i w:val="0"/>
          <w:szCs w:val="20"/>
          <w:lang w:val="en-US"/>
        </w:rPr>
        <w:t xml:space="preserve">personal integrity and </w:t>
      </w:r>
      <w:r w:rsidR="00AC6FE1" w:rsidRPr="009F337B">
        <w:rPr>
          <w:rFonts w:eastAsia="Times" w:cs="Arial"/>
          <w:i w:val="0"/>
          <w:szCs w:val="20"/>
          <w:lang w:val="en-US"/>
        </w:rPr>
        <w:t>life</w:t>
      </w:r>
      <w:r w:rsidR="00CC6A68" w:rsidRPr="009F337B">
        <w:rPr>
          <w:rFonts w:eastAsia="Times" w:cs="Arial"/>
          <w:i w:val="0"/>
          <w:szCs w:val="20"/>
          <w:lang w:val="en-US"/>
        </w:rPr>
        <w:t xml:space="preserve"> of the </w:t>
      </w:r>
      <w:r w:rsidR="00A00EE5" w:rsidRPr="009F337B">
        <w:rPr>
          <w:rFonts w:eastAsia="Times" w:cs="Arial"/>
          <w:i w:val="0"/>
          <w:szCs w:val="20"/>
          <w:lang w:val="en-US"/>
        </w:rPr>
        <w:t>presumed</w:t>
      </w:r>
      <w:r w:rsidR="003C46A3" w:rsidRPr="009F337B">
        <w:rPr>
          <w:rFonts w:eastAsia="Times" w:cs="Arial"/>
          <w:i w:val="0"/>
          <w:szCs w:val="20"/>
          <w:lang w:val="en-US"/>
        </w:rPr>
        <w:t xml:space="preserve"> victims</w:t>
      </w:r>
      <w:r w:rsidR="00F46845" w:rsidRPr="009F337B">
        <w:rPr>
          <w:rFonts w:eastAsia="Times" w:cs="Arial"/>
          <w:i w:val="0"/>
          <w:szCs w:val="20"/>
          <w:lang w:val="en-US"/>
        </w:rPr>
        <w:t xml:space="preserve"> </w:t>
      </w:r>
      <w:r w:rsidR="00AC6FE1" w:rsidRPr="009F337B">
        <w:rPr>
          <w:rFonts w:eastAsia="Times" w:cs="Arial"/>
          <w:i w:val="0"/>
          <w:szCs w:val="20"/>
          <w:lang w:val="en-US"/>
        </w:rPr>
        <w:t>in the case</w:t>
      </w:r>
      <w:r w:rsidR="00F46845" w:rsidRPr="009F337B">
        <w:rPr>
          <w:rFonts w:eastAsia="Times" w:cs="Arial"/>
          <w:i w:val="0"/>
          <w:szCs w:val="20"/>
          <w:lang w:val="en-US"/>
        </w:rPr>
        <w:t xml:space="preserve">. </w:t>
      </w:r>
      <w:r w:rsidR="00AC6FE1" w:rsidRPr="009F337B">
        <w:rPr>
          <w:rFonts w:eastAsia="Times" w:cs="Arial"/>
          <w:i w:val="0"/>
          <w:szCs w:val="20"/>
          <w:lang w:val="en-US"/>
        </w:rPr>
        <w:t>The</w:t>
      </w:r>
      <w:r w:rsidR="00AE5F9E" w:rsidRPr="009F337B">
        <w:rPr>
          <w:rFonts w:eastAsia="Times" w:cs="Arial"/>
          <w:i w:val="0"/>
          <w:szCs w:val="20"/>
          <w:lang w:val="en-US"/>
        </w:rPr>
        <w:t xml:space="preserve"> Commission</w:t>
      </w:r>
      <w:r w:rsidR="00F46845" w:rsidRPr="009F337B">
        <w:rPr>
          <w:rFonts w:eastAsia="Times" w:cs="Arial"/>
          <w:i w:val="0"/>
          <w:szCs w:val="20"/>
          <w:lang w:val="en-US"/>
        </w:rPr>
        <w:t xml:space="preserve"> a</w:t>
      </w:r>
      <w:r w:rsidR="00AC6FE1" w:rsidRPr="009F337B">
        <w:rPr>
          <w:rFonts w:eastAsia="Times" w:cs="Arial"/>
          <w:i w:val="0"/>
          <w:szCs w:val="20"/>
          <w:lang w:val="en-US"/>
        </w:rPr>
        <w:t>rgued that the lack of adequate and comprehensive medical care had a serious impact on their</w:t>
      </w:r>
      <w:r w:rsidR="00F46845" w:rsidRPr="009F337B">
        <w:rPr>
          <w:rFonts w:eastAsia="Times" w:cs="Arial"/>
          <w:i w:val="0"/>
          <w:szCs w:val="20"/>
          <w:lang w:val="en-US"/>
        </w:rPr>
        <w:t xml:space="preserve"> </w:t>
      </w:r>
      <w:r w:rsidR="003C46A3" w:rsidRPr="009F337B">
        <w:rPr>
          <w:rFonts w:eastAsia="Times" w:cs="Arial"/>
          <w:i w:val="0"/>
          <w:szCs w:val="20"/>
          <w:lang w:val="en-US"/>
        </w:rPr>
        <w:t xml:space="preserve">personal integrity and </w:t>
      </w:r>
      <w:r w:rsidR="00AC6FE1" w:rsidRPr="009F337B">
        <w:rPr>
          <w:rFonts w:eastAsia="Times" w:cs="Arial"/>
          <w:i w:val="0"/>
          <w:szCs w:val="20"/>
          <w:lang w:val="en-US"/>
        </w:rPr>
        <w:t xml:space="preserve">on their life, in violation of </w:t>
      </w:r>
      <w:r w:rsidR="00AE5F9E" w:rsidRPr="009F337B">
        <w:rPr>
          <w:rFonts w:eastAsia="Times" w:cs="Arial"/>
          <w:i w:val="0"/>
          <w:szCs w:val="20"/>
          <w:lang w:val="en-US"/>
        </w:rPr>
        <w:t>Articles</w:t>
      </w:r>
      <w:r w:rsidR="003C46A3" w:rsidRPr="009F337B">
        <w:rPr>
          <w:rFonts w:eastAsia="Times" w:cs="Arial"/>
          <w:i w:val="0"/>
          <w:szCs w:val="20"/>
          <w:lang w:val="en-US"/>
        </w:rPr>
        <w:t xml:space="preserve"> 5(1) and 4(1)</w:t>
      </w:r>
      <w:r w:rsidR="00AE5F9E" w:rsidRPr="009F337B">
        <w:rPr>
          <w:rFonts w:eastAsia="Times" w:cs="Arial"/>
          <w:i w:val="0"/>
          <w:szCs w:val="20"/>
          <w:lang w:val="en-US"/>
        </w:rPr>
        <w:t xml:space="preserve"> of the Convention</w:t>
      </w:r>
      <w:r w:rsidR="00F46845" w:rsidRPr="009F337B">
        <w:rPr>
          <w:rFonts w:eastAsia="Times" w:cs="Arial"/>
          <w:i w:val="0"/>
          <w:szCs w:val="20"/>
          <w:lang w:val="en-US"/>
        </w:rPr>
        <w:t xml:space="preserve">. </w:t>
      </w:r>
      <w:r w:rsidR="007327F5" w:rsidRPr="009F337B">
        <w:rPr>
          <w:rFonts w:eastAsia="Times" w:cs="Arial"/>
          <w:i w:val="0"/>
          <w:szCs w:val="20"/>
          <w:lang w:val="en-US"/>
        </w:rPr>
        <w:t>The representatives</w:t>
      </w:r>
      <w:r w:rsidR="002E10B2" w:rsidRPr="009F337B">
        <w:rPr>
          <w:rFonts w:eastAsia="Times" w:cs="Arial"/>
          <w:i w:val="0"/>
          <w:szCs w:val="20"/>
          <w:lang w:val="en-US"/>
        </w:rPr>
        <w:t xml:space="preserve"> a</w:t>
      </w:r>
      <w:r w:rsidR="00AC6FE1" w:rsidRPr="009F337B">
        <w:rPr>
          <w:rFonts w:eastAsia="Times" w:cs="Arial"/>
          <w:i w:val="0"/>
          <w:szCs w:val="20"/>
          <w:lang w:val="en-US"/>
        </w:rPr>
        <w:t>rgued that the Stat</w:t>
      </w:r>
      <w:r w:rsidR="005A1767">
        <w:rPr>
          <w:rFonts w:eastAsia="Times" w:cs="Arial"/>
          <w:i w:val="0"/>
          <w:szCs w:val="20"/>
          <w:lang w:val="en-US"/>
        </w:rPr>
        <w:t>e</w:t>
      </w:r>
      <w:r w:rsidR="00AC6FE1" w:rsidRPr="009F337B">
        <w:rPr>
          <w:rFonts w:eastAsia="Times" w:cs="Arial"/>
          <w:i w:val="0"/>
          <w:szCs w:val="20"/>
          <w:lang w:val="en-US"/>
        </w:rPr>
        <w:t xml:space="preserve"> had violated the rights to life, to a decent life, and to</w:t>
      </w:r>
      <w:r w:rsidR="00F46845" w:rsidRPr="009F337B">
        <w:rPr>
          <w:rFonts w:eastAsia="Times" w:cs="Arial"/>
          <w:i w:val="0"/>
          <w:szCs w:val="20"/>
          <w:lang w:val="en-US"/>
        </w:rPr>
        <w:t xml:space="preserve"> </w:t>
      </w:r>
      <w:r w:rsidR="003C46A3" w:rsidRPr="009F337B">
        <w:rPr>
          <w:rFonts w:eastAsia="Times" w:cs="Arial"/>
          <w:i w:val="0"/>
          <w:szCs w:val="20"/>
          <w:lang w:val="en-US"/>
        </w:rPr>
        <w:t>personal integrity</w:t>
      </w:r>
      <w:r w:rsidR="00F46845" w:rsidRPr="009F337B">
        <w:rPr>
          <w:rFonts w:eastAsia="Times" w:cs="Arial"/>
          <w:i w:val="0"/>
          <w:szCs w:val="20"/>
          <w:lang w:val="en-US"/>
        </w:rPr>
        <w:t xml:space="preserve"> </w:t>
      </w:r>
      <w:r w:rsidR="005A1767">
        <w:rPr>
          <w:rFonts w:eastAsia="Times" w:cs="Arial"/>
          <w:i w:val="0"/>
          <w:szCs w:val="20"/>
          <w:lang w:val="en-US"/>
        </w:rPr>
        <w:t>based on</w:t>
      </w:r>
      <w:r w:rsidR="00AC6FE1" w:rsidRPr="009F337B">
        <w:rPr>
          <w:rFonts w:eastAsia="Times" w:cs="Arial"/>
          <w:i w:val="0"/>
          <w:szCs w:val="20"/>
          <w:lang w:val="en-US"/>
        </w:rPr>
        <w:t xml:space="preserve"> the death of 13 persons as a result of opportunistic infections, </w:t>
      </w:r>
      <w:r w:rsidR="00E77497" w:rsidRPr="009F337B">
        <w:rPr>
          <w:rFonts w:eastAsia="Times" w:cs="Arial"/>
          <w:i w:val="0"/>
          <w:szCs w:val="20"/>
          <w:lang w:val="en-US"/>
        </w:rPr>
        <w:t>and</w:t>
      </w:r>
      <w:r w:rsidR="00AC6FE1" w:rsidRPr="009F337B">
        <w:rPr>
          <w:rFonts w:eastAsia="Times" w:cs="Arial"/>
          <w:i w:val="0"/>
          <w:szCs w:val="20"/>
          <w:lang w:val="en-US"/>
        </w:rPr>
        <w:t xml:space="preserve"> the </w:t>
      </w:r>
      <w:r w:rsidR="00E77497" w:rsidRPr="009F337B">
        <w:rPr>
          <w:rFonts w:eastAsia="Times" w:cs="Arial"/>
          <w:i w:val="0"/>
          <w:szCs w:val="20"/>
          <w:lang w:val="en-US"/>
        </w:rPr>
        <w:t>harm to</w:t>
      </w:r>
      <w:r w:rsidR="00AC6FE1" w:rsidRPr="009F337B">
        <w:rPr>
          <w:rFonts w:eastAsia="Times" w:cs="Arial"/>
          <w:i w:val="0"/>
          <w:szCs w:val="20"/>
          <w:lang w:val="en-US"/>
        </w:rPr>
        <w:t xml:space="preserve"> the physical and psychological health </w:t>
      </w:r>
      <w:r w:rsidR="00C3113F" w:rsidRPr="009F337B">
        <w:rPr>
          <w:rFonts w:eastAsia="Times" w:cs="Arial"/>
          <w:i w:val="0"/>
          <w:szCs w:val="20"/>
          <w:lang w:val="en-US"/>
        </w:rPr>
        <w:t xml:space="preserve">of </w:t>
      </w:r>
      <w:r w:rsidR="00A00EE5" w:rsidRPr="009F337B">
        <w:rPr>
          <w:rFonts w:eastAsia="Times" w:cs="Arial"/>
          <w:i w:val="0"/>
          <w:szCs w:val="20"/>
          <w:lang w:val="en-US"/>
        </w:rPr>
        <w:t>the presumed</w:t>
      </w:r>
      <w:r w:rsidR="003C46A3" w:rsidRPr="009F337B">
        <w:rPr>
          <w:rFonts w:eastAsia="Times" w:cs="Arial"/>
          <w:i w:val="0"/>
          <w:szCs w:val="20"/>
          <w:lang w:val="en-US"/>
        </w:rPr>
        <w:t xml:space="preserve"> victims</w:t>
      </w:r>
      <w:r w:rsidR="00F46845" w:rsidRPr="009F337B">
        <w:rPr>
          <w:rFonts w:eastAsia="Times" w:cs="Arial"/>
          <w:i w:val="0"/>
          <w:szCs w:val="20"/>
          <w:lang w:val="en-US"/>
        </w:rPr>
        <w:t xml:space="preserve"> </w:t>
      </w:r>
      <w:r w:rsidR="00C3113F" w:rsidRPr="009F337B">
        <w:rPr>
          <w:rFonts w:eastAsia="Times" w:cs="Arial"/>
          <w:i w:val="0"/>
          <w:szCs w:val="20"/>
          <w:lang w:val="en-US"/>
        </w:rPr>
        <w:t xml:space="preserve">owing to the inadequate medical treatment, in violation of </w:t>
      </w:r>
      <w:r w:rsidR="00AE5F9E" w:rsidRPr="009F337B">
        <w:rPr>
          <w:rFonts w:eastAsia="Times" w:cs="Arial"/>
          <w:i w:val="0"/>
          <w:szCs w:val="20"/>
          <w:lang w:val="en-US"/>
        </w:rPr>
        <w:t>Articles</w:t>
      </w:r>
      <w:r w:rsidR="003C46A3" w:rsidRPr="009F337B">
        <w:rPr>
          <w:rFonts w:eastAsia="Times" w:cs="Arial"/>
          <w:i w:val="0"/>
          <w:szCs w:val="20"/>
          <w:lang w:val="en-US"/>
        </w:rPr>
        <w:t xml:space="preserve"> 5(1) and 4(1)</w:t>
      </w:r>
      <w:r w:rsidR="00AE5F9E" w:rsidRPr="009F337B">
        <w:rPr>
          <w:rFonts w:eastAsia="Times" w:cs="Arial"/>
          <w:i w:val="0"/>
          <w:szCs w:val="20"/>
          <w:lang w:val="en-US"/>
        </w:rPr>
        <w:t xml:space="preserve"> of the Convention</w:t>
      </w:r>
      <w:r w:rsidR="00F46845" w:rsidRPr="009F337B">
        <w:rPr>
          <w:rFonts w:eastAsia="Times" w:cs="Arial"/>
          <w:i w:val="0"/>
          <w:szCs w:val="20"/>
          <w:lang w:val="en-US"/>
        </w:rPr>
        <w:t>.</w:t>
      </w:r>
      <w:r w:rsidR="00DF1FF8" w:rsidRPr="009F337B">
        <w:rPr>
          <w:rFonts w:eastAsia="Times" w:cs="Arial"/>
          <w:i w:val="0"/>
          <w:szCs w:val="20"/>
          <w:lang w:val="en-US"/>
        </w:rPr>
        <w:t xml:space="preserve"> </w:t>
      </w:r>
      <w:r w:rsidR="00AE5F9E" w:rsidRPr="009F337B">
        <w:rPr>
          <w:rFonts w:eastAsia="Times" w:cs="Arial"/>
          <w:i w:val="0"/>
          <w:szCs w:val="20"/>
          <w:lang w:val="en-US"/>
        </w:rPr>
        <w:t>The Court</w:t>
      </w:r>
      <w:r w:rsidR="00DF1FF8" w:rsidRPr="009F337B">
        <w:rPr>
          <w:rFonts w:eastAsia="Times" w:cs="Arial"/>
          <w:i w:val="0"/>
          <w:szCs w:val="20"/>
          <w:lang w:val="en-US"/>
        </w:rPr>
        <w:t xml:space="preserve"> </w:t>
      </w:r>
      <w:r w:rsidR="00C3113F" w:rsidRPr="009F337B">
        <w:rPr>
          <w:rFonts w:eastAsia="Times" w:cs="Arial"/>
          <w:i w:val="0"/>
          <w:szCs w:val="20"/>
          <w:lang w:val="en-US"/>
        </w:rPr>
        <w:t>will proceed to examine these two allegations</w:t>
      </w:r>
      <w:r w:rsidR="00DF1FF8" w:rsidRPr="009F337B">
        <w:rPr>
          <w:rFonts w:eastAsia="Times" w:cs="Arial"/>
          <w:i w:val="0"/>
          <w:szCs w:val="20"/>
          <w:lang w:val="en-US"/>
        </w:rPr>
        <w:t>.</w:t>
      </w:r>
    </w:p>
    <w:p w14:paraId="0D914A71" w14:textId="77777777" w:rsidR="00AC0BEF" w:rsidRPr="009F337B" w:rsidRDefault="00AC0BEF" w:rsidP="00DF1FF8">
      <w:pPr>
        <w:pStyle w:val="Prrafodelista"/>
        <w:widowControl w:val="0"/>
        <w:autoSpaceDE w:val="0"/>
        <w:autoSpaceDN w:val="0"/>
        <w:adjustRightInd w:val="0"/>
        <w:ind w:firstLine="720"/>
        <w:textAlignment w:val="baseline"/>
        <w:rPr>
          <w:rFonts w:eastAsia="Times" w:cs="Arial"/>
          <w:szCs w:val="20"/>
          <w:lang w:val="en-US"/>
        </w:rPr>
      </w:pPr>
    </w:p>
    <w:p w14:paraId="64E23A36" w14:textId="5795CA84" w:rsidR="00F46845" w:rsidRPr="009F337B" w:rsidRDefault="00AC0BEF" w:rsidP="00AC0BEF">
      <w:pPr>
        <w:pStyle w:val="Estilo1"/>
        <w:tabs>
          <w:tab w:val="left" w:pos="709"/>
          <w:tab w:val="left" w:pos="1134"/>
        </w:tabs>
        <w:spacing w:after="0"/>
        <w:ind w:left="0" w:right="-4" w:firstLine="0"/>
        <w:rPr>
          <w:rFonts w:eastAsia="Times" w:cs="Arial"/>
          <w:b/>
          <w:szCs w:val="20"/>
          <w:lang w:val="en-US"/>
        </w:rPr>
      </w:pPr>
      <w:r w:rsidRPr="009F337B">
        <w:rPr>
          <w:rFonts w:eastAsia="Times" w:cs="Arial"/>
          <w:b/>
          <w:szCs w:val="20"/>
          <w:lang w:val="en-US"/>
        </w:rPr>
        <w:tab/>
      </w:r>
      <w:r w:rsidRPr="009F337B">
        <w:rPr>
          <w:rFonts w:eastAsia="Times" w:cs="Arial"/>
          <w:b/>
          <w:szCs w:val="20"/>
          <w:lang w:val="en-US"/>
        </w:rPr>
        <w:tab/>
      </w:r>
      <w:r w:rsidRPr="009F337B">
        <w:rPr>
          <w:rFonts w:eastAsia="Times" w:cs="Arial"/>
          <w:b/>
          <w:szCs w:val="20"/>
          <w:lang w:val="en-US"/>
        </w:rPr>
        <w:tab/>
      </w:r>
      <w:r w:rsidR="00F46845" w:rsidRPr="009F337B">
        <w:rPr>
          <w:rFonts w:eastAsia="Times" w:cs="Arial"/>
          <w:b/>
          <w:szCs w:val="20"/>
          <w:lang w:val="en-US"/>
        </w:rPr>
        <w:t>B.5.1</w:t>
      </w:r>
      <w:r w:rsidR="00D0657E" w:rsidRPr="009F337B">
        <w:rPr>
          <w:rFonts w:eastAsia="Times" w:cs="Arial"/>
          <w:b/>
          <w:szCs w:val="20"/>
          <w:lang w:val="en-US"/>
        </w:rPr>
        <w:t>.</w:t>
      </w:r>
      <w:r w:rsidR="00F46845" w:rsidRPr="009F337B">
        <w:rPr>
          <w:rFonts w:eastAsia="Times" w:cs="Arial"/>
          <w:b/>
          <w:szCs w:val="20"/>
          <w:lang w:val="en-US"/>
        </w:rPr>
        <w:t xml:space="preserve"> </w:t>
      </w:r>
      <w:r w:rsidR="00F3419F" w:rsidRPr="009F337B">
        <w:rPr>
          <w:rFonts w:eastAsia="Times" w:cs="Arial"/>
          <w:b/>
          <w:szCs w:val="20"/>
          <w:lang w:val="en-US"/>
        </w:rPr>
        <w:t>Analysis of the</w:t>
      </w:r>
      <w:r w:rsidR="00F46845" w:rsidRPr="009F337B">
        <w:rPr>
          <w:rFonts w:eastAsia="Times" w:cs="Arial"/>
          <w:b/>
          <w:szCs w:val="20"/>
          <w:lang w:val="en-US"/>
        </w:rPr>
        <w:t xml:space="preserve"> </w:t>
      </w:r>
      <w:r w:rsidR="00F3419F" w:rsidRPr="009F337B">
        <w:rPr>
          <w:rFonts w:eastAsia="Times" w:cs="Arial"/>
          <w:b/>
          <w:szCs w:val="20"/>
          <w:lang w:val="en-US"/>
        </w:rPr>
        <w:t>right to life</w:t>
      </w:r>
    </w:p>
    <w:p w14:paraId="29BAF279" w14:textId="77777777" w:rsidR="008E387F" w:rsidRPr="009F337B" w:rsidRDefault="008E387F" w:rsidP="008E387F">
      <w:pPr>
        <w:widowControl w:val="0"/>
        <w:autoSpaceDE w:val="0"/>
        <w:autoSpaceDN w:val="0"/>
        <w:adjustRightInd w:val="0"/>
        <w:textAlignment w:val="baseline"/>
        <w:rPr>
          <w:rFonts w:eastAsia="Verdana"/>
          <w:bCs/>
          <w:szCs w:val="20"/>
          <w:lang w:val="en-US" w:eastAsia="x-none"/>
        </w:rPr>
      </w:pPr>
    </w:p>
    <w:p w14:paraId="630D3C18" w14:textId="2B5B9CDA" w:rsidR="00F46845" w:rsidRPr="009F337B" w:rsidRDefault="00AA6848" w:rsidP="00593E37">
      <w:pPr>
        <w:pStyle w:val="Estilo1"/>
        <w:numPr>
          <w:ilvl w:val="0"/>
          <w:numId w:val="1"/>
        </w:numPr>
        <w:tabs>
          <w:tab w:val="left" w:pos="709"/>
          <w:tab w:val="left" w:pos="1134"/>
        </w:tabs>
        <w:spacing w:after="0"/>
        <w:ind w:left="0" w:right="-4" w:firstLine="0"/>
        <w:rPr>
          <w:rFonts w:eastAsia="Times" w:cs="Arial"/>
          <w:i w:val="0"/>
          <w:szCs w:val="20"/>
          <w:lang w:val="en-US"/>
        </w:rPr>
      </w:pPr>
      <w:r w:rsidRPr="009F337B">
        <w:rPr>
          <w:rFonts w:eastAsiaTheme="minorHAnsi" w:cs="Arial"/>
          <w:i w:val="0"/>
          <w:szCs w:val="20"/>
          <w:lang w:val="en-US"/>
        </w:rPr>
        <w:lastRenderedPageBreak/>
        <w:t>This</w:t>
      </w:r>
      <w:r w:rsidR="00F46845" w:rsidRPr="009F337B">
        <w:rPr>
          <w:rFonts w:eastAsiaTheme="minorHAnsi" w:cs="Arial"/>
          <w:i w:val="0"/>
          <w:szCs w:val="20"/>
          <w:lang w:val="en-US"/>
        </w:rPr>
        <w:t xml:space="preserve"> Co</w:t>
      </w:r>
      <w:r w:rsidRPr="009F337B">
        <w:rPr>
          <w:rFonts w:eastAsiaTheme="minorHAnsi" w:cs="Arial"/>
          <w:i w:val="0"/>
          <w:szCs w:val="20"/>
          <w:lang w:val="en-US"/>
        </w:rPr>
        <w:t>urt</w:t>
      </w:r>
      <w:r w:rsidR="00F46845" w:rsidRPr="009F337B">
        <w:rPr>
          <w:rFonts w:eastAsiaTheme="minorHAnsi" w:cs="Arial"/>
          <w:i w:val="0"/>
          <w:szCs w:val="20"/>
          <w:lang w:val="en-US"/>
        </w:rPr>
        <w:t xml:space="preserve"> ha</w:t>
      </w:r>
      <w:r w:rsidRPr="009F337B">
        <w:rPr>
          <w:rFonts w:eastAsiaTheme="minorHAnsi" w:cs="Arial"/>
          <w:i w:val="0"/>
          <w:szCs w:val="20"/>
          <w:lang w:val="en-US"/>
        </w:rPr>
        <w:t>s</w:t>
      </w:r>
      <w:r w:rsidR="00F46845" w:rsidRPr="009F337B">
        <w:rPr>
          <w:rFonts w:eastAsiaTheme="minorHAnsi" w:cs="Arial"/>
          <w:i w:val="0"/>
          <w:szCs w:val="20"/>
          <w:lang w:val="en-US"/>
        </w:rPr>
        <w:t xml:space="preserve"> establ</w:t>
      </w:r>
      <w:r w:rsidRPr="009F337B">
        <w:rPr>
          <w:rFonts w:eastAsiaTheme="minorHAnsi" w:cs="Arial"/>
          <w:i w:val="0"/>
          <w:szCs w:val="20"/>
          <w:lang w:val="en-US"/>
        </w:rPr>
        <w:t>ished that the</w:t>
      </w:r>
      <w:r w:rsidR="00F46845" w:rsidRPr="009F337B">
        <w:rPr>
          <w:rFonts w:eastAsiaTheme="minorHAnsi" w:cs="Arial"/>
          <w:i w:val="0"/>
          <w:szCs w:val="20"/>
          <w:lang w:val="en-US"/>
        </w:rPr>
        <w:t xml:space="preserve"> </w:t>
      </w:r>
      <w:r w:rsidR="00F3419F" w:rsidRPr="009F337B">
        <w:rPr>
          <w:rFonts w:eastAsiaTheme="minorHAnsi" w:cs="Arial"/>
          <w:i w:val="0"/>
          <w:szCs w:val="20"/>
          <w:lang w:val="en-US"/>
        </w:rPr>
        <w:t>right to life</w:t>
      </w:r>
      <w:r w:rsidR="00F46845" w:rsidRPr="009F337B">
        <w:rPr>
          <w:rFonts w:eastAsiaTheme="minorHAnsi" w:cs="Arial"/>
          <w:i w:val="0"/>
          <w:szCs w:val="20"/>
          <w:lang w:val="en-US"/>
        </w:rPr>
        <w:t xml:space="preserve"> </w:t>
      </w:r>
      <w:r w:rsidRPr="009F337B">
        <w:rPr>
          <w:rFonts w:eastAsiaTheme="minorHAnsi" w:cs="Arial"/>
          <w:i w:val="0"/>
          <w:szCs w:val="20"/>
          <w:lang w:val="en-US"/>
        </w:rPr>
        <w:t xml:space="preserve">plays a fundamental role in </w:t>
      </w:r>
      <w:r w:rsidR="00AE5F9E" w:rsidRPr="009F337B">
        <w:rPr>
          <w:rFonts w:eastAsiaTheme="minorHAnsi" w:cs="Arial"/>
          <w:i w:val="0"/>
          <w:szCs w:val="20"/>
          <w:lang w:val="en-US"/>
        </w:rPr>
        <w:t>the American Convention</w:t>
      </w:r>
      <w:r w:rsidR="00F46845" w:rsidRPr="009F337B">
        <w:rPr>
          <w:rFonts w:eastAsiaTheme="minorHAnsi" w:cs="Arial"/>
          <w:i w:val="0"/>
          <w:szCs w:val="20"/>
          <w:lang w:val="en-US"/>
        </w:rPr>
        <w:t>,</w:t>
      </w:r>
      <w:r w:rsidRPr="009F337B">
        <w:rPr>
          <w:rFonts w:eastAsiaTheme="minorHAnsi" w:cs="Arial"/>
          <w:i w:val="0"/>
          <w:szCs w:val="20"/>
          <w:lang w:val="en-US"/>
        </w:rPr>
        <w:t xml:space="preserve"> because it is </w:t>
      </w:r>
      <w:r w:rsidR="00E77497" w:rsidRPr="009F337B">
        <w:rPr>
          <w:rFonts w:eastAsiaTheme="minorHAnsi" w:cs="Arial"/>
          <w:i w:val="0"/>
          <w:szCs w:val="20"/>
          <w:lang w:val="en-US"/>
        </w:rPr>
        <w:t>essential</w:t>
      </w:r>
      <w:r w:rsidRPr="009F337B">
        <w:rPr>
          <w:rFonts w:eastAsiaTheme="minorHAnsi" w:cs="Arial"/>
          <w:i w:val="0"/>
          <w:szCs w:val="20"/>
          <w:lang w:val="en-US"/>
        </w:rPr>
        <w:t xml:space="preserve"> for the exercise of the other rights.</w:t>
      </w:r>
      <w:r w:rsidR="00F46845" w:rsidRPr="009F337B">
        <w:rPr>
          <w:i w:val="0"/>
          <w:szCs w:val="20"/>
          <w:vertAlign w:val="superscript"/>
          <w:lang w:val="en-US"/>
        </w:rPr>
        <w:footnoteReference w:id="179"/>
      </w:r>
      <w:r w:rsidR="00F46845" w:rsidRPr="009F337B">
        <w:rPr>
          <w:rFonts w:eastAsiaTheme="minorHAnsi" w:cs="Arial"/>
          <w:i w:val="0"/>
          <w:szCs w:val="20"/>
          <w:lang w:val="en-US"/>
        </w:rPr>
        <w:t xml:space="preserve"> </w:t>
      </w:r>
      <w:r w:rsidRPr="009F337B">
        <w:rPr>
          <w:rFonts w:cs="Arial"/>
          <w:i w:val="0"/>
          <w:szCs w:val="20"/>
          <w:lang w:val="en-US"/>
        </w:rPr>
        <w:t>Compliance with</w:t>
      </w:r>
      <w:r w:rsidR="003C46A3" w:rsidRPr="009F337B">
        <w:rPr>
          <w:rFonts w:cs="Arial"/>
          <w:i w:val="0"/>
          <w:szCs w:val="20"/>
          <w:lang w:val="en-US"/>
        </w:rPr>
        <w:t xml:space="preserve"> Article</w:t>
      </w:r>
      <w:r w:rsidR="00F46845" w:rsidRPr="009F337B">
        <w:rPr>
          <w:rFonts w:cs="Arial"/>
          <w:i w:val="0"/>
          <w:szCs w:val="20"/>
          <w:lang w:val="en-US"/>
        </w:rPr>
        <w:t xml:space="preserve"> 4, </w:t>
      </w:r>
      <w:r w:rsidRPr="009F337B">
        <w:rPr>
          <w:rFonts w:cs="Arial"/>
          <w:i w:val="0"/>
          <w:szCs w:val="20"/>
          <w:lang w:val="en-US"/>
        </w:rPr>
        <w:t>related to</w:t>
      </w:r>
      <w:r w:rsidR="00F46845" w:rsidRPr="009F337B">
        <w:rPr>
          <w:rFonts w:cs="Arial"/>
          <w:i w:val="0"/>
          <w:szCs w:val="20"/>
          <w:lang w:val="en-US"/>
        </w:rPr>
        <w:t xml:space="preserve"> </w:t>
      </w:r>
      <w:r w:rsidR="00AE5F9E" w:rsidRPr="009F337B">
        <w:rPr>
          <w:rFonts w:cs="Arial"/>
          <w:i w:val="0"/>
          <w:szCs w:val="20"/>
          <w:lang w:val="en-US"/>
        </w:rPr>
        <w:t>Article</w:t>
      </w:r>
      <w:r w:rsidR="003C46A3" w:rsidRPr="009F337B">
        <w:rPr>
          <w:rFonts w:cs="Arial"/>
          <w:i w:val="0"/>
          <w:szCs w:val="20"/>
          <w:lang w:val="en-US"/>
        </w:rPr>
        <w:t xml:space="preserve"> 1(1)</w:t>
      </w:r>
      <w:r w:rsidR="00AE5F9E" w:rsidRPr="009F337B">
        <w:rPr>
          <w:rFonts w:cs="Arial"/>
          <w:i w:val="0"/>
          <w:szCs w:val="20"/>
          <w:lang w:val="en-US"/>
        </w:rPr>
        <w:t xml:space="preserve"> of the American Convention</w:t>
      </w:r>
      <w:r w:rsidR="00F46845" w:rsidRPr="009F337B">
        <w:rPr>
          <w:rFonts w:cs="Arial"/>
          <w:i w:val="0"/>
          <w:szCs w:val="20"/>
          <w:lang w:val="en-US"/>
        </w:rPr>
        <w:t xml:space="preserve">, </w:t>
      </w:r>
      <w:r w:rsidRPr="009F337B">
        <w:rPr>
          <w:rFonts w:cs="Arial"/>
          <w:i w:val="0"/>
          <w:szCs w:val="20"/>
          <w:lang w:val="en-US"/>
        </w:rPr>
        <w:t>supposes not only that no one may be arbitrarily deprived of their life (negative obligation), but also requires States to take all appropriate steps to protect and preserve the right to life (positive obligation), in keeping with the obligation to ensure the full and free exercise of the rights of all persons subject to their jurisdiction.</w:t>
      </w:r>
      <w:r w:rsidR="00F46845" w:rsidRPr="009F337B">
        <w:rPr>
          <w:i w:val="0"/>
          <w:szCs w:val="20"/>
          <w:vertAlign w:val="superscript"/>
          <w:lang w:val="en-US"/>
        </w:rPr>
        <w:footnoteReference w:id="180"/>
      </w:r>
      <w:r w:rsidRPr="009F337B">
        <w:rPr>
          <w:rFonts w:cs="Arial"/>
          <w:i w:val="0"/>
          <w:szCs w:val="20"/>
          <w:lang w:val="en-US"/>
        </w:rPr>
        <w:t xml:space="preserve"> Consequently, States have the obligation to create the required conditions to ensure that no violatio</w:t>
      </w:r>
      <w:r w:rsidR="00E77497" w:rsidRPr="009F337B">
        <w:rPr>
          <w:rFonts w:cs="Arial"/>
          <w:i w:val="0"/>
          <w:szCs w:val="20"/>
          <w:lang w:val="en-US"/>
        </w:rPr>
        <w:t>n</w:t>
      </w:r>
      <w:r w:rsidRPr="009F337B">
        <w:rPr>
          <w:rFonts w:cs="Arial"/>
          <w:i w:val="0"/>
          <w:szCs w:val="20"/>
          <w:lang w:val="en-US"/>
        </w:rPr>
        <w:t xml:space="preserve">s of this inalienable right occur and, in particular, the duty to prevent their agents </w:t>
      </w:r>
      <w:r w:rsidR="00E77497" w:rsidRPr="009F337B">
        <w:rPr>
          <w:rFonts w:cs="Arial"/>
          <w:i w:val="0"/>
          <w:szCs w:val="20"/>
          <w:lang w:val="en-US"/>
        </w:rPr>
        <w:t xml:space="preserve">from </w:t>
      </w:r>
      <w:r w:rsidRPr="009F337B">
        <w:rPr>
          <w:rFonts w:cs="Arial"/>
          <w:i w:val="0"/>
          <w:szCs w:val="20"/>
          <w:lang w:val="en-US"/>
        </w:rPr>
        <w:t>violating it.</w:t>
      </w:r>
      <w:r w:rsidR="00F46845" w:rsidRPr="009F337B">
        <w:rPr>
          <w:rFonts w:eastAsia="Times"/>
          <w:i w:val="0"/>
          <w:szCs w:val="20"/>
          <w:vertAlign w:val="superscript"/>
          <w:lang w:val="en-US"/>
        </w:rPr>
        <w:footnoteReference w:id="181"/>
      </w:r>
    </w:p>
    <w:p w14:paraId="1A8DE392" w14:textId="77777777" w:rsidR="008E387F" w:rsidRPr="009F337B" w:rsidRDefault="008E387F" w:rsidP="008E387F">
      <w:pPr>
        <w:pStyle w:val="Estilo1"/>
        <w:tabs>
          <w:tab w:val="left" w:pos="709"/>
          <w:tab w:val="left" w:pos="1134"/>
        </w:tabs>
        <w:spacing w:after="0"/>
        <w:ind w:left="0" w:right="-4" w:firstLine="0"/>
        <w:rPr>
          <w:rFonts w:eastAsia="Times" w:cs="Arial"/>
          <w:i w:val="0"/>
          <w:szCs w:val="20"/>
          <w:lang w:val="en-US"/>
        </w:rPr>
      </w:pPr>
    </w:p>
    <w:p w14:paraId="3138F44B" w14:textId="53E5CE0D" w:rsidR="00F46845" w:rsidRPr="009F337B" w:rsidRDefault="008C399E" w:rsidP="00593E37">
      <w:pPr>
        <w:pStyle w:val="Estilo1"/>
        <w:numPr>
          <w:ilvl w:val="0"/>
          <w:numId w:val="1"/>
        </w:numPr>
        <w:tabs>
          <w:tab w:val="left" w:pos="709"/>
          <w:tab w:val="left" w:pos="1134"/>
        </w:tabs>
        <w:spacing w:after="0"/>
        <w:ind w:left="0" w:right="-4" w:firstLine="0"/>
        <w:rPr>
          <w:i w:val="0"/>
          <w:szCs w:val="20"/>
          <w:lang w:val="en-US"/>
        </w:rPr>
      </w:pPr>
      <w:r w:rsidRPr="009F337B">
        <w:rPr>
          <w:i w:val="0"/>
          <w:szCs w:val="20"/>
          <w:lang w:val="en-US"/>
        </w:rPr>
        <w:t>The Court</w:t>
      </w:r>
      <w:r w:rsidR="00F46845" w:rsidRPr="009F337B">
        <w:rPr>
          <w:i w:val="0"/>
          <w:szCs w:val="20"/>
          <w:lang w:val="en-US"/>
        </w:rPr>
        <w:t xml:space="preserve"> ha</w:t>
      </w:r>
      <w:r w:rsidR="00AA6848" w:rsidRPr="009F337B">
        <w:rPr>
          <w:i w:val="0"/>
          <w:szCs w:val="20"/>
          <w:lang w:val="en-US"/>
        </w:rPr>
        <w:t>s indicated that in order to determine the international responsibility of a State in cases of death in a medical context, the following elements must be proved: (</w:t>
      </w:r>
      <w:r w:rsidR="00F46845" w:rsidRPr="009F337B">
        <w:rPr>
          <w:i w:val="0"/>
          <w:szCs w:val="20"/>
          <w:lang w:val="en-US"/>
        </w:rPr>
        <w:t xml:space="preserve">a) </w:t>
      </w:r>
      <w:r w:rsidR="00AA6848" w:rsidRPr="009F337B">
        <w:rPr>
          <w:i w:val="0"/>
          <w:szCs w:val="20"/>
          <w:lang w:val="en-US"/>
        </w:rPr>
        <w:t>that, by act or omission, a patient is denied access to health care in situations of medical emergency</w:t>
      </w:r>
      <w:r w:rsidR="00E77497" w:rsidRPr="009F337B">
        <w:rPr>
          <w:i w:val="0"/>
          <w:szCs w:val="20"/>
          <w:lang w:val="en-US"/>
        </w:rPr>
        <w:t>,</w:t>
      </w:r>
      <w:r w:rsidR="00AA6848" w:rsidRPr="009F337B">
        <w:rPr>
          <w:i w:val="0"/>
          <w:szCs w:val="20"/>
          <w:lang w:val="en-US"/>
        </w:rPr>
        <w:t xml:space="preserve"> or</w:t>
      </w:r>
      <w:r w:rsidR="00E77497" w:rsidRPr="009F337B">
        <w:rPr>
          <w:i w:val="0"/>
          <w:szCs w:val="20"/>
          <w:lang w:val="en-US"/>
        </w:rPr>
        <w:t xml:space="preserve"> to</w:t>
      </w:r>
      <w:r w:rsidR="00AA6848" w:rsidRPr="009F337B">
        <w:rPr>
          <w:i w:val="0"/>
          <w:szCs w:val="20"/>
          <w:lang w:val="en-US"/>
        </w:rPr>
        <w:t xml:space="preserve"> essential medical treatment</w:t>
      </w:r>
      <w:r w:rsidR="00E77497" w:rsidRPr="009F337B">
        <w:rPr>
          <w:i w:val="0"/>
          <w:szCs w:val="20"/>
          <w:lang w:val="en-US"/>
        </w:rPr>
        <w:t>,</w:t>
      </w:r>
      <w:r w:rsidR="00AA6848" w:rsidRPr="009F337B">
        <w:rPr>
          <w:i w:val="0"/>
          <w:szCs w:val="20"/>
          <w:lang w:val="en-US"/>
        </w:rPr>
        <w:t xml:space="preserve"> </w:t>
      </w:r>
      <w:r w:rsidR="00E77497" w:rsidRPr="009F337B">
        <w:rPr>
          <w:i w:val="0"/>
          <w:szCs w:val="20"/>
          <w:lang w:val="en-US"/>
        </w:rPr>
        <w:t>even though</w:t>
      </w:r>
      <w:r w:rsidR="00AA6848" w:rsidRPr="009F337B">
        <w:rPr>
          <w:i w:val="0"/>
          <w:szCs w:val="20"/>
          <w:lang w:val="en-US"/>
        </w:rPr>
        <w:t xml:space="preserve"> the risk </w:t>
      </w:r>
      <w:r w:rsidR="00E77497" w:rsidRPr="009F337B">
        <w:rPr>
          <w:i w:val="0"/>
          <w:szCs w:val="20"/>
          <w:lang w:val="en-US"/>
        </w:rPr>
        <w:t>to</w:t>
      </w:r>
      <w:r w:rsidR="00AA6848" w:rsidRPr="009F337B">
        <w:rPr>
          <w:i w:val="0"/>
          <w:szCs w:val="20"/>
          <w:lang w:val="en-US"/>
        </w:rPr>
        <w:t xml:space="preserve"> the patient’s life </w:t>
      </w:r>
      <w:r w:rsidR="00E77497" w:rsidRPr="009F337B">
        <w:rPr>
          <w:i w:val="0"/>
          <w:szCs w:val="20"/>
          <w:lang w:val="en-US"/>
        </w:rPr>
        <w:t>entailed</w:t>
      </w:r>
      <w:r w:rsidR="00AA6848" w:rsidRPr="009F337B">
        <w:rPr>
          <w:i w:val="0"/>
          <w:szCs w:val="20"/>
          <w:lang w:val="en-US"/>
        </w:rPr>
        <w:t xml:space="preserve"> by this denial </w:t>
      </w:r>
      <w:r w:rsidR="00E77497" w:rsidRPr="009F337B">
        <w:rPr>
          <w:i w:val="0"/>
          <w:szCs w:val="20"/>
          <w:lang w:val="en-US"/>
        </w:rPr>
        <w:t>is</w:t>
      </w:r>
      <w:r w:rsidR="00AA6848" w:rsidRPr="009F337B">
        <w:rPr>
          <w:i w:val="0"/>
          <w:szCs w:val="20"/>
          <w:lang w:val="en-US"/>
        </w:rPr>
        <w:t xml:space="preserve"> foreseeable;</w:t>
      </w:r>
      <w:r w:rsidR="00F46845" w:rsidRPr="009F337B">
        <w:rPr>
          <w:i w:val="0"/>
          <w:szCs w:val="20"/>
          <w:lang w:val="en-US"/>
        </w:rPr>
        <w:t xml:space="preserve"> </w:t>
      </w:r>
      <w:r w:rsidR="00AA6848" w:rsidRPr="009F337B">
        <w:rPr>
          <w:i w:val="0"/>
          <w:szCs w:val="20"/>
          <w:lang w:val="en-US"/>
        </w:rPr>
        <w:t>(</w:t>
      </w:r>
      <w:r w:rsidR="00F46845" w:rsidRPr="009F337B">
        <w:rPr>
          <w:i w:val="0"/>
          <w:szCs w:val="20"/>
          <w:lang w:val="en-US"/>
        </w:rPr>
        <w:t xml:space="preserve">b) </w:t>
      </w:r>
      <w:r w:rsidR="00AA6848" w:rsidRPr="009F337B">
        <w:rPr>
          <w:i w:val="0"/>
          <w:szCs w:val="20"/>
          <w:lang w:val="en-US"/>
        </w:rPr>
        <w:t>serious medical negligence,</w:t>
      </w:r>
      <w:r w:rsidR="00F46845" w:rsidRPr="009F337B">
        <w:rPr>
          <w:rStyle w:val="Refdenotaalpie"/>
          <w:rFonts w:eastAsia="Calibri"/>
          <w:i w:val="0"/>
          <w:lang w:val="en-US"/>
        </w:rPr>
        <w:footnoteReference w:id="182"/>
      </w:r>
      <w:r w:rsidR="00AA6848" w:rsidRPr="009F337B">
        <w:rPr>
          <w:i w:val="0"/>
          <w:szCs w:val="20"/>
          <w:lang w:val="en-US"/>
        </w:rPr>
        <w:t xml:space="preserve"> </w:t>
      </w:r>
      <w:r w:rsidR="003C46A3" w:rsidRPr="009F337B">
        <w:rPr>
          <w:i w:val="0"/>
          <w:szCs w:val="20"/>
          <w:lang w:val="en-US"/>
        </w:rPr>
        <w:t xml:space="preserve">and </w:t>
      </w:r>
      <w:r w:rsidR="00AA6848" w:rsidRPr="009F337B">
        <w:rPr>
          <w:i w:val="0"/>
          <w:szCs w:val="20"/>
          <w:lang w:val="en-US"/>
        </w:rPr>
        <w:t>(</w:t>
      </w:r>
      <w:r w:rsidR="00F46845" w:rsidRPr="009F337B">
        <w:rPr>
          <w:i w:val="0"/>
          <w:szCs w:val="20"/>
          <w:lang w:val="en-US"/>
        </w:rPr>
        <w:t xml:space="preserve">c) </w:t>
      </w:r>
      <w:r w:rsidR="00AA6848" w:rsidRPr="009F337B">
        <w:rPr>
          <w:i w:val="0"/>
          <w:szCs w:val="20"/>
          <w:lang w:val="en-US"/>
        </w:rPr>
        <w:t xml:space="preserve">the existence of a causal nexus between the act </w:t>
      </w:r>
      <w:r w:rsidR="0081563D" w:rsidRPr="009F337B">
        <w:rPr>
          <w:i w:val="0"/>
          <w:szCs w:val="20"/>
          <w:lang w:val="en-US"/>
        </w:rPr>
        <w:t>that has been proved and the harm suffered by the patient.</w:t>
      </w:r>
      <w:r w:rsidR="00F46845" w:rsidRPr="009F337B">
        <w:rPr>
          <w:rStyle w:val="Refdenotaalpie"/>
          <w:rFonts w:eastAsia="Calibri"/>
          <w:i w:val="0"/>
          <w:lang w:val="en-US"/>
        </w:rPr>
        <w:footnoteReference w:id="183"/>
      </w:r>
      <w:r w:rsidR="00F46845" w:rsidRPr="009F337B">
        <w:rPr>
          <w:i w:val="0"/>
          <w:szCs w:val="20"/>
          <w:lang w:val="en-US"/>
        </w:rPr>
        <w:t xml:space="preserve"> </w:t>
      </w:r>
      <w:r w:rsidR="0081563D" w:rsidRPr="009F337B">
        <w:rPr>
          <w:i w:val="0"/>
          <w:szCs w:val="20"/>
          <w:lang w:val="en-US"/>
        </w:rPr>
        <w:t xml:space="preserve">When the attribution of responsibility stems from an omission, it is necessary to verify the probability that the omitted conduct would have ended the causal process that resulted in the harm. </w:t>
      </w:r>
      <w:r w:rsidR="0081563D" w:rsidRPr="009F337B">
        <w:rPr>
          <w:bCs/>
          <w:i w:val="0"/>
          <w:szCs w:val="20"/>
          <w:lang w:val="en-US"/>
        </w:rPr>
        <w:t xml:space="preserve">Such verifications must take into consideration whether the person concerned </w:t>
      </w:r>
      <w:r w:rsidR="000532D0">
        <w:rPr>
          <w:bCs/>
          <w:i w:val="0"/>
          <w:szCs w:val="20"/>
          <w:lang w:val="en-US"/>
        </w:rPr>
        <w:t xml:space="preserve">may be </w:t>
      </w:r>
      <w:r w:rsidR="0081563D" w:rsidRPr="009F337B">
        <w:rPr>
          <w:bCs/>
          <w:i w:val="0"/>
          <w:szCs w:val="20"/>
          <w:lang w:val="en-US"/>
        </w:rPr>
        <w:t>in a situation of special vulnerability</w:t>
      </w:r>
      <w:r w:rsidR="00F46845" w:rsidRPr="009F337B">
        <w:rPr>
          <w:i w:val="0"/>
          <w:szCs w:val="20"/>
          <w:vertAlign w:val="superscript"/>
          <w:lang w:val="en-US"/>
        </w:rPr>
        <w:footnoteReference w:id="184"/>
      </w:r>
      <w:r w:rsidR="003C46A3" w:rsidRPr="009F337B">
        <w:rPr>
          <w:i w:val="0"/>
          <w:szCs w:val="20"/>
          <w:lang w:val="en-US"/>
        </w:rPr>
        <w:t xml:space="preserve"> and</w:t>
      </w:r>
      <w:r w:rsidR="0081563D" w:rsidRPr="009F337B">
        <w:rPr>
          <w:i w:val="0"/>
          <w:szCs w:val="20"/>
          <w:lang w:val="en-US"/>
        </w:rPr>
        <w:t>, if so, the measures taken to respond to this situation.</w:t>
      </w:r>
      <w:r w:rsidR="00F46845" w:rsidRPr="009F337B">
        <w:rPr>
          <w:rStyle w:val="Refdenotaalpie"/>
          <w:rFonts w:eastAsia="Calibri"/>
          <w:i w:val="0"/>
          <w:lang w:val="en-US"/>
        </w:rPr>
        <w:footnoteReference w:id="185"/>
      </w:r>
    </w:p>
    <w:p w14:paraId="47A4BB6B" w14:textId="77777777" w:rsidR="008E387F" w:rsidRPr="009F337B" w:rsidRDefault="008E387F" w:rsidP="008E387F">
      <w:pPr>
        <w:pStyle w:val="Estilo1"/>
        <w:tabs>
          <w:tab w:val="left" w:pos="709"/>
          <w:tab w:val="left" w:pos="1134"/>
        </w:tabs>
        <w:spacing w:after="0"/>
        <w:ind w:left="0" w:right="-4" w:firstLine="0"/>
        <w:rPr>
          <w:i w:val="0"/>
          <w:szCs w:val="20"/>
          <w:lang w:val="en-US"/>
        </w:rPr>
      </w:pPr>
    </w:p>
    <w:p w14:paraId="41C02790" w14:textId="72E1B2B4" w:rsidR="00F46845" w:rsidRPr="009F337B" w:rsidRDefault="0081563D" w:rsidP="00593E37">
      <w:pPr>
        <w:pStyle w:val="Estilo1"/>
        <w:numPr>
          <w:ilvl w:val="0"/>
          <w:numId w:val="1"/>
        </w:numPr>
        <w:tabs>
          <w:tab w:val="left" w:pos="709"/>
          <w:tab w:val="left" w:pos="1134"/>
        </w:tabs>
        <w:spacing w:after="0"/>
        <w:ind w:left="0" w:right="-4" w:firstLine="0"/>
        <w:rPr>
          <w:i w:val="0"/>
          <w:szCs w:val="20"/>
          <w:lang w:val="en-US"/>
        </w:rPr>
      </w:pPr>
      <w:r w:rsidRPr="009F337B">
        <w:rPr>
          <w:i w:val="0"/>
          <w:szCs w:val="20"/>
          <w:lang w:val="en-US"/>
        </w:rPr>
        <w:t>In this case, first,</w:t>
      </w:r>
      <w:r w:rsidR="00F46845" w:rsidRPr="009F337B">
        <w:rPr>
          <w:i w:val="0"/>
          <w:szCs w:val="20"/>
          <w:lang w:val="en-US"/>
        </w:rPr>
        <w:t xml:space="preserve"> </w:t>
      </w:r>
      <w:r w:rsidR="00AE5F9E" w:rsidRPr="009F337B">
        <w:rPr>
          <w:i w:val="0"/>
          <w:szCs w:val="20"/>
          <w:lang w:val="en-US"/>
        </w:rPr>
        <w:t>the Court</w:t>
      </w:r>
      <w:r w:rsidR="00F46845" w:rsidRPr="009F337B">
        <w:rPr>
          <w:i w:val="0"/>
          <w:szCs w:val="20"/>
          <w:lang w:val="en-US"/>
        </w:rPr>
        <w:t xml:space="preserve"> </w:t>
      </w:r>
      <w:r w:rsidRPr="009F337B">
        <w:rPr>
          <w:i w:val="0"/>
          <w:szCs w:val="20"/>
          <w:lang w:val="en-US"/>
        </w:rPr>
        <w:t xml:space="preserve">notes that, of the </w:t>
      </w:r>
      <w:r w:rsidR="00F46845" w:rsidRPr="009F337B">
        <w:rPr>
          <w:i w:val="0"/>
          <w:szCs w:val="20"/>
          <w:lang w:val="en-US"/>
        </w:rPr>
        <w:t xml:space="preserve">49 </w:t>
      </w:r>
      <w:r w:rsidR="003C46A3" w:rsidRPr="009F337B">
        <w:rPr>
          <w:i w:val="0"/>
          <w:szCs w:val="20"/>
          <w:lang w:val="en-US"/>
        </w:rPr>
        <w:t>presumed victims</w:t>
      </w:r>
      <w:r w:rsidR="00F46845" w:rsidRPr="009F337B">
        <w:rPr>
          <w:i w:val="0"/>
          <w:szCs w:val="20"/>
          <w:lang w:val="en-US"/>
        </w:rPr>
        <w:t xml:space="preserve">, </w:t>
      </w:r>
      <w:r w:rsidR="002B191E" w:rsidRPr="009F337B">
        <w:rPr>
          <w:i w:val="0"/>
          <w:szCs w:val="20"/>
          <w:lang w:val="en-US"/>
        </w:rPr>
        <w:t>12</w:t>
      </w:r>
      <w:r w:rsidR="00F46845" w:rsidRPr="009F337B">
        <w:rPr>
          <w:i w:val="0"/>
          <w:szCs w:val="20"/>
          <w:lang w:val="en-US"/>
        </w:rPr>
        <w:t xml:space="preserve"> </w:t>
      </w:r>
      <w:r w:rsidR="00E77497" w:rsidRPr="009F337B">
        <w:rPr>
          <w:i w:val="0"/>
          <w:szCs w:val="20"/>
          <w:lang w:val="en-US"/>
        </w:rPr>
        <w:t xml:space="preserve">are now deceased </w:t>
      </w:r>
      <w:r w:rsidRPr="009F337B">
        <w:rPr>
          <w:i w:val="0"/>
          <w:szCs w:val="20"/>
          <w:lang w:val="en-US"/>
        </w:rPr>
        <w:t>from opportunistic diseases</w:t>
      </w:r>
      <w:r w:rsidR="00F46845" w:rsidRPr="009F337B">
        <w:rPr>
          <w:i w:val="0"/>
          <w:szCs w:val="20"/>
          <w:lang w:val="en-US"/>
        </w:rPr>
        <w:t xml:space="preserve">. </w:t>
      </w:r>
      <w:r w:rsidR="00AE5F9E" w:rsidRPr="009F337B">
        <w:rPr>
          <w:i w:val="0"/>
          <w:szCs w:val="20"/>
          <w:lang w:val="en-US"/>
        </w:rPr>
        <w:t>The Court</w:t>
      </w:r>
      <w:r w:rsidR="00F46845" w:rsidRPr="009F337B">
        <w:rPr>
          <w:i w:val="0"/>
          <w:szCs w:val="20"/>
          <w:lang w:val="en-US"/>
        </w:rPr>
        <w:t xml:space="preserve"> </w:t>
      </w:r>
      <w:r w:rsidRPr="009F337B">
        <w:rPr>
          <w:i w:val="0"/>
          <w:szCs w:val="20"/>
          <w:lang w:val="en-US"/>
        </w:rPr>
        <w:t>recalls that</w:t>
      </w:r>
      <w:r w:rsidR="00F46845" w:rsidRPr="009F337B">
        <w:rPr>
          <w:i w:val="0"/>
          <w:szCs w:val="20"/>
          <w:lang w:val="en-US"/>
        </w:rPr>
        <w:t xml:space="preserve"> </w:t>
      </w:r>
      <w:r w:rsidRPr="009F337B">
        <w:rPr>
          <w:i w:val="0"/>
          <w:szCs w:val="20"/>
          <w:lang w:val="en-US"/>
        </w:rPr>
        <w:t>opportunistic diseases</w:t>
      </w:r>
      <w:r w:rsidR="00F46845" w:rsidRPr="009F337B">
        <w:rPr>
          <w:i w:val="0"/>
          <w:szCs w:val="20"/>
          <w:lang w:val="en-US"/>
        </w:rPr>
        <w:t xml:space="preserve"> </w:t>
      </w:r>
      <w:r w:rsidRPr="009F337B">
        <w:rPr>
          <w:i w:val="0"/>
          <w:szCs w:val="20"/>
          <w:lang w:val="en-US"/>
        </w:rPr>
        <w:t>are those infections or neoplasm that take advantage of a weakened immune system, and can cause the death of the person who contracts them. As mentioned previously (</w:t>
      </w:r>
      <w:r w:rsidRPr="009F337B">
        <w:rPr>
          <w:szCs w:val="20"/>
          <w:lang w:val="en-US"/>
        </w:rPr>
        <w:t>supra</w:t>
      </w:r>
      <w:r w:rsidRPr="009F337B">
        <w:rPr>
          <w:i w:val="0"/>
          <w:szCs w:val="20"/>
          <w:lang w:val="en-US"/>
        </w:rPr>
        <w:t xml:space="preserve"> para. 37), antiretroviral therapy offers the best chance for effective suppression of the virus, recovery of the immune system and clinical benefits. Expert witness </w:t>
      </w:r>
      <w:r w:rsidR="00F46845" w:rsidRPr="009F337B">
        <w:rPr>
          <w:i w:val="0"/>
          <w:szCs w:val="20"/>
          <w:lang w:val="en-US"/>
        </w:rPr>
        <w:t>Boza</w:t>
      </w:r>
      <w:r w:rsidR="00DF1FF8" w:rsidRPr="009F337B">
        <w:rPr>
          <w:i w:val="0"/>
          <w:szCs w:val="20"/>
          <w:lang w:val="en-US"/>
        </w:rPr>
        <w:t xml:space="preserve"> Cordero</w:t>
      </w:r>
      <w:r w:rsidR="00F46845" w:rsidRPr="009F337B">
        <w:rPr>
          <w:i w:val="0"/>
          <w:szCs w:val="20"/>
          <w:lang w:val="en-US"/>
        </w:rPr>
        <w:t xml:space="preserve"> </w:t>
      </w:r>
      <w:r w:rsidRPr="009F337B">
        <w:rPr>
          <w:i w:val="0"/>
          <w:szCs w:val="20"/>
          <w:lang w:val="en-US"/>
        </w:rPr>
        <w:t xml:space="preserve">stated that, when a patient is taking </w:t>
      </w:r>
      <w:r w:rsidR="00D52F4C" w:rsidRPr="009F337B">
        <w:rPr>
          <w:i w:val="0"/>
          <w:szCs w:val="20"/>
          <w:lang w:val="en-US"/>
        </w:rPr>
        <w:t>antiretroviral drugs</w:t>
      </w:r>
      <w:r w:rsidRPr="009F337B">
        <w:rPr>
          <w:i w:val="0"/>
          <w:szCs w:val="20"/>
          <w:lang w:val="en-US"/>
        </w:rPr>
        <w:t xml:space="preserve"> appropriately</w:t>
      </w:r>
      <w:r w:rsidR="00F46845" w:rsidRPr="009F337B">
        <w:rPr>
          <w:i w:val="0"/>
          <w:szCs w:val="20"/>
          <w:lang w:val="en-US"/>
        </w:rPr>
        <w:t xml:space="preserve">, </w:t>
      </w:r>
      <w:r w:rsidRPr="009F337B">
        <w:rPr>
          <w:i w:val="0"/>
          <w:szCs w:val="20"/>
          <w:lang w:val="en-US"/>
        </w:rPr>
        <w:t>there is no reason for</w:t>
      </w:r>
      <w:r w:rsidR="00F46845" w:rsidRPr="009F337B">
        <w:rPr>
          <w:i w:val="0"/>
          <w:szCs w:val="20"/>
          <w:lang w:val="en-US"/>
        </w:rPr>
        <w:t xml:space="preserve"> </w:t>
      </w:r>
      <w:r w:rsidRPr="009F337B">
        <w:rPr>
          <w:i w:val="0"/>
          <w:szCs w:val="20"/>
          <w:lang w:val="en-US"/>
        </w:rPr>
        <w:t>opportunistic diseases to occur; thus, if</w:t>
      </w:r>
      <w:r w:rsidR="00E77497" w:rsidRPr="009F337B">
        <w:rPr>
          <w:i w:val="0"/>
          <w:szCs w:val="20"/>
          <w:lang w:val="en-US"/>
        </w:rPr>
        <w:t xml:space="preserve"> </w:t>
      </w:r>
      <w:r w:rsidRPr="009F337B">
        <w:rPr>
          <w:i w:val="0"/>
          <w:szCs w:val="20"/>
          <w:lang w:val="en-US"/>
        </w:rPr>
        <w:t xml:space="preserve">an opportunistic disease appears, it is because the patient is not taking the necessary medication, which constitutes a therapeutic </w:t>
      </w:r>
      <w:r w:rsidR="00CB1D32" w:rsidRPr="009F337B">
        <w:rPr>
          <w:i w:val="0"/>
          <w:szCs w:val="20"/>
          <w:lang w:val="en-US"/>
        </w:rPr>
        <w:t>failure.</w:t>
      </w:r>
      <w:r w:rsidR="00F46845" w:rsidRPr="009F337B">
        <w:rPr>
          <w:rStyle w:val="Refdenotaalpie"/>
          <w:i w:val="0"/>
          <w:lang w:val="en-US"/>
        </w:rPr>
        <w:footnoteReference w:id="186"/>
      </w:r>
    </w:p>
    <w:p w14:paraId="5E9CD99C" w14:textId="77777777" w:rsidR="008E387F" w:rsidRPr="009F337B" w:rsidRDefault="008E387F" w:rsidP="008E387F">
      <w:pPr>
        <w:pStyle w:val="Estilo1"/>
        <w:tabs>
          <w:tab w:val="left" w:pos="709"/>
          <w:tab w:val="left" w:pos="1134"/>
        </w:tabs>
        <w:spacing w:after="0"/>
        <w:ind w:left="0" w:right="-4" w:firstLine="0"/>
        <w:rPr>
          <w:i w:val="0"/>
          <w:szCs w:val="20"/>
          <w:lang w:val="en-US"/>
        </w:rPr>
      </w:pPr>
    </w:p>
    <w:p w14:paraId="4EE2A74E" w14:textId="4C0DCB0F" w:rsidR="00BA7D89" w:rsidRPr="009F337B" w:rsidRDefault="008C399E" w:rsidP="00593E37">
      <w:pPr>
        <w:pStyle w:val="Estilo1"/>
        <w:numPr>
          <w:ilvl w:val="0"/>
          <w:numId w:val="1"/>
        </w:numPr>
        <w:tabs>
          <w:tab w:val="left" w:pos="709"/>
          <w:tab w:val="left" w:pos="1134"/>
        </w:tabs>
        <w:spacing w:after="0"/>
        <w:ind w:left="0" w:right="-4" w:firstLine="0"/>
        <w:rPr>
          <w:i w:val="0"/>
          <w:szCs w:val="20"/>
          <w:lang w:val="en-US"/>
        </w:rPr>
      </w:pPr>
      <w:r w:rsidRPr="009F337B">
        <w:rPr>
          <w:i w:val="0"/>
          <w:szCs w:val="20"/>
          <w:lang w:val="en-US"/>
        </w:rPr>
        <w:t>The Court</w:t>
      </w:r>
      <w:r w:rsidR="00F46845" w:rsidRPr="009F337B">
        <w:rPr>
          <w:i w:val="0"/>
          <w:szCs w:val="20"/>
          <w:lang w:val="en-US"/>
        </w:rPr>
        <w:t xml:space="preserve"> </w:t>
      </w:r>
      <w:r w:rsidR="00CB1D32" w:rsidRPr="009F337B">
        <w:rPr>
          <w:i w:val="0"/>
          <w:szCs w:val="20"/>
          <w:lang w:val="en-US"/>
        </w:rPr>
        <w:t xml:space="preserve">has verified various omissions in the medical care provided to the </w:t>
      </w:r>
      <w:r w:rsidR="00A00EE5" w:rsidRPr="009F337B">
        <w:rPr>
          <w:i w:val="0"/>
          <w:szCs w:val="20"/>
          <w:lang w:val="en-US"/>
        </w:rPr>
        <w:t>presumed</w:t>
      </w:r>
      <w:r w:rsidR="003C46A3" w:rsidRPr="009F337B">
        <w:rPr>
          <w:i w:val="0"/>
          <w:szCs w:val="20"/>
          <w:lang w:val="en-US"/>
        </w:rPr>
        <w:t xml:space="preserve"> victims</w:t>
      </w:r>
      <w:r w:rsidR="00F46845" w:rsidRPr="009F337B">
        <w:rPr>
          <w:i w:val="0"/>
          <w:szCs w:val="20"/>
          <w:lang w:val="en-US"/>
        </w:rPr>
        <w:t xml:space="preserve"> </w:t>
      </w:r>
      <w:r w:rsidR="00CB1D32" w:rsidRPr="009F337B">
        <w:rPr>
          <w:i w:val="0"/>
          <w:szCs w:val="20"/>
          <w:lang w:val="en-US"/>
        </w:rPr>
        <w:t xml:space="preserve">who are </w:t>
      </w:r>
      <w:r w:rsidR="0010522A" w:rsidRPr="009F337B">
        <w:rPr>
          <w:i w:val="0"/>
          <w:szCs w:val="20"/>
          <w:lang w:val="en-US"/>
        </w:rPr>
        <w:t>deceased</w:t>
      </w:r>
      <w:r w:rsidR="00F46845" w:rsidRPr="009F337B">
        <w:rPr>
          <w:i w:val="0"/>
          <w:szCs w:val="20"/>
          <w:lang w:val="en-US"/>
        </w:rPr>
        <w:t>.</w:t>
      </w:r>
      <w:r w:rsidR="00CB1D32" w:rsidRPr="009F337B">
        <w:rPr>
          <w:i w:val="0"/>
          <w:szCs w:val="20"/>
          <w:lang w:val="en-US"/>
        </w:rPr>
        <w:t xml:space="preserve"> Specifically, the State failed to comply with its obligation to provide antiretroviral therapy, to perform diagnostic tests for </w:t>
      </w:r>
      <w:r w:rsidR="00E77497" w:rsidRPr="009F337B">
        <w:rPr>
          <w:i w:val="0"/>
          <w:szCs w:val="20"/>
          <w:lang w:val="en-US"/>
        </w:rPr>
        <w:t>the</w:t>
      </w:r>
      <w:r w:rsidR="00CB1D32" w:rsidRPr="009F337B">
        <w:rPr>
          <w:i w:val="0"/>
          <w:szCs w:val="20"/>
          <w:lang w:val="en-US"/>
        </w:rPr>
        <w:t xml:space="preserve"> care and treatment </w:t>
      </w:r>
      <w:r w:rsidR="00E77497" w:rsidRPr="009F337B">
        <w:rPr>
          <w:i w:val="0"/>
          <w:szCs w:val="20"/>
          <w:lang w:val="en-US"/>
        </w:rPr>
        <w:t xml:space="preserve">of HIV </w:t>
      </w:r>
      <w:r w:rsidR="00CB1D32" w:rsidRPr="009F337B">
        <w:rPr>
          <w:i w:val="0"/>
          <w:szCs w:val="20"/>
          <w:lang w:val="en-US"/>
        </w:rPr>
        <w:t xml:space="preserve">and </w:t>
      </w:r>
      <w:r w:rsidR="0081563D" w:rsidRPr="009F337B">
        <w:rPr>
          <w:i w:val="0"/>
          <w:szCs w:val="20"/>
          <w:lang w:val="en-US"/>
        </w:rPr>
        <w:t>opportunistic diseases</w:t>
      </w:r>
      <w:r w:rsidR="009316B4" w:rsidRPr="009F337B">
        <w:rPr>
          <w:i w:val="0"/>
          <w:szCs w:val="20"/>
          <w:lang w:val="en-US"/>
        </w:rPr>
        <w:t>,</w:t>
      </w:r>
      <w:r w:rsidR="003C46A3" w:rsidRPr="009F337B">
        <w:rPr>
          <w:i w:val="0"/>
          <w:szCs w:val="20"/>
          <w:lang w:val="en-US"/>
        </w:rPr>
        <w:t xml:space="preserve"> and </w:t>
      </w:r>
      <w:r w:rsidR="00CB1D32" w:rsidRPr="009F337B">
        <w:rPr>
          <w:i w:val="0"/>
          <w:szCs w:val="20"/>
          <w:lang w:val="en-US"/>
        </w:rPr>
        <w:t xml:space="preserve">to provide social support. These omissions constitute therapeutic failures and, if they had not occurred, </w:t>
      </w:r>
      <w:r w:rsidR="000532D0">
        <w:rPr>
          <w:i w:val="0"/>
          <w:szCs w:val="20"/>
          <w:lang w:val="en-US"/>
        </w:rPr>
        <w:t>this</w:t>
      </w:r>
      <w:r w:rsidR="00CB1D32" w:rsidRPr="009F337B">
        <w:rPr>
          <w:i w:val="0"/>
          <w:szCs w:val="20"/>
          <w:lang w:val="en-US"/>
        </w:rPr>
        <w:t xml:space="preserve"> would have reduced the probability of the </w:t>
      </w:r>
      <w:r w:rsidR="0081563D" w:rsidRPr="009F337B">
        <w:rPr>
          <w:i w:val="0"/>
          <w:szCs w:val="20"/>
          <w:lang w:val="en-US"/>
        </w:rPr>
        <w:t>opportunistic diseases</w:t>
      </w:r>
      <w:r w:rsidR="00E77497" w:rsidRPr="009F337B">
        <w:rPr>
          <w:i w:val="0"/>
          <w:szCs w:val="20"/>
          <w:lang w:val="en-US"/>
        </w:rPr>
        <w:t xml:space="preserve"> occurring</w:t>
      </w:r>
      <w:r w:rsidR="00CB1D32" w:rsidRPr="009F337B">
        <w:rPr>
          <w:i w:val="0"/>
          <w:szCs w:val="20"/>
          <w:lang w:val="en-US"/>
        </w:rPr>
        <w:t xml:space="preserve"> that led to the death </w:t>
      </w:r>
      <w:r w:rsidR="00CC6A68" w:rsidRPr="009F337B">
        <w:rPr>
          <w:i w:val="0"/>
          <w:szCs w:val="20"/>
          <w:lang w:val="en-US"/>
        </w:rPr>
        <w:t xml:space="preserve">of the </w:t>
      </w:r>
      <w:r w:rsidR="00A00EE5" w:rsidRPr="009F337B">
        <w:rPr>
          <w:i w:val="0"/>
          <w:szCs w:val="20"/>
          <w:lang w:val="en-US"/>
        </w:rPr>
        <w:t>presumed</w:t>
      </w:r>
      <w:r w:rsidR="003C46A3" w:rsidRPr="009F337B">
        <w:rPr>
          <w:i w:val="0"/>
          <w:szCs w:val="20"/>
          <w:lang w:val="en-US"/>
        </w:rPr>
        <w:t xml:space="preserve"> victims</w:t>
      </w:r>
      <w:r w:rsidR="00F46845" w:rsidRPr="009F337B">
        <w:rPr>
          <w:i w:val="0"/>
          <w:szCs w:val="20"/>
          <w:lang w:val="en-US"/>
        </w:rPr>
        <w:t xml:space="preserve">. </w:t>
      </w:r>
      <w:r w:rsidR="00CB1D32" w:rsidRPr="009F337B">
        <w:rPr>
          <w:i w:val="0"/>
          <w:szCs w:val="20"/>
          <w:lang w:val="en-US"/>
        </w:rPr>
        <w:t>T</w:t>
      </w:r>
      <w:r w:rsidR="00AE5F9E" w:rsidRPr="009F337B">
        <w:rPr>
          <w:i w:val="0"/>
          <w:szCs w:val="20"/>
          <w:lang w:val="en-US"/>
        </w:rPr>
        <w:t>he Court</w:t>
      </w:r>
      <w:r w:rsidR="00F46845" w:rsidRPr="009F337B">
        <w:rPr>
          <w:i w:val="0"/>
          <w:szCs w:val="20"/>
          <w:lang w:val="en-US"/>
        </w:rPr>
        <w:t xml:space="preserve"> </w:t>
      </w:r>
      <w:r w:rsidR="00CB1D32" w:rsidRPr="009F337B">
        <w:rPr>
          <w:i w:val="0"/>
          <w:szCs w:val="20"/>
          <w:lang w:val="en-US"/>
        </w:rPr>
        <w:t xml:space="preserve">therefore considers that the existence of a causal nexus has been proved in these cases. </w:t>
      </w:r>
    </w:p>
    <w:p w14:paraId="52019150" w14:textId="77777777" w:rsidR="00BA7D89" w:rsidRPr="009F337B" w:rsidRDefault="00BA7D89" w:rsidP="00BA7D89">
      <w:pPr>
        <w:pStyle w:val="Prrafodelista"/>
        <w:rPr>
          <w:i/>
          <w:szCs w:val="20"/>
          <w:lang w:val="en-US"/>
        </w:rPr>
      </w:pPr>
    </w:p>
    <w:p w14:paraId="0AA6C2C5" w14:textId="08C6E9DF" w:rsidR="00BC3462" w:rsidRPr="009F337B" w:rsidRDefault="00E77497" w:rsidP="00593E37">
      <w:pPr>
        <w:pStyle w:val="Estilo1"/>
        <w:numPr>
          <w:ilvl w:val="0"/>
          <w:numId w:val="1"/>
        </w:numPr>
        <w:tabs>
          <w:tab w:val="left" w:pos="709"/>
          <w:tab w:val="left" w:pos="1134"/>
        </w:tabs>
        <w:spacing w:after="0"/>
        <w:ind w:left="0" w:right="-4" w:firstLine="0"/>
        <w:rPr>
          <w:i w:val="0"/>
          <w:szCs w:val="20"/>
          <w:lang w:val="en-US"/>
        </w:rPr>
      </w:pPr>
      <w:r w:rsidRPr="009F337B">
        <w:rPr>
          <w:i w:val="0"/>
          <w:szCs w:val="20"/>
          <w:lang w:val="en-US"/>
        </w:rPr>
        <w:t>In this regard</w:t>
      </w:r>
      <w:r w:rsidR="00395E00" w:rsidRPr="009F337B">
        <w:rPr>
          <w:i w:val="0"/>
          <w:szCs w:val="20"/>
          <w:lang w:val="en-US"/>
        </w:rPr>
        <w:t xml:space="preserve">, </w:t>
      </w:r>
      <w:r w:rsidR="00AE5F9E" w:rsidRPr="009F337B">
        <w:rPr>
          <w:i w:val="0"/>
          <w:szCs w:val="20"/>
          <w:lang w:val="en-US"/>
        </w:rPr>
        <w:t>the Court</w:t>
      </w:r>
      <w:r w:rsidR="00395E00" w:rsidRPr="009F337B">
        <w:rPr>
          <w:i w:val="0"/>
          <w:szCs w:val="20"/>
          <w:lang w:val="en-US"/>
        </w:rPr>
        <w:t xml:space="preserve"> </w:t>
      </w:r>
      <w:r w:rsidR="00CB1D32" w:rsidRPr="009F337B">
        <w:rPr>
          <w:i w:val="0"/>
          <w:szCs w:val="20"/>
          <w:lang w:val="en-US"/>
        </w:rPr>
        <w:t>notes that:</w:t>
      </w:r>
      <w:r w:rsidR="00395E00" w:rsidRPr="009F337B">
        <w:rPr>
          <w:i w:val="0"/>
          <w:szCs w:val="20"/>
          <w:lang w:val="en-US"/>
        </w:rPr>
        <w:t xml:space="preserve"> </w:t>
      </w:r>
      <w:r w:rsidR="00CB1D32" w:rsidRPr="009F337B">
        <w:rPr>
          <w:i w:val="0"/>
          <w:szCs w:val="20"/>
          <w:lang w:val="en-US"/>
        </w:rPr>
        <w:t>(</w:t>
      </w:r>
      <w:proofErr w:type="spellStart"/>
      <w:r w:rsidR="00395E00" w:rsidRPr="009F337B">
        <w:rPr>
          <w:i w:val="0"/>
          <w:szCs w:val="20"/>
          <w:lang w:val="en-US"/>
        </w:rPr>
        <w:t>i</w:t>
      </w:r>
      <w:proofErr w:type="spellEnd"/>
      <w:r w:rsidR="00395E00" w:rsidRPr="009F337B">
        <w:rPr>
          <w:i w:val="0"/>
          <w:szCs w:val="20"/>
          <w:lang w:val="en-US"/>
        </w:rPr>
        <w:t xml:space="preserve">) Facundo Gómez Reyes </w:t>
      </w:r>
      <w:r w:rsidR="00CB1D32" w:rsidRPr="009F337B">
        <w:rPr>
          <w:i w:val="0"/>
          <w:szCs w:val="20"/>
          <w:lang w:val="en-US"/>
        </w:rPr>
        <w:t>died from</w:t>
      </w:r>
      <w:r w:rsidR="00395E00" w:rsidRPr="009F337B">
        <w:rPr>
          <w:i w:val="0"/>
          <w:szCs w:val="20"/>
          <w:lang w:val="en-US"/>
        </w:rPr>
        <w:t xml:space="preserve"> tuberculosis</w:t>
      </w:r>
      <w:r w:rsidR="00CB1D32" w:rsidRPr="009F337B">
        <w:rPr>
          <w:i w:val="0"/>
          <w:szCs w:val="20"/>
          <w:lang w:val="en-US"/>
        </w:rPr>
        <w:t>;</w:t>
      </w:r>
      <w:r w:rsidR="00395E00" w:rsidRPr="009F337B">
        <w:rPr>
          <w:i w:val="0"/>
          <w:szCs w:val="20"/>
          <w:lang w:val="en-US"/>
        </w:rPr>
        <w:t xml:space="preserve"> </w:t>
      </w:r>
      <w:r w:rsidR="00CB1D32" w:rsidRPr="009F337B">
        <w:rPr>
          <w:i w:val="0"/>
          <w:szCs w:val="20"/>
          <w:lang w:val="en-US"/>
        </w:rPr>
        <w:t>(</w:t>
      </w:r>
      <w:r w:rsidR="00395E00" w:rsidRPr="009F337B">
        <w:rPr>
          <w:i w:val="0"/>
          <w:szCs w:val="20"/>
          <w:lang w:val="en-US"/>
        </w:rPr>
        <w:t xml:space="preserve">ii) Reina López </w:t>
      </w:r>
      <w:proofErr w:type="spellStart"/>
      <w:r w:rsidR="00395E00" w:rsidRPr="009F337B">
        <w:rPr>
          <w:i w:val="0"/>
          <w:szCs w:val="20"/>
          <w:lang w:val="en-US"/>
        </w:rPr>
        <w:t>Mujica</w:t>
      </w:r>
      <w:proofErr w:type="spellEnd"/>
      <w:r w:rsidR="00395E00" w:rsidRPr="009F337B">
        <w:rPr>
          <w:i w:val="0"/>
          <w:szCs w:val="20"/>
          <w:lang w:val="en-US"/>
        </w:rPr>
        <w:t xml:space="preserve"> </w:t>
      </w:r>
      <w:r w:rsidR="00CB1D32" w:rsidRPr="009F337B">
        <w:rPr>
          <w:i w:val="0"/>
          <w:szCs w:val="20"/>
          <w:lang w:val="en-US"/>
        </w:rPr>
        <w:t>died from</w:t>
      </w:r>
      <w:r w:rsidR="00395E00" w:rsidRPr="009F337B">
        <w:rPr>
          <w:i w:val="0"/>
          <w:szCs w:val="20"/>
          <w:lang w:val="en-US"/>
        </w:rPr>
        <w:t xml:space="preserve"> tuberculosis</w:t>
      </w:r>
      <w:r w:rsidR="003C46A3" w:rsidRPr="009F337B">
        <w:rPr>
          <w:i w:val="0"/>
          <w:szCs w:val="20"/>
          <w:lang w:val="en-US"/>
        </w:rPr>
        <w:t xml:space="preserve"> and </w:t>
      </w:r>
      <w:r w:rsidR="00395E00" w:rsidRPr="009F337B">
        <w:rPr>
          <w:i w:val="0"/>
          <w:szCs w:val="20"/>
          <w:lang w:val="en-US"/>
        </w:rPr>
        <w:t>anemia</w:t>
      </w:r>
      <w:r w:rsidR="00CB1D32" w:rsidRPr="009F337B">
        <w:rPr>
          <w:i w:val="0"/>
          <w:szCs w:val="20"/>
          <w:lang w:val="en-US"/>
        </w:rPr>
        <w:t>;</w:t>
      </w:r>
      <w:r w:rsidR="00395E00" w:rsidRPr="009F337B">
        <w:rPr>
          <w:i w:val="0"/>
          <w:szCs w:val="20"/>
          <w:lang w:val="en-US"/>
        </w:rPr>
        <w:t xml:space="preserve"> </w:t>
      </w:r>
      <w:r w:rsidR="00CB1D32" w:rsidRPr="009F337B">
        <w:rPr>
          <w:i w:val="0"/>
          <w:szCs w:val="20"/>
          <w:lang w:val="en-US"/>
        </w:rPr>
        <w:t>(</w:t>
      </w:r>
      <w:r w:rsidR="00395E00" w:rsidRPr="009F337B">
        <w:rPr>
          <w:i w:val="0"/>
          <w:szCs w:val="20"/>
          <w:lang w:val="en-US"/>
        </w:rPr>
        <w:t xml:space="preserve">iii) </w:t>
      </w:r>
      <w:proofErr w:type="spellStart"/>
      <w:r w:rsidR="00395E00" w:rsidRPr="009F337B">
        <w:rPr>
          <w:i w:val="0"/>
          <w:szCs w:val="20"/>
          <w:lang w:val="en-US"/>
        </w:rPr>
        <w:t>Petrona</w:t>
      </w:r>
      <w:proofErr w:type="spellEnd"/>
      <w:r w:rsidR="00395E00" w:rsidRPr="009F337B">
        <w:rPr>
          <w:i w:val="0"/>
          <w:szCs w:val="20"/>
          <w:lang w:val="en-US"/>
        </w:rPr>
        <w:t xml:space="preserve"> López Robledo</w:t>
      </w:r>
      <w:r w:rsidR="00CB1D32" w:rsidRPr="009F337B">
        <w:rPr>
          <w:i w:val="0"/>
          <w:szCs w:val="20"/>
          <w:lang w:val="en-US"/>
        </w:rPr>
        <w:t>,</w:t>
      </w:r>
      <w:r w:rsidR="003C46A3" w:rsidRPr="009F337B">
        <w:rPr>
          <w:i w:val="0"/>
          <w:szCs w:val="20"/>
          <w:lang w:val="en-US"/>
        </w:rPr>
        <w:t xml:space="preserve"> </w:t>
      </w:r>
      <w:r w:rsidR="00CB1D32" w:rsidRPr="009F337B">
        <w:rPr>
          <w:i w:val="0"/>
          <w:szCs w:val="20"/>
          <w:lang w:val="en-US"/>
        </w:rPr>
        <w:t>(</w:t>
      </w:r>
      <w:r w:rsidR="00395E00" w:rsidRPr="009F337B">
        <w:rPr>
          <w:i w:val="0"/>
          <w:szCs w:val="20"/>
          <w:lang w:val="en-US"/>
        </w:rPr>
        <w:t xml:space="preserve">iv) Rita Mariana </w:t>
      </w:r>
      <w:proofErr w:type="spellStart"/>
      <w:r w:rsidR="00395E00" w:rsidRPr="009F337B">
        <w:rPr>
          <w:i w:val="0"/>
          <w:szCs w:val="20"/>
          <w:lang w:val="en-US"/>
        </w:rPr>
        <w:t>Dubón</w:t>
      </w:r>
      <w:proofErr w:type="spellEnd"/>
      <w:r w:rsidR="00395E00" w:rsidRPr="009F337B">
        <w:rPr>
          <w:i w:val="0"/>
          <w:szCs w:val="20"/>
          <w:lang w:val="en-US"/>
        </w:rPr>
        <w:t xml:space="preserve"> Orozco </w:t>
      </w:r>
      <w:r w:rsidR="00CB1D32" w:rsidRPr="009F337B">
        <w:rPr>
          <w:i w:val="0"/>
          <w:szCs w:val="20"/>
          <w:lang w:val="en-US"/>
        </w:rPr>
        <w:t>and</w:t>
      </w:r>
      <w:r w:rsidR="00395E00" w:rsidRPr="009F337B">
        <w:rPr>
          <w:i w:val="0"/>
          <w:szCs w:val="20"/>
          <w:lang w:val="en-US"/>
        </w:rPr>
        <w:t xml:space="preserve"> </w:t>
      </w:r>
      <w:r w:rsidR="00CB1D32" w:rsidRPr="009F337B">
        <w:rPr>
          <w:i w:val="0"/>
          <w:szCs w:val="20"/>
          <w:lang w:val="en-US"/>
        </w:rPr>
        <w:t>(</w:t>
      </w:r>
      <w:r w:rsidR="00395E00" w:rsidRPr="009F337B">
        <w:rPr>
          <w:i w:val="0"/>
          <w:szCs w:val="20"/>
          <w:lang w:val="en-US"/>
        </w:rPr>
        <w:t xml:space="preserve">v) Alberto Quiché </w:t>
      </w:r>
      <w:proofErr w:type="spellStart"/>
      <w:r w:rsidR="00395E00" w:rsidRPr="009F337B">
        <w:rPr>
          <w:i w:val="0"/>
          <w:szCs w:val="20"/>
          <w:lang w:val="en-US"/>
        </w:rPr>
        <w:t>Cuxeva</w:t>
      </w:r>
      <w:proofErr w:type="spellEnd"/>
      <w:r w:rsidR="00395E00" w:rsidRPr="009F337B">
        <w:rPr>
          <w:i w:val="0"/>
          <w:szCs w:val="20"/>
          <w:lang w:val="en-US"/>
        </w:rPr>
        <w:t xml:space="preserve"> </w:t>
      </w:r>
      <w:r w:rsidR="00CB1D32" w:rsidRPr="009F337B">
        <w:rPr>
          <w:i w:val="0"/>
          <w:szCs w:val="20"/>
          <w:lang w:val="en-US"/>
        </w:rPr>
        <w:t>died from pneumonia; (</w:t>
      </w:r>
      <w:r w:rsidR="00395E00" w:rsidRPr="009F337B">
        <w:rPr>
          <w:i w:val="0"/>
          <w:szCs w:val="20"/>
          <w:lang w:val="en-US"/>
        </w:rPr>
        <w:t xml:space="preserve">vi) Silvia </w:t>
      </w:r>
      <w:proofErr w:type="spellStart"/>
      <w:r w:rsidR="00395E00" w:rsidRPr="009F337B">
        <w:rPr>
          <w:i w:val="0"/>
          <w:szCs w:val="20"/>
          <w:lang w:val="en-US"/>
        </w:rPr>
        <w:t>Mirtala</w:t>
      </w:r>
      <w:proofErr w:type="spellEnd"/>
      <w:r w:rsidR="00395E00" w:rsidRPr="009F337B">
        <w:rPr>
          <w:i w:val="0"/>
          <w:szCs w:val="20"/>
          <w:lang w:val="en-US"/>
        </w:rPr>
        <w:t xml:space="preserve"> Alvarez </w:t>
      </w:r>
      <w:proofErr w:type="spellStart"/>
      <w:r w:rsidR="00395E00" w:rsidRPr="009F337B">
        <w:rPr>
          <w:i w:val="0"/>
          <w:szCs w:val="20"/>
          <w:lang w:val="en-US"/>
        </w:rPr>
        <w:t>Villatoro</w:t>
      </w:r>
      <w:proofErr w:type="spellEnd"/>
      <w:r w:rsidR="00395E00" w:rsidRPr="009F337B">
        <w:rPr>
          <w:i w:val="0"/>
          <w:szCs w:val="20"/>
          <w:lang w:val="en-US"/>
        </w:rPr>
        <w:t xml:space="preserve"> </w:t>
      </w:r>
      <w:r w:rsidR="00CB1D32" w:rsidRPr="009F337B">
        <w:rPr>
          <w:i w:val="0"/>
          <w:szCs w:val="20"/>
          <w:lang w:val="en-US"/>
        </w:rPr>
        <w:t>died from bacterial</w:t>
      </w:r>
      <w:r w:rsidR="00395E00" w:rsidRPr="009F337B">
        <w:rPr>
          <w:i w:val="0"/>
          <w:szCs w:val="20"/>
          <w:lang w:val="en-US"/>
        </w:rPr>
        <w:t xml:space="preserve"> meningitis</w:t>
      </w:r>
      <w:r w:rsidR="00CB1D32" w:rsidRPr="009F337B">
        <w:rPr>
          <w:i w:val="0"/>
          <w:szCs w:val="20"/>
          <w:lang w:val="en-US"/>
        </w:rPr>
        <w:t>, and</w:t>
      </w:r>
      <w:r w:rsidR="00395E00" w:rsidRPr="009F337B">
        <w:rPr>
          <w:i w:val="0"/>
          <w:szCs w:val="20"/>
          <w:lang w:val="en-US"/>
        </w:rPr>
        <w:t xml:space="preserve"> </w:t>
      </w:r>
      <w:r w:rsidR="00CB1D32" w:rsidRPr="009F337B">
        <w:rPr>
          <w:i w:val="0"/>
          <w:szCs w:val="20"/>
          <w:lang w:val="en-US"/>
        </w:rPr>
        <w:t>(</w:t>
      </w:r>
      <w:r w:rsidR="00395E00" w:rsidRPr="009F337B">
        <w:rPr>
          <w:i w:val="0"/>
          <w:szCs w:val="20"/>
          <w:lang w:val="en-US"/>
        </w:rPr>
        <w:t xml:space="preserve">vii) </w:t>
      </w:r>
      <w:proofErr w:type="spellStart"/>
      <w:r w:rsidR="00395E00" w:rsidRPr="009F337B">
        <w:rPr>
          <w:i w:val="0"/>
          <w:szCs w:val="20"/>
          <w:lang w:val="en-US"/>
        </w:rPr>
        <w:t>Ismar</w:t>
      </w:r>
      <w:proofErr w:type="spellEnd"/>
      <w:r w:rsidR="00395E00" w:rsidRPr="009F337B">
        <w:rPr>
          <w:i w:val="0"/>
          <w:szCs w:val="20"/>
          <w:lang w:val="en-US"/>
        </w:rPr>
        <w:t xml:space="preserve"> Ramírez </w:t>
      </w:r>
      <w:proofErr w:type="spellStart"/>
      <w:r w:rsidR="00395E00" w:rsidRPr="009F337B">
        <w:rPr>
          <w:i w:val="0"/>
          <w:szCs w:val="20"/>
          <w:lang w:val="en-US"/>
        </w:rPr>
        <w:t>Chajón</w:t>
      </w:r>
      <w:proofErr w:type="spellEnd"/>
      <w:r w:rsidR="00395E00" w:rsidRPr="009F337B">
        <w:rPr>
          <w:i w:val="0"/>
          <w:szCs w:val="20"/>
          <w:lang w:val="en-US"/>
        </w:rPr>
        <w:t xml:space="preserve"> </w:t>
      </w:r>
      <w:r w:rsidR="00CB1D32" w:rsidRPr="009F337B">
        <w:rPr>
          <w:i w:val="0"/>
          <w:szCs w:val="20"/>
          <w:lang w:val="en-US"/>
        </w:rPr>
        <w:t>died</w:t>
      </w:r>
      <w:r w:rsidR="00395E00" w:rsidRPr="009F337B">
        <w:rPr>
          <w:i w:val="0"/>
          <w:szCs w:val="20"/>
          <w:lang w:val="en-US"/>
        </w:rPr>
        <w:t xml:space="preserve"> </w:t>
      </w:r>
      <w:r w:rsidR="00CB1D32" w:rsidRPr="009F337B">
        <w:rPr>
          <w:i w:val="0"/>
          <w:szCs w:val="20"/>
          <w:lang w:val="en-US"/>
        </w:rPr>
        <w:t>from disseminated mycosis. The</w:t>
      </w:r>
      <w:r w:rsidR="008C399E" w:rsidRPr="009F337B">
        <w:rPr>
          <w:i w:val="0"/>
          <w:szCs w:val="20"/>
          <w:lang w:val="en-US"/>
        </w:rPr>
        <w:t xml:space="preserve"> Court</w:t>
      </w:r>
      <w:r w:rsidR="00395E00" w:rsidRPr="009F337B">
        <w:rPr>
          <w:i w:val="0"/>
          <w:szCs w:val="20"/>
          <w:lang w:val="en-US"/>
        </w:rPr>
        <w:t xml:space="preserve"> </w:t>
      </w:r>
      <w:r w:rsidR="00CB1D32" w:rsidRPr="009F337B">
        <w:rPr>
          <w:i w:val="0"/>
          <w:szCs w:val="20"/>
          <w:lang w:val="en-US"/>
        </w:rPr>
        <w:t>also notes that:</w:t>
      </w:r>
      <w:r w:rsidR="00395E00" w:rsidRPr="009F337B">
        <w:rPr>
          <w:i w:val="0"/>
          <w:szCs w:val="20"/>
          <w:lang w:val="en-US"/>
        </w:rPr>
        <w:t xml:space="preserve"> </w:t>
      </w:r>
      <w:r w:rsidR="00CB1D32" w:rsidRPr="009F337B">
        <w:rPr>
          <w:i w:val="0"/>
          <w:szCs w:val="20"/>
          <w:lang w:val="en-US"/>
        </w:rPr>
        <w:t>(</w:t>
      </w:r>
      <w:r w:rsidR="00395E00" w:rsidRPr="009F337B">
        <w:rPr>
          <w:i w:val="0"/>
          <w:szCs w:val="20"/>
          <w:lang w:val="en-US"/>
        </w:rPr>
        <w:t xml:space="preserve">viii) Guadalupe Herminia </w:t>
      </w:r>
      <w:proofErr w:type="spellStart"/>
      <w:r w:rsidR="00395E00" w:rsidRPr="009F337B">
        <w:rPr>
          <w:i w:val="0"/>
          <w:szCs w:val="20"/>
          <w:lang w:val="en-US"/>
        </w:rPr>
        <w:t>Cayaxon</w:t>
      </w:r>
      <w:proofErr w:type="spellEnd"/>
      <w:r w:rsidR="00395E00" w:rsidRPr="009F337B">
        <w:rPr>
          <w:i w:val="0"/>
          <w:szCs w:val="20"/>
          <w:lang w:val="en-US"/>
        </w:rPr>
        <w:t xml:space="preserve"> García </w:t>
      </w:r>
      <w:r w:rsidR="00644442" w:rsidRPr="009F337B">
        <w:rPr>
          <w:i w:val="0"/>
          <w:szCs w:val="20"/>
          <w:lang w:val="en-US"/>
        </w:rPr>
        <w:t>is deceased</w:t>
      </w:r>
      <w:r w:rsidR="003C46A3" w:rsidRPr="009F337B">
        <w:rPr>
          <w:i w:val="0"/>
          <w:szCs w:val="20"/>
          <w:lang w:val="en-US"/>
        </w:rPr>
        <w:t xml:space="preserve"> and</w:t>
      </w:r>
      <w:r w:rsidR="00CB1D32" w:rsidRPr="009F337B">
        <w:rPr>
          <w:i w:val="0"/>
          <w:szCs w:val="20"/>
          <w:lang w:val="en-US"/>
        </w:rPr>
        <w:t xml:space="preserve">, among other diseases and illnesses, </w:t>
      </w:r>
      <w:r w:rsidR="00644442" w:rsidRPr="009F337B">
        <w:rPr>
          <w:i w:val="0"/>
          <w:szCs w:val="20"/>
          <w:lang w:val="en-US"/>
        </w:rPr>
        <w:t xml:space="preserve">had </w:t>
      </w:r>
      <w:r w:rsidR="00CB1D32" w:rsidRPr="009F337B">
        <w:rPr>
          <w:i w:val="0"/>
          <w:szCs w:val="20"/>
          <w:lang w:val="en-US"/>
        </w:rPr>
        <w:t xml:space="preserve">suffered from </w:t>
      </w:r>
      <w:r w:rsidR="00395E00" w:rsidRPr="009F337B">
        <w:rPr>
          <w:i w:val="0"/>
          <w:szCs w:val="20"/>
          <w:lang w:val="en-US"/>
        </w:rPr>
        <w:t>herpes,</w:t>
      </w:r>
      <w:r w:rsidR="00CB1D32" w:rsidRPr="009F337B">
        <w:rPr>
          <w:i w:val="0"/>
          <w:szCs w:val="20"/>
          <w:lang w:val="en-US"/>
        </w:rPr>
        <w:t xml:space="preserve"> enlarged liver and</w:t>
      </w:r>
      <w:r w:rsidR="00395E00" w:rsidRPr="009F337B">
        <w:rPr>
          <w:i w:val="0"/>
          <w:szCs w:val="20"/>
          <w:lang w:val="en-US"/>
        </w:rPr>
        <w:t xml:space="preserve"> </w:t>
      </w:r>
      <w:r w:rsidR="00CB1D32" w:rsidRPr="009F337B">
        <w:rPr>
          <w:rStyle w:val="nfasis"/>
          <w:lang w:val="en-US"/>
        </w:rPr>
        <w:t>bronchial hyperreactivity</w:t>
      </w:r>
      <w:r w:rsidR="00CB1D32" w:rsidRPr="009F337B">
        <w:rPr>
          <w:i w:val="0"/>
          <w:szCs w:val="20"/>
          <w:lang w:val="en-US"/>
        </w:rPr>
        <w:t>;</w:t>
      </w:r>
      <w:r w:rsidR="00395E00" w:rsidRPr="009F337B">
        <w:rPr>
          <w:i w:val="0"/>
          <w:szCs w:val="20"/>
          <w:lang w:val="en-US"/>
        </w:rPr>
        <w:t xml:space="preserve"> </w:t>
      </w:r>
      <w:r w:rsidR="00CB1D32" w:rsidRPr="009F337B">
        <w:rPr>
          <w:i w:val="0"/>
          <w:szCs w:val="20"/>
          <w:lang w:val="en-US"/>
        </w:rPr>
        <w:t>(</w:t>
      </w:r>
      <w:r w:rsidR="00395E00" w:rsidRPr="009F337B">
        <w:rPr>
          <w:i w:val="0"/>
          <w:szCs w:val="20"/>
          <w:lang w:val="en-US"/>
        </w:rPr>
        <w:t xml:space="preserve">ix) Elsa Miriam Estrada </w:t>
      </w:r>
      <w:proofErr w:type="spellStart"/>
      <w:r w:rsidR="00395E00" w:rsidRPr="009F337B">
        <w:rPr>
          <w:i w:val="0"/>
          <w:szCs w:val="20"/>
          <w:lang w:val="en-US"/>
        </w:rPr>
        <w:t>Ruíz</w:t>
      </w:r>
      <w:proofErr w:type="spellEnd"/>
      <w:r w:rsidR="00395E00" w:rsidRPr="009F337B">
        <w:rPr>
          <w:i w:val="0"/>
          <w:szCs w:val="20"/>
          <w:lang w:val="en-US"/>
        </w:rPr>
        <w:t xml:space="preserve"> </w:t>
      </w:r>
      <w:r w:rsidR="00644442" w:rsidRPr="009F337B">
        <w:rPr>
          <w:i w:val="0"/>
          <w:szCs w:val="20"/>
          <w:lang w:val="en-US"/>
        </w:rPr>
        <w:t xml:space="preserve">is deceased </w:t>
      </w:r>
      <w:r w:rsidR="003C46A3" w:rsidRPr="009F337B">
        <w:rPr>
          <w:i w:val="0"/>
          <w:szCs w:val="20"/>
          <w:lang w:val="en-US"/>
        </w:rPr>
        <w:t xml:space="preserve">and </w:t>
      </w:r>
      <w:r w:rsidR="00CB1D32" w:rsidRPr="009F337B">
        <w:rPr>
          <w:i w:val="0"/>
          <w:szCs w:val="20"/>
          <w:lang w:val="en-US"/>
        </w:rPr>
        <w:t>had suffered from</w:t>
      </w:r>
      <w:r w:rsidR="00395E00" w:rsidRPr="009F337B">
        <w:rPr>
          <w:i w:val="0"/>
          <w:szCs w:val="20"/>
          <w:lang w:val="en-US"/>
        </w:rPr>
        <w:t xml:space="preserve"> </w:t>
      </w:r>
      <w:r w:rsidR="00CB1D32" w:rsidRPr="009F337B">
        <w:rPr>
          <w:i w:val="0"/>
          <w:szCs w:val="20"/>
          <w:lang w:val="en-US"/>
        </w:rPr>
        <w:t xml:space="preserve">oral </w:t>
      </w:r>
      <w:r w:rsidR="00B23B9B" w:rsidRPr="009F337B">
        <w:rPr>
          <w:i w:val="0"/>
          <w:szCs w:val="20"/>
          <w:lang w:val="en-US"/>
        </w:rPr>
        <w:t>candidiasis</w:t>
      </w:r>
      <w:r w:rsidR="00395E00" w:rsidRPr="009F337B">
        <w:rPr>
          <w:i w:val="0"/>
          <w:szCs w:val="20"/>
          <w:lang w:val="en-US"/>
        </w:rPr>
        <w:t>, herpes zoster</w:t>
      </w:r>
      <w:r w:rsidR="003C46A3" w:rsidRPr="009F337B">
        <w:rPr>
          <w:i w:val="0"/>
          <w:szCs w:val="20"/>
          <w:lang w:val="en-US"/>
        </w:rPr>
        <w:t xml:space="preserve"> and </w:t>
      </w:r>
      <w:r w:rsidR="00395E00" w:rsidRPr="009F337B">
        <w:rPr>
          <w:i w:val="0"/>
          <w:szCs w:val="20"/>
          <w:lang w:val="en-US"/>
        </w:rPr>
        <w:t>neuropa</w:t>
      </w:r>
      <w:r w:rsidR="00CB1D32" w:rsidRPr="009F337B">
        <w:rPr>
          <w:i w:val="0"/>
          <w:szCs w:val="20"/>
          <w:lang w:val="en-US"/>
        </w:rPr>
        <w:t>thy; (</w:t>
      </w:r>
      <w:r w:rsidR="00395E00" w:rsidRPr="009F337B">
        <w:rPr>
          <w:i w:val="0"/>
          <w:szCs w:val="20"/>
          <w:lang w:val="en-US"/>
        </w:rPr>
        <w:t xml:space="preserve">x) Juana Aguilar </w:t>
      </w:r>
      <w:r w:rsidR="00644442" w:rsidRPr="009F337B">
        <w:rPr>
          <w:i w:val="0"/>
          <w:szCs w:val="20"/>
          <w:lang w:val="en-US"/>
        </w:rPr>
        <w:t xml:space="preserve">is deceased </w:t>
      </w:r>
      <w:r w:rsidR="003C46A3" w:rsidRPr="009F337B">
        <w:rPr>
          <w:i w:val="0"/>
          <w:szCs w:val="20"/>
          <w:lang w:val="en-US"/>
        </w:rPr>
        <w:t>and</w:t>
      </w:r>
      <w:r w:rsidR="00CB1D32" w:rsidRPr="009F337B">
        <w:rPr>
          <w:i w:val="0"/>
          <w:szCs w:val="20"/>
          <w:lang w:val="en-US"/>
        </w:rPr>
        <w:t>, among other diseases,</w:t>
      </w:r>
      <w:r w:rsidR="003C46A3" w:rsidRPr="009F337B">
        <w:rPr>
          <w:i w:val="0"/>
          <w:szCs w:val="20"/>
          <w:lang w:val="en-US"/>
        </w:rPr>
        <w:t xml:space="preserve"> </w:t>
      </w:r>
      <w:r w:rsidR="00CB1D32" w:rsidRPr="009F337B">
        <w:rPr>
          <w:i w:val="0"/>
          <w:szCs w:val="20"/>
          <w:lang w:val="en-US"/>
        </w:rPr>
        <w:t xml:space="preserve">had suffered from </w:t>
      </w:r>
      <w:r w:rsidR="00395E00" w:rsidRPr="009F337B">
        <w:rPr>
          <w:i w:val="0"/>
          <w:szCs w:val="20"/>
          <w:lang w:val="en-US"/>
        </w:rPr>
        <w:t>herpes zoster</w:t>
      </w:r>
      <w:r w:rsidR="003C46A3" w:rsidRPr="009F337B">
        <w:rPr>
          <w:i w:val="0"/>
          <w:szCs w:val="20"/>
          <w:lang w:val="en-US"/>
        </w:rPr>
        <w:t xml:space="preserve"> and </w:t>
      </w:r>
      <w:r w:rsidR="00DD7C07" w:rsidRPr="009F337B">
        <w:rPr>
          <w:i w:val="0"/>
          <w:szCs w:val="20"/>
          <w:lang w:val="en-US"/>
        </w:rPr>
        <w:t>sarcoidosis</w:t>
      </w:r>
      <w:r w:rsidR="000B6132" w:rsidRPr="009F337B">
        <w:rPr>
          <w:i w:val="0"/>
          <w:szCs w:val="20"/>
          <w:lang w:val="en-US"/>
        </w:rPr>
        <w:t>; (</w:t>
      </w:r>
      <w:r w:rsidR="00395E00" w:rsidRPr="009F337B">
        <w:rPr>
          <w:i w:val="0"/>
          <w:szCs w:val="20"/>
          <w:lang w:val="en-US"/>
        </w:rPr>
        <w:t xml:space="preserve">xi) María Blanca </w:t>
      </w:r>
      <w:proofErr w:type="spellStart"/>
      <w:r w:rsidR="00395E00" w:rsidRPr="009F337B">
        <w:rPr>
          <w:i w:val="0"/>
          <w:szCs w:val="20"/>
          <w:lang w:val="en-US"/>
        </w:rPr>
        <w:t>Vaíl</w:t>
      </w:r>
      <w:proofErr w:type="spellEnd"/>
      <w:r w:rsidR="00395E00" w:rsidRPr="009F337B">
        <w:rPr>
          <w:i w:val="0"/>
          <w:szCs w:val="20"/>
          <w:lang w:val="en-US"/>
        </w:rPr>
        <w:t xml:space="preserve"> López </w:t>
      </w:r>
      <w:r w:rsidR="00644442" w:rsidRPr="009F337B">
        <w:rPr>
          <w:i w:val="0"/>
          <w:szCs w:val="20"/>
          <w:lang w:val="en-US"/>
        </w:rPr>
        <w:t xml:space="preserve">is deceased </w:t>
      </w:r>
      <w:r w:rsidR="003C46A3" w:rsidRPr="009F337B">
        <w:rPr>
          <w:i w:val="0"/>
          <w:szCs w:val="20"/>
          <w:lang w:val="en-US"/>
        </w:rPr>
        <w:t>and</w:t>
      </w:r>
      <w:r w:rsidR="000B6132" w:rsidRPr="009F337B">
        <w:rPr>
          <w:i w:val="0"/>
          <w:szCs w:val="20"/>
          <w:lang w:val="en-US"/>
        </w:rPr>
        <w:t>, among other diseases,</w:t>
      </w:r>
      <w:r w:rsidR="003C46A3" w:rsidRPr="009F337B">
        <w:rPr>
          <w:i w:val="0"/>
          <w:szCs w:val="20"/>
          <w:lang w:val="en-US"/>
        </w:rPr>
        <w:t xml:space="preserve"> </w:t>
      </w:r>
      <w:r w:rsidR="00CB1D32" w:rsidRPr="009F337B">
        <w:rPr>
          <w:i w:val="0"/>
          <w:szCs w:val="20"/>
          <w:lang w:val="en-US"/>
        </w:rPr>
        <w:t>had suffered from</w:t>
      </w:r>
      <w:r w:rsidR="00395E00" w:rsidRPr="009F337B">
        <w:rPr>
          <w:i w:val="0"/>
          <w:szCs w:val="20"/>
          <w:lang w:val="en-US"/>
        </w:rPr>
        <w:t>, herpes</w:t>
      </w:r>
      <w:r w:rsidR="003C46A3" w:rsidRPr="009F337B">
        <w:rPr>
          <w:i w:val="0"/>
          <w:szCs w:val="20"/>
          <w:lang w:val="en-US"/>
        </w:rPr>
        <w:t xml:space="preserve"> and </w:t>
      </w:r>
      <w:r w:rsidR="00395E00" w:rsidRPr="009F337B">
        <w:rPr>
          <w:i w:val="0"/>
          <w:szCs w:val="20"/>
          <w:lang w:val="en-US"/>
        </w:rPr>
        <w:t>candidiasis,</w:t>
      </w:r>
      <w:r w:rsidR="003C46A3" w:rsidRPr="009F337B">
        <w:rPr>
          <w:i w:val="0"/>
          <w:szCs w:val="20"/>
          <w:lang w:val="en-US"/>
        </w:rPr>
        <w:t xml:space="preserve"> and </w:t>
      </w:r>
      <w:r w:rsidR="000B6132" w:rsidRPr="009F337B">
        <w:rPr>
          <w:i w:val="0"/>
          <w:szCs w:val="20"/>
          <w:lang w:val="en-US"/>
        </w:rPr>
        <w:t>(</w:t>
      </w:r>
      <w:r w:rsidR="00395E00" w:rsidRPr="009F337B">
        <w:rPr>
          <w:i w:val="0"/>
          <w:szCs w:val="20"/>
          <w:lang w:val="en-US"/>
        </w:rPr>
        <w:t xml:space="preserve">xii) José Rubén Delgado López </w:t>
      </w:r>
      <w:r w:rsidR="00644442" w:rsidRPr="009F337B">
        <w:rPr>
          <w:i w:val="0"/>
          <w:szCs w:val="20"/>
          <w:lang w:val="en-US"/>
        </w:rPr>
        <w:t>is deceased</w:t>
      </w:r>
      <w:r w:rsidR="003C46A3" w:rsidRPr="009F337B">
        <w:rPr>
          <w:i w:val="0"/>
          <w:szCs w:val="20"/>
          <w:lang w:val="en-US"/>
        </w:rPr>
        <w:t xml:space="preserve"> and</w:t>
      </w:r>
      <w:r w:rsidR="000B6132" w:rsidRPr="009F337B">
        <w:rPr>
          <w:i w:val="0"/>
          <w:szCs w:val="20"/>
          <w:lang w:val="en-US"/>
        </w:rPr>
        <w:t xml:space="preserve">, among other diseases, </w:t>
      </w:r>
      <w:r w:rsidR="00CB1D32" w:rsidRPr="009F337B">
        <w:rPr>
          <w:i w:val="0"/>
          <w:szCs w:val="20"/>
          <w:lang w:val="en-US"/>
        </w:rPr>
        <w:t>had suffered from</w:t>
      </w:r>
      <w:r w:rsidR="000B6132" w:rsidRPr="009F337B">
        <w:rPr>
          <w:i w:val="0"/>
          <w:szCs w:val="20"/>
          <w:lang w:val="en-US"/>
        </w:rPr>
        <w:t xml:space="preserve"> </w:t>
      </w:r>
      <w:r w:rsidR="00395E00" w:rsidRPr="009F337B">
        <w:rPr>
          <w:i w:val="0"/>
          <w:szCs w:val="20"/>
          <w:lang w:val="en-US"/>
        </w:rPr>
        <w:t>candidiasis,</w:t>
      </w:r>
      <w:r w:rsidR="000B6132" w:rsidRPr="009F337B">
        <w:rPr>
          <w:i w:val="0"/>
          <w:szCs w:val="20"/>
          <w:lang w:val="en-US"/>
        </w:rPr>
        <w:t xml:space="preserve"> cryptococcus,</w:t>
      </w:r>
      <w:r w:rsidR="00395E00" w:rsidRPr="009F337B">
        <w:rPr>
          <w:i w:val="0"/>
          <w:szCs w:val="20"/>
          <w:lang w:val="en-US"/>
        </w:rPr>
        <w:t xml:space="preserve"> </w:t>
      </w:r>
      <w:r w:rsidR="00DD7C07" w:rsidRPr="009F337B">
        <w:rPr>
          <w:i w:val="0"/>
          <w:szCs w:val="20"/>
          <w:lang w:val="en-US"/>
        </w:rPr>
        <w:t>sarcoidosis</w:t>
      </w:r>
      <w:r w:rsidR="003C46A3" w:rsidRPr="009F337B">
        <w:rPr>
          <w:i w:val="0"/>
          <w:szCs w:val="20"/>
          <w:lang w:val="en-US"/>
        </w:rPr>
        <w:t xml:space="preserve"> and </w:t>
      </w:r>
      <w:r w:rsidR="00395E00" w:rsidRPr="009F337B">
        <w:rPr>
          <w:i w:val="0"/>
          <w:szCs w:val="20"/>
          <w:lang w:val="en-US"/>
        </w:rPr>
        <w:t xml:space="preserve">herpes. </w:t>
      </w:r>
      <w:r w:rsidR="000B6132" w:rsidRPr="009F337B">
        <w:rPr>
          <w:i w:val="0"/>
          <w:szCs w:val="20"/>
          <w:lang w:val="en-US"/>
        </w:rPr>
        <w:t>Consequently, with regard to th</w:t>
      </w:r>
      <w:r w:rsidR="00644442" w:rsidRPr="009F337B">
        <w:rPr>
          <w:i w:val="0"/>
          <w:szCs w:val="20"/>
          <w:lang w:val="en-US"/>
        </w:rPr>
        <w:t>e</w:t>
      </w:r>
      <w:r w:rsidR="000B6132" w:rsidRPr="009F337B">
        <w:rPr>
          <w:i w:val="0"/>
          <w:szCs w:val="20"/>
          <w:lang w:val="en-US"/>
        </w:rPr>
        <w:t xml:space="preserve"> persons mentioned in this </w:t>
      </w:r>
      <w:r w:rsidR="00C60B17" w:rsidRPr="009F337B">
        <w:rPr>
          <w:i w:val="0"/>
          <w:szCs w:val="20"/>
          <w:lang w:val="en-US"/>
        </w:rPr>
        <w:t>paragraph</w:t>
      </w:r>
      <w:r w:rsidR="00395E00" w:rsidRPr="009F337B">
        <w:rPr>
          <w:i w:val="0"/>
          <w:szCs w:val="20"/>
          <w:lang w:val="en-US"/>
        </w:rPr>
        <w:t xml:space="preserve">, </w:t>
      </w:r>
      <w:r w:rsidR="003C46A3" w:rsidRPr="009F337B">
        <w:rPr>
          <w:i w:val="0"/>
          <w:szCs w:val="20"/>
          <w:lang w:val="en-US"/>
        </w:rPr>
        <w:t>the State</w:t>
      </w:r>
      <w:r w:rsidR="00395E00" w:rsidRPr="009F337B">
        <w:rPr>
          <w:i w:val="0"/>
          <w:szCs w:val="20"/>
          <w:lang w:val="en-US"/>
        </w:rPr>
        <w:t xml:space="preserve"> </w:t>
      </w:r>
      <w:r w:rsidR="000B6132" w:rsidRPr="009F337B">
        <w:rPr>
          <w:i w:val="0"/>
          <w:szCs w:val="20"/>
          <w:lang w:val="en-US"/>
        </w:rPr>
        <w:t xml:space="preserve">is responsible for </w:t>
      </w:r>
      <w:r w:rsidR="00644442" w:rsidRPr="009F337B">
        <w:rPr>
          <w:i w:val="0"/>
          <w:szCs w:val="20"/>
          <w:lang w:val="en-US"/>
        </w:rPr>
        <w:t xml:space="preserve">the </w:t>
      </w:r>
      <w:r w:rsidR="000B6132" w:rsidRPr="009F337B">
        <w:rPr>
          <w:i w:val="0"/>
          <w:szCs w:val="20"/>
          <w:lang w:val="en-US"/>
        </w:rPr>
        <w:t xml:space="preserve">violation of the obligation to ensure the </w:t>
      </w:r>
      <w:r w:rsidR="00F3419F" w:rsidRPr="009F337B">
        <w:rPr>
          <w:i w:val="0"/>
          <w:szCs w:val="20"/>
          <w:lang w:val="en-US"/>
        </w:rPr>
        <w:t>right to life</w:t>
      </w:r>
      <w:r w:rsidR="00395E00" w:rsidRPr="009F337B">
        <w:rPr>
          <w:i w:val="0"/>
          <w:szCs w:val="20"/>
          <w:lang w:val="en-US"/>
        </w:rPr>
        <w:t xml:space="preserve"> </w:t>
      </w:r>
      <w:r w:rsidR="000B6132" w:rsidRPr="009F337B">
        <w:rPr>
          <w:i w:val="0"/>
          <w:szCs w:val="20"/>
          <w:lang w:val="en-US"/>
        </w:rPr>
        <w:t>recognized in</w:t>
      </w:r>
      <w:r w:rsidR="00395E00" w:rsidRPr="009F337B">
        <w:rPr>
          <w:i w:val="0"/>
          <w:szCs w:val="20"/>
          <w:lang w:val="en-US"/>
        </w:rPr>
        <w:t xml:space="preserve"> </w:t>
      </w:r>
      <w:r w:rsidR="00AE5F9E" w:rsidRPr="009F337B">
        <w:rPr>
          <w:i w:val="0"/>
          <w:szCs w:val="20"/>
          <w:lang w:val="en-US"/>
        </w:rPr>
        <w:t>Article</w:t>
      </w:r>
      <w:r w:rsidR="003C46A3" w:rsidRPr="009F337B">
        <w:rPr>
          <w:i w:val="0"/>
          <w:szCs w:val="20"/>
          <w:lang w:val="en-US"/>
        </w:rPr>
        <w:t xml:space="preserve"> 4(1)</w:t>
      </w:r>
      <w:r w:rsidR="00AE5F9E" w:rsidRPr="009F337B">
        <w:rPr>
          <w:i w:val="0"/>
          <w:szCs w:val="20"/>
          <w:lang w:val="en-US"/>
        </w:rPr>
        <w:t xml:space="preserve"> of the American Convention</w:t>
      </w:r>
      <w:r w:rsidR="00395E00" w:rsidRPr="009F337B">
        <w:rPr>
          <w:i w:val="0"/>
          <w:szCs w:val="20"/>
          <w:lang w:val="en-US"/>
        </w:rPr>
        <w:t xml:space="preserve"> </w:t>
      </w:r>
      <w:r w:rsidR="000E73AE" w:rsidRPr="009F337B">
        <w:rPr>
          <w:i w:val="0"/>
          <w:szCs w:val="20"/>
          <w:lang w:val="en-US"/>
        </w:rPr>
        <w:t>in relation to</w:t>
      </w:r>
      <w:r w:rsidR="00395E00" w:rsidRPr="009F337B">
        <w:rPr>
          <w:i w:val="0"/>
          <w:szCs w:val="20"/>
          <w:lang w:val="en-US"/>
        </w:rPr>
        <w:t xml:space="preserve"> </w:t>
      </w:r>
      <w:r w:rsidR="00AE5F9E" w:rsidRPr="009F337B">
        <w:rPr>
          <w:i w:val="0"/>
          <w:szCs w:val="20"/>
          <w:lang w:val="en-US"/>
        </w:rPr>
        <w:t>Article</w:t>
      </w:r>
      <w:r w:rsidR="003C46A3" w:rsidRPr="009F337B">
        <w:rPr>
          <w:i w:val="0"/>
          <w:szCs w:val="20"/>
          <w:lang w:val="en-US"/>
        </w:rPr>
        <w:t xml:space="preserve"> 1(1)</w:t>
      </w:r>
      <w:r w:rsidR="002B191E" w:rsidRPr="009F337B">
        <w:rPr>
          <w:i w:val="0"/>
          <w:szCs w:val="20"/>
          <w:lang w:val="en-US"/>
        </w:rPr>
        <w:t xml:space="preserve"> </w:t>
      </w:r>
      <w:r w:rsidR="006D4A79" w:rsidRPr="009F337B">
        <w:rPr>
          <w:i w:val="0"/>
          <w:szCs w:val="20"/>
          <w:lang w:val="en-US"/>
        </w:rPr>
        <w:t>of this instrument</w:t>
      </w:r>
      <w:r w:rsidR="002B191E" w:rsidRPr="009F337B">
        <w:rPr>
          <w:i w:val="0"/>
          <w:szCs w:val="20"/>
          <w:lang w:val="en-US"/>
        </w:rPr>
        <w:t xml:space="preserve">. </w:t>
      </w:r>
      <w:r w:rsidR="000B6132" w:rsidRPr="009F337B">
        <w:rPr>
          <w:i w:val="0"/>
          <w:szCs w:val="20"/>
          <w:lang w:val="en-US"/>
        </w:rPr>
        <w:t>However, the</w:t>
      </w:r>
      <w:r w:rsidR="008C399E" w:rsidRPr="009F337B">
        <w:rPr>
          <w:i w:val="0"/>
          <w:szCs w:val="20"/>
          <w:lang w:val="en-US"/>
        </w:rPr>
        <w:t xml:space="preserve"> Court</w:t>
      </w:r>
      <w:r w:rsidR="00395E00" w:rsidRPr="009F337B">
        <w:rPr>
          <w:i w:val="0"/>
          <w:szCs w:val="20"/>
          <w:lang w:val="en-US"/>
        </w:rPr>
        <w:t xml:space="preserve"> </w:t>
      </w:r>
      <w:r w:rsidR="000B6132" w:rsidRPr="009F337B">
        <w:rPr>
          <w:i w:val="0"/>
          <w:szCs w:val="20"/>
          <w:lang w:val="en-US"/>
        </w:rPr>
        <w:t>does not have sufficient information to determine the cause of death of</w:t>
      </w:r>
      <w:r w:rsidR="00395E00" w:rsidRPr="009F337B">
        <w:rPr>
          <w:i w:val="0"/>
          <w:szCs w:val="20"/>
          <w:lang w:val="en-US"/>
        </w:rPr>
        <w:t xml:space="preserve"> </w:t>
      </w:r>
      <w:r w:rsidR="000B6132" w:rsidRPr="009F337B">
        <w:rPr>
          <w:i w:val="0"/>
          <w:szCs w:val="20"/>
          <w:lang w:val="en-US"/>
        </w:rPr>
        <w:t>(</w:t>
      </w:r>
      <w:r w:rsidR="00395E00" w:rsidRPr="009F337B">
        <w:rPr>
          <w:i w:val="0"/>
          <w:szCs w:val="20"/>
          <w:lang w:val="en-US"/>
        </w:rPr>
        <w:t xml:space="preserve">xiii) Luis Edwin Cruz </w:t>
      </w:r>
      <w:proofErr w:type="spellStart"/>
      <w:r w:rsidR="00395E00" w:rsidRPr="009F337B">
        <w:rPr>
          <w:i w:val="0"/>
          <w:szCs w:val="20"/>
          <w:lang w:val="en-US"/>
        </w:rPr>
        <w:t>Gramajo</w:t>
      </w:r>
      <w:proofErr w:type="spellEnd"/>
      <w:r w:rsidR="00395E00" w:rsidRPr="009F337B">
        <w:rPr>
          <w:i w:val="0"/>
          <w:szCs w:val="20"/>
          <w:lang w:val="en-US"/>
        </w:rPr>
        <w:t xml:space="preserve">, </w:t>
      </w:r>
      <w:r w:rsidR="000B6132" w:rsidRPr="009F337B">
        <w:rPr>
          <w:i w:val="0"/>
          <w:szCs w:val="20"/>
          <w:lang w:val="en-US"/>
        </w:rPr>
        <w:t xml:space="preserve">so that, in this regard, </w:t>
      </w:r>
      <w:r w:rsidR="003C46A3" w:rsidRPr="009F337B">
        <w:rPr>
          <w:i w:val="0"/>
          <w:szCs w:val="20"/>
          <w:lang w:val="en-US"/>
        </w:rPr>
        <w:t>the State</w:t>
      </w:r>
      <w:r w:rsidR="00395E00" w:rsidRPr="009F337B">
        <w:rPr>
          <w:i w:val="0"/>
          <w:szCs w:val="20"/>
          <w:lang w:val="en-US"/>
        </w:rPr>
        <w:t xml:space="preserve"> </w:t>
      </w:r>
      <w:r w:rsidR="000B6132" w:rsidRPr="009F337B">
        <w:rPr>
          <w:i w:val="0"/>
          <w:szCs w:val="20"/>
          <w:lang w:val="en-US"/>
        </w:rPr>
        <w:t xml:space="preserve">is not responsible for </w:t>
      </w:r>
      <w:r w:rsidR="00644442" w:rsidRPr="009F337B">
        <w:rPr>
          <w:i w:val="0"/>
          <w:szCs w:val="20"/>
          <w:lang w:val="en-US"/>
        </w:rPr>
        <w:t>violating</w:t>
      </w:r>
      <w:r w:rsidR="000B6132" w:rsidRPr="009F337B">
        <w:rPr>
          <w:i w:val="0"/>
          <w:szCs w:val="20"/>
          <w:lang w:val="en-US"/>
        </w:rPr>
        <w:t xml:space="preserve"> the obligation to ensure</w:t>
      </w:r>
      <w:r w:rsidR="00395E00" w:rsidRPr="009F337B">
        <w:rPr>
          <w:i w:val="0"/>
          <w:szCs w:val="20"/>
          <w:lang w:val="en-US"/>
        </w:rPr>
        <w:t xml:space="preserve"> </w:t>
      </w:r>
      <w:r w:rsidR="000B6132" w:rsidRPr="009F337B">
        <w:rPr>
          <w:i w:val="0"/>
          <w:szCs w:val="20"/>
          <w:lang w:val="en-US"/>
        </w:rPr>
        <w:t>the</w:t>
      </w:r>
      <w:r w:rsidR="00395E00" w:rsidRPr="009F337B">
        <w:rPr>
          <w:i w:val="0"/>
          <w:szCs w:val="20"/>
          <w:lang w:val="en-US"/>
        </w:rPr>
        <w:t xml:space="preserve"> </w:t>
      </w:r>
      <w:r w:rsidR="00F3419F" w:rsidRPr="009F337B">
        <w:rPr>
          <w:i w:val="0"/>
          <w:szCs w:val="20"/>
          <w:lang w:val="en-US"/>
        </w:rPr>
        <w:t>right to life</w:t>
      </w:r>
      <w:r w:rsidR="00395E00" w:rsidRPr="009F337B">
        <w:rPr>
          <w:i w:val="0"/>
          <w:szCs w:val="20"/>
          <w:lang w:val="en-US"/>
        </w:rPr>
        <w:t xml:space="preserve"> </w:t>
      </w:r>
      <w:r w:rsidR="000B6132" w:rsidRPr="009F337B">
        <w:rPr>
          <w:i w:val="0"/>
          <w:szCs w:val="20"/>
          <w:lang w:val="en-US"/>
        </w:rPr>
        <w:t>recognized in</w:t>
      </w:r>
      <w:r w:rsidR="00395E00" w:rsidRPr="009F337B">
        <w:rPr>
          <w:i w:val="0"/>
          <w:szCs w:val="20"/>
          <w:lang w:val="en-US"/>
        </w:rPr>
        <w:t xml:space="preserve"> </w:t>
      </w:r>
      <w:r w:rsidR="00AE5F9E" w:rsidRPr="009F337B">
        <w:rPr>
          <w:i w:val="0"/>
          <w:szCs w:val="20"/>
          <w:lang w:val="en-US"/>
        </w:rPr>
        <w:t>Article</w:t>
      </w:r>
      <w:r w:rsidR="003C46A3" w:rsidRPr="009F337B">
        <w:rPr>
          <w:i w:val="0"/>
          <w:szCs w:val="20"/>
          <w:lang w:val="en-US"/>
        </w:rPr>
        <w:t xml:space="preserve"> 4(1)</w:t>
      </w:r>
      <w:r w:rsidR="00AE5F9E" w:rsidRPr="009F337B">
        <w:rPr>
          <w:i w:val="0"/>
          <w:szCs w:val="20"/>
          <w:lang w:val="en-US"/>
        </w:rPr>
        <w:t xml:space="preserve"> of the American Convention</w:t>
      </w:r>
      <w:r w:rsidR="00395E00" w:rsidRPr="009F337B">
        <w:rPr>
          <w:i w:val="0"/>
          <w:szCs w:val="20"/>
          <w:lang w:val="en-US"/>
        </w:rPr>
        <w:t xml:space="preserve"> </w:t>
      </w:r>
      <w:r w:rsidR="000E73AE" w:rsidRPr="009F337B">
        <w:rPr>
          <w:i w:val="0"/>
          <w:szCs w:val="20"/>
          <w:lang w:val="en-US"/>
        </w:rPr>
        <w:t>in relation to</w:t>
      </w:r>
      <w:r w:rsidR="00395E00" w:rsidRPr="009F337B">
        <w:rPr>
          <w:i w:val="0"/>
          <w:szCs w:val="20"/>
          <w:lang w:val="en-US"/>
        </w:rPr>
        <w:t xml:space="preserve"> </w:t>
      </w:r>
      <w:r w:rsidR="00AE5F9E" w:rsidRPr="009F337B">
        <w:rPr>
          <w:i w:val="0"/>
          <w:szCs w:val="20"/>
          <w:lang w:val="en-US"/>
        </w:rPr>
        <w:t>Article</w:t>
      </w:r>
      <w:r w:rsidR="003C46A3" w:rsidRPr="009F337B">
        <w:rPr>
          <w:i w:val="0"/>
          <w:szCs w:val="20"/>
          <w:lang w:val="en-US"/>
        </w:rPr>
        <w:t xml:space="preserve"> 1(1)</w:t>
      </w:r>
      <w:r w:rsidR="00395E00" w:rsidRPr="009F337B">
        <w:rPr>
          <w:i w:val="0"/>
          <w:szCs w:val="20"/>
          <w:lang w:val="en-US"/>
        </w:rPr>
        <w:t xml:space="preserve"> </w:t>
      </w:r>
      <w:r w:rsidR="006D4A79" w:rsidRPr="009F337B">
        <w:rPr>
          <w:i w:val="0"/>
          <w:szCs w:val="20"/>
          <w:lang w:val="en-US"/>
        </w:rPr>
        <w:t>of this instrument</w:t>
      </w:r>
      <w:r w:rsidR="00395E00" w:rsidRPr="009F337B">
        <w:rPr>
          <w:i w:val="0"/>
          <w:szCs w:val="20"/>
          <w:lang w:val="en-US"/>
        </w:rPr>
        <w:t>.</w:t>
      </w:r>
    </w:p>
    <w:p w14:paraId="52A313BB" w14:textId="77777777" w:rsidR="00D07D35" w:rsidRPr="009F337B" w:rsidRDefault="00D07D35" w:rsidP="00D07D35">
      <w:pPr>
        <w:pStyle w:val="Prrafodelista"/>
        <w:rPr>
          <w:i/>
          <w:szCs w:val="20"/>
          <w:lang w:val="en-US"/>
        </w:rPr>
      </w:pPr>
    </w:p>
    <w:p w14:paraId="7DCB5617" w14:textId="4982C705" w:rsidR="00F46845" w:rsidRPr="009F337B" w:rsidRDefault="000B6132" w:rsidP="00593E37">
      <w:pPr>
        <w:pStyle w:val="Estilo1"/>
        <w:numPr>
          <w:ilvl w:val="0"/>
          <w:numId w:val="1"/>
        </w:numPr>
        <w:tabs>
          <w:tab w:val="left" w:pos="709"/>
          <w:tab w:val="left" w:pos="1134"/>
        </w:tabs>
        <w:spacing w:after="0"/>
        <w:ind w:left="0" w:right="-4" w:firstLine="0"/>
        <w:rPr>
          <w:i w:val="0"/>
          <w:szCs w:val="20"/>
          <w:lang w:val="en-US"/>
        </w:rPr>
      </w:pPr>
      <w:r w:rsidRPr="009F337B">
        <w:rPr>
          <w:i w:val="0"/>
          <w:szCs w:val="20"/>
          <w:lang w:val="en-US"/>
        </w:rPr>
        <w:t>Second</w:t>
      </w:r>
      <w:r w:rsidR="00F46845" w:rsidRPr="009F337B">
        <w:rPr>
          <w:i w:val="0"/>
          <w:szCs w:val="20"/>
          <w:lang w:val="en-US"/>
        </w:rPr>
        <w:t xml:space="preserve">, </w:t>
      </w:r>
      <w:r w:rsidR="00AE5F9E" w:rsidRPr="009F337B">
        <w:rPr>
          <w:i w:val="0"/>
          <w:szCs w:val="20"/>
          <w:lang w:val="en-US"/>
        </w:rPr>
        <w:t>the Court</w:t>
      </w:r>
      <w:r w:rsidR="00F46845" w:rsidRPr="009F337B">
        <w:rPr>
          <w:i w:val="0"/>
          <w:szCs w:val="20"/>
          <w:lang w:val="en-US"/>
        </w:rPr>
        <w:t xml:space="preserve"> </w:t>
      </w:r>
      <w:r w:rsidRPr="009F337B">
        <w:rPr>
          <w:i w:val="0"/>
          <w:szCs w:val="20"/>
          <w:lang w:val="en-US"/>
        </w:rPr>
        <w:t xml:space="preserve">notes that </w:t>
      </w:r>
      <w:r w:rsidR="00CC6A68" w:rsidRPr="009F337B">
        <w:rPr>
          <w:i w:val="0"/>
          <w:szCs w:val="20"/>
          <w:lang w:val="en-US"/>
        </w:rPr>
        <w:t xml:space="preserve">the </w:t>
      </w:r>
      <w:r w:rsidR="007327F5" w:rsidRPr="009F337B">
        <w:rPr>
          <w:i w:val="0"/>
          <w:szCs w:val="20"/>
          <w:lang w:val="en-US"/>
        </w:rPr>
        <w:t>representatives</w:t>
      </w:r>
      <w:r w:rsidRPr="009F337B">
        <w:rPr>
          <w:i w:val="0"/>
          <w:szCs w:val="20"/>
          <w:lang w:val="en-US"/>
        </w:rPr>
        <w:t xml:space="preserve">’ arguments concerning the violation of the </w:t>
      </w:r>
      <w:r w:rsidR="00F3419F" w:rsidRPr="009F337B">
        <w:rPr>
          <w:i w:val="0"/>
          <w:szCs w:val="20"/>
          <w:lang w:val="en-US"/>
        </w:rPr>
        <w:t>right to</w:t>
      </w:r>
      <w:r w:rsidRPr="009F337B">
        <w:rPr>
          <w:i w:val="0"/>
          <w:szCs w:val="20"/>
          <w:lang w:val="en-US"/>
        </w:rPr>
        <w:t xml:space="preserve"> a decent</w:t>
      </w:r>
      <w:r w:rsidR="00F3419F" w:rsidRPr="009F337B">
        <w:rPr>
          <w:i w:val="0"/>
          <w:szCs w:val="20"/>
          <w:lang w:val="en-US"/>
        </w:rPr>
        <w:t xml:space="preserve"> life</w:t>
      </w:r>
      <w:r w:rsidR="00F46845" w:rsidRPr="009F337B">
        <w:rPr>
          <w:i w:val="0"/>
          <w:szCs w:val="20"/>
          <w:lang w:val="en-US"/>
        </w:rPr>
        <w:t xml:space="preserve"> </w:t>
      </w:r>
      <w:r w:rsidRPr="009F337B">
        <w:rPr>
          <w:i w:val="0"/>
          <w:szCs w:val="20"/>
          <w:lang w:val="en-US"/>
        </w:rPr>
        <w:t>refer to the State’s failure to comply with its obligation to adopt positive measures to ensure comprehensive, accessible and acceptable medical care to</w:t>
      </w:r>
      <w:r w:rsidR="00CC6A68" w:rsidRPr="009F337B">
        <w:rPr>
          <w:i w:val="0"/>
          <w:szCs w:val="20"/>
          <w:lang w:val="en-US"/>
        </w:rPr>
        <w:t xml:space="preserve"> the </w:t>
      </w:r>
      <w:r w:rsidR="00A00EE5" w:rsidRPr="009F337B">
        <w:rPr>
          <w:i w:val="0"/>
          <w:szCs w:val="20"/>
          <w:lang w:val="en-US"/>
        </w:rPr>
        <w:t>presumed</w:t>
      </w:r>
      <w:r w:rsidR="003C46A3" w:rsidRPr="009F337B">
        <w:rPr>
          <w:i w:val="0"/>
          <w:szCs w:val="20"/>
          <w:lang w:val="en-US"/>
        </w:rPr>
        <w:t xml:space="preserve"> victims</w:t>
      </w:r>
      <w:r w:rsidR="00F46845" w:rsidRPr="009F337B">
        <w:rPr>
          <w:i w:val="0"/>
          <w:szCs w:val="20"/>
          <w:lang w:val="en-US"/>
        </w:rPr>
        <w:t xml:space="preserve">. </w:t>
      </w:r>
      <w:r w:rsidRPr="009F337B">
        <w:rPr>
          <w:i w:val="0"/>
          <w:szCs w:val="20"/>
          <w:lang w:val="en-US"/>
        </w:rPr>
        <w:t>In this regard,</w:t>
      </w:r>
      <w:r w:rsidR="00F46845" w:rsidRPr="009F337B">
        <w:rPr>
          <w:i w:val="0"/>
          <w:szCs w:val="20"/>
          <w:lang w:val="en-US"/>
        </w:rPr>
        <w:t xml:space="preserve"> </w:t>
      </w:r>
      <w:r w:rsidR="008C399E" w:rsidRPr="009F337B">
        <w:rPr>
          <w:i w:val="0"/>
          <w:szCs w:val="20"/>
          <w:lang w:val="en-US"/>
        </w:rPr>
        <w:t>the Court</w:t>
      </w:r>
      <w:r w:rsidR="00F46845" w:rsidRPr="009F337B">
        <w:rPr>
          <w:i w:val="0"/>
          <w:szCs w:val="20"/>
          <w:lang w:val="en-US"/>
        </w:rPr>
        <w:t xml:space="preserve"> </w:t>
      </w:r>
      <w:r w:rsidRPr="009F337B">
        <w:rPr>
          <w:i w:val="0"/>
          <w:szCs w:val="20"/>
          <w:lang w:val="en-US"/>
        </w:rPr>
        <w:t>notes that these arguments have been analyzed in the section</w:t>
      </w:r>
      <w:r w:rsidR="00FD5A63" w:rsidRPr="009F337B">
        <w:rPr>
          <w:i w:val="0"/>
          <w:szCs w:val="20"/>
          <w:lang w:val="en-US"/>
        </w:rPr>
        <w:t xml:space="preserve"> </w:t>
      </w:r>
      <w:r w:rsidR="00644442" w:rsidRPr="009F337B">
        <w:rPr>
          <w:i w:val="0"/>
          <w:szCs w:val="20"/>
          <w:lang w:val="en-US"/>
        </w:rPr>
        <w:t>on</w:t>
      </w:r>
      <w:r w:rsidR="00FD5A63" w:rsidRPr="009F337B">
        <w:rPr>
          <w:i w:val="0"/>
          <w:szCs w:val="20"/>
          <w:lang w:val="en-US"/>
        </w:rPr>
        <w:t xml:space="preserve"> the</w:t>
      </w:r>
      <w:r w:rsidR="00A51F3B" w:rsidRPr="009F337B">
        <w:rPr>
          <w:i w:val="0"/>
          <w:szCs w:val="20"/>
          <w:lang w:val="en-US"/>
        </w:rPr>
        <w:t xml:space="preserve"> right to health</w:t>
      </w:r>
      <w:r w:rsidR="00FD5A63" w:rsidRPr="009F337B">
        <w:rPr>
          <w:i w:val="0"/>
          <w:szCs w:val="20"/>
          <w:lang w:val="en-US"/>
        </w:rPr>
        <w:t>; therefore, it will not examine them in this section.</w:t>
      </w:r>
    </w:p>
    <w:p w14:paraId="32384E4E" w14:textId="77777777" w:rsidR="008E387F" w:rsidRPr="009F337B" w:rsidRDefault="008E387F" w:rsidP="008E387F">
      <w:pPr>
        <w:pStyle w:val="Estilo1"/>
        <w:tabs>
          <w:tab w:val="left" w:pos="709"/>
          <w:tab w:val="left" w:pos="1134"/>
        </w:tabs>
        <w:spacing w:after="0"/>
        <w:ind w:left="0" w:right="-4" w:firstLine="0"/>
        <w:rPr>
          <w:i w:val="0"/>
          <w:szCs w:val="20"/>
          <w:lang w:val="en-US"/>
        </w:rPr>
      </w:pPr>
    </w:p>
    <w:p w14:paraId="6CD05F6B" w14:textId="7E0B49B4" w:rsidR="00F46845" w:rsidRPr="009F337B" w:rsidRDefault="00AC0BEF" w:rsidP="00AC0BEF">
      <w:pPr>
        <w:pStyle w:val="Estilo1"/>
        <w:tabs>
          <w:tab w:val="left" w:pos="709"/>
          <w:tab w:val="left" w:pos="1134"/>
        </w:tabs>
        <w:spacing w:after="0"/>
        <w:ind w:left="0" w:right="-4" w:firstLine="0"/>
        <w:rPr>
          <w:rFonts w:eastAsia="Times" w:cs="Arial"/>
          <w:b/>
          <w:szCs w:val="20"/>
          <w:lang w:val="en-US"/>
        </w:rPr>
      </w:pPr>
      <w:r w:rsidRPr="009F337B">
        <w:rPr>
          <w:rFonts w:eastAsia="Times" w:cs="Arial"/>
          <w:b/>
          <w:szCs w:val="20"/>
          <w:lang w:val="en-US"/>
        </w:rPr>
        <w:tab/>
      </w:r>
      <w:r w:rsidRPr="009F337B">
        <w:rPr>
          <w:rFonts w:eastAsia="Times" w:cs="Arial"/>
          <w:b/>
          <w:szCs w:val="20"/>
          <w:lang w:val="en-US"/>
        </w:rPr>
        <w:tab/>
      </w:r>
      <w:r w:rsidRPr="009F337B">
        <w:rPr>
          <w:rFonts w:eastAsia="Times" w:cs="Arial"/>
          <w:b/>
          <w:szCs w:val="20"/>
          <w:lang w:val="en-US"/>
        </w:rPr>
        <w:tab/>
      </w:r>
      <w:r w:rsidR="00F46845" w:rsidRPr="009F337B">
        <w:rPr>
          <w:rFonts w:eastAsia="Times" w:cs="Arial"/>
          <w:b/>
          <w:szCs w:val="20"/>
          <w:lang w:val="en-US"/>
        </w:rPr>
        <w:t>B.5.2</w:t>
      </w:r>
      <w:r w:rsidR="00D0657E" w:rsidRPr="009F337B">
        <w:rPr>
          <w:rFonts w:eastAsia="Times" w:cs="Arial"/>
          <w:b/>
          <w:szCs w:val="20"/>
          <w:lang w:val="en-US"/>
        </w:rPr>
        <w:t>.</w:t>
      </w:r>
      <w:r w:rsidR="00F46845" w:rsidRPr="009F337B">
        <w:rPr>
          <w:rFonts w:eastAsia="Times" w:cs="Arial"/>
          <w:b/>
          <w:szCs w:val="20"/>
          <w:lang w:val="en-US"/>
        </w:rPr>
        <w:t xml:space="preserve"> </w:t>
      </w:r>
      <w:r w:rsidR="00F3419F" w:rsidRPr="009F337B">
        <w:rPr>
          <w:rFonts w:eastAsia="Times" w:cs="Arial"/>
          <w:b/>
          <w:szCs w:val="20"/>
          <w:lang w:val="en-US"/>
        </w:rPr>
        <w:t>Analysis of the right to</w:t>
      </w:r>
      <w:r w:rsidR="00F46845" w:rsidRPr="009F337B">
        <w:rPr>
          <w:rFonts w:eastAsia="Times" w:cs="Arial"/>
          <w:b/>
          <w:szCs w:val="20"/>
          <w:lang w:val="en-US"/>
        </w:rPr>
        <w:t xml:space="preserve"> </w:t>
      </w:r>
      <w:r w:rsidR="003C46A3" w:rsidRPr="009F337B">
        <w:rPr>
          <w:rFonts w:eastAsia="Times" w:cs="Arial"/>
          <w:b/>
          <w:szCs w:val="20"/>
          <w:lang w:val="en-US"/>
        </w:rPr>
        <w:t>personal integrity</w:t>
      </w:r>
    </w:p>
    <w:p w14:paraId="11AC82D2" w14:textId="77777777" w:rsidR="008E387F" w:rsidRPr="009F337B" w:rsidRDefault="008E387F" w:rsidP="008E387F">
      <w:pPr>
        <w:widowControl w:val="0"/>
        <w:autoSpaceDE w:val="0"/>
        <w:autoSpaceDN w:val="0"/>
        <w:adjustRightInd w:val="0"/>
        <w:textAlignment w:val="baseline"/>
        <w:rPr>
          <w:rFonts w:eastAsia="Verdana"/>
          <w:bCs/>
          <w:szCs w:val="20"/>
          <w:lang w:val="en-US" w:eastAsia="x-none"/>
        </w:rPr>
      </w:pPr>
    </w:p>
    <w:p w14:paraId="66F53195" w14:textId="150D0E66" w:rsidR="00F46845" w:rsidRPr="009F337B" w:rsidRDefault="00FD5A63" w:rsidP="00593E37">
      <w:pPr>
        <w:pStyle w:val="Estilo1"/>
        <w:numPr>
          <w:ilvl w:val="0"/>
          <w:numId w:val="1"/>
        </w:numPr>
        <w:tabs>
          <w:tab w:val="left" w:pos="709"/>
          <w:tab w:val="left" w:pos="1134"/>
        </w:tabs>
        <w:spacing w:after="0"/>
        <w:ind w:left="0" w:right="-4" w:firstLine="0"/>
        <w:rPr>
          <w:rFonts w:eastAsia="Times" w:cs="Arial"/>
          <w:i w:val="0"/>
          <w:szCs w:val="20"/>
          <w:lang w:val="en-US"/>
        </w:rPr>
      </w:pPr>
      <w:r w:rsidRPr="009F337B">
        <w:rPr>
          <w:rFonts w:eastAsia="Times" w:cs="Arial"/>
          <w:i w:val="0"/>
          <w:szCs w:val="20"/>
          <w:lang w:val="en-US"/>
        </w:rPr>
        <w:t>T</w:t>
      </w:r>
      <w:r w:rsidR="00AE5F9E" w:rsidRPr="009F337B">
        <w:rPr>
          <w:rFonts w:eastAsia="Times" w:cs="Arial"/>
          <w:i w:val="0"/>
          <w:szCs w:val="20"/>
          <w:lang w:val="en-US"/>
        </w:rPr>
        <w:t>he American Convention</w:t>
      </w:r>
      <w:r w:rsidR="00F46845" w:rsidRPr="009F337B">
        <w:rPr>
          <w:rFonts w:eastAsiaTheme="minorHAnsi" w:cs="Arial"/>
          <w:i w:val="0"/>
          <w:szCs w:val="20"/>
          <w:lang w:val="en-US"/>
        </w:rPr>
        <w:t xml:space="preserve"> </w:t>
      </w:r>
      <w:r w:rsidRPr="009F337B">
        <w:rPr>
          <w:rFonts w:eastAsiaTheme="minorHAnsi" w:cs="Arial"/>
          <w:i w:val="0"/>
          <w:szCs w:val="20"/>
          <w:lang w:val="en-US"/>
        </w:rPr>
        <w:t xml:space="preserve">expressly recognizes a person’s right to physical and mental integrity, </w:t>
      </w:r>
      <w:r w:rsidR="005A0DBC" w:rsidRPr="009F337B">
        <w:rPr>
          <w:rFonts w:eastAsiaTheme="minorHAnsi" w:cs="Arial"/>
          <w:i w:val="0"/>
          <w:szCs w:val="20"/>
          <w:lang w:val="en-US"/>
        </w:rPr>
        <w:t>and the violation of this right “is a type of violation that has different degrees and […] its physical and mental effects vary in intensity according to endogenous and exogenous factors that must be proved in each specific situation.</w:t>
      </w:r>
      <w:r w:rsidR="00F46845" w:rsidRPr="009F337B">
        <w:rPr>
          <w:rFonts w:eastAsiaTheme="minorHAnsi" w:cs="Arial"/>
          <w:i w:val="0"/>
          <w:szCs w:val="20"/>
          <w:lang w:val="en-US"/>
        </w:rPr>
        <w:t>”</w:t>
      </w:r>
      <w:r w:rsidR="00F46845" w:rsidRPr="009F337B">
        <w:rPr>
          <w:i w:val="0"/>
          <w:szCs w:val="20"/>
          <w:vertAlign w:val="superscript"/>
          <w:lang w:val="en-US"/>
        </w:rPr>
        <w:footnoteReference w:id="187"/>
      </w:r>
      <w:r w:rsidR="00F46845" w:rsidRPr="009F337B">
        <w:rPr>
          <w:rFonts w:eastAsiaTheme="minorHAnsi" w:cs="Times New Roman"/>
          <w:i w:val="0"/>
          <w:szCs w:val="20"/>
          <w:lang w:val="en-US" w:eastAsia="es-CR"/>
        </w:rPr>
        <w:t xml:space="preserve"> </w:t>
      </w:r>
      <w:r w:rsidR="00AE5F9E" w:rsidRPr="009F337B">
        <w:rPr>
          <w:i w:val="0"/>
          <w:szCs w:val="20"/>
          <w:lang w:val="en-US" w:eastAsia="x-none"/>
        </w:rPr>
        <w:t>The Court</w:t>
      </w:r>
      <w:r w:rsidR="00F46845" w:rsidRPr="009F337B">
        <w:rPr>
          <w:i w:val="0"/>
          <w:szCs w:val="20"/>
          <w:lang w:val="en-US" w:eastAsia="x-none"/>
        </w:rPr>
        <w:t xml:space="preserve"> ha</w:t>
      </w:r>
      <w:r w:rsidR="005A0DBC" w:rsidRPr="009F337B">
        <w:rPr>
          <w:i w:val="0"/>
          <w:szCs w:val="20"/>
          <w:lang w:val="en-US" w:eastAsia="x-none"/>
        </w:rPr>
        <w:t>s</w:t>
      </w:r>
      <w:r w:rsidR="00F46845" w:rsidRPr="009F337B">
        <w:rPr>
          <w:i w:val="0"/>
          <w:szCs w:val="20"/>
          <w:lang w:val="en-US" w:eastAsia="x-none"/>
        </w:rPr>
        <w:t xml:space="preserve"> establ</w:t>
      </w:r>
      <w:r w:rsidR="005A0DBC" w:rsidRPr="009F337B">
        <w:rPr>
          <w:i w:val="0"/>
          <w:szCs w:val="20"/>
          <w:lang w:val="en-US" w:eastAsia="x-none"/>
        </w:rPr>
        <w:t xml:space="preserve">ished that </w:t>
      </w:r>
      <w:r w:rsidR="003C46A3" w:rsidRPr="009F337B">
        <w:rPr>
          <w:i w:val="0"/>
          <w:szCs w:val="20"/>
          <w:lang w:val="en-US" w:eastAsia="x-none"/>
        </w:rPr>
        <w:t>personal integrity</w:t>
      </w:r>
      <w:r w:rsidR="00F46845" w:rsidRPr="009F337B">
        <w:rPr>
          <w:i w:val="0"/>
          <w:szCs w:val="20"/>
          <w:lang w:val="en-US" w:eastAsia="x-none"/>
        </w:rPr>
        <w:t xml:space="preserve"> </w:t>
      </w:r>
      <w:r w:rsidR="005A0DBC" w:rsidRPr="009F337B">
        <w:rPr>
          <w:i w:val="0"/>
          <w:szCs w:val="20"/>
          <w:lang w:val="en-US" w:eastAsia="x-none"/>
        </w:rPr>
        <w:t>is directly and immediately connected to health care,</w:t>
      </w:r>
      <w:r w:rsidR="00F46845" w:rsidRPr="009F337B">
        <w:rPr>
          <w:i w:val="0"/>
          <w:szCs w:val="20"/>
          <w:vertAlign w:val="superscript"/>
          <w:lang w:val="en-US"/>
        </w:rPr>
        <w:footnoteReference w:id="188"/>
      </w:r>
      <w:r w:rsidR="003C46A3" w:rsidRPr="009F337B">
        <w:rPr>
          <w:i w:val="0"/>
          <w:szCs w:val="20"/>
          <w:lang w:val="en-US" w:eastAsia="x-none"/>
        </w:rPr>
        <w:t xml:space="preserve"> and </w:t>
      </w:r>
      <w:r w:rsidR="005A0DBC" w:rsidRPr="009F337B">
        <w:rPr>
          <w:i w:val="0"/>
          <w:szCs w:val="20"/>
          <w:lang w:val="en-US" w:eastAsia="x-none"/>
        </w:rPr>
        <w:t xml:space="preserve">that the lack of adequate medical care may entail the violation </w:t>
      </w:r>
      <w:r w:rsidR="003C46A3" w:rsidRPr="009F337B">
        <w:rPr>
          <w:i w:val="0"/>
          <w:szCs w:val="20"/>
          <w:lang w:val="en-US" w:eastAsia="x-none"/>
        </w:rPr>
        <w:t>of Article 5(1)</w:t>
      </w:r>
      <w:r w:rsidR="00AE5F9E" w:rsidRPr="009F337B">
        <w:rPr>
          <w:i w:val="0"/>
          <w:szCs w:val="20"/>
          <w:lang w:val="en-US" w:eastAsia="x-none"/>
        </w:rPr>
        <w:t xml:space="preserve"> of the </w:t>
      </w:r>
      <w:r w:rsidR="00AE5F9E" w:rsidRPr="009F337B">
        <w:rPr>
          <w:i w:val="0"/>
          <w:szCs w:val="20"/>
          <w:lang w:val="en-US" w:eastAsia="x-none"/>
        </w:rPr>
        <w:lastRenderedPageBreak/>
        <w:t>Convention</w:t>
      </w:r>
      <w:r w:rsidR="00E259BD" w:rsidRPr="009F337B">
        <w:rPr>
          <w:i w:val="0"/>
          <w:szCs w:val="20"/>
          <w:lang w:val="en-US" w:eastAsia="x-none"/>
        </w:rPr>
        <w:t>.</w:t>
      </w:r>
      <w:r w:rsidR="00F46845" w:rsidRPr="009F337B">
        <w:rPr>
          <w:rFonts w:cs="Verdana"/>
          <w:i w:val="0"/>
          <w:szCs w:val="20"/>
          <w:vertAlign w:val="superscript"/>
          <w:lang w:val="en-US"/>
        </w:rPr>
        <w:footnoteReference w:id="189"/>
      </w:r>
      <w:r w:rsidR="00E259BD" w:rsidRPr="009F337B">
        <w:rPr>
          <w:i w:val="0"/>
          <w:szCs w:val="20"/>
          <w:lang w:val="en-US" w:eastAsia="x-none"/>
        </w:rPr>
        <w:t xml:space="preserve"> In this regard, the Court has asserted that protection of the right to </w:t>
      </w:r>
      <w:r w:rsidR="003C46A3" w:rsidRPr="009F337B">
        <w:rPr>
          <w:i w:val="0"/>
          <w:szCs w:val="20"/>
          <w:lang w:val="en-US" w:eastAsia="x-none"/>
        </w:rPr>
        <w:t>personal integrity</w:t>
      </w:r>
      <w:r w:rsidR="00F46845" w:rsidRPr="009F337B">
        <w:rPr>
          <w:i w:val="0"/>
          <w:szCs w:val="20"/>
          <w:lang w:val="en-US" w:eastAsia="x-none"/>
        </w:rPr>
        <w:t xml:space="preserve"> sup</w:t>
      </w:r>
      <w:r w:rsidR="00E259BD" w:rsidRPr="009F337B">
        <w:rPr>
          <w:i w:val="0"/>
          <w:szCs w:val="20"/>
          <w:lang w:val="en-US" w:eastAsia="x-none"/>
        </w:rPr>
        <w:t>poses the regulation of health services within the domestic sphere, as well as implementation of a series of mechanisms to ensure that this regulation is effective.</w:t>
      </w:r>
      <w:r w:rsidR="00F46845" w:rsidRPr="009F337B">
        <w:rPr>
          <w:i w:val="0"/>
          <w:szCs w:val="20"/>
          <w:vertAlign w:val="superscript"/>
          <w:lang w:val="en-US"/>
        </w:rPr>
        <w:footnoteReference w:id="190"/>
      </w:r>
    </w:p>
    <w:p w14:paraId="1CF1AC9F" w14:textId="77777777" w:rsidR="008E387F" w:rsidRPr="009F337B" w:rsidRDefault="008E387F" w:rsidP="008E387F">
      <w:pPr>
        <w:pStyle w:val="Estilo1"/>
        <w:tabs>
          <w:tab w:val="left" w:pos="709"/>
          <w:tab w:val="left" w:pos="1134"/>
        </w:tabs>
        <w:spacing w:after="0"/>
        <w:ind w:left="0" w:right="-4" w:firstLine="0"/>
        <w:rPr>
          <w:rFonts w:eastAsia="Times" w:cs="Arial"/>
          <w:i w:val="0"/>
          <w:szCs w:val="20"/>
          <w:lang w:val="en-US"/>
        </w:rPr>
      </w:pPr>
    </w:p>
    <w:p w14:paraId="1F23368C" w14:textId="3BF2D761" w:rsidR="00F46845" w:rsidRPr="009F337B" w:rsidRDefault="000E73AE" w:rsidP="00593E37">
      <w:pPr>
        <w:pStyle w:val="Estilo1"/>
        <w:numPr>
          <w:ilvl w:val="0"/>
          <w:numId w:val="1"/>
        </w:numPr>
        <w:tabs>
          <w:tab w:val="left" w:pos="709"/>
          <w:tab w:val="left" w:pos="1134"/>
        </w:tabs>
        <w:spacing w:after="0"/>
        <w:ind w:left="0" w:right="-4" w:firstLine="0"/>
        <w:rPr>
          <w:rFonts w:eastAsia="Times" w:cs="Arial"/>
          <w:i w:val="0"/>
          <w:szCs w:val="20"/>
          <w:lang w:val="en-US"/>
        </w:rPr>
      </w:pPr>
      <w:r w:rsidRPr="009F337B">
        <w:rPr>
          <w:rFonts w:eastAsia="Times" w:cs="Arial"/>
          <w:i w:val="0"/>
          <w:szCs w:val="20"/>
          <w:lang w:val="en-US"/>
        </w:rPr>
        <w:t xml:space="preserve">In </w:t>
      </w:r>
      <w:r w:rsidR="00E259BD" w:rsidRPr="009F337B">
        <w:rPr>
          <w:rFonts w:eastAsia="Times" w:cs="Arial"/>
          <w:i w:val="0"/>
          <w:szCs w:val="20"/>
          <w:lang w:val="en-US"/>
        </w:rPr>
        <w:t>the instant case</w:t>
      </w:r>
      <w:r w:rsidR="00F46845" w:rsidRPr="009F337B">
        <w:rPr>
          <w:rFonts w:eastAsia="Times" w:cs="Arial"/>
          <w:i w:val="0"/>
          <w:szCs w:val="20"/>
          <w:lang w:val="en-US"/>
        </w:rPr>
        <w:t xml:space="preserve">, </w:t>
      </w:r>
      <w:r w:rsidR="00AE5F9E" w:rsidRPr="009F337B">
        <w:rPr>
          <w:rFonts w:eastAsia="Times" w:cs="Arial"/>
          <w:i w:val="0"/>
          <w:szCs w:val="20"/>
          <w:lang w:val="en-US"/>
        </w:rPr>
        <w:t>the Court</w:t>
      </w:r>
      <w:r w:rsidR="00F46845" w:rsidRPr="009F337B">
        <w:rPr>
          <w:rFonts w:eastAsia="Times" w:cs="Arial"/>
          <w:i w:val="0"/>
          <w:szCs w:val="20"/>
          <w:lang w:val="en-US"/>
        </w:rPr>
        <w:t xml:space="preserve"> </w:t>
      </w:r>
      <w:r w:rsidR="00E259BD" w:rsidRPr="009F337B">
        <w:rPr>
          <w:rFonts w:eastAsia="Times" w:cs="Arial"/>
          <w:i w:val="0"/>
          <w:szCs w:val="20"/>
          <w:lang w:val="en-US"/>
        </w:rPr>
        <w:t>notes that patients living with HIV may experience severe suffering as a result of the physical and mental effects of the opportunistic diseases, and from social factors resulting from their condition. As mentioned previously, adequate medical treatment and social support can mitigate both the physical and psychological aspects of this suffering</w:t>
      </w:r>
      <w:r w:rsidR="00F46845" w:rsidRPr="009F337B">
        <w:rPr>
          <w:rFonts w:eastAsia="Times" w:cs="Arial"/>
          <w:i w:val="0"/>
          <w:szCs w:val="20"/>
          <w:lang w:val="en-US"/>
        </w:rPr>
        <w:t xml:space="preserve">. </w:t>
      </w:r>
      <w:r w:rsidR="00E259BD" w:rsidRPr="009F337B">
        <w:rPr>
          <w:rFonts w:eastAsia="Times" w:cs="Arial"/>
          <w:i w:val="0"/>
          <w:szCs w:val="20"/>
          <w:lang w:val="en-US"/>
        </w:rPr>
        <w:t>In this regard, expert witness</w:t>
      </w:r>
      <w:r w:rsidR="00F46845" w:rsidRPr="009F337B">
        <w:rPr>
          <w:rFonts w:eastAsia="Times" w:cs="Arial"/>
          <w:i w:val="0"/>
          <w:szCs w:val="20"/>
          <w:lang w:val="en-US"/>
        </w:rPr>
        <w:t xml:space="preserve"> Olga Alicia Paz Bailey </w:t>
      </w:r>
      <w:r w:rsidR="00E259BD" w:rsidRPr="009F337B">
        <w:rPr>
          <w:rFonts w:eastAsia="Times" w:cs="Arial"/>
          <w:i w:val="0"/>
          <w:szCs w:val="20"/>
          <w:lang w:val="en-US"/>
        </w:rPr>
        <w:t xml:space="preserve">explained that the illnesses caused by </w:t>
      </w:r>
      <w:r w:rsidR="00CA11F6" w:rsidRPr="009F337B">
        <w:rPr>
          <w:rFonts w:eastAsia="Times" w:cs="Arial"/>
          <w:i w:val="0"/>
          <w:szCs w:val="20"/>
          <w:lang w:val="en-US"/>
        </w:rPr>
        <w:t>HIV/AIDS</w:t>
      </w:r>
      <w:r w:rsidR="00F46845" w:rsidRPr="009F337B">
        <w:rPr>
          <w:rFonts w:eastAsia="Times" w:cs="Arial"/>
          <w:i w:val="0"/>
          <w:szCs w:val="20"/>
          <w:lang w:val="en-US"/>
        </w:rPr>
        <w:t xml:space="preserve"> </w:t>
      </w:r>
      <w:r w:rsidR="00E259BD" w:rsidRPr="009F337B">
        <w:rPr>
          <w:rFonts w:eastAsia="Times" w:cs="Arial"/>
          <w:i w:val="0"/>
          <w:szCs w:val="20"/>
          <w:lang w:val="en-US"/>
        </w:rPr>
        <w:t xml:space="preserve">cause physical pain and prevent the realization of daily activities, </w:t>
      </w:r>
      <w:r w:rsidR="000532D0">
        <w:rPr>
          <w:rFonts w:eastAsia="Times" w:cs="Arial"/>
          <w:i w:val="0"/>
          <w:szCs w:val="20"/>
          <w:lang w:val="en-US"/>
        </w:rPr>
        <w:t>and this results in</w:t>
      </w:r>
      <w:r w:rsidR="00E259BD" w:rsidRPr="009F337B">
        <w:rPr>
          <w:rFonts w:eastAsia="Times" w:cs="Arial"/>
          <w:i w:val="0"/>
          <w:szCs w:val="20"/>
          <w:lang w:val="en-US"/>
        </w:rPr>
        <w:t xml:space="preserve"> the person being stigmatized and an object of social prejudices.</w:t>
      </w:r>
      <w:r w:rsidR="00F46845" w:rsidRPr="009F337B">
        <w:rPr>
          <w:rStyle w:val="Refdenotaalpie"/>
          <w:rFonts w:eastAsia="Times"/>
          <w:i w:val="0"/>
          <w:lang w:val="en-US"/>
        </w:rPr>
        <w:footnoteReference w:id="191"/>
      </w:r>
      <w:r w:rsidR="00F46845" w:rsidRPr="009F337B">
        <w:rPr>
          <w:rFonts w:eastAsia="Times" w:cs="Arial"/>
          <w:i w:val="0"/>
          <w:szCs w:val="20"/>
          <w:lang w:val="en-US"/>
        </w:rPr>
        <w:t xml:space="preserve"> </w:t>
      </w:r>
      <w:r w:rsidR="00E259BD" w:rsidRPr="009F337B">
        <w:rPr>
          <w:rFonts w:eastAsia="Times" w:cs="Arial"/>
          <w:i w:val="0"/>
          <w:szCs w:val="20"/>
          <w:lang w:val="en-US"/>
        </w:rPr>
        <w:t>In this way</w:t>
      </w:r>
      <w:r w:rsidR="00F46845" w:rsidRPr="009F337B">
        <w:rPr>
          <w:rFonts w:eastAsia="Times" w:cs="Arial"/>
          <w:i w:val="0"/>
          <w:szCs w:val="20"/>
          <w:lang w:val="en-US"/>
        </w:rPr>
        <w:t>:</w:t>
      </w:r>
    </w:p>
    <w:p w14:paraId="5DF6ED84" w14:textId="77777777" w:rsidR="008E387F" w:rsidRPr="009F337B" w:rsidRDefault="008E387F" w:rsidP="008E387F">
      <w:pPr>
        <w:pStyle w:val="Estilo1"/>
        <w:tabs>
          <w:tab w:val="left" w:pos="709"/>
          <w:tab w:val="left" w:pos="1134"/>
        </w:tabs>
        <w:spacing w:after="0"/>
        <w:ind w:left="0" w:right="-4" w:firstLine="0"/>
        <w:rPr>
          <w:rFonts w:eastAsia="Times" w:cs="Arial"/>
          <w:i w:val="0"/>
          <w:szCs w:val="20"/>
          <w:lang w:val="en-US"/>
        </w:rPr>
      </w:pPr>
    </w:p>
    <w:p w14:paraId="325CA907" w14:textId="6E3D72B0" w:rsidR="00F46845" w:rsidRPr="009F337B" w:rsidRDefault="00E259BD" w:rsidP="00605D86">
      <w:pPr>
        <w:widowControl w:val="0"/>
        <w:autoSpaceDE w:val="0"/>
        <w:autoSpaceDN w:val="0"/>
        <w:adjustRightInd w:val="0"/>
        <w:ind w:left="708" w:right="900"/>
        <w:contextualSpacing/>
        <w:textAlignment w:val="baseline"/>
        <w:rPr>
          <w:rFonts w:eastAsia="Times" w:cs="Arial"/>
          <w:sz w:val="18"/>
          <w:szCs w:val="18"/>
          <w:lang w:val="en-US"/>
        </w:rPr>
      </w:pPr>
      <w:r w:rsidRPr="009F337B">
        <w:rPr>
          <w:rFonts w:eastAsia="Times" w:cs="Arial"/>
          <w:sz w:val="18"/>
          <w:szCs w:val="18"/>
          <w:lang w:val="en-US"/>
        </w:rPr>
        <w:t xml:space="preserve">The physical </w:t>
      </w:r>
      <w:r w:rsidR="00605D86" w:rsidRPr="009F337B">
        <w:rPr>
          <w:rFonts w:eastAsia="Times" w:cs="Arial"/>
          <w:sz w:val="18"/>
          <w:szCs w:val="18"/>
          <w:lang w:val="en-US"/>
        </w:rPr>
        <w:t>ailments suffered by the individual</w:t>
      </w:r>
      <w:r w:rsidR="00F46845" w:rsidRPr="009F337B">
        <w:rPr>
          <w:rFonts w:eastAsia="Times" w:cs="Arial"/>
          <w:sz w:val="18"/>
          <w:szCs w:val="18"/>
          <w:lang w:val="en-US"/>
        </w:rPr>
        <w:t xml:space="preserve">: </w:t>
      </w:r>
      <w:r w:rsidR="00605D86" w:rsidRPr="009F337B">
        <w:rPr>
          <w:rFonts w:eastAsia="Times" w:cs="Arial"/>
          <w:sz w:val="18"/>
          <w:szCs w:val="18"/>
          <w:lang w:val="en-US"/>
        </w:rPr>
        <w:t xml:space="preserve">numbness in arms and legs, cramping, </w:t>
      </w:r>
      <w:r w:rsidR="00644442" w:rsidRPr="009F337B">
        <w:rPr>
          <w:rFonts w:eastAsia="Times" w:cs="Arial"/>
          <w:sz w:val="18"/>
          <w:szCs w:val="18"/>
          <w:lang w:val="en-US"/>
        </w:rPr>
        <w:t xml:space="preserve">the </w:t>
      </w:r>
      <w:r w:rsidR="00605D86" w:rsidRPr="009F337B">
        <w:rPr>
          <w:rFonts w:eastAsia="Times" w:cs="Arial"/>
          <w:sz w:val="18"/>
          <w:szCs w:val="18"/>
          <w:lang w:val="en-US"/>
        </w:rPr>
        <w:t>affected parts</w:t>
      </w:r>
      <w:r w:rsidR="00644442" w:rsidRPr="009F337B">
        <w:rPr>
          <w:rFonts w:eastAsia="Times" w:cs="Arial"/>
          <w:sz w:val="18"/>
          <w:szCs w:val="18"/>
          <w:lang w:val="en-US"/>
        </w:rPr>
        <w:t xml:space="preserve"> of the body</w:t>
      </w:r>
      <w:r w:rsidR="00605D86" w:rsidRPr="009F337B">
        <w:rPr>
          <w:rFonts w:eastAsia="Times" w:cs="Arial"/>
          <w:sz w:val="18"/>
          <w:szCs w:val="18"/>
          <w:lang w:val="en-US"/>
        </w:rPr>
        <w:t xml:space="preserve"> do not respond when the person wishes to move them, nausea, headaches, fever, </w:t>
      </w:r>
      <w:r w:rsidR="00BB39B6" w:rsidRPr="009F337B">
        <w:rPr>
          <w:rFonts w:eastAsia="Times" w:cs="Arial"/>
          <w:sz w:val="18"/>
          <w:szCs w:val="18"/>
          <w:lang w:val="en-US"/>
        </w:rPr>
        <w:t>diarrhea</w:t>
      </w:r>
      <w:r w:rsidR="00605D86" w:rsidRPr="009F337B">
        <w:rPr>
          <w:rFonts w:eastAsia="Times" w:cs="Arial"/>
          <w:sz w:val="18"/>
          <w:szCs w:val="18"/>
          <w:lang w:val="en-US"/>
        </w:rPr>
        <w:t>, tiredness, lack of physical strength, and the series of opportunistic diseaes that take advantage of the clinical conditions</w:t>
      </w:r>
      <w:r w:rsidR="000532D0">
        <w:rPr>
          <w:rFonts w:eastAsia="Times" w:cs="Arial"/>
          <w:sz w:val="18"/>
          <w:szCs w:val="18"/>
          <w:lang w:val="en-US"/>
        </w:rPr>
        <w:t>,</w:t>
      </w:r>
      <w:r w:rsidR="00605D86" w:rsidRPr="009F337B">
        <w:rPr>
          <w:rFonts w:eastAsia="Times" w:cs="Arial"/>
          <w:sz w:val="18"/>
          <w:szCs w:val="18"/>
          <w:lang w:val="en-US"/>
        </w:rPr>
        <w:t xml:space="preserve"> are the signs of an ailing body, which the patient will try and hide, because the stigma associated with HIV/AIDS condemns him to ma</w:t>
      </w:r>
      <w:r w:rsidR="00644442" w:rsidRPr="009F337B">
        <w:rPr>
          <w:rFonts w:eastAsia="Times" w:cs="Arial"/>
          <w:sz w:val="18"/>
          <w:szCs w:val="18"/>
          <w:lang w:val="en-US"/>
        </w:rPr>
        <w:t>r</w:t>
      </w:r>
      <w:r w:rsidR="00605D86" w:rsidRPr="009F337B">
        <w:rPr>
          <w:rFonts w:eastAsia="Times" w:cs="Arial"/>
          <w:sz w:val="18"/>
          <w:szCs w:val="18"/>
          <w:lang w:val="en-US"/>
        </w:rPr>
        <w:t>ginalization, exclusion and discr</w:t>
      </w:r>
      <w:r w:rsidR="00644442" w:rsidRPr="009F337B">
        <w:rPr>
          <w:rFonts w:eastAsia="Times" w:cs="Arial"/>
          <w:sz w:val="18"/>
          <w:szCs w:val="18"/>
          <w:lang w:val="en-US"/>
        </w:rPr>
        <w:t>i</w:t>
      </w:r>
      <w:r w:rsidR="00605D86" w:rsidRPr="009F337B">
        <w:rPr>
          <w:rFonts w:eastAsia="Times" w:cs="Arial"/>
          <w:sz w:val="18"/>
          <w:szCs w:val="18"/>
          <w:lang w:val="en-US"/>
        </w:rPr>
        <w:t>mination. At this stage, the physical suffering becomes psychological suffering: anguish, depression, guilt, shame.</w:t>
      </w:r>
      <w:r w:rsidR="00F46845" w:rsidRPr="009F337B">
        <w:rPr>
          <w:rStyle w:val="Refdenotaalpie"/>
          <w:rFonts w:eastAsia="Times"/>
          <w:sz w:val="18"/>
          <w:szCs w:val="18"/>
          <w:lang w:val="en-US"/>
        </w:rPr>
        <w:footnoteReference w:id="192"/>
      </w:r>
    </w:p>
    <w:p w14:paraId="799887C6" w14:textId="77777777" w:rsidR="008E387F" w:rsidRPr="009F337B" w:rsidRDefault="008E387F" w:rsidP="008E387F">
      <w:pPr>
        <w:widowControl w:val="0"/>
        <w:autoSpaceDE w:val="0"/>
        <w:autoSpaceDN w:val="0"/>
        <w:adjustRightInd w:val="0"/>
        <w:ind w:right="900"/>
        <w:contextualSpacing/>
        <w:textAlignment w:val="baseline"/>
        <w:rPr>
          <w:rFonts w:eastAsia="Times" w:cs="Arial"/>
          <w:sz w:val="16"/>
          <w:szCs w:val="16"/>
          <w:lang w:val="en-US"/>
        </w:rPr>
      </w:pPr>
    </w:p>
    <w:p w14:paraId="7BB85A6C" w14:textId="7C1BF1F8" w:rsidR="00892BF3" w:rsidRPr="009F337B" w:rsidRDefault="00605D86" w:rsidP="00593E37">
      <w:pPr>
        <w:pStyle w:val="Estilo1"/>
        <w:numPr>
          <w:ilvl w:val="0"/>
          <w:numId w:val="1"/>
        </w:numPr>
        <w:tabs>
          <w:tab w:val="left" w:pos="709"/>
          <w:tab w:val="left" w:pos="1134"/>
        </w:tabs>
        <w:spacing w:after="0"/>
        <w:ind w:left="0" w:right="-4" w:firstLine="0"/>
        <w:rPr>
          <w:rFonts w:eastAsia="Times" w:cs="Arial"/>
          <w:i w:val="0"/>
          <w:szCs w:val="20"/>
          <w:lang w:val="en-US"/>
        </w:rPr>
      </w:pPr>
      <w:r w:rsidRPr="009F337B">
        <w:rPr>
          <w:rFonts w:eastAsia="Times" w:cs="Arial"/>
          <w:i w:val="0"/>
          <w:szCs w:val="20"/>
          <w:lang w:val="en-US"/>
        </w:rPr>
        <w:t>Accordingly</w:t>
      </w:r>
      <w:r w:rsidR="00892BF3" w:rsidRPr="009F337B">
        <w:rPr>
          <w:rFonts w:eastAsia="Times" w:cs="Arial"/>
          <w:i w:val="0"/>
          <w:szCs w:val="20"/>
          <w:lang w:val="en-US"/>
        </w:rPr>
        <w:t xml:space="preserve">, </w:t>
      </w:r>
      <w:r w:rsidR="00AE5F9E" w:rsidRPr="009F337B">
        <w:rPr>
          <w:rFonts w:eastAsia="Times" w:cs="Arial"/>
          <w:i w:val="0"/>
          <w:szCs w:val="20"/>
          <w:lang w:val="en-US"/>
        </w:rPr>
        <w:t>the Court</w:t>
      </w:r>
      <w:r w:rsidR="00CB697A" w:rsidRPr="009F337B">
        <w:rPr>
          <w:rFonts w:eastAsia="Times" w:cs="Arial"/>
          <w:i w:val="0"/>
          <w:szCs w:val="20"/>
          <w:lang w:val="en-US"/>
        </w:rPr>
        <w:t xml:space="preserve"> </w:t>
      </w:r>
      <w:r w:rsidRPr="009F337B">
        <w:rPr>
          <w:rFonts w:eastAsia="Times" w:cs="Arial"/>
          <w:i w:val="0"/>
          <w:szCs w:val="20"/>
          <w:lang w:val="en-US"/>
        </w:rPr>
        <w:t xml:space="preserve">finds </w:t>
      </w:r>
      <w:r w:rsidR="00251D69" w:rsidRPr="009F337B">
        <w:rPr>
          <w:rFonts w:eastAsia="Times" w:cs="Arial"/>
          <w:i w:val="0"/>
          <w:szCs w:val="20"/>
          <w:lang w:val="en-US"/>
        </w:rPr>
        <w:t>it</w:t>
      </w:r>
      <w:r w:rsidRPr="009F337B">
        <w:rPr>
          <w:rFonts w:eastAsia="Times" w:cs="Arial"/>
          <w:i w:val="0"/>
          <w:szCs w:val="20"/>
          <w:lang w:val="en-US"/>
        </w:rPr>
        <w:t xml:space="preserve"> proved that </w:t>
      </w:r>
      <w:r w:rsidR="0086046D" w:rsidRPr="009F337B">
        <w:rPr>
          <w:rFonts w:eastAsia="Times" w:cs="Arial"/>
          <w:i w:val="0"/>
          <w:szCs w:val="20"/>
          <w:lang w:val="en-US"/>
        </w:rPr>
        <w:t>4</w:t>
      </w:r>
      <w:r w:rsidR="00085282" w:rsidRPr="009F337B">
        <w:rPr>
          <w:rFonts w:eastAsia="Times" w:cs="Arial"/>
          <w:i w:val="0"/>
          <w:szCs w:val="20"/>
          <w:lang w:val="en-US"/>
        </w:rPr>
        <w:t>6</w:t>
      </w:r>
      <w:r w:rsidR="00892BF3" w:rsidRPr="009F337B">
        <w:rPr>
          <w:rFonts w:eastAsia="Times" w:cs="Arial"/>
          <w:i w:val="0"/>
          <w:szCs w:val="20"/>
          <w:lang w:val="en-US"/>
        </w:rPr>
        <w:t xml:space="preserve"> </w:t>
      </w:r>
      <w:r w:rsidR="003C46A3" w:rsidRPr="009F337B">
        <w:rPr>
          <w:rFonts w:eastAsia="Times" w:cs="Arial"/>
          <w:i w:val="0"/>
          <w:szCs w:val="20"/>
          <w:lang w:val="en-US"/>
        </w:rPr>
        <w:t>presumed victims</w:t>
      </w:r>
      <w:r w:rsidR="00892BF3" w:rsidRPr="009F337B">
        <w:rPr>
          <w:rFonts w:eastAsia="Times" w:cs="Arial"/>
          <w:i w:val="0"/>
          <w:szCs w:val="20"/>
          <w:lang w:val="en-US"/>
        </w:rPr>
        <w:t xml:space="preserve"> suf</w:t>
      </w:r>
      <w:r w:rsidRPr="009F337B">
        <w:rPr>
          <w:rFonts w:eastAsia="Times" w:cs="Arial"/>
          <w:i w:val="0"/>
          <w:szCs w:val="20"/>
          <w:lang w:val="en-US"/>
        </w:rPr>
        <w:t>fered physical and mental effects as a result of their condition a</w:t>
      </w:r>
      <w:r w:rsidR="00251D69" w:rsidRPr="009F337B">
        <w:rPr>
          <w:rFonts w:eastAsia="Times" w:cs="Arial"/>
          <w:i w:val="0"/>
          <w:szCs w:val="20"/>
          <w:lang w:val="en-US"/>
        </w:rPr>
        <w:t>s</w:t>
      </w:r>
      <w:r w:rsidRPr="009F337B">
        <w:rPr>
          <w:rFonts w:eastAsia="Times" w:cs="Arial"/>
          <w:i w:val="0"/>
          <w:szCs w:val="20"/>
          <w:lang w:val="en-US"/>
        </w:rPr>
        <w:t xml:space="preserve"> people living with </w:t>
      </w:r>
      <w:r w:rsidR="00CA11F6" w:rsidRPr="009F337B">
        <w:rPr>
          <w:rFonts w:eastAsia="Times" w:cs="Arial"/>
          <w:i w:val="0"/>
          <w:szCs w:val="20"/>
          <w:lang w:val="en-US"/>
        </w:rPr>
        <w:t>HIV</w:t>
      </w:r>
      <w:r w:rsidR="00892BF3" w:rsidRPr="009F337B">
        <w:rPr>
          <w:rFonts w:eastAsia="Times" w:cs="Arial"/>
          <w:i w:val="0"/>
          <w:szCs w:val="20"/>
          <w:lang w:val="en-US"/>
        </w:rPr>
        <w:t>.</w:t>
      </w:r>
      <w:r w:rsidRPr="009F337B">
        <w:rPr>
          <w:rFonts w:eastAsia="Times" w:cs="Arial"/>
          <w:i w:val="0"/>
          <w:szCs w:val="20"/>
          <w:lang w:val="en-US"/>
        </w:rPr>
        <w:t xml:space="preserve"> Therefore, for the reasons mentioned in the preceding section </w:t>
      </w:r>
      <w:r w:rsidR="00892BF3" w:rsidRPr="009F337B">
        <w:rPr>
          <w:rFonts w:eastAsia="Times" w:cs="Arial"/>
          <w:i w:val="0"/>
          <w:szCs w:val="20"/>
          <w:lang w:val="en-US"/>
        </w:rPr>
        <w:t>(</w:t>
      </w:r>
      <w:r w:rsidR="00892BF3" w:rsidRPr="009F337B">
        <w:rPr>
          <w:rFonts w:eastAsia="Times" w:cs="Arial"/>
          <w:szCs w:val="20"/>
          <w:lang w:val="en-US"/>
        </w:rPr>
        <w:t>supra</w:t>
      </w:r>
      <w:r w:rsidR="00892BF3" w:rsidRPr="009F337B">
        <w:rPr>
          <w:rFonts w:eastAsia="Times" w:cs="Arial"/>
          <w:i w:val="0"/>
          <w:szCs w:val="20"/>
          <w:lang w:val="en-US"/>
        </w:rPr>
        <w:t xml:space="preserve"> </w:t>
      </w:r>
      <w:r w:rsidR="00B63594" w:rsidRPr="009F337B">
        <w:rPr>
          <w:rFonts w:eastAsia="Times" w:cs="Arial"/>
          <w:i w:val="0"/>
          <w:szCs w:val="20"/>
          <w:lang w:val="en-US"/>
        </w:rPr>
        <w:t>paras.</w:t>
      </w:r>
      <w:r w:rsidR="00ED0957" w:rsidRPr="009F337B">
        <w:rPr>
          <w:rFonts w:eastAsia="Times" w:cs="Arial"/>
          <w:i w:val="0"/>
          <w:szCs w:val="20"/>
          <w:lang w:val="en-US"/>
        </w:rPr>
        <w:t xml:space="preserve"> 119</w:t>
      </w:r>
      <w:r w:rsidR="003C46A3" w:rsidRPr="009F337B">
        <w:rPr>
          <w:rFonts w:eastAsia="Times" w:cs="Arial"/>
          <w:i w:val="0"/>
          <w:szCs w:val="20"/>
          <w:lang w:val="en-US"/>
        </w:rPr>
        <w:t xml:space="preserve"> and </w:t>
      </w:r>
      <w:r w:rsidR="00ED0957" w:rsidRPr="009F337B">
        <w:rPr>
          <w:rFonts w:eastAsia="Times" w:cs="Arial"/>
          <w:i w:val="0"/>
          <w:szCs w:val="20"/>
          <w:lang w:val="en-US"/>
        </w:rPr>
        <w:t>126</w:t>
      </w:r>
      <w:r w:rsidR="00892BF3" w:rsidRPr="009F337B">
        <w:rPr>
          <w:rFonts w:eastAsia="Times" w:cs="Arial"/>
          <w:i w:val="0"/>
          <w:szCs w:val="20"/>
          <w:lang w:val="en-US"/>
        </w:rPr>
        <w:t xml:space="preserve">), </w:t>
      </w:r>
      <w:r w:rsidR="008C399E" w:rsidRPr="009F337B">
        <w:rPr>
          <w:rFonts w:eastAsia="Times" w:cs="Arial"/>
          <w:i w:val="0"/>
          <w:szCs w:val="20"/>
          <w:lang w:val="en-US"/>
        </w:rPr>
        <w:t>the Court</w:t>
      </w:r>
      <w:r w:rsidR="00892BF3" w:rsidRPr="009F337B">
        <w:rPr>
          <w:rFonts w:eastAsia="Times" w:cs="Arial"/>
          <w:i w:val="0"/>
          <w:szCs w:val="20"/>
          <w:lang w:val="en-US"/>
        </w:rPr>
        <w:t xml:space="preserve"> </w:t>
      </w:r>
      <w:r w:rsidRPr="009F337B">
        <w:rPr>
          <w:rFonts w:eastAsia="Times" w:cs="Arial"/>
          <w:i w:val="0"/>
          <w:szCs w:val="20"/>
          <w:lang w:val="en-US"/>
        </w:rPr>
        <w:t xml:space="preserve">notes the existence of a causal </w:t>
      </w:r>
      <w:r w:rsidR="00C157AF" w:rsidRPr="009F337B">
        <w:rPr>
          <w:rFonts w:eastAsia="Times" w:cs="Arial"/>
          <w:i w:val="0"/>
          <w:szCs w:val="20"/>
          <w:lang w:val="en-US"/>
        </w:rPr>
        <w:t>n</w:t>
      </w:r>
      <w:r w:rsidRPr="009F337B">
        <w:rPr>
          <w:rFonts w:eastAsia="Times" w:cs="Arial"/>
          <w:i w:val="0"/>
          <w:szCs w:val="20"/>
          <w:lang w:val="en-US"/>
        </w:rPr>
        <w:t xml:space="preserve">exus between the lack of </w:t>
      </w:r>
      <w:r w:rsidR="00C157AF" w:rsidRPr="009F337B">
        <w:rPr>
          <w:rFonts w:eastAsia="Times" w:cs="Arial"/>
          <w:i w:val="0"/>
          <w:szCs w:val="20"/>
          <w:lang w:val="en-US"/>
        </w:rPr>
        <w:t>adequate medical treatment for</w:t>
      </w:r>
      <w:r w:rsidR="00CC6A68" w:rsidRPr="009F337B">
        <w:rPr>
          <w:rFonts w:eastAsia="Times" w:cs="Arial"/>
          <w:i w:val="0"/>
          <w:szCs w:val="20"/>
          <w:lang w:val="en-US"/>
        </w:rPr>
        <w:t xml:space="preserve"> the </w:t>
      </w:r>
      <w:r w:rsidR="00A00EE5" w:rsidRPr="009F337B">
        <w:rPr>
          <w:rFonts w:eastAsia="Times" w:cs="Arial"/>
          <w:i w:val="0"/>
          <w:szCs w:val="20"/>
          <w:lang w:val="en-US"/>
        </w:rPr>
        <w:t>presumed</w:t>
      </w:r>
      <w:r w:rsidR="003C46A3" w:rsidRPr="009F337B">
        <w:rPr>
          <w:rFonts w:eastAsia="Times" w:cs="Arial"/>
          <w:i w:val="0"/>
          <w:szCs w:val="20"/>
          <w:lang w:val="en-US"/>
        </w:rPr>
        <w:t xml:space="preserve"> victims</w:t>
      </w:r>
      <w:r w:rsidR="00892BF3" w:rsidRPr="009F337B">
        <w:rPr>
          <w:rFonts w:eastAsia="Times" w:cs="Arial"/>
          <w:i w:val="0"/>
          <w:szCs w:val="20"/>
          <w:lang w:val="en-US"/>
        </w:rPr>
        <w:t>,</w:t>
      </w:r>
      <w:r w:rsidR="003C46A3" w:rsidRPr="009F337B">
        <w:rPr>
          <w:rFonts w:eastAsia="Times" w:cs="Arial"/>
          <w:i w:val="0"/>
          <w:szCs w:val="20"/>
          <w:lang w:val="en-US"/>
        </w:rPr>
        <w:t xml:space="preserve"> and </w:t>
      </w:r>
      <w:r w:rsidR="00C157AF" w:rsidRPr="009F337B">
        <w:rPr>
          <w:rFonts w:eastAsia="Times" w:cs="Arial"/>
          <w:i w:val="0"/>
          <w:szCs w:val="20"/>
          <w:lang w:val="en-US"/>
        </w:rPr>
        <w:t xml:space="preserve">the physical and mental effects they suffered as </w:t>
      </w:r>
      <w:r w:rsidR="00080A1E" w:rsidRPr="009F337B">
        <w:rPr>
          <w:rFonts w:eastAsia="Times" w:cs="Arial"/>
          <w:i w:val="0"/>
          <w:szCs w:val="20"/>
          <w:lang w:val="en-US"/>
        </w:rPr>
        <w:t>people living with HIV</w:t>
      </w:r>
      <w:r w:rsidR="00892BF3" w:rsidRPr="009F337B">
        <w:rPr>
          <w:rFonts w:eastAsia="Times" w:cs="Arial"/>
          <w:i w:val="0"/>
          <w:szCs w:val="20"/>
          <w:lang w:val="en-US"/>
        </w:rPr>
        <w:t xml:space="preserve">. </w:t>
      </w:r>
      <w:r w:rsidR="00C157AF" w:rsidRPr="009F337B">
        <w:rPr>
          <w:rFonts w:eastAsia="Times" w:cs="Arial"/>
          <w:i w:val="0"/>
          <w:szCs w:val="20"/>
          <w:lang w:val="en-US"/>
        </w:rPr>
        <w:t>Indeed</w:t>
      </w:r>
      <w:r w:rsidR="00892BF3" w:rsidRPr="009F337B">
        <w:rPr>
          <w:rFonts w:eastAsia="Times" w:cs="Arial"/>
          <w:i w:val="0"/>
          <w:szCs w:val="20"/>
          <w:lang w:val="en-US"/>
        </w:rPr>
        <w:t xml:space="preserve">, </w:t>
      </w:r>
      <w:r w:rsidR="003C46A3" w:rsidRPr="009F337B">
        <w:rPr>
          <w:rFonts w:eastAsia="Times" w:cs="Arial"/>
          <w:i w:val="0"/>
          <w:szCs w:val="20"/>
          <w:lang w:val="en-US"/>
        </w:rPr>
        <w:t>the State</w:t>
      </w:r>
      <w:r w:rsidR="00892BF3" w:rsidRPr="009F337B">
        <w:rPr>
          <w:rFonts w:eastAsia="Times" w:cs="Arial"/>
          <w:i w:val="0"/>
          <w:szCs w:val="20"/>
          <w:lang w:val="en-US"/>
        </w:rPr>
        <w:t xml:space="preserve">, </w:t>
      </w:r>
      <w:r w:rsidR="00C157AF" w:rsidRPr="009F337B">
        <w:rPr>
          <w:rFonts w:eastAsia="Times" w:cs="Arial"/>
          <w:i w:val="0"/>
          <w:szCs w:val="20"/>
          <w:lang w:val="en-US"/>
        </w:rPr>
        <w:t xml:space="preserve">by failing to ensure </w:t>
      </w:r>
      <w:r w:rsidR="00CB1D32" w:rsidRPr="009F337B">
        <w:rPr>
          <w:rFonts w:eastAsia="Times" w:cs="Arial"/>
          <w:i w:val="0"/>
          <w:szCs w:val="20"/>
          <w:lang w:val="en-US"/>
        </w:rPr>
        <w:t>antiretroviral therapy</w:t>
      </w:r>
      <w:r w:rsidR="00892BF3" w:rsidRPr="009F337B">
        <w:rPr>
          <w:rFonts w:eastAsia="Times" w:cs="Arial"/>
          <w:i w:val="0"/>
          <w:szCs w:val="20"/>
          <w:lang w:val="en-US"/>
        </w:rPr>
        <w:t xml:space="preserve">, </w:t>
      </w:r>
      <w:r w:rsidR="00C157AF" w:rsidRPr="009F337B">
        <w:rPr>
          <w:rFonts w:eastAsia="Times" w:cs="Arial"/>
          <w:i w:val="0"/>
          <w:szCs w:val="20"/>
          <w:lang w:val="en-US"/>
        </w:rPr>
        <w:t xml:space="preserve">perform the corresponding diagnostic tests, and provide social support, which could have allowed </w:t>
      </w:r>
      <w:r w:rsidR="00A00EE5" w:rsidRPr="009F337B">
        <w:rPr>
          <w:rFonts w:eastAsia="Times" w:cs="Arial"/>
          <w:i w:val="0"/>
          <w:szCs w:val="20"/>
          <w:lang w:val="en-US"/>
        </w:rPr>
        <w:t>the presumed</w:t>
      </w:r>
      <w:r w:rsidR="003C46A3" w:rsidRPr="009F337B">
        <w:rPr>
          <w:rFonts w:eastAsia="Times" w:cs="Arial"/>
          <w:i w:val="0"/>
          <w:szCs w:val="20"/>
          <w:lang w:val="en-US"/>
        </w:rPr>
        <w:t xml:space="preserve"> victims</w:t>
      </w:r>
      <w:r w:rsidR="00892BF3" w:rsidRPr="009F337B">
        <w:rPr>
          <w:rFonts w:eastAsia="Times" w:cs="Arial"/>
          <w:i w:val="0"/>
          <w:szCs w:val="20"/>
          <w:lang w:val="en-US"/>
        </w:rPr>
        <w:t xml:space="preserve"> </w:t>
      </w:r>
      <w:r w:rsidR="00C157AF" w:rsidRPr="009F337B">
        <w:rPr>
          <w:rFonts w:eastAsia="Times" w:cs="Arial"/>
          <w:i w:val="0"/>
          <w:szCs w:val="20"/>
          <w:lang w:val="en-US"/>
        </w:rPr>
        <w:t xml:space="preserve">to </w:t>
      </w:r>
      <w:r w:rsidR="00892BF3" w:rsidRPr="009F337B">
        <w:rPr>
          <w:rFonts w:eastAsia="Times" w:cs="Arial"/>
          <w:i w:val="0"/>
          <w:szCs w:val="20"/>
          <w:lang w:val="en-US"/>
        </w:rPr>
        <w:t>mitiga</w:t>
      </w:r>
      <w:r w:rsidR="00C157AF" w:rsidRPr="009F337B">
        <w:rPr>
          <w:rFonts w:eastAsia="Times" w:cs="Arial"/>
          <w:i w:val="0"/>
          <w:szCs w:val="20"/>
          <w:lang w:val="en-US"/>
        </w:rPr>
        <w:t>te</w:t>
      </w:r>
      <w:r w:rsidR="00892BF3" w:rsidRPr="009F337B">
        <w:rPr>
          <w:rFonts w:eastAsia="Times" w:cs="Arial"/>
          <w:i w:val="0"/>
          <w:szCs w:val="20"/>
          <w:lang w:val="en-US"/>
        </w:rPr>
        <w:t xml:space="preserve"> o</w:t>
      </w:r>
      <w:r w:rsidR="00C157AF" w:rsidRPr="009F337B">
        <w:rPr>
          <w:rFonts w:eastAsia="Times" w:cs="Arial"/>
          <w:i w:val="0"/>
          <w:szCs w:val="20"/>
          <w:lang w:val="en-US"/>
        </w:rPr>
        <w:t>r</w:t>
      </w:r>
      <w:r w:rsidR="00892BF3" w:rsidRPr="009F337B">
        <w:rPr>
          <w:rFonts w:eastAsia="Times" w:cs="Arial"/>
          <w:i w:val="0"/>
          <w:szCs w:val="20"/>
          <w:lang w:val="en-US"/>
        </w:rPr>
        <w:t xml:space="preserve"> elimina</w:t>
      </w:r>
      <w:r w:rsidR="00C157AF" w:rsidRPr="009F337B">
        <w:rPr>
          <w:rFonts w:eastAsia="Times" w:cs="Arial"/>
          <w:i w:val="0"/>
          <w:szCs w:val="20"/>
          <w:lang w:val="en-US"/>
        </w:rPr>
        <w:t>te the endogenous and exogenous factors that were the cause of their physical and mental suffering arising from the</w:t>
      </w:r>
      <w:r w:rsidR="00251D69" w:rsidRPr="009F337B">
        <w:rPr>
          <w:rFonts w:eastAsia="Times" w:cs="Arial"/>
          <w:i w:val="0"/>
          <w:szCs w:val="20"/>
          <w:lang w:val="en-US"/>
        </w:rPr>
        <w:t>ir</w:t>
      </w:r>
      <w:r w:rsidR="00C157AF" w:rsidRPr="009F337B">
        <w:rPr>
          <w:rFonts w:eastAsia="Times" w:cs="Arial"/>
          <w:i w:val="0"/>
          <w:szCs w:val="20"/>
          <w:lang w:val="en-US"/>
        </w:rPr>
        <w:t xml:space="preserve"> condition as </w:t>
      </w:r>
      <w:r w:rsidR="00080A1E" w:rsidRPr="009F337B">
        <w:rPr>
          <w:rFonts w:eastAsia="Times" w:cs="Arial"/>
          <w:i w:val="0"/>
          <w:szCs w:val="20"/>
          <w:lang w:val="en-US"/>
        </w:rPr>
        <w:t>people living with HIV</w:t>
      </w:r>
      <w:r w:rsidR="00892BF3" w:rsidRPr="009F337B">
        <w:rPr>
          <w:rFonts w:eastAsia="Times" w:cs="Arial"/>
          <w:i w:val="0"/>
          <w:szCs w:val="20"/>
          <w:lang w:val="en-US"/>
        </w:rPr>
        <w:t xml:space="preserve">, </w:t>
      </w:r>
      <w:r w:rsidR="00C157AF" w:rsidRPr="009F337B">
        <w:rPr>
          <w:rFonts w:eastAsia="Times" w:cs="Arial"/>
          <w:i w:val="0"/>
          <w:szCs w:val="20"/>
          <w:lang w:val="en-US"/>
        </w:rPr>
        <w:t>i</w:t>
      </w:r>
      <w:r w:rsidR="00892BF3" w:rsidRPr="009F337B">
        <w:rPr>
          <w:rFonts w:eastAsia="Times" w:cs="Arial"/>
          <w:i w:val="0"/>
          <w:szCs w:val="20"/>
          <w:lang w:val="en-US"/>
        </w:rPr>
        <w:t>s respons</w:t>
      </w:r>
      <w:r w:rsidR="00C157AF" w:rsidRPr="009F337B">
        <w:rPr>
          <w:rFonts w:eastAsia="Times" w:cs="Arial"/>
          <w:i w:val="0"/>
          <w:szCs w:val="20"/>
          <w:lang w:val="en-US"/>
        </w:rPr>
        <w:t>i</w:t>
      </w:r>
      <w:r w:rsidR="00892BF3" w:rsidRPr="009F337B">
        <w:rPr>
          <w:rFonts w:eastAsia="Times" w:cs="Arial"/>
          <w:i w:val="0"/>
          <w:szCs w:val="20"/>
          <w:lang w:val="en-US"/>
        </w:rPr>
        <w:t xml:space="preserve">ble </w:t>
      </w:r>
      <w:r w:rsidR="00C157AF" w:rsidRPr="009F337B">
        <w:rPr>
          <w:rFonts w:eastAsia="Times" w:cs="Arial"/>
          <w:i w:val="0"/>
          <w:szCs w:val="20"/>
          <w:lang w:val="en-US"/>
        </w:rPr>
        <w:t xml:space="preserve">for </w:t>
      </w:r>
      <w:r w:rsidR="00251D69" w:rsidRPr="009F337B">
        <w:rPr>
          <w:rFonts w:eastAsia="Times" w:cs="Arial"/>
          <w:i w:val="0"/>
          <w:szCs w:val="20"/>
          <w:lang w:val="en-US"/>
        </w:rPr>
        <w:t>violating</w:t>
      </w:r>
      <w:r w:rsidR="00C157AF" w:rsidRPr="009F337B">
        <w:rPr>
          <w:rFonts w:eastAsia="Times" w:cs="Arial"/>
          <w:i w:val="0"/>
          <w:szCs w:val="20"/>
          <w:lang w:val="en-US"/>
        </w:rPr>
        <w:t xml:space="preserve"> their right to</w:t>
      </w:r>
      <w:r w:rsidR="00892BF3" w:rsidRPr="009F337B">
        <w:rPr>
          <w:rFonts w:eastAsia="Times" w:cs="Arial"/>
          <w:i w:val="0"/>
          <w:szCs w:val="20"/>
          <w:lang w:val="en-US"/>
        </w:rPr>
        <w:t xml:space="preserve"> </w:t>
      </w:r>
      <w:r w:rsidR="003C46A3" w:rsidRPr="009F337B">
        <w:rPr>
          <w:rFonts w:eastAsia="Times" w:cs="Arial"/>
          <w:i w:val="0"/>
          <w:szCs w:val="20"/>
          <w:lang w:val="en-US"/>
        </w:rPr>
        <w:t>personal integrity</w:t>
      </w:r>
      <w:r w:rsidR="00892BF3" w:rsidRPr="009F337B">
        <w:rPr>
          <w:rFonts w:eastAsia="Times" w:cs="Arial"/>
          <w:i w:val="0"/>
          <w:szCs w:val="20"/>
          <w:lang w:val="en-US"/>
        </w:rPr>
        <w:t xml:space="preserve">. </w:t>
      </w:r>
      <w:r w:rsidR="00C157AF" w:rsidRPr="009F337B">
        <w:rPr>
          <w:i w:val="0"/>
          <w:szCs w:val="20"/>
          <w:lang w:val="en-US"/>
        </w:rPr>
        <w:t>Consequently</w:t>
      </w:r>
      <w:r w:rsidR="00892BF3" w:rsidRPr="009F337B">
        <w:rPr>
          <w:i w:val="0"/>
          <w:szCs w:val="20"/>
          <w:lang w:val="en-US"/>
        </w:rPr>
        <w:t xml:space="preserve">, </w:t>
      </w:r>
      <w:r w:rsidR="003C46A3" w:rsidRPr="009F337B">
        <w:rPr>
          <w:i w:val="0"/>
          <w:szCs w:val="20"/>
          <w:lang w:val="en-US"/>
        </w:rPr>
        <w:t>the State</w:t>
      </w:r>
      <w:r w:rsidR="00892BF3" w:rsidRPr="009F337B">
        <w:rPr>
          <w:i w:val="0"/>
          <w:szCs w:val="20"/>
          <w:lang w:val="en-US"/>
        </w:rPr>
        <w:t xml:space="preserve"> </w:t>
      </w:r>
      <w:r w:rsidR="00C157AF" w:rsidRPr="009F337B">
        <w:rPr>
          <w:i w:val="0"/>
          <w:szCs w:val="20"/>
          <w:lang w:val="en-US"/>
        </w:rPr>
        <w:t xml:space="preserve">is responsible for the violation of the obligation to ensure the right to </w:t>
      </w:r>
      <w:r w:rsidR="003C46A3" w:rsidRPr="009F337B">
        <w:rPr>
          <w:i w:val="0"/>
          <w:szCs w:val="20"/>
          <w:lang w:val="en-US"/>
        </w:rPr>
        <w:t>personal integrity</w:t>
      </w:r>
      <w:r w:rsidR="00892BF3" w:rsidRPr="009F337B">
        <w:rPr>
          <w:i w:val="0"/>
          <w:szCs w:val="20"/>
          <w:lang w:val="en-US"/>
        </w:rPr>
        <w:t xml:space="preserve"> </w:t>
      </w:r>
      <w:r w:rsidR="00C157AF" w:rsidRPr="009F337B">
        <w:rPr>
          <w:i w:val="0"/>
          <w:szCs w:val="20"/>
          <w:lang w:val="en-US"/>
        </w:rPr>
        <w:t>recognized in</w:t>
      </w:r>
      <w:r w:rsidR="00892BF3" w:rsidRPr="009F337B">
        <w:rPr>
          <w:i w:val="0"/>
          <w:szCs w:val="20"/>
          <w:lang w:val="en-US"/>
        </w:rPr>
        <w:t xml:space="preserve"> </w:t>
      </w:r>
      <w:r w:rsidR="00AE5F9E" w:rsidRPr="009F337B">
        <w:rPr>
          <w:i w:val="0"/>
          <w:szCs w:val="20"/>
          <w:lang w:val="en-US"/>
        </w:rPr>
        <w:t>Article</w:t>
      </w:r>
      <w:r w:rsidR="003C46A3" w:rsidRPr="009F337B">
        <w:rPr>
          <w:i w:val="0"/>
          <w:szCs w:val="20"/>
          <w:lang w:val="en-US"/>
        </w:rPr>
        <w:t xml:space="preserve"> 5(1)</w:t>
      </w:r>
      <w:r w:rsidR="00AE5F9E" w:rsidRPr="009F337B">
        <w:rPr>
          <w:i w:val="0"/>
          <w:szCs w:val="20"/>
          <w:lang w:val="en-US"/>
        </w:rPr>
        <w:t xml:space="preserve"> of the American Convention</w:t>
      </w:r>
      <w:r w:rsidR="00CB697A" w:rsidRPr="009F337B">
        <w:rPr>
          <w:i w:val="0"/>
          <w:szCs w:val="20"/>
          <w:lang w:val="en-US"/>
        </w:rPr>
        <w:t xml:space="preserve"> </w:t>
      </w:r>
      <w:r w:rsidR="00C157AF" w:rsidRPr="009F337B">
        <w:rPr>
          <w:i w:val="0"/>
          <w:szCs w:val="20"/>
          <w:lang w:val="en-US"/>
        </w:rPr>
        <w:t>to the detriment of</w:t>
      </w:r>
      <w:r w:rsidR="00CB697A" w:rsidRPr="009F337B">
        <w:rPr>
          <w:i w:val="0"/>
          <w:szCs w:val="20"/>
          <w:lang w:val="en-US"/>
        </w:rPr>
        <w:t xml:space="preserve"> </w:t>
      </w:r>
      <w:r w:rsidR="0086046D" w:rsidRPr="009F337B">
        <w:rPr>
          <w:i w:val="0"/>
          <w:szCs w:val="20"/>
          <w:lang w:val="en-US"/>
        </w:rPr>
        <w:t>4</w:t>
      </w:r>
      <w:r w:rsidR="00085282" w:rsidRPr="009F337B">
        <w:rPr>
          <w:i w:val="0"/>
          <w:szCs w:val="20"/>
          <w:lang w:val="en-US"/>
        </w:rPr>
        <w:t>6</w:t>
      </w:r>
      <w:r w:rsidR="00892BF3" w:rsidRPr="009F337B">
        <w:rPr>
          <w:i w:val="0"/>
          <w:szCs w:val="20"/>
          <w:lang w:val="en-US"/>
        </w:rPr>
        <w:t xml:space="preserve"> </w:t>
      </w:r>
      <w:r w:rsidR="003C46A3" w:rsidRPr="009F337B">
        <w:rPr>
          <w:i w:val="0"/>
          <w:szCs w:val="20"/>
          <w:lang w:val="en-US"/>
        </w:rPr>
        <w:t>presumed victims</w:t>
      </w:r>
      <w:r w:rsidR="00BC5189" w:rsidRPr="009F337B">
        <w:rPr>
          <w:i w:val="0"/>
          <w:szCs w:val="20"/>
          <w:lang w:val="en-US"/>
        </w:rPr>
        <w:t xml:space="preserve"> </w:t>
      </w:r>
      <w:r w:rsidR="00C157AF" w:rsidRPr="009F337B">
        <w:rPr>
          <w:i w:val="0"/>
          <w:szCs w:val="20"/>
          <w:lang w:val="en-US"/>
        </w:rPr>
        <w:t>in this case.</w:t>
      </w:r>
      <w:r w:rsidR="00CB697A" w:rsidRPr="009F337B">
        <w:rPr>
          <w:rStyle w:val="Refdenotaalpie"/>
          <w:rFonts w:eastAsia="Times"/>
          <w:i w:val="0"/>
          <w:lang w:val="en-US"/>
        </w:rPr>
        <w:footnoteReference w:id="193"/>
      </w:r>
      <w:r w:rsidR="00C157AF" w:rsidRPr="009F337B">
        <w:rPr>
          <w:i w:val="0"/>
          <w:szCs w:val="20"/>
          <w:lang w:val="en-US"/>
        </w:rPr>
        <w:t xml:space="preserve"> Regarding the other </w:t>
      </w:r>
      <w:r w:rsidR="00BC5189" w:rsidRPr="009F337B">
        <w:rPr>
          <w:i w:val="0"/>
          <w:szCs w:val="20"/>
          <w:lang w:val="en-US"/>
        </w:rPr>
        <w:t xml:space="preserve"> </w:t>
      </w:r>
      <w:r w:rsidR="00A00EE5" w:rsidRPr="009F337B">
        <w:rPr>
          <w:i w:val="0"/>
          <w:szCs w:val="20"/>
          <w:lang w:val="en-US"/>
        </w:rPr>
        <w:t>presumed</w:t>
      </w:r>
      <w:r w:rsidR="003C46A3" w:rsidRPr="009F337B">
        <w:rPr>
          <w:i w:val="0"/>
          <w:szCs w:val="20"/>
          <w:lang w:val="en-US"/>
        </w:rPr>
        <w:t xml:space="preserve"> victims</w:t>
      </w:r>
      <w:r w:rsidR="00BC5189" w:rsidRPr="009F337B">
        <w:rPr>
          <w:i w:val="0"/>
          <w:szCs w:val="20"/>
          <w:lang w:val="en-US"/>
        </w:rPr>
        <w:t xml:space="preserve">, </w:t>
      </w:r>
      <w:r w:rsidR="00AE5F9E" w:rsidRPr="009F337B">
        <w:rPr>
          <w:i w:val="0"/>
          <w:szCs w:val="20"/>
          <w:lang w:val="en-US"/>
        </w:rPr>
        <w:t>the Court</w:t>
      </w:r>
      <w:r w:rsidR="00BC5189" w:rsidRPr="009F337B">
        <w:rPr>
          <w:i w:val="0"/>
          <w:szCs w:val="20"/>
          <w:lang w:val="en-US"/>
        </w:rPr>
        <w:t xml:space="preserve"> </w:t>
      </w:r>
      <w:r w:rsidR="00C157AF" w:rsidRPr="009F337B">
        <w:rPr>
          <w:i w:val="0"/>
          <w:szCs w:val="20"/>
          <w:lang w:val="en-US"/>
        </w:rPr>
        <w:t xml:space="preserve">lacks </w:t>
      </w:r>
      <w:r w:rsidR="00251D69" w:rsidRPr="009F337B">
        <w:rPr>
          <w:i w:val="0"/>
          <w:szCs w:val="20"/>
          <w:lang w:val="en-US"/>
        </w:rPr>
        <w:lastRenderedPageBreak/>
        <w:t>sufficient information</w:t>
      </w:r>
      <w:r w:rsidR="00C157AF" w:rsidRPr="009F337B">
        <w:rPr>
          <w:i w:val="0"/>
          <w:szCs w:val="20"/>
          <w:lang w:val="en-US"/>
        </w:rPr>
        <w:t xml:space="preserve"> to determine whether they suffered physical or mental effects as</w:t>
      </w:r>
      <w:r w:rsidR="00BC5189" w:rsidRPr="009F337B">
        <w:rPr>
          <w:i w:val="0"/>
          <w:szCs w:val="20"/>
          <w:lang w:val="en-US"/>
        </w:rPr>
        <w:t xml:space="preserve"> </w:t>
      </w:r>
      <w:r w:rsidR="00080A1E" w:rsidRPr="009F337B">
        <w:rPr>
          <w:i w:val="0"/>
          <w:szCs w:val="20"/>
          <w:lang w:val="en-US"/>
        </w:rPr>
        <w:t>people living with HIV</w:t>
      </w:r>
      <w:r w:rsidR="00C157AF" w:rsidRPr="009F337B">
        <w:rPr>
          <w:i w:val="0"/>
          <w:szCs w:val="20"/>
          <w:lang w:val="en-US"/>
        </w:rPr>
        <w:t>.</w:t>
      </w:r>
      <w:r w:rsidR="00CB697A" w:rsidRPr="009F337B">
        <w:rPr>
          <w:rStyle w:val="Refdenotaalpie"/>
          <w:rFonts w:eastAsia="Times"/>
          <w:i w:val="0"/>
          <w:lang w:val="en-US"/>
        </w:rPr>
        <w:footnoteReference w:id="194"/>
      </w:r>
    </w:p>
    <w:p w14:paraId="7958A749" w14:textId="77777777" w:rsidR="008E387F" w:rsidRPr="009F337B" w:rsidRDefault="008E387F" w:rsidP="008E387F">
      <w:pPr>
        <w:pStyle w:val="Estilo1"/>
        <w:tabs>
          <w:tab w:val="left" w:pos="709"/>
          <w:tab w:val="left" w:pos="1134"/>
        </w:tabs>
        <w:spacing w:after="0"/>
        <w:ind w:left="0" w:right="-4" w:firstLine="0"/>
        <w:rPr>
          <w:rFonts w:eastAsia="Times" w:cs="Arial"/>
          <w:i w:val="0"/>
          <w:szCs w:val="20"/>
          <w:lang w:val="en-US"/>
        </w:rPr>
      </w:pPr>
    </w:p>
    <w:p w14:paraId="51D91B94" w14:textId="009F4634" w:rsidR="00251D69" w:rsidRPr="006D056E" w:rsidRDefault="00640C52" w:rsidP="00593E37">
      <w:pPr>
        <w:pStyle w:val="Estilo1"/>
        <w:numPr>
          <w:ilvl w:val="0"/>
          <w:numId w:val="1"/>
        </w:numPr>
        <w:tabs>
          <w:tab w:val="left" w:pos="709"/>
          <w:tab w:val="left" w:pos="1134"/>
        </w:tabs>
        <w:spacing w:after="0"/>
        <w:ind w:left="0" w:right="-4" w:firstLine="0"/>
        <w:rPr>
          <w:rFonts w:eastAsia="Times" w:cs="Arial"/>
          <w:i w:val="0"/>
          <w:szCs w:val="20"/>
          <w:lang w:val="es-CR"/>
        </w:rPr>
      </w:pPr>
      <w:proofErr w:type="spellStart"/>
      <w:r w:rsidRPr="006D056E">
        <w:rPr>
          <w:i w:val="0"/>
          <w:szCs w:val="20"/>
          <w:lang w:val="es-CR"/>
        </w:rPr>
        <w:t>Consequently</w:t>
      </w:r>
      <w:proofErr w:type="spellEnd"/>
      <w:r w:rsidR="006A755B" w:rsidRPr="006D056E">
        <w:rPr>
          <w:i w:val="0"/>
          <w:szCs w:val="20"/>
          <w:lang w:val="es-CR"/>
        </w:rPr>
        <w:t xml:space="preserve">, </w:t>
      </w:r>
      <w:proofErr w:type="spellStart"/>
      <w:r w:rsidR="003C46A3" w:rsidRPr="006D056E">
        <w:rPr>
          <w:i w:val="0"/>
          <w:szCs w:val="20"/>
          <w:lang w:val="es-CR"/>
        </w:rPr>
        <w:t>the</w:t>
      </w:r>
      <w:proofErr w:type="spellEnd"/>
      <w:r w:rsidR="003C46A3" w:rsidRPr="006D056E">
        <w:rPr>
          <w:i w:val="0"/>
          <w:szCs w:val="20"/>
          <w:lang w:val="es-CR"/>
        </w:rPr>
        <w:t xml:space="preserve"> </w:t>
      </w:r>
      <w:proofErr w:type="spellStart"/>
      <w:r w:rsidR="003C46A3" w:rsidRPr="006D056E">
        <w:rPr>
          <w:i w:val="0"/>
          <w:szCs w:val="20"/>
          <w:lang w:val="es-CR"/>
        </w:rPr>
        <w:t>State</w:t>
      </w:r>
      <w:proofErr w:type="spellEnd"/>
      <w:r w:rsidR="006A755B" w:rsidRPr="006D056E">
        <w:rPr>
          <w:i w:val="0"/>
          <w:szCs w:val="20"/>
          <w:lang w:val="es-CR"/>
        </w:rPr>
        <w:t xml:space="preserve"> </w:t>
      </w:r>
      <w:proofErr w:type="spellStart"/>
      <w:r w:rsidRPr="006D056E">
        <w:rPr>
          <w:i w:val="0"/>
          <w:szCs w:val="20"/>
          <w:lang w:val="es-CR"/>
        </w:rPr>
        <w:t>is</w:t>
      </w:r>
      <w:proofErr w:type="spellEnd"/>
      <w:r w:rsidRPr="006D056E">
        <w:rPr>
          <w:i w:val="0"/>
          <w:szCs w:val="20"/>
          <w:lang w:val="es-CR"/>
        </w:rPr>
        <w:t xml:space="preserve"> </w:t>
      </w:r>
      <w:proofErr w:type="spellStart"/>
      <w:r w:rsidRPr="006D056E">
        <w:rPr>
          <w:i w:val="0"/>
          <w:szCs w:val="20"/>
          <w:lang w:val="es-CR"/>
        </w:rPr>
        <w:t>responsible</w:t>
      </w:r>
      <w:proofErr w:type="spellEnd"/>
      <w:r w:rsidRPr="006D056E">
        <w:rPr>
          <w:i w:val="0"/>
          <w:szCs w:val="20"/>
          <w:lang w:val="es-CR"/>
        </w:rPr>
        <w:t xml:space="preserve"> </w:t>
      </w:r>
      <w:proofErr w:type="spellStart"/>
      <w:r w:rsidRPr="006D056E">
        <w:rPr>
          <w:i w:val="0"/>
          <w:szCs w:val="20"/>
          <w:lang w:val="es-CR"/>
        </w:rPr>
        <w:t>for</w:t>
      </w:r>
      <w:proofErr w:type="spellEnd"/>
      <w:r w:rsidRPr="006D056E">
        <w:rPr>
          <w:i w:val="0"/>
          <w:szCs w:val="20"/>
          <w:lang w:val="es-CR"/>
        </w:rPr>
        <w:t xml:space="preserve"> </w:t>
      </w:r>
      <w:proofErr w:type="spellStart"/>
      <w:r w:rsidRPr="006D056E">
        <w:rPr>
          <w:i w:val="0"/>
          <w:szCs w:val="20"/>
          <w:lang w:val="es-CR"/>
        </w:rPr>
        <w:t>the</w:t>
      </w:r>
      <w:proofErr w:type="spellEnd"/>
      <w:r w:rsidRPr="006D056E">
        <w:rPr>
          <w:i w:val="0"/>
          <w:szCs w:val="20"/>
          <w:lang w:val="es-CR"/>
        </w:rPr>
        <w:t xml:space="preserve"> </w:t>
      </w:r>
      <w:proofErr w:type="spellStart"/>
      <w:r w:rsidRPr="006D056E">
        <w:rPr>
          <w:i w:val="0"/>
          <w:szCs w:val="20"/>
          <w:lang w:val="es-CR"/>
        </w:rPr>
        <w:t>violation</w:t>
      </w:r>
      <w:proofErr w:type="spellEnd"/>
      <w:r w:rsidRPr="006D056E">
        <w:rPr>
          <w:i w:val="0"/>
          <w:szCs w:val="20"/>
          <w:lang w:val="es-CR"/>
        </w:rPr>
        <w:t xml:space="preserve"> </w:t>
      </w:r>
      <w:proofErr w:type="spellStart"/>
      <w:r w:rsidRPr="006D056E">
        <w:rPr>
          <w:i w:val="0"/>
          <w:szCs w:val="20"/>
          <w:lang w:val="es-CR"/>
        </w:rPr>
        <w:t>of</w:t>
      </w:r>
      <w:proofErr w:type="spellEnd"/>
      <w:r w:rsidRPr="006D056E">
        <w:rPr>
          <w:i w:val="0"/>
          <w:szCs w:val="20"/>
          <w:lang w:val="es-CR"/>
        </w:rPr>
        <w:t xml:space="preserve"> </w:t>
      </w:r>
      <w:proofErr w:type="spellStart"/>
      <w:r w:rsidRPr="006D056E">
        <w:rPr>
          <w:i w:val="0"/>
          <w:szCs w:val="20"/>
          <w:lang w:val="es-CR"/>
        </w:rPr>
        <w:t>the</w:t>
      </w:r>
      <w:proofErr w:type="spellEnd"/>
      <w:r w:rsidRPr="006D056E">
        <w:rPr>
          <w:i w:val="0"/>
          <w:szCs w:val="20"/>
          <w:lang w:val="es-CR"/>
        </w:rPr>
        <w:t xml:space="preserve"> </w:t>
      </w:r>
      <w:proofErr w:type="spellStart"/>
      <w:r w:rsidRPr="006D056E">
        <w:rPr>
          <w:i w:val="0"/>
          <w:szCs w:val="20"/>
          <w:lang w:val="es-CR"/>
        </w:rPr>
        <w:t>obligation</w:t>
      </w:r>
      <w:proofErr w:type="spellEnd"/>
      <w:r w:rsidRPr="006D056E">
        <w:rPr>
          <w:i w:val="0"/>
          <w:szCs w:val="20"/>
          <w:lang w:val="es-CR"/>
        </w:rPr>
        <w:t xml:space="preserve"> </w:t>
      </w:r>
      <w:proofErr w:type="spellStart"/>
      <w:r w:rsidRPr="006D056E">
        <w:rPr>
          <w:i w:val="0"/>
          <w:szCs w:val="20"/>
          <w:lang w:val="es-CR"/>
        </w:rPr>
        <w:t>to</w:t>
      </w:r>
      <w:proofErr w:type="spellEnd"/>
      <w:r w:rsidRPr="006D056E">
        <w:rPr>
          <w:i w:val="0"/>
          <w:szCs w:val="20"/>
          <w:lang w:val="es-CR"/>
        </w:rPr>
        <w:t xml:space="preserve"> </w:t>
      </w:r>
      <w:proofErr w:type="spellStart"/>
      <w:r w:rsidRPr="006D056E">
        <w:rPr>
          <w:i w:val="0"/>
          <w:szCs w:val="20"/>
          <w:lang w:val="es-CR"/>
        </w:rPr>
        <w:t>ensure</w:t>
      </w:r>
      <w:proofErr w:type="spellEnd"/>
      <w:r w:rsidRPr="006D056E">
        <w:rPr>
          <w:i w:val="0"/>
          <w:szCs w:val="20"/>
          <w:lang w:val="es-CR"/>
        </w:rPr>
        <w:t xml:space="preserve"> </w:t>
      </w:r>
      <w:proofErr w:type="spellStart"/>
      <w:r w:rsidRPr="006D056E">
        <w:rPr>
          <w:i w:val="0"/>
          <w:szCs w:val="20"/>
          <w:lang w:val="es-CR"/>
        </w:rPr>
        <w:t>the</w:t>
      </w:r>
      <w:proofErr w:type="spellEnd"/>
      <w:r w:rsidRPr="006D056E">
        <w:rPr>
          <w:i w:val="0"/>
          <w:szCs w:val="20"/>
          <w:lang w:val="es-CR"/>
        </w:rPr>
        <w:t xml:space="preserve"> </w:t>
      </w:r>
      <w:proofErr w:type="spellStart"/>
      <w:r w:rsidRPr="006D056E">
        <w:rPr>
          <w:i w:val="0"/>
          <w:szCs w:val="20"/>
          <w:lang w:val="es-CR"/>
        </w:rPr>
        <w:t>right</w:t>
      </w:r>
      <w:proofErr w:type="spellEnd"/>
      <w:r w:rsidRPr="006D056E">
        <w:rPr>
          <w:i w:val="0"/>
          <w:szCs w:val="20"/>
          <w:lang w:val="es-CR"/>
        </w:rPr>
        <w:t xml:space="preserve"> </w:t>
      </w:r>
      <w:proofErr w:type="spellStart"/>
      <w:r w:rsidRPr="006D056E">
        <w:rPr>
          <w:i w:val="0"/>
          <w:szCs w:val="20"/>
          <w:lang w:val="es-CR"/>
        </w:rPr>
        <w:t>to</w:t>
      </w:r>
      <w:proofErr w:type="spellEnd"/>
      <w:r w:rsidRPr="006D056E">
        <w:rPr>
          <w:i w:val="0"/>
          <w:szCs w:val="20"/>
          <w:lang w:val="es-CR"/>
        </w:rPr>
        <w:t xml:space="preserve"> </w:t>
      </w:r>
      <w:r w:rsidR="003C46A3" w:rsidRPr="006D056E">
        <w:rPr>
          <w:i w:val="0"/>
          <w:szCs w:val="20"/>
          <w:lang w:val="es-CR"/>
        </w:rPr>
        <w:t xml:space="preserve">personal </w:t>
      </w:r>
      <w:proofErr w:type="spellStart"/>
      <w:r w:rsidR="003C46A3" w:rsidRPr="006D056E">
        <w:rPr>
          <w:i w:val="0"/>
          <w:szCs w:val="20"/>
          <w:lang w:val="es-CR"/>
        </w:rPr>
        <w:t>integrity</w:t>
      </w:r>
      <w:proofErr w:type="spellEnd"/>
      <w:r w:rsidR="006A755B" w:rsidRPr="006D056E">
        <w:rPr>
          <w:i w:val="0"/>
          <w:szCs w:val="20"/>
          <w:lang w:val="es-CR"/>
        </w:rPr>
        <w:t xml:space="preserve"> </w:t>
      </w:r>
      <w:proofErr w:type="spellStart"/>
      <w:r w:rsidR="00C157AF" w:rsidRPr="006D056E">
        <w:rPr>
          <w:i w:val="0"/>
          <w:szCs w:val="20"/>
          <w:lang w:val="es-CR"/>
        </w:rPr>
        <w:t>recognized</w:t>
      </w:r>
      <w:proofErr w:type="spellEnd"/>
      <w:r w:rsidRPr="006D056E">
        <w:rPr>
          <w:i w:val="0"/>
          <w:szCs w:val="20"/>
          <w:lang w:val="es-CR"/>
        </w:rPr>
        <w:t xml:space="preserve"> in</w:t>
      </w:r>
      <w:r w:rsidR="006A755B" w:rsidRPr="006D056E">
        <w:rPr>
          <w:i w:val="0"/>
          <w:szCs w:val="20"/>
          <w:lang w:val="es-CR"/>
        </w:rPr>
        <w:t xml:space="preserve"> </w:t>
      </w:r>
      <w:proofErr w:type="spellStart"/>
      <w:r w:rsidR="00AE5F9E" w:rsidRPr="006D056E">
        <w:rPr>
          <w:i w:val="0"/>
          <w:szCs w:val="20"/>
          <w:lang w:val="es-CR"/>
        </w:rPr>
        <w:t>Article</w:t>
      </w:r>
      <w:proofErr w:type="spellEnd"/>
      <w:r w:rsidR="003C46A3" w:rsidRPr="006D056E">
        <w:rPr>
          <w:i w:val="0"/>
          <w:szCs w:val="20"/>
          <w:lang w:val="es-CR"/>
        </w:rPr>
        <w:t xml:space="preserve"> 5(1)</w:t>
      </w:r>
      <w:r w:rsidR="00AE5F9E" w:rsidRPr="006D056E">
        <w:rPr>
          <w:i w:val="0"/>
          <w:szCs w:val="20"/>
          <w:lang w:val="es-CR"/>
        </w:rPr>
        <w:t xml:space="preserve"> </w:t>
      </w:r>
      <w:proofErr w:type="spellStart"/>
      <w:r w:rsidR="00AE5F9E" w:rsidRPr="006D056E">
        <w:rPr>
          <w:i w:val="0"/>
          <w:szCs w:val="20"/>
          <w:lang w:val="es-CR"/>
        </w:rPr>
        <w:t>of</w:t>
      </w:r>
      <w:proofErr w:type="spellEnd"/>
      <w:r w:rsidR="00AE5F9E" w:rsidRPr="006D056E">
        <w:rPr>
          <w:i w:val="0"/>
          <w:szCs w:val="20"/>
          <w:lang w:val="es-CR"/>
        </w:rPr>
        <w:t xml:space="preserve"> </w:t>
      </w:r>
      <w:proofErr w:type="spellStart"/>
      <w:r w:rsidR="00AE5F9E" w:rsidRPr="006D056E">
        <w:rPr>
          <w:i w:val="0"/>
          <w:szCs w:val="20"/>
          <w:lang w:val="es-CR"/>
        </w:rPr>
        <w:t>the</w:t>
      </w:r>
      <w:proofErr w:type="spellEnd"/>
      <w:r w:rsidR="00AE5F9E" w:rsidRPr="006D056E">
        <w:rPr>
          <w:i w:val="0"/>
          <w:szCs w:val="20"/>
          <w:lang w:val="es-CR"/>
        </w:rPr>
        <w:t xml:space="preserve"> American </w:t>
      </w:r>
      <w:proofErr w:type="spellStart"/>
      <w:r w:rsidR="00AE5F9E" w:rsidRPr="006D056E">
        <w:rPr>
          <w:i w:val="0"/>
          <w:szCs w:val="20"/>
          <w:lang w:val="es-CR"/>
        </w:rPr>
        <w:t>Convention</w:t>
      </w:r>
      <w:proofErr w:type="spellEnd"/>
      <w:r w:rsidR="00833D7D" w:rsidRPr="006D056E">
        <w:rPr>
          <w:i w:val="0"/>
          <w:szCs w:val="20"/>
          <w:lang w:val="es-CR"/>
        </w:rPr>
        <w:t xml:space="preserve"> </w:t>
      </w:r>
      <w:proofErr w:type="spellStart"/>
      <w:r w:rsidRPr="006D056E">
        <w:rPr>
          <w:i w:val="0"/>
          <w:szCs w:val="20"/>
          <w:lang w:val="es-CR"/>
        </w:rPr>
        <w:t>to</w:t>
      </w:r>
      <w:proofErr w:type="spellEnd"/>
      <w:r w:rsidRPr="006D056E">
        <w:rPr>
          <w:i w:val="0"/>
          <w:szCs w:val="20"/>
          <w:lang w:val="es-CR"/>
        </w:rPr>
        <w:t xml:space="preserve"> </w:t>
      </w:r>
      <w:proofErr w:type="spellStart"/>
      <w:r w:rsidRPr="006D056E">
        <w:rPr>
          <w:i w:val="0"/>
          <w:szCs w:val="20"/>
          <w:lang w:val="es-CR"/>
        </w:rPr>
        <w:t>the</w:t>
      </w:r>
      <w:proofErr w:type="spellEnd"/>
      <w:r w:rsidRPr="006D056E">
        <w:rPr>
          <w:i w:val="0"/>
          <w:szCs w:val="20"/>
          <w:lang w:val="es-CR"/>
        </w:rPr>
        <w:t xml:space="preserve"> </w:t>
      </w:r>
      <w:proofErr w:type="spellStart"/>
      <w:r w:rsidRPr="006D056E">
        <w:rPr>
          <w:i w:val="0"/>
          <w:szCs w:val="20"/>
          <w:lang w:val="es-CR"/>
        </w:rPr>
        <w:t>detriment</w:t>
      </w:r>
      <w:proofErr w:type="spellEnd"/>
      <w:r w:rsidRPr="006D056E">
        <w:rPr>
          <w:i w:val="0"/>
          <w:szCs w:val="20"/>
          <w:lang w:val="es-CR"/>
        </w:rPr>
        <w:t xml:space="preserve"> </w:t>
      </w:r>
      <w:proofErr w:type="spellStart"/>
      <w:r w:rsidRPr="006D056E">
        <w:rPr>
          <w:i w:val="0"/>
          <w:szCs w:val="20"/>
          <w:lang w:val="es-CR"/>
        </w:rPr>
        <w:t>of</w:t>
      </w:r>
      <w:proofErr w:type="spellEnd"/>
      <w:r w:rsidRPr="006D056E">
        <w:rPr>
          <w:i w:val="0"/>
          <w:szCs w:val="20"/>
          <w:lang w:val="es-CR"/>
        </w:rPr>
        <w:t xml:space="preserve">: </w:t>
      </w:r>
      <w:proofErr w:type="spellStart"/>
      <w:r w:rsidR="000F11CF" w:rsidRPr="006D056E">
        <w:rPr>
          <w:i w:val="0"/>
          <w:szCs w:val="20"/>
          <w:lang w:val="es-CR"/>
        </w:rPr>
        <w:t>Ismar</w:t>
      </w:r>
      <w:proofErr w:type="spellEnd"/>
      <w:r w:rsidR="000F11CF" w:rsidRPr="006D056E">
        <w:rPr>
          <w:i w:val="0"/>
          <w:szCs w:val="20"/>
          <w:lang w:val="es-CR"/>
        </w:rPr>
        <w:t xml:space="preserve"> Ramírez Chajón, José Cupertino Ramírez, Sebastián Emilio Dueñas, Julia Aguilar, Luis Rubén Isabel </w:t>
      </w:r>
      <w:proofErr w:type="spellStart"/>
      <w:r w:rsidR="00686413" w:rsidRPr="006D056E">
        <w:rPr>
          <w:i w:val="0"/>
          <w:szCs w:val="20"/>
          <w:lang w:val="es-CR"/>
        </w:rPr>
        <w:t>A</w:t>
      </w:r>
      <w:r w:rsidR="000F11CF" w:rsidRPr="006D056E">
        <w:rPr>
          <w:i w:val="0"/>
          <w:szCs w:val="20"/>
          <w:lang w:val="es-CR"/>
        </w:rPr>
        <w:t>lvarez</w:t>
      </w:r>
      <w:proofErr w:type="spellEnd"/>
      <w:r w:rsidR="000F11CF" w:rsidRPr="006D056E">
        <w:rPr>
          <w:i w:val="0"/>
          <w:szCs w:val="20"/>
          <w:lang w:val="es-CR"/>
        </w:rPr>
        <w:t xml:space="preserve"> Flores,</w:t>
      </w:r>
      <w:r w:rsidR="00686413" w:rsidRPr="006D056E">
        <w:rPr>
          <w:i w:val="0"/>
          <w:szCs w:val="20"/>
          <w:lang w:val="es-CR"/>
        </w:rPr>
        <w:t xml:space="preserve"> </w:t>
      </w:r>
      <w:proofErr w:type="spellStart"/>
      <w:r w:rsidR="00686413" w:rsidRPr="006D056E">
        <w:rPr>
          <w:i w:val="0"/>
          <w:szCs w:val="20"/>
          <w:lang w:val="es-CR"/>
        </w:rPr>
        <w:t>Saira</w:t>
      </w:r>
      <w:proofErr w:type="spellEnd"/>
      <w:r w:rsidR="00686413" w:rsidRPr="006D056E">
        <w:rPr>
          <w:i w:val="0"/>
          <w:szCs w:val="20"/>
          <w:lang w:val="es-CR"/>
        </w:rPr>
        <w:t xml:space="preserve"> Elisa Barrios, </w:t>
      </w:r>
      <w:proofErr w:type="spellStart"/>
      <w:r w:rsidR="00686413" w:rsidRPr="006D056E">
        <w:rPr>
          <w:i w:val="0"/>
          <w:szCs w:val="20"/>
          <w:lang w:val="es-CR"/>
        </w:rPr>
        <w:t>Fe</w:t>
      </w:r>
      <w:r w:rsidR="000F11CF" w:rsidRPr="006D056E">
        <w:rPr>
          <w:i w:val="0"/>
          <w:szCs w:val="20"/>
          <w:lang w:val="es-CR"/>
        </w:rPr>
        <w:t>lix</w:t>
      </w:r>
      <w:proofErr w:type="spellEnd"/>
      <w:r w:rsidR="000F11CF" w:rsidRPr="006D056E">
        <w:rPr>
          <w:i w:val="0"/>
          <w:szCs w:val="20"/>
          <w:lang w:val="es-CR"/>
        </w:rPr>
        <w:t xml:space="preserve"> de</w:t>
      </w:r>
      <w:r w:rsidR="00686413" w:rsidRPr="006D056E">
        <w:rPr>
          <w:i w:val="0"/>
          <w:szCs w:val="20"/>
          <w:lang w:val="es-CR"/>
        </w:rPr>
        <w:t xml:space="preserve"> Jesús Cabrera Morales, Cé</w:t>
      </w:r>
      <w:r w:rsidR="000F11CF" w:rsidRPr="006D056E">
        <w:rPr>
          <w:i w:val="0"/>
          <w:szCs w:val="20"/>
          <w:lang w:val="es-CR"/>
        </w:rPr>
        <w:t xml:space="preserve">sar Noé Cancinos Gómez, Aracely Cinto, Luis Rolando </w:t>
      </w:r>
      <w:proofErr w:type="spellStart"/>
      <w:r w:rsidR="000F11CF" w:rsidRPr="006D056E">
        <w:rPr>
          <w:i w:val="0"/>
          <w:szCs w:val="20"/>
          <w:lang w:val="es-CR"/>
        </w:rPr>
        <w:t>Cuscul</w:t>
      </w:r>
      <w:proofErr w:type="spellEnd"/>
      <w:r w:rsidR="000F11CF" w:rsidRPr="006D056E">
        <w:rPr>
          <w:i w:val="0"/>
          <w:szCs w:val="20"/>
          <w:lang w:val="es-CR"/>
        </w:rPr>
        <w:t xml:space="preserve"> Pivaral, María Felipe Pérez, </w:t>
      </w:r>
      <w:proofErr w:type="spellStart"/>
      <w:r w:rsidR="000F11CF" w:rsidRPr="006D056E">
        <w:rPr>
          <w:i w:val="0"/>
          <w:szCs w:val="20"/>
          <w:lang w:val="es-CR"/>
        </w:rPr>
        <w:t>Mardo</w:t>
      </w:r>
      <w:proofErr w:type="spellEnd"/>
      <w:r w:rsidR="000F11CF" w:rsidRPr="006D056E">
        <w:rPr>
          <w:i w:val="0"/>
          <w:szCs w:val="20"/>
          <w:lang w:val="es-CR"/>
        </w:rPr>
        <w:t xml:space="preserve"> Luis Hernández</w:t>
      </w:r>
      <w:r w:rsidR="003C46A3" w:rsidRPr="006D056E">
        <w:rPr>
          <w:i w:val="0"/>
          <w:szCs w:val="20"/>
          <w:lang w:val="es-CR"/>
        </w:rPr>
        <w:t xml:space="preserve"> and </w:t>
      </w:r>
      <w:r w:rsidR="000F11CF" w:rsidRPr="006D056E">
        <w:rPr>
          <w:i w:val="0"/>
          <w:szCs w:val="20"/>
          <w:lang w:val="es-CR"/>
        </w:rPr>
        <w:t xml:space="preserve">Hernández, Luis Armando Linares Ruano, Pascuala de Jesús Mérida Rodríguez, Darinel López Montes de Oca, </w:t>
      </w:r>
      <w:proofErr w:type="spellStart"/>
      <w:r w:rsidR="000F11CF" w:rsidRPr="006D056E">
        <w:rPr>
          <w:i w:val="0"/>
          <w:szCs w:val="20"/>
          <w:lang w:val="es-CR"/>
        </w:rPr>
        <w:t>Audencio</w:t>
      </w:r>
      <w:proofErr w:type="spellEnd"/>
      <w:r w:rsidR="000F11CF" w:rsidRPr="006D056E">
        <w:rPr>
          <w:i w:val="0"/>
          <w:szCs w:val="20"/>
          <w:lang w:val="es-CR"/>
        </w:rPr>
        <w:t xml:space="preserve"> Rodas Rodrígu</w:t>
      </w:r>
      <w:r w:rsidR="006511FF" w:rsidRPr="006D056E">
        <w:rPr>
          <w:i w:val="0"/>
          <w:szCs w:val="20"/>
          <w:lang w:val="es-CR"/>
        </w:rPr>
        <w:t>ez, Zoila Marina Pérez Ruí</w:t>
      </w:r>
      <w:r w:rsidR="000F11CF" w:rsidRPr="006D056E">
        <w:rPr>
          <w:i w:val="0"/>
          <w:szCs w:val="20"/>
          <w:lang w:val="es-CR"/>
        </w:rPr>
        <w:t xml:space="preserve">z, Santiago Francisco </w:t>
      </w:r>
      <w:proofErr w:type="spellStart"/>
      <w:r w:rsidR="000F11CF" w:rsidRPr="006D056E">
        <w:rPr>
          <w:i w:val="0"/>
          <w:szCs w:val="20"/>
          <w:lang w:val="es-CR"/>
        </w:rPr>
        <w:t>Valdéz</w:t>
      </w:r>
      <w:proofErr w:type="spellEnd"/>
      <w:r w:rsidR="000F11CF" w:rsidRPr="006D056E">
        <w:rPr>
          <w:i w:val="0"/>
          <w:szCs w:val="20"/>
          <w:lang w:val="es-CR"/>
        </w:rPr>
        <w:t xml:space="preserve"> Aguilar, Karen Judith Samayoa Vásquez, Francisco </w:t>
      </w:r>
      <w:proofErr w:type="spellStart"/>
      <w:r w:rsidR="000F11CF" w:rsidRPr="006D056E">
        <w:rPr>
          <w:i w:val="0"/>
          <w:szCs w:val="20"/>
          <w:lang w:val="es-CR"/>
        </w:rPr>
        <w:t>Sop</w:t>
      </w:r>
      <w:proofErr w:type="spellEnd"/>
      <w:r w:rsidR="000F11CF" w:rsidRPr="006D056E">
        <w:rPr>
          <w:i w:val="0"/>
          <w:szCs w:val="20"/>
          <w:lang w:val="es-CR"/>
        </w:rPr>
        <w:t xml:space="preserve"> </w:t>
      </w:r>
      <w:proofErr w:type="spellStart"/>
      <w:r w:rsidR="000F11CF" w:rsidRPr="006D056E">
        <w:rPr>
          <w:i w:val="0"/>
          <w:szCs w:val="20"/>
          <w:lang w:val="es-CR"/>
        </w:rPr>
        <w:t>Quiej</w:t>
      </w:r>
      <w:proofErr w:type="spellEnd"/>
      <w:r w:rsidR="000F11CF" w:rsidRPr="006D056E">
        <w:rPr>
          <w:i w:val="0"/>
          <w:szCs w:val="20"/>
          <w:lang w:val="es-CR"/>
        </w:rPr>
        <w:t xml:space="preserve">, Miguel Lucas </w:t>
      </w:r>
      <w:proofErr w:type="spellStart"/>
      <w:r w:rsidR="000F11CF" w:rsidRPr="006D056E">
        <w:rPr>
          <w:i w:val="0"/>
          <w:szCs w:val="20"/>
          <w:lang w:val="es-CR"/>
        </w:rPr>
        <w:t>Vaíl</w:t>
      </w:r>
      <w:proofErr w:type="spellEnd"/>
      <w:r w:rsidR="000F11CF" w:rsidRPr="006D056E">
        <w:rPr>
          <w:i w:val="0"/>
          <w:szCs w:val="20"/>
          <w:lang w:val="es-CR"/>
        </w:rPr>
        <w:t xml:space="preserve">, </w:t>
      </w:r>
      <w:r w:rsidR="006511FF" w:rsidRPr="006D056E">
        <w:rPr>
          <w:i w:val="0"/>
          <w:szCs w:val="20"/>
          <w:lang w:val="es-CR"/>
        </w:rPr>
        <w:t xml:space="preserve">Sandra </w:t>
      </w:r>
      <w:r w:rsidR="000F11CF" w:rsidRPr="006D056E">
        <w:rPr>
          <w:i w:val="0"/>
          <w:szCs w:val="20"/>
          <w:lang w:val="es-CR"/>
        </w:rPr>
        <w:t>Lisbeth Zepeda Herrera, Petrona López Robledo, Rita Mariana Dubón Orozco, Mar</w:t>
      </w:r>
      <w:r w:rsidR="009A64BF" w:rsidRPr="006D056E">
        <w:rPr>
          <w:i w:val="0"/>
          <w:szCs w:val="20"/>
          <w:lang w:val="es-CR"/>
        </w:rPr>
        <w:t>í</w:t>
      </w:r>
      <w:r w:rsidR="000F11CF" w:rsidRPr="006D056E">
        <w:rPr>
          <w:i w:val="0"/>
          <w:szCs w:val="20"/>
          <w:lang w:val="es-CR"/>
        </w:rPr>
        <w:t xml:space="preserve">a Blanca </w:t>
      </w:r>
      <w:proofErr w:type="spellStart"/>
      <w:r w:rsidR="000F11CF" w:rsidRPr="006D056E">
        <w:rPr>
          <w:i w:val="0"/>
          <w:szCs w:val="20"/>
          <w:lang w:val="es-CR"/>
        </w:rPr>
        <w:t>Va</w:t>
      </w:r>
      <w:r w:rsidR="006511FF" w:rsidRPr="006D056E">
        <w:rPr>
          <w:i w:val="0"/>
          <w:szCs w:val="20"/>
          <w:lang w:val="es-CR"/>
        </w:rPr>
        <w:t>í</w:t>
      </w:r>
      <w:r w:rsidR="000F11CF" w:rsidRPr="006D056E">
        <w:rPr>
          <w:i w:val="0"/>
          <w:szCs w:val="20"/>
          <w:lang w:val="es-CR"/>
        </w:rPr>
        <w:t>l</w:t>
      </w:r>
      <w:proofErr w:type="spellEnd"/>
      <w:r w:rsidR="000F11CF" w:rsidRPr="006D056E">
        <w:rPr>
          <w:i w:val="0"/>
          <w:szCs w:val="20"/>
          <w:lang w:val="es-CR"/>
        </w:rPr>
        <w:t xml:space="preserve"> López, José Rubén Delgado López</w:t>
      </w:r>
      <w:r w:rsidR="006511FF" w:rsidRPr="006D056E">
        <w:rPr>
          <w:i w:val="0"/>
          <w:szCs w:val="20"/>
          <w:lang w:val="es-CR"/>
        </w:rPr>
        <w:t>, Elsa Miriam Estrada Ruí</w:t>
      </w:r>
      <w:r w:rsidR="000F11CF" w:rsidRPr="006D056E">
        <w:rPr>
          <w:i w:val="0"/>
          <w:szCs w:val="20"/>
          <w:lang w:val="es-CR"/>
        </w:rPr>
        <w:t xml:space="preserve">z, Guadalupe </w:t>
      </w:r>
      <w:r w:rsidR="006511FF" w:rsidRPr="006D056E">
        <w:rPr>
          <w:i w:val="0"/>
          <w:szCs w:val="20"/>
          <w:lang w:val="es-CR"/>
        </w:rPr>
        <w:t xml:space="preserve">Herminia </w:t>
      </w:r>
      <w:proofErr w:type="spellStart"/>
      <w:r w:rsidR="006511FF" w:rsidRPr="006D056E">
        <w:rPr>
          <w:i w:val="0"/>
          <w:szCs w:val="20"/>
          <w:lang w:val="es-CR"/>
        </w:rPr>
        <w:t>Cayaxo</w:t>
      </w:r>
      <w:r w:rsidR="000F11CF" w:rsidRPr="006D056E">
        <w:rPr>
          <w:i w:val="0"/>
          <w:szCs w:val="20"/>
          <w:lang w:val="es-CR"/>
        </w:rPr>
        <w:t>n</w:t>
      </w:r>
      <w:proofErr w:type="spellEnd"/>
      <w:r w:rsidR="000F11CF" w:rsidRPr="006D056E">
        <w:rPr>
          <w:i w:val="0"/>
          <w:szCs w:val="20"/>
          <w:lang w:val="es-CR"/>
        </w:rPr>
        <w:t xml:space="preserve"> García, Juana </w:t>
      </w:r>
      <w:r w:rsidR="006511FF" w:rsidRPr="006D056E">
        <w:rPr>
          <w:i w:val="0"/>
          <w:szCs w:val="20"/>
          <w:lang w:val="es-CR"/>
        </w:rPr>
        <w:t xml:space="preserve">Aguilar, Melvin </w:t>
      </w:r>
      <w:proofErr w:type="spellStart"/>
      <w:r w:rsidR="006511FF" w:rsidRPr="006D056E">
        <w:rPr>
          <w:i w:val="0"/>
          <w:szCs w:val="20"/>
          <w:lang w:val="es-CR"/>
        </w:rPr>
        <w:t>Yovani</w:t>
      </w:r>
      <w:proofErr w:type="spellEnd"/>
      <w:r w:rsidR="006511FF" w:rsidRPr="006D056E">
        <w:rPr>
          <w:i w:val="0"/>
          <w:szCs w:val="20"/>
          <w:lang w:val="es-CR"/>
        </w:rPr>
        <w:t xml:space="preserve"> Ajtu</w:t>
      </w:r>
      <w:r w:rsidR="000F11CF" w:rsidRPr="006D056E">
        <w:rPr>
          <w:i w:val="0"/>
          <w:szCs w:val="20"/>
          <w:lang w:val="es-CR"/>
        </w:rPr>
        <w:t xml:space="preserve">n Escobar, Felipe </w:t>
      </w:r>
      <w:proofErr w:type="spellStart"/>
      <w:r w:rsidR="000F11CF" w:rsidRPr="006D056E">
        <w:rPr>
          <w:i w:val="0"/>
          <w:szCs w:val="20"/>
          <w:lang w:val="es-CR"/>
        </w:rPr>
        <w:t>Tebalan</w:t>
      </w:r>
      <w:proofErr w:type="spellEnd"/>
      <w:r w:rsidR="000F11CF" w:rsidRPr="006D056E">
        <w:rPr>
          <w:i w:val="0"/>
          <w:szCs w:val="20"/>
          <w:lang w:val="es-CR"/>
        </w:rPr>
        <w:t xml:space="preserve"> Ordo</w:t>
      </w:r>
      <w:r w:rsidR="006511FF" w:rsidRPr="006D056E">
        <w:rPr>
          <w:i w:val="0"/>
          <w:szCs w:val="20"/>
          <w:lang w:val="es-CR"/>
        </w:rPr>
        <w:t xml:space="preserve">ñez, Martina Candelaria </w:t>
      </w:r>
      <w:proofErr w:type="spellStart"/>
      <w:r w:rsidR="006511FF" w:rsidRPr="006D056E">
        <w:rPr>
          <w:i w:val="0"/>
          <w:szCs w:val="20"/>
          <w:lang w:val="es-CR"/>
        </w:rPr>
        <w:t>A</w:t>
      </w:r>
      <w:r w:rsidR="000F11CF" w:rsidRPr="006D056E">
        <w:rPr>
          <w:i w:val="0"/>
          <w:szCs w:val="20"/>
          <w:lang w:val="es-CR"/>
        </w:rPr>
        <w:t>lvarez</w:t>
      </w:r>
      <w:proofErr w:type="spellEnd"/>
      <w:r w:rsidR="000F11CF" w:rsidRPr="006D056E">
        <w:rPr>
          <w:i w:val="0"/>
          <w:szCs w:val="20"/>
          <w:lang w:val="es-CR"/>
        </w:rPr>
        <w:t xml:space="preserve"> Estrada, </w:t>
      </w:r>
      <w:proofErr w:type="spellStart"/>
      <w:r w:rsidR="000F11CF" w:rsidRPr="006D056E">
        <w:rPr>
          <w:i w:val="0"/>
          <w:szCs w:val="20"/>
          <w:lang w:val="es-CR"/>
        </w:rPr>
        <w:t>Ismerai</w:t>
      </w:r>
      <w:proofErr w:type="spellEnd"/>
      <w:r w:rsidR="000F11CF" w:rsidRPr="006D056E">
        <w:rPr>
          <w:i w:val="0"/>
          <w:szCs w:val="20"/>
          <w:lang w:val="es-CR"/>
        </w:rPr>
        <w:t xml:space="preserve"> </w:t>
      </w:r>
      <w:proofErr w:type="spellStart"/>
      <w:r w:rsidR="000F11CF" w:rsidRPr="006D056E">
        <w:rPr>
          <w:i w:val="0"/>
          <w:szCs w:val="20"/>
          <w:lang w:val="es-CR"/>
        </w:rPr>
        <w:t>Olibia</w:t>
      </w:r>
      <w:proofErr w:type="spellEnd"/>
      <w:r w:rsidR="000F11CF" w:rsidRPr="006D056E">
        <w:rPr>
          <w:i w:val="0"/>
          <w:szCs w:val="20"/>
          <w:lang w:val="es-CR"/>
        </w:rPr>
        <w:t xml:space="preserve"> García </w:t>
      </w:r>
      <w:proofErr w:type="spellStart"/>
      <w:r w:rsidR="000F11CF" w:rsidRPr="006D056E">
        <w:rPr>
          <w:i w:val="0"/>
          <w:szCs w:val="20"/>
          <w:lang w:val="es-CR"/>
        </w:rPr>
        <w:t>Castañon</w:t>
      </w:r>
      <w:proofErr w:type="spellEnd"/>
      <w:r w:rsidR="000F11CF" w:rsidRPr="006D056E">
        <w:rPr>
          <w:i w:val="0"/>
          <w:szCs w:val="20"/>
          <w:lang w:val="es-CR"/>
        </w:rPr>
        <w:t xml:space="preserve">, Santos </w:t>
      </w:r>
      <w:proofErr w:type="spellStart"/>
      <w:r w:rsidR="000F11CF" w:rsidRPr="006D056E">
        <w:rPr>
          <w:i w:val="0"/>
          <w:szCs w:val="20"/>
          <w:lang w:val="es-CR"/>
        </w:rPr>
        <w:t>Isacar</w:t>
      </w:r>
      <w:proofErr w:type="spellEnd"/>
      <w:r w:rsidR="000F11CF" w:rsidRPr="006D056E">
        <w:rPr>
          <w:i w:val="0"/>
          <w:szCs w:val="20"/>
          <w:lang w:val="es-CR"/>
        </w:rPr>
        <w:t xml:space="preserve"> Vásquez Barrios, Marta Alicia Maldonado Paz, Dora Marina Martínez </w:t>
      </w:r>
      <w:proofErr w:type="spellStart"/>
      <w:r w:rsidR="000F11CF" w:rsidRPr="006D056E">
        <w:rPr>
          <w:i w:val="0"/>
          <w:szCs w:val="20"/>
          <w:lang w:val="es-CR"/>
        </w:rPr>
        <w:t>Sofoifa</w:t>
      </w:r>
      <w:proofErr w:type="spellEnd"/>
      <w:r w:rsidR="000F11CF" w:rsidRPr="006D056E">
        <w:rPr>
          <w:i w:val="0"/>
          <w:szCs w:val="20"/>
          <w:lang w:val="es-CR"/>
        </w:rPr>
        <w:t xml:space="preserve">, Israel </w:t>
      </w:r>
      <w:proofErr w:type="spellStart"/>
      <w:r w:rsidR="000F11CF" w:rsidRPr="006D056E">
        <w:rPr>
          <w:i w:val="0"/>
          <w:szCs w:val="20"/>
          <w:lang w:val="es-CR"/>
        </w:rPr>
        <w:t>P</w:t>
      </w:r>
      <w:r w:rsidR="006511FF" w:rsidRPr="006D056E">
        <w:rPr>
          <w:i w:val="0"/>
          <w:szCs w:val="20"/>
          <w:lang w:val="es-CR"/>
        </w:rPr>
        <w:t>e</w:t>
      </w:r>
      <w:r w:rsidR="000F11CF" w:rsidRPr="006D056E">
        <w:rPr>
          <w:i w:val="0"/>
          <w:szCs w:val="20"/>
          <w:lang w:val="es-CR"/>
        </w:rPr>
        <w:t>rez</w:t>
      </w:r>
      <w:proofErr w:type="spellEnd"/>
      <w:r w:rsidR="000F11CF" w:rsidRPr="006D056E">
        <w:rPr>
          <w:i w:val="0"/>
          <w:szCs w:val="20"/>
          <w:lang w:val="es-CR"/>
        </w:rPr>
        <w:t xml:space="preserve"> Charal, Teresa Magdalena Ramírez Castro, Jorge Armando Tavares Barreno, </w:t>
      </w:r>
      <w:r w:rsidR="00833D7D" w:rsidRPr="006D056E">
        <w:rPr>
          <w:i w:val="0"/>
          <w:szCs w:val="20"/>
          <w:lang w:val="es-CR"/>
        </w:rPr>
        <w:t>Santos Vásquez Oliveros,</w:t>
      </w:r>
      <w:r w:rsidR="006511FF" w:rsidRPr="006D056E">
        <w:rPr>
          <w:i w:val="0"/>
          <w:szCs w:val="20"/>
          <w:lang w:val="es-CR"/>
        </w:rPr>
        <w:t xml:space="preserve"> Iris Carolina Vicente </w:t>
      </w:r>
      <w:proofErr w:type="spellStart"/>
      <w:r w:rsidR="006511FF" w:rsidRPr="006D056E">
        <w:rPr>
          <w:i w:val="0"/>
          <w:szCs w:val="20"/>
          <w:lang w:val="es-CR"/>
        </w:rPr>
        <w:t>Bau</w:t>
      </w:r>
      <w:r w:rsidR="000F11CF" w:rsidRPr="006D056E">
        <w:rPr>
          <w:i w:val="0"/>
          <w:szCs w:val="20"/>
          <w:lang w:val="es-CR"/>
        </w:rPr>
        <w:t>llas</w:t>
      </w:r>
      <w:proofErr w:type="spellEnd"/>
      <w:r w:rsidR="000F11CF" w:rsidRPr="006D056E">
        <w:rPr>
          <w:i w:val="0"/>
          <w:szCs w:val="20"/>
          <w:lang w:val="es-CR"/>
        </w:rPr>
        <w:t>, Facundo Gómez Reyes, Reina López Mujica, Alberto Quic</w:t>
      </w:r>
      <w:r w:rsidR="006511FF" w:rsidRPr="006D056E">
        <w:rPr>
          <w:i w:val="0"/>
          <w:szCs w:val="20"/>
          <w:lang w:val="es-CR"/>
        </w:rPr>
        <w:t xml:space="preserve">hé </w:t>
      </w:r>
      <w:proofErr w:type="spellStart"/>
      <w:r w:rsidR="006511FF" w:rsidRPr="006D056E">
        <w:rPr>
          <w:i w:val="0"/>
          <w:szCs w:val="20"/>
          <w:lang w:val="es-CR"/>
        </w:rPr>
        <w:t>Cuxeva</w:t>
      </w:r>
      <w:proofErr w:type="spellEnd"/>
      <w:r w:rsidR="006511FF" w:rsidRPr="006D056E">
        <w:rPr>
          <w:i w:val="0"/>
          <w:szCs w:val="20"/>
          <w:lang w:val="es-CR"/>
        </w:rPr>
        <w:t xml:space="preserve">, Silvia Mirtala </w:t>
      </w:r>
      <w:proofErr w:type="spellStart"/>
      <w:r w:rsidR="006511FF" w:rsidRPr="006D056E">
        <w:rPr>
          <w:i w:val="0"/>
          <w:szCs w:val="20"/>
          <w:lang w:val="es-CR"/>
        </w:rPr>
        <w:t>A</w:t>
      </w:r>
      <w:r w:rsidR="000F11CF" w:rsidRPr="006D056E">
        <w:rPr>
          <w:i w:val="0"/>
          <w:szCs w:val="20"/>
          <w:lang w:val="es-CR"/>
        </w:rPr>
        <w:t>lvarez</w:t>
      </w:r>
      <w:proofErr w:type="spellEnd"/>
      <w:r w:rsidR="000F11CF" w:rsidRPr="006D056E">
        <w:rPr>
          <w:i w:val="0"/>
          <w:szCs w:val="20"/>
          <w:lang w:val="es-CR"/>
        </w:rPr>
        <w:t xml:space="preserve"> Villatoro</w:t>
      </w:r>
      <w:r w:rsidR="003C46A3" w:rsidRPr="006D056E">
        <w:rPr>
          <w:i w:val="0"/>
          <w:szCs w:val="20"/>
          <w:lang w:val="es-CR"/>
        </w:rPr>
        <w:t xml:space="preserve"> and </w:t>
      </w:r>
      <w:r w:rsidR="000F11CF" w:rsidRPr="006D056E">
        <w:rPr>
          <w:i w:val="0"/>
          <w:szCs w:val="20"/>
          <w:lang w:val="es-CR"/>
        </w:rPr>
        <w:t xml:space="preserve">Corina </w:t>
      </w:r>
      <w:proofErr w:type="spellStart"/>
      <w:r w:rsidR="000F11CF" w:rsidRPr="006D056E">
        <w:rPr>
          <w:i w:val="0"/>
          <w:szCs w:val="20"/>
          <w:lang w:val="es-CR"/>
        </w:rPr>
        <w:t>Dianeth</w:t>
      </w:r>
      <w:proofErr w:type="spellEnd"/>
      <w:r w:rsidR="000F11CF" w:rsidRPr="006D056E">
        <w:rPr>
          <w:i w:val="0"/>
          <w:szCs w:val="20"/>
          <w:lang w:val="es-CR"/>
        </w:rPr>
        <w:t xml:space="preserve"> Robledo Alvarado.</w:t>
      </w:r>
    </w:p>
    <w:p w14:paraId="7954E698" w14:textId="3A09D801" w:rsidR="00251D69" w:rsidRPr="006D056E" w:rsidRDefault="00251D69" w:rsidP="00E53DB9">
      <w:pPr>
        <w:pStyle w:val="Estilo1"/>
        <w:tabs>
          <w:tab w:val="left" w:pos="709"/>
          <w:tab w:val="left" w:pos="1134"/>
        </w:tabs>
        <w:spacing w:after="0"/>
        <w:ind w:left="0" w:right="-4" w:firstLine="0"/>
        <w:rPr>
          <w:rFonts w:eastAsia="Times" w:cs="Arial"/>
          <w:i w:val="0"/>
          <w:szCs w:val="20"/>
          <w:lang w:val="es-CR"/>
        </w:rPr>
      </w:pPr>
    </w:p>
    <w:p w14:paraId="26E172E9" w14:textId="2211D6FF" w:rsidR="00C42183" w:rsidRPr="009F337B" w:rsidRDefault="00C42183" w:rsidP="00E92CA8">
      <w:pPr>
        <w:pStyle w:val="Ttulo1"/>
        <w:spacing w:before="0" w:after="0"/>
        <w:rPr>
          <w:lang w:val="en-US"/>
        </w:rPr>
      </w:pPr>
      <w:bookmarkStart w:id="90" w:name="_Toc527466494"/>
      <w:r w:rsidRPr="009F337B">
        <w:rPr>
          <w:lang w:val="en-US"/>
        </w:rPr>
        <w:lastRenderedPageBreak/>
        <w:t>VIIi</w:t>
      </w:r>
      <w:r w:rsidR="00531BE3" w:rsidRPr="009F337B">
        <w:rPr>
          <w:lang w:val="en-US"/>
        </w:rPr>
        <w:t>-2</w:t>
      </w:r>
      <w:r w:rsidRPr="009F337B">
        <w:rPr>
          <w:lang w:val="en-US"/>
        </w:rPr>
        <w:br/>
      </w:r>
      <w:r w:rsidR="00EF3F8B" w:rsidRPr="009F337B">
        <w:rPr>
          <w:lang w:val="en-US"/>
        </w:rPr>
        <w:t>RIGHT TO JUDICIAL GUARANTEES AND TO JUDICIAL PROTECTION</w:t>
      </w:r>
      <w:r w:rsidRPr="009F337B">
        <w:rPr>
          <w:lang w:val="en-US"/>
        </w:rPr>
        <w:t xml:space="preserve"> </w:t>
      </w:r>
      <w:r w:rsidR="000E73AE" w:rsidRPr="009F337B">
        <w:rPr>
          <w:lang w:val="en-US"/>
        </w:rPr>
        <w:t>IN RELATION TO</w:t>
      </w:r>
      <w:r w:rsidRPr="009F337B">
        <w:rPr>
          <w:lang w:val="en-US"/>
        </w:rPr>
        <w:t xml:space="preserve"> </w:t>
      </w:r>
      <w:r w:rsidR="00EF3F8B" w:rsidRPr="009F337B">
        <w:rPr>
          <w:lang w:val="en-US"/>
        </w:rPr>
        <w:t>THE OBLIGATIONS TO RESPECT AND TO ENSURE THE RIGHTS</w:t>
      </w:r>
      <w:r w:rsidRPr="009F337B">
        <w:rPr>
          <w:lang w:val="en-US"/>
        </w:rPr>
        <w:t xml:space="preserve"> (</w:t>
      </w:r>
      <w:r w:rsidR="00AE5F9E" w:rsidRPr="009F337B">
        <w:rPr>
          <w:lang w:val="en-US"/>
        </w:rPr>
        <w:t>ARTICLES</w:t>
      </w:r>
      <w:r w:rsidRPr="009F337B">
        <w:rPr>
          <w:lang w:val="en-US"/>
        </w:rPr>
        <w:t xml:space="preserve"> 8</w:t>
      </w:r>
      <w:r w:rsidR="00640C52" w:rsidRPr="009F337B">
        <w:rPr>
          <w:lang w:val="en-US"/>
        </w:rPr>
        <w:t>,</w:t>
      </w:r>
      <w:r w:rsidR="00A913B5" w:rsidRPr="009F337B">
        <w:rPr>
          <w:b w:val="0"/>
          <w:bCs w:val="0"/>
          <w:caps w:val="0"/>
          <w:kern w:val="32"/>
          <w:sz w:val="16"/>
          <w:szCs w:val="16"/>
          <w:vertAlign w:val="superscript"/>
          <w:lang w:val="en-US" w:eastAsia="x-none"/>
        </w:rPr>
        <w:footnoteReference w:id="195"/>
      </w:r>
      <w:r w:rsidRPr="009F337B">
        <w:rPr>
          <w:lang w:val="en-US"/>
        </w:rPr>
        <w:t xml:space="preserve"> 25</w:t>
      </w:r>
      <w:r w:rsidR="00A913B5" w:rsidRPr="009F337B">
        <w:rPr>
          <w:b w:val="0"/>
          <w:bCs w:val="0"/>
          <w:caps w:val="0"/>
          <w:kern w:val="32"/>
          <w:sz w:val="16"/>
          <w:szCs w:val="16"/>
          <w:vertAlign w:val="superscript"/>
          <w:lang w:val="en-US" w:eastAsia="x-none"/>
        </w:rPr>
        <w:footnoteReference w:id="196"/>
      </w:r>
      <w:r w:rsidR="003C46A3" w:rsidRPr="009F337B">
        <w:rPr>
          <w:lang w:val="en-US"/>
        </w:rPr>
        <w:t xml:space="preserve"> and 1(1)</w:t>
      </w:r>
      <w:r w:rsidR="00A913B5" w:rsidRPr="009F337B">
        <w:rPr>
          <w:b w:val="0"/>
          <w:bCs w:val="0"/>
          <w:caps w:val="0"/>
          <w:kern w:val="32"/>
          <w:sz w:val="16"/>
          <w:szCs w:val="16"/>
          <w:vertAlign w:val="superscript"/>
          <w:lang w:val="en-US" w:eastAsia="x-none"/>
        </w:rPr>
        <w:footnoteReference w:id="197"/>
      </w:r>
      <w:r w:rsidR="00AE5F9E" w:rsidRPr="009F337B">
        <w:rPr>
          <w:lang w:val="en-US"/>
        </w:rPr>
        <w:t xml:space="preserve"> of the AMERICAN CONVENTION</w:t>
      </w:r>
      <w:r w:rsidRPr="009F337B">
        <w:rPr>
          <w:lang w:val="en-US"/>
        </w:rPr>
        <w:t>)</w:t>
      </w:r>
      <w:bookmarkEnd w:id="90"/>
    </w:p>
    <w:p w14:paraId="110435F2" w14:textId="77777777" w:rsidR="008E387F" w:rsidRPr="009F337B" w:rsidRDefault="008E387F" w:rsidP="008E387F">
      <w:pPr>
        <w:rPr>
          <w:lang w:val="en-US" w:eastAsia="es-ES"/>
        </w:rPr>
      </w:pPr>
    </w:p>
    <w:p w14:paraId="1579A25B" w14:textId="45E689E9" w:rsidR="00C42183" w:rsidRPr="009F337B" w:rsidRDefault="0027465E" w:rsidP="00593E37">
      <w:pPr>
        <w:pStyle w:val="Ttulo2"/>
        <w:numPr>
          <w:ilvl w:val="0"/>
          <w:numId w:val="11"/>
        </w:numPr>
        <w:spacing w:before="0" w:after="0"/>
        <w:rPr>
          <w:u w:color="000000"/>
          <w:lang w:val="en-US"/>
        </w:rPr>
      </w:pPr>
      <w:r w:rsidRPr="009F337B">
        <w:rPr>
          <w:u w:color="000000"/>
          <w:lang w:val="en-US"/>
        </w:rPr>
        <w:t>Arguments of the Commission and the parties</w:t>
      </w:r>
    </w:p>
    <w:p w14:paraId="3B3FCFE2" w14:textId="77777777" w:rsidR="008E387F" w:rsidRPr="009F337B" w:rsidRDefault="008E387F" w:rsidP="008E387F">
      <w:pPr>
        <w:rPr>
          <w:lang w:val="en-US"/>
        </w:rPr>
      </w:pPr>
    </w:p>
    <w:p w14:paraId="64FDD904" w14:textId="2914BB1D" w:rsidR="00C42183" w:rsidRPr="009F337B" w:rsidRDefault="00AE5F9E" w:rsidP="00593E37">
      <w:pPr>
        <w:pStyle w:val="Estilo1"/>
        <w:numPr>
          <w:ilvl w:val="0"/>
          <w:numId w:val="1"/>
        </w:numPr>
        <w:tabs>
          <w:tab w:val="left" w:pos="709"/>
          <w:tab w:val="left" w:pos="1134"/>
        </w:tabs>
        <w:spacing w:after="0"/>
        <w:ind w:left="0" w:right="-4" w:firstLine="0"/>
        <w:rPr>
          <w:rFonts w:cs="Arial"/>
          <w:i w:val="0"/>
          <w:color w:val="000000"/>
          <w:u w:color="000000"/>
          <w:lang w:val="en-US"/>
        </w:rPr>
      </w:pPr>
      <w:r w:rsidRPr="009F337B">
        <w:rPr>
          <w:rFonts w:eastAsia="Cambria" w:cs="Cambria"/>
          <w:i w:val="0"/>
          <w:color w:val="000000"/>
          <w:u w:color="000000"/>
          <w:lang w:val="en-US" w:eastAsia="es-ES"/>
        </w:rPr>
        <w:t xml:space="preserve">The </w:t>
      </w:r>
      <w:r w:rsidRPr="009F337B">
        <w:rPr>
          <w:rFonts w:eastAsia="Cambria" w:cs="Cambria"/>
          <w:b/>
          <w:color w:val="000000"/>
          <w:u w:color="000000"/>
          <w:lang w:val="en-US" w:eastAsia="es-ES"/>
        </w:rPr>
        <w:t>Commission</w:t>
      </w:r>
      <w:r w:rsidR="00C42183" w:rsidRPr="009F337B">
        <w:rPr>
          <w:rFonts w:eastAsia="Cambria" w:cs="Cambria"/>
          <w:i w:val="0"/>
          <w:color w:val="000000"/>
          <w:u w:color="000000"/>
          <w:lang w:val="en-US" w:eastAsia="es-ES"/>
        </w:rPr>
        <w:t xml:space="preserve"> </w:t>
      </w:r>
      <w:r w:rsidR="00736F45" w:rsidRPr="009F337B">
        <w:rPr>
          <w:rFonts w:eastAsia="Cambria" w:cs="Cambria"/>
          <w:i w:val="0"/>
          <w:color w:val="000000"/>
          <w:u w:color="000000"/>
          <w:lang w:val="en-US" w:eastAsia="es-ES"/>
        </w:rPr>
        <w:t xml:space="preserve">asserted that the result of </w:t>
      </w:r>
      <w:r w:rsidR="00E53DB9" w:rsidRPr="009F337B">
        <w:rPr>
          <w:rFonts w:eastAsia="Cambria" w:cs="Cambria"/>
          <w:i w:val="0"/>
          <w:color w:val="000000"/>
          <w:u w:color="000000"/>
          <w:lang w:val="en-US" w:eastAsia="es-ES"/>
        </w:rPr>
        <w:t xml:space="preserve">the </w:t>
      </w:r>
      <w:r w:rsidR="00736F45" w:rsidRPr="009F337B">
        <w:rPr>
          <w:rFonts w:eastAsia="Cambria" w:cs="Cambria"/>
          <w:i w:val="0"/>
          <w:color w:val="000000"/>
          <w:u w:color="000000"/>
          <w:lang w:val="en-US" w:eastAsia="es-ES"/>
        </w:rPr>
        <w:t xml:space="preserve">application for amparo filed before </w:t>
      </w:r>
      <w:r w:rsidRPr="009F337B">
        <w:rPr>
          <w:rFonts w:eastAsia="Cambria" w:cs="Cambria"/>
          <w:i w:val="0"/>
          <w:color w:val="000000"/>
          <w:u w:color="000000"/>
          <w:lang w:val="en-US" w:eastAsia="es-ES"/>
        </w:rPr>
        <w:t xml:space="preserve">the </w:t>
      </w:r>
      <w:r w:rsidR="0016125F" w:rsidRPr="009F337B">
        <w:rPr>
          <w:rFonts w:eastAsia="Cambria" w:cs="Cambria"/>
          <w:i w:val="0"/>
          <w:color w:val="000000"/>
          <w:u w:color="000000"/>
          <w:lang w:val="en-US" w:eastAsia="es-ES"/>
        </w:rPr>
        <w:t>Constitutional Court</w:t>
      </w:r>
      <w:r w:rsidR="00C42183" w:rsidRPr="009F337B">
        <w:rPr>
          <w:rFonts w:eastAsia="Cambria" w:cs="Cambria"/>
          <w:i w:val="0"/>
          <w:color w:val="000000"/>
          <w:u w:color="000000"/>
          <w:lang w:val="en-US" w:eastAsia="es-ES"/>
        </w:rPr>
        <w:t xml:space="preserve"> af</w:t>
      </w:r>
      <w:r w:rsidR="00736F45" w:rsidRPr="009F337B">
        <w:rPr>
          <w:rFonts w:eastAsia="Cambria" w:cs="Cambria"/>
          <w:i w:val="0"/>
          <w:color w:val="000000"/>
          <w:u w:color="000000"/>
          <w:lang w:val="en-US" w:eastAsia="es-ES"/>
        </w:rPr>
        <w:t>fected not only the 13 victims who signed it, but also all the victims in this case. In addition, it indicated that the Guatemalan State had not explained the six-month delay in deciding a remedy that, owing to its nature, should be expedit</w:t>
      </w:r>
      <w:r w:rsidR="00497545" w:rsidRPr="009F337B">
        <w:rPr>
          <w:rFonts w:eastAsia="Cambria" w:cs="Cambria"/>
          <w:i w:val="0"/>
          <w:color w:val="000000"/>
          <w:u w:color="000000"/>
          <w:lang w:val="en-US" w:eastAsia="es-ES"/>
        </w:rPr>
        <w:t>ious</w:t>
      </w:r>
      <w:r w:rsidR="00736F45" w:rsidRPr="009F337B">
        <w:rPr>
          <w:rFonts w:eastAsia="Cambria" w:cs="Cambria"/>
          <w:i w:val="0"/>
          <w:color w:val="000000"/>
          <w:u w:color="000000"/>
          <w:lang w:val="en-US" w:eastAsia="es-ES"/>
        </w:rPr>
        <w:t xml:space="preserve">; moreover, in its decision, </w:t>
      </w:r>
      <w:r w:rsidR="00E53DB9" w:rsidRPr="009F337B">
        <w:rPr>
          <w:rFonts w:eastAsia="Cambria" w:cs="Cambria"/>
          <w:i w:val="0"/>
          <w:color w:val="000000"/>
          <w:u w:color="000000"/>
          <w:lang w:val="en-US" w:eastAsia="es-ES"/>
        </w:rPr>
        <w:t>the Constitutional Court</w:t>
      </w:r>
      <w:r w:rsidR="00736F45" w:rsidRPr="009F337B">
        <w:rPr>
          <w:rFonts w:eastAsia="Cambria" w:cs="Cambria"/>
          <w:i w:val="0"/>
          <w:color w:val="000000"/>
          <w:u w:color="000000"/>
          <w:lang w:val="en-US" w:eastAsia="es-ES"/>
        </w:rPr>
        <w:t xml:space="preserve"> failed to rule on the merits of the matter. </w:t>
      </w:r>
      <w:r w:rsidR="00E53DB9" w:rsidRPr="009F337B">
        <w:rPr>
          <w:rFonts w:eastAsia="Cambria" w:cs="Cambria"/>
          <w:i w:val="0"/>
          <w:color w:val="000000"/>
          <w:u w:color="000000"/>
          <w:lang w:val="en-US" w:eastAsia="es-ES"/>
        </w:rPr>
        <w:t>The Commission</w:t>
      </w:r>
      <w:r w:rsidR="00736F45" w:rsidRPr="009F337B">
        <w:rPr>
          <w:rFonts w:eastAsia="Cambria" w:cs="Cambria"/>
          <w:i w:val="0"/>
          <w:color w:val="000000"/>
          <w:u w:color="000000"/>
          <w:lang w:val="en-US" w:eastAsia="es-ES"/>
        </w:rPr>
        <w:t xml:space="preserve"> also considered that the substantive content of the Constitutional Court’s decision was </w:t>
      </w:r>
      <w:r w:rsidR="00497545" w:rsidRPr="009F337B">
        <w:rPr>
          <w:rFonts w:eastAsia="Cambria" w:cs="Cambria"/>
          <w:i w:val="0"/>
          <w:color w:val="000000"/>
          <w:u w:color="000000"/>
          <w:lang w:val="en-US" w:eastAsia="es-ES"/>
        </w:rPr>
        <w:t>inconsistent with</w:t>
      </w:r>
      <w:r w:rsidR="00736F45" w:rsidRPr="009F337B">
        <w:rPr>
          <w:rFonts w:eastAsia="Cambria" w:cs="Cambria"/>
          <w:i w:val="0"/>
          <w:color w:val="000000"/>
          <w:u w:color="000000"/>
          <w:lang w:val="en-US" w:eastAsia="es-ES"/>
        </w:rPr>
        <w:t xml:space="preserve"> </w:t>
      </w:r>
      <w:r w:rsidR="00E53DB9" w:rsidRPr="009F337B">
        <w:rPr>
          <w:rFonts w:eastAsia="Cambria" w:cs="Cambria"/>
          <w:i w:val="0"/>
          <w:color w:val="000000"/>
          <w:u w:color="000000"/>
          <w:lang w:val="en-US" w:eastAsia="es-ES"/>
        </w:rPr>
        <w:t>standards for</w:t>
      </w:r>
      <w:r w:rsidR="00736F45" w:rsidRPr="009F337B">
        <w:rPr>
          <w:rFonts w:eastAsia="Cambria" w:cs="Cambria"/>
          <w:i w:val="0"/>
          <w:color w:val="000000"/>
          <w:u w:color="000000"/>
          <w:lang w:val="en-US" w:eastAsia="es-ES"/>
        </w:rPr>
        <w:t xml:space="preserve"> the right to judicial protection, because that court failed to rule on the merits of the matter and justified the declaration of inadmissibility of the application for amparo based on a special temporary measure adopted by the Government</w:t>
      </w:r>
      <w:r w:rsidR="00497545" w:rsidRPr="009F337B">
        <w:rPr>
          <w:rFonts w:eastAsia="Cambria" w:cs="Cambria"/>
          <w:i w:val="0"/>
          <w:color w:val="000000"/>
          <w:u w:color="000000"/>
          <w:lang w:val="en-US" w:eastAsia="es-ES"/>
        </w:rPr>
        <w:t xml:space="preserve">, which was </w:t>
      </w:r>
      <w:r w:rsidR="00E53DB9" w:rsidRPr="009F337B">
        <w:rPr>
          <w:rFonts w:eastAsia="Cambria" w:cs="Cambria"/>
          <w:i w:val="0"/>
          <w:color w:val="000000"/>
          <w:u w:color="000000"/>
          <w:lang w:val="en-US" w:eastAsia="es-ES"/>
        </w:rPr>
        <w:t>un</w:t>
      </w:r>
      <w:r w:rsidR="00497545" w:rsidRPr="009F337B">
        <w:rPr>
          <w:rFonts w:eastAsia="Cambria" w:cs="Cambria"/>
          <w:i w:val="0"/>
          <w:color w:val="000000"/>
          <w:u w:color="000000"/>
          <w:lang w:val="en-US" w:eastAsia="es-ES"/>
        </w:rPr>
        <w:t>related to the general situation in question. On this basis, the Commission concluded that the State had violated the right to judicial protection recognized in</w:t>
      </w:r>
      <w:r w:rsidR="00497545" w:rsidRPr="009F337B">
        <w:rPr>
          <w:rFonts w:cs="Arial"/>
          <w:i w:val="0"/>
          <w:color w:val="000000"/>
          <w:u w:color="000000"/>
          <w:lang w:val="en-US"/>
        </w:rPr>
        <w:t xml:space="preserve"> </w:t>
      </w:r>
      <w:r w:rsidRPr="009F337B">
        <w:rPr>
          <w:rFonts w:eastAsia="Cambria" w:cs="Cambria"/>
          <w:i w:val="0"/>
          <w:color w:val="000000"/>
          <w:u w:color="000000"/>
          <w:lang w:val="en-US" w:eastAsia="es-ES"/>
        </w:rPr>
        <w:t>Article</w:t>
      </w:r>
      <w:r w:rsidR="003C46A3" w:rsidRPr="009F337B">
        <w:rPr>
          <w:rFonts w:eastAsia="Cambria" w:cs="Cambria"/>
          <w:i w:val="0"/>
          <w:color w:val="000000"/>
          <w:u w:color="000000"/>
          <w:lang w:val="en-US" w:eastAsia="es-ES"/>
        </w:rPr>
        <w:t xml:space="preserve"> 25(1)</w:t>
      </w:r>
      <w:r w:rsidRPr="009F337B">
        <w:rPr>
          <w:rFonts w:eastAsia="Cambria" w:cs="Cambria"/>
          <w:i w:val="0"/>
          <w:color w:val="000000"/>
          <w:u w:color="000000"/>
          <w:lang w:val="en-US" w:eastAsia="es-ES"/>
        </w:rPr>
        <w:t xml:space="preserve"> of the American Convention</w:t>
      </w:r>
      <w:r w:rsidR="00C42183" w:rsidRPr="009F337B">
        <w:rPr>
          <w:rFonts w:eastAsia="Cambria" w:cs="Cambria"/>
          <w:i w:val="0"/>
          <w:color w:val="000000"/>
          <w:u w:color="000000"/>
          <w:lang w:val="en-US" w:eastAsia="es-ES"/>
        </w:rPr>
        <w:t>,</w:t>
      </w:r>
      <w:r w:rsidR="00497545" w:rsidRPr="009F337B">
        <w:rPr>
          <w:rFonts w:eastAsia="Cambria" w:cs="Cambria"/>
          <w:i w:val="0"/>
          <w:color w:val="000000"/>
          <w:u w:color="000000"/>
          <w:lang w:val="en-US" w:eastAsia="es-ES"/>
        </w:rPr>
        <w:t xml:space="preserve"> in relation to Article 1(1) of this instrument to the detriment of all the victims, with the exception of </w:t>
      </w:r>
      <w:r w:rsidR="00C42183" w:rsidRPr="009F337B">
        <w:rPr>
          <w:rFonts w:eastAsia="Cambria" w:cs="Cambria"/>
          <w:i w:val="0"/>
          <w:color w:val="000000"/>
          <w:u w:color="000000"/>
          <w:lang w:val="en-US" w:eastAsia="es-ES"/>
        </w:rPr>
        <w:t xml:space="preserve">Alberto Quiché </w:t>
      </w:r>
      <w:proofErr w:type="spellStart"/>
      <w:r w:rsidR="00C42183" w:rsidRPr="009F337B">
        <w:rPr>
          <w:rFonts w:eastAsia="Cambria" w:cs="Cambria"/>
          <w:i w:val="0"/>
          <w:color w:val="000000"/>
          <w:u w:color="000000"/>
          <w:lang w:val="en-US" w:eastAsia="es-ES"/>
        </w:rPr>
        <w:t>Cu</w:t>
      </w:r>
      <w:r w:rsidR="00AF0430" w:rsidRPr="009F337B">
        <w:rPr>
          <w:rFonts w:eastAsia="Cambria" w:cs="Cambria"/>
          <w:i w:val="0"/>
          <w:color w:val="000000"/>
          <w:u w:color="000000"/>
          <w:lang w:val="en-US" w:eastAsia="es-ES"/>
        </w:rPr>
        <w:t>xeva</w:t>
      </w:r>
      <w:proofErr w:type="spellEnd"/>
      <w:r w:rsidR="00C42183" w:rsidRPr="009F337B">
        <w:rPr>
          <w:rFonts w:eastAsia="Cambria" w:cs="Cambria"/>
          <w:i w:val="0"/>
          <w:color w:val="000000"/>
          <w:u w:color="000000"/>
          <w:lang w:val="en-US" w:eastAsia="es-ES"/>
        </w:rPr>
        <w:t xml:space="preserve">, </w:t>
      </w:r>
      <w:r w:rsidR="00497545" w:rsidRPr="009F337B">
        <w:rPr>
          <w:rFonts w:eastAsia="Cambria" w:cs="Cambria"/>
          <w:i w:val="0"/>
          <w:color w:val="000000"/>
          <w:u w:color="000000"/>
          <w:lang w:val="en-US" w:eastAsia="es-ES"/>
        </w:rPr>
        <w:t>who had died before the application for amparo</w:t>
      </w:r>
      <w:r w:rsidR="00E53DB9" w:rsidRPr="009F337B">
        <w:rPr>
          <w:rFonts w:eastAsia="Cambria" w:cs="Cambria"/>
          <w:i w:val="0"/>
          <w:color w:val="000000"/>
          <w:u w:color="000000"/>
          <w:lang w:val="en-US" w:eastAsia="es-ES"/>
        </w:rPr>
        <w:t xml:space="preserve"> was filed</w:t>
      </w:r>
      <w:r w:rsidR="00497545" w:rsidRPr="009F337B">
        <w:rPr>
          <w:rFonts w:eastAsia="Cambria" w:cs="Cambria"/>
          <w:i w:val="0"/>
          <w:color w:val="000000"/>
          <w:u w:color="000000"/>
          <w:lang w:val="en-US" w:eastAsia="es-ES"/>
        </w:rPr>
        <w:t>.</w:t>
      </w:r>
    </w:p>
    <w:p w14:paraId="0CFEC6D1" w14:textId="77777777" w:rsidR="008E387F" w:rsidRPr="009F337B" w:rsidRDefault="008E387F" w:rsidP="008E387F">
      <w:pPr>
        <w:pStyle w:val="Estilo1"/>
        <w:tabs>
          <w:tab w:val="left" w:pos="709"/>
          <w:tab w:val="left" w:pos="1134"/>
        </w:tabs>
        <w:spacing w:after="0"/>
        <w:ind w:left="0" w:right="-4" w:firstLine="0"/>
        <w:rPr>
          <w:rFonts w:cs="Arial"/>
          <w:i w:val="0"/>
          <w:color w:val="000000"/>
          <w:u w:color="000000"/>
          <w:lang w:val="en-US"/>
        </w:rPr>
      </w:pPr>
    </w:p>
    <w:p w14:paraId="0B90DFE7" w14:textId="04D151E2" w:rsidR="00C42183" w:rsidRPr="009F337B" w:rsidRDefault="007327F5" w:rsidP="00593E37">
      <w:pPr>
        <w:pStyle w:val="Estilo1"/>
        <w:numPr>
          <w:ilvl w:val="0"/>
          <w:numId w:val="1"/>
        </w:numPr>
        <w:tabs>
          <w:tab w:val="left" w:pos="709"/>
          <w:tab w:val="left" w:pos="1134"/>
        </w:tabs>
        <w:spacing w:after="0"/>
        <w:ind w:left="0" w:right="-4" w:firstLine="0"/>
        <w:rPr>
          <w:rFonts w:cs="Arial"/>
          <w:i w:val="0"/>
          <w:color w:val="000000"/>
          <w:u w:color="000000"/>
          <w:lang w:val="en-US"/>
        </w:rPr>
      </w:pPr>
      <w:r w:rsidRPr="009F337B">
        <w:rPr>
          <w:rFonts w:eastAsia="Arial" w:cs="Arial"/>
          <w:i w:val="0"/>
          <w:color w:val="000000"/>
          <w:u w:color="000000"/>
          <w:lang w:val="en-US" w:eastAsia="es-ES"/>
        </w:rPr>
        <w:t xml:space="preserve">The </w:t>
      </w:r>
      <w:r w:rsidRPr="009F337B">
        <w:rPr>
          <w:rFonts w:eastAsia="Arial" w:cs="Arial"/>
          <w:b/>
          <w:color w:val="000000"/>
          <w:u w:color="000000"/>
          <w:lang w:val="en-US" w:eastAsia="es-ES"/>
        </w:rPr>
        <w:t>representatives</w:t>
      </w:r>
      <w:r w:rsidR="00C42183" w:rsidRPr="009F337B">
        <w:rPr>
          <w:rFonts w:eastAsia="Arial" w:cs="Arial"/>
          <w:i w:val="0"/>
          <w:color w:val="000000"/>
          <w:u w:color="000000"/>
          <w:lang w:val="en-US" w:eastAsia="es-ES"/>
        </w:rPr>
        <w:t xml:space="preserve"> </w:t>
      </w:r>
      <w:r w:rsidR="00497545" w:rsidRPr="009F337B">
        <w:rPr>
          <w:rFonts w:eastAsia="Arial" w:cs="Arial"/>
          <w:i w:val="0"/>
          <w:color w:val="000000"/>
          <w:u w:color="000000"/>
          <w:lang w:val="en-US" w:eastAsia="es-ES"/>
        </w:rPr>
        <w:t>indicated that the decision</w:t>
      </w:r>
      <w:r w:rsidR="00AE5F9E" w:rsidRPr="009F337B">
        <w:rPr>
          <w:rFonts w:eastAsia="Arial" w:cs="Arial"/>
          <w:i w:val="0"/>
          <w:color w:val="000000"/>
          <w:u w:color="000000"/>
          <w:lang w:val="en-US" w:eastAsia="es-ES"/>
        </w:rPr>
        <w:t xml:space="preserve"> of the </w:t>
      </w:r>
      <w:r w:rsidR="0016125F" w:rsidRPr="009F337B">
        <w:rPr>
          <w:rFonts w:eastAsia="Arial" w:cs="Arial"/>
          <w:i w:val="0"/>
          <w:color w:val="000000"/>
          <w:u w:color="000000"/>
          <w:lang w:val="en-US" w:eastAsia="es-ES"/>
        </w:rPr>
        <w:t>Constitutional Court</w:t>
      </w:r>
      <w:r w:rsidR="00C42183" w:rsidRPr="009F337B">
        <w:rPr>
          <w:rFonts w:eastAsia="Arial" w:cs="Arial"/>
          <w:i w:val="0"/>
          <w:color w:val="000000"/>
          <w:u w:color="000000"/>
          <w:lang w:val="en-US" w:eastAsia="es-ES"/>
        </w:rPr>
        <w:t xml:space="preserve"> </w:t>
      </w:r>
      <w:r w:rsidR="00497545" w:rsidRPr="009F337B">
        <w:rPr>
          <w:rFonts w:eastAsia="Arial" w:cs="Arial"/>
          <w:i w:val="0"/>
          <w:color w:val="000000"/>
          <w:u w:color="000000"/>
          <w:lang w:val="en-US" w:eastAsia="es-ES"/>
        </w:rPr>
        <w:t>resulted in two different violations of the victims’ rights: first, it violated their righ</w:t>
      </w:r>
      <w:r w:rsidR="006D4A79" w:rsidRPr="009F337B">
        <w:rPr>
          <w:rFonts w:eastAsia="Arial" w:cs="Arial"/>
          <w:i w:val="0"/>
          <w:color w:val="000000"/>
          <w:u w:color="000000"/>
          <w:lang w:val="en-US" w:eastAsia="es-ES"/>
        </w:rPr>
        <w:t>t</w:t>
      </w:r>
      <w:r w:rsidR="00497545" w:rsidRPr="009F337B">
        <w:rPr>
          <w:rFonts w:eastAsia="Arial" w:cs="Arial"/>
          <w:i w:val="0"/>
          <w:color w:val="000000"/>
          <w:u w:color="000000"/>
          <w:lang w:val="en-US" w:eastAsia="es-ES"/>
        </w:rPr>
        <w:t xml:space="preserve"> to obtain a decision</w:t>
      </w:r>
      <w:r w:rsidR="006D4A79" w:rsidRPr="009F337B">
        <w:rPr>
          <w:rFonts w:eastAsia="Arial" w:cs="Arial"/>
          <w:i w:val="0"/>
          <w:color w:val="000000"/>
          <w:u w:color="000000"/>
          <w:lang w:val="en-US" w:eastAsia="es-ES"/>
        </w:rPr>
        <w:t xml:space="preserve"> by a competent court</w:t>
      </w:r>
      <w:r w:rsidR="00497545" w:rsidRPr="009F337B">
        <w:rPr>
          <w:rFonts w:eastAsia="Arial" w:cs="Arial"/>
          <w:i w:val="0"/>
          <w:color w:val="000000"/>
          <w:u w:color="000000"/>
          <w:lang w:val="en-US" w:eastAsia="es-ES"/>
        </w:rPr>
        <w:t xml:space="preserve"> </w:t>
      </w:r>
      <w:r w:rsidR="006D4A79" w:rsidRPr="009F337B">
        <w:rPr>
          <w:rFonts w:eastAsia="Arial" w:cs="Arial"/>
          <w:i w:val="0"/>
          <w:color w:val="000000"/>
          <w:u w:color="000000"/>
          <w:lang w:val="en-US" w:eastAsia="es-ES"/>
        </w:rPr>
        <w:t xml:space="preserve">on their rights, within a reasonable time, and with exceptional diligence, because that court took six months to adopt a decision, without the State having justified this delay to date. Second, they argued that this decision resulted in </w:t>
      </w:r>
      <w:r w:rsidR="006D4A79" w:rsidRPr="009F337B">
        <w:rPr>
          <w:rFonts w:eastAsia="Arial" w:cs="Arial"/>
          <w:i w:val="0"/>
          <w:color w:val="000000"/>
          <w:u w:color="000000"/>
          <w:lang w:val="en-US" w:eastAsia="es-ES"/>
        </w:rPr>
        <w:lastRenderedPageBreak/>
        <w:t xml:space="preserve">the remedy being ineffective, because </w:t>
      </w:r>
      <w:r w:rsidR="00AE5F9E" w:rsidRPr="009F337B">
        <w:rPr>
          <w:rFonts w:eastAsia="Arial" w:cs="Arial"/>
          <w:i w:val="0"/>
          <w:color w:val="000000"/>
          <w:u w:color="000000"/>
          <w:lang w:val="en-US" w:eastAsia="es-ES"/>
        </w:rPr>
        <w:t xml:space="preserve">the </w:t>
      </w:r>
      <w:r w:rsidR="0016125F" w:rsidRPr="009F337B">
        <w:rPr>
          <w:rFonts w:eastAsia="Arial" w:cs="Arial"/>
          <w:i w:val="0"/>
          <w:color w:val="000000"/>
          <w:u w:color="000000"/>
          <w:lang w:val="en-US" w:eastAsia="es-ES"/>
        </w:rPr>
        <w:t>Constitutional Court</w:t>
      </w:r>
      <w:r w:rsidR="00C42183" w:rsidRPr="009F337B">
        <w:rPr>
          <w:rFonts w:eastAsia="Arial" w:cs="Arial"/>
          <w:i w:val="0"/>
          <w:color w:val="000000"/>
          <w:u w:color="000000"/>
          <w:lang w:val="en-US" w:eastAsia="es-ES"/>
        </w:rPr>
        <w:t xml:space="preserve"> </w:t>
      </w:r>
      <w:r w:rsidR="006D4A79" w:rsidRPr="009F337B">
        <w:rPr>
          <w:rFonts w:eastAsia="Arial" w:cs="Arial"/>
          <w:i w:val="0"/>
          <w:color w:val="000000"/>
          <w:u w:color="000000"/>
          <w:lang w:val="en-US" w:eastAsia="es-ES"/>
        </w:rPr>
        <w:t xml:space="preserve">did not refer to the merits of the matter: namely, the obligation of the Guatemalan State to take sustainable steps to ensure that </w:t>
      </w:r>
      <w:r w:rsidR="00080A1E" w:rsidRPr="009F337B">
        <w:rPr>
          <w:rFonts w:eastAsia="Arial" w:cs="Arial"/>
          <w:i w:val="0"/>
          <w:color w:val="000000"/>
          <w:u w:color="000000"/>
          <w:lang w:val="en-US" w:eastAsia="es-ES"/>
        </w:rPr>
        <w:t>people living with HIV</w:t>
      </w:r>
      <w:r w:rsidR="00C42183" w:rsidRPr="009F337B">
        <w:rPr>
          <w:rFonts w:eastAsia="Arial" w:cs="Arial"/>
          <w:i w:val="0"/>
          <w:color w:val="000000"/>
          <w:u w:color="000000"/>
          <w:lang w:val="en-US" w:eastAsia="es-ES"/>
        </w:rPr>
        <w:t xml:space="preserve"> </w:t>
      </w:r>
      <w:r w:rsidR="006D4A79" w:rsidRPr="009F337B">
        <w:rPr>
          <w:rFonts w:eastAsia="Arial" w:cs="Arial"/>
          <w:i w:val="0"/>
          <w:color w:val="000000"/>
          <w:u w:color="000000"/>
          <w:lang w:val="en-US" w:eastAsia="es-ES"/>
        </w:rPr>
        <w:t>received comprehensive treatment. On this basis</w:t>
      </w:r>
      <w:r w:rsidR="00C42183" w:rsidRPr="009F337B">
        <w:rPr>
          <w:rFonts w:eastAsia="Arial" w:cs="Arial"/>
          <w:i w:val="0"/>
          <w:color w:val="000000"/>
          <w:u w:color="000000"/>
          <w:lang w:val="en-US" w:eastAsia="es-ES"/>
        </w:rPr>
        <w:t xml:space="preserve">, </w:t>
      </w:r>
      <w:r w:rsidRPr="009F337B">
        <w:rPr>
          <w:rFonts w:eastAsia="Arial" w:cs="Arial"/>
          <w:i w:val="0"/>
          <w:color w:val="000000"/>
          <w:u w:color="000000"/>
          <w:lang w:val="en-US" w:eastAsia="es-ES"/>
        </w:rPr>
        <w:t>the representatives</w:t>
      </w:r>
      <w:r w:rsidR="00C42183" w:rsidRPr="009F337B">
        <w:rPr>
          <w:rFonts w:eastAsia="Arial" w:cs="Arial"/>
          <w:i w:val="0"/>
          <w:color w:val="000000"/>
          <w:u w:color="000000"/>
          <w:lang w:val="en-US" w:eastAsia="es-ES"/>
        </w:rPr>
        <w:t xml:space="preserve"> </w:t>
      </w:r>
      <w:r w:rsidR="006D4A79" w:rsidRPr="009F337B">
        <w:rPr>
          <w:rFonts w:eastAsia="Arial" w:cs="Arial"/>
          <w:i w:val="0"/>
          <w:color w:val="000000"/>
          <w:u w:color="000000"/>
          <w:lang w:val="en-US" w:eastAsia="es-ES"/>
        </w:rPr>
        <w:t>argued that</w:t>
      </w:r>
      <w:r w:rsidR="00C42183" w:rsidRPr="009F337B">
        <w:rPr>
          <w:rFonts w:eastAsia="Arial" w:cs="Arial"/>
          <w:i w:val="0"/>
          <w:color w:val="000000"/>
          <w:u w:color="000000"/>
          <w:lang w:val="en-US" w:eastAsia="es-ES"/>
        </w:rPr>
        <w:t xml:space="preserve"> </w:t>
      </w:r>
      <w:r w:rsidR="003C46A3" w:rsidRPr="009F337B">
        <w:rPr>
          <w:rFonts w:eastAsia="Arial" w:cs="Arial"/>
          <w:i w:val="0"/>
          <w:color w:val="000000"/>
          <w:u w:color="000000"/>
          <w:lang w:val="en-US" w:eastAsia="es-ES"/>
        </w:rPr>
        <w:t>the State</w:t>
      </w:r>
      <w:r w:rsidR="00C42183" w:rsidRPr="009F337B">
        <w:rPr>
          <w:rFonts w:eastAsia="Arial" w:cs="Arial"/>
          <w:i w:val="0"/>
          <w:color w:val="000000"/>
          <w:u w:color="000000"/>
          <w:lang w:val="en-US" w:eastAsia="es-ES"/>
        </w:rPr>
        <w:t xml:space="preserve"> </w:t>
      </w:r>
      <w:r w:rsidR="006D4A79" w:rsidRPr="009F337B">
        <w:rPr>
          <w:rFonts w:eastAsia="Arial" w:cs="Arial"/>
          <w:i w:val="0"/>
          <w:color w:val="000000"/>
          <w:u w:color="000000"/>
          <w:lang w:val="en-US" w:eastAsia="es-ES"/>
        </w:rPr>
        <w:t>was</w:t>
      </w:r>
      <w:r w:rsidR="00C42183" w:rsidRPr="009F337B">
        <w:rPr>
          <w:rFonts w:eastAsia="Arial" w:cs="Arial"/>
          <w:i w:val="0"/>
          <w:color w:val="000000"/>
          <w:u w:color="000000"/>
          <w:lang w:val="en-US" w:eastAsia="es-ES"/>
        </w:rPr>
        <w:t xml:space="preserve"> respons</w:t>
      </w:r>
      <w:r w:rsidR="006D4A79" w:rsidRPr="009F337B">
        <w:rPr>
          <w:rFonts w:eastAsia="Arial" w:cs="Arial"/>
          <w:i w:val="0"/>
          <w:color w:val="000000"/>
          <w:u w:color="000000"/>
          <w:lang w:val="en-US" w:eastAsia="es-ES"/>
        </w:rPr>
        <w:t>i</w:t>
      </w:r>
      <w:r w:rsidR="00C42183" w:rsidRPr="009F337B">
        <w:rPr>
          <w:rFonts w:eastAsia="Arial" w:cs="Arial"/>
          <w:i w:val="0"/>
          <w:color w:val="000000"/>
          <w:u w:color="000000"/>
          <w:lang w:val="en-US" w:eastAsia="es-ES"/>
        </w:rPr>
        <w:t xml:space="preserve">ble </w:t>
      </w:r>
      <w:r w:rsidR="006D4A79" w:rsidRPr="009F337B">
        <w:rPr>
          <w:rFonts w:eastAsia="Arial" w:cs="Arial"/>
          <w:i w:val="0"/>
          <w:color w:val="000000"/>
          <w:u w:color="000000"/>
          <w:lang w:val="en-US" w:eastAsia="es-ES"/>
        </w:rPr>
        <w:t xml:space="preserve">for </w:t>
      </w:r>
      <w:r w:rsidR="008B7C7D" w:rsidRPr="009F337B">
        <w:rPr>
          <w:rFonts w:eastAsia="Arial" w:cs="Arial"/>
          <w:i w:val="0"/>
          <w:color w:val="000000"/>
          <w:u w:color="000000"/>
          <w:lang w:val="en-US" w:eastAsia="es-ES"/>
        </w:rPr>
        <w:t>violating</w:t>
      </w:r>
      <w:r w:rsidR="006D4A79" w:rsidRPr="009F337B">
        <w:rPr>
          <w:rFonts w:eastAsia="Arial" w:cs="Arial"/>
          <w:i w:val="0"/>
          <w:color w:val="000000"/>
          <w:u w:color="000000"/>
          <w:lang w:val="en-US" w:eastAsia="es-ES"/>
        </w:rPr>
        <w:t xml:space="preserve"> the rights contained in</w:t>
      </w:r>
      <w:r w:rsidR="00C42183" w:rsidRPr="009F337B">
        <w:rPr>
          <w:rFonts w:eastAsia="Arial" w:cs="Arial"/>
          <w:i w:val="0"/>
          <w:color w:val="000000"/>
          <w:u w:color="000000"/>
          <w:lang w:val="en-US" w:eastAsia="es-ES"/>
        </w:rPr>
        <w:t xml:space="preserve"> </w:t>
      </w:r>
      <w:r w:rsidR="00AE5F9E" w:rsidRPr="009F337B">
        <w:rPr>
          <w:rFonts w:eastAsia="Arial" w:cs="Arial"/>
          <w:i w:val="0"/>
          <w:color w:val="000000"/>
          <w:u w:color="000000"/>
          <w:lang w:val="en-US" w:eastAsia="es-ES"/>
        </w:rPr>
        <w:t>Articles</w:t>
      </w:r>
      <w:r w:rsidR="00C42183" w:rsidRPr="009F337B">
        <w:rPr>
          <w:rFonts w:eastAsia="Arial" w:cs="Arial"/>
          <w:i w:val="0"/>
          <w:color w:val="000000"/>
          <w:u w:color="000000"/>
          <w:lang w:val="en-US" w:eastAsia="es-ES"/>
        </w:rPr>
        <w:t xml:space="preserve"> 8</w:t>
      </w:r>
      <w:r w:rsidR="003C46A3" w:rsidRPr="009F337B">
        <w:rPr>
          <w:rFonts w:eastAsia="Arial" w:cs="Arial"/>
          <w:i w:val="0"/>
          <w:color w:val="000000"/>
          <w:u w:color="000000"/>
          <w:lang w:val="en-US" w:eastAsia="es-ES"/>
        </w:rPr>
        <w:t xml:space="preserve"> and </w:t>
      </w:r>
      <w:r w:rsidR="00C42183" w:rsidRPr="009F337B">
        <w:rPr>
          <w:rFonts w:eastAsia="Arial" w:cs="Arial"/>
          <w:i w:val="0"/>
          <w:color w:val="000000"/>
          <w:u w:color="000000"/>
          <w:lang w:val="en-US" w:eastAsia="es-ES"/>
        </w:rPr>
        <w:t>25</w:t>
      </w:r>
      <w:r w:rsidR="00AE5F9E" w:rsidRPr="009F337B">
        <w:rPr>
          <w:rFonts w:eastAsia="Arial" w:cs="Arial"/>
          <w:i w:val="0"/>
          <w:color w:val="000000"/>
          <w:u w:color="000000"/>
          <w:lang w:val="en-US" w:eastAsia="es-ES"/>
        </w:rPr>
        <w:t xml:space="preserve"> of the Convention</w:t>
      </w:r>
      <w:r w:rsidR="00C42183" w:rsidRPr="009F337B">
        <w:rPr>
          <w:rFonts w:eastAsia="Arial" w:cs="Arial"/>
          <w:i w:val="0"/>
          <w:color w:val="000000"/>
          <w:u w:color="000000"/>
          <w:lang w:val="en-US" w:eastAsia="es-ES"/>
        </w:rPr>
        <w:t xml:space="preserve">, </w:t>
      </w:r>
      <w:r w:rsidR="000E73AE" w:rsidRPr="009F337B">
        <w:rPr>
          <w:rFonts w:eastAsia="Arial" w:cs="Arial"/>
          <w:i w:val="0"/>
          <w:color w:val="000000"/>
          <w:u w:color="000000"/>
          <w:lang w:val="en-US" w:eastAsia="es-ES"/>
        </w:rPr>
        <w:t>in relation to</w:t>
      </w:r>
      <w:r w:rsidR="00C42183" w:rsidRPr="009F337B">
        <w:rPr>
          <w:rFonts w:eastAsia="Arial" w:cs="Arial"/>
          <w:i w:val="0"/>
          <w:color w:val="000000"/>
          <w:u w:color="000000"/>
          <w:lang w:val="en-US" w:eastAsia="es-ES"/>
        </w:rPr>
        <w:t xml:space="preserve"> </w:t>
      </w:r>
      <w:r w:rsidR="00AE5F9E" w:rsidRPr="009F337B">
        <w:rPr>
          <w:rFonts w:eastAsia="Arial" w:cs="Arial"/>
          <w:i w:val="0"/>
          <w:color w:val="000000"/>
          <w:u w:color="000000"/>
          <w:lang w:val="en-US" w:eastAsia="es-ES"/>
        </w:rPr>
        <w:t>Article</w:t>
      </w:r>
      <w:r w:rsidR="003C46A3" w:rsidRPr="009F337B">
        <w:rPr>
          <w:rFonts w:eastAsia="Arial" w:cs="Arial"/>
          <w:i w:val="0"/>
          <w:color w:val="000000"/>
          <w:u w:color="000000"/>
          <w:lang w:val="en-US" w:eastAsia="es-ES"/>
        </w:rPr>
        <w:t xml:space="preserve"> 1(1)</w:t>
      </w:r>
      <w:r w:rsidR="00C42183" w:rsidRPr="009F337B">
        <w:rPr>
          <w:rFonts w:eastAsia="Arial" w:cs="Arial"/>
          <w:i w:val="0"/>
          <w:color w:val="000000"/>
          <w:u w:color="000000"/>
          <w:lang w:val="en-US" w:eastAsia="es-ES"/>
        </w:rPr>
        <w:t xml:space="preserve"> </w:t>
      </w:r>
      <w:r w:rsidR="006D4A79" w:rsidRPr="009F337B">
        <w:rPr>
          <w:rFonts w:eastAsia="Arial" w:cs="Arial"/>
          <w:i w:val="0"/>
          <w:color w:val="000000"/>
          <w:u w:color="000000"/>
          <w:lang w:val="en-US" w:eastAsia="es-ES"/>
        </w:rPr>
        <w:t>of this instrument</w:t>
      </w:r>
      <w:r w:rsidR="00C42183" w:rsidRPr="009F337B">
        <w:rPr>
          <w:rFonts w:eastAsia="Arial" w:cs="Arial"/>
          <w:i w:val="0"/>
          <w:color w:val="000000"/>
          <w:u w:color="000000"/>
          <w:lang w:val="en-US" w:eastAsia="es-ES"/>
        </w:rPr>
        <w:t>.</w:t>
      </w:r>
    </w:p>
    <w:p w14:paraId="4E1BBA4E" w14:textId="77777777" w:rsidR="008E387F" w:rsidRPr="009F337B" w:rsidRDefault="008E387F" w:rsidP="008E387F">
      <w:pPr>
        <w:pStyle w:val="Estilo1"/>
        <w:tabs>
          <w:tab w:val="left" w:pos="709"/>
          <w:tab w:val="left" w:pos="1134"/>
        </w:tabs>
        <w:spacing w:after="0"/>
        <w:ind w:left="0" w:right="-4" w:firstLine="0"/>
        <w:rPr>
          <w:rFonts w:cs="Arial"/>
          <w:i w:val="0"/>
          <w:color w:val="000000"/>
          <w:u w:color="000000"/>
          <w:lang w:val="en-US"/>
        </w:rPr>
      </w:pPr>
    </w:p>
    <w:p w14:paraId="4DF360A8" w14:textId="0739EE1A" w:rsidR="006D4A79" w:rsidRPr="009F337B" w:rsidRDefault="006D4A79" w:rsidP="00593E37">
      <w:pPr>
        <w:pStyle w:val="Estilo1"/>
        <w:numPr>
          <w:ilvl w:val="0"/>
          <w:numId w:val="1"/>
        </w:numPr>
        <w:tabs>
          <w:tab w:val="left" w:pos="709"/>
          <w:tab w:val="left" w:pos="1134"/>
        </w:tabs>
        <w:spacing w:after="0"/>
        <w:ind w:left="0" w:right="-4" w:firstLine="0"/>
        <w:rPr>
          <w:rFonts w:cs="Arial"/>
          <w:i w:val="0"/>
          <w:color w:val="000000"/>
          <w:u w:color="000000"/>
          <w:lang w:val="en-US"/>
        </w:rPr>
      </w:pPr>
      <w:r w:rsidRPr="009F337B">
        <w:rPr>
          <w:rFonts w:eastAsia="Arial" w:cs="Arial"/>
          <w:i w:val="0"/>
          <w:color w:val="000000"/>
          <w:u w:color="000000"/>
          <w:lang w:val="en-US" w:eastAsia="es-ES"/>
        </w:rPr>
        <w:t xml:space="preserve">The </w:t>
      </w:r>
      <w:r w:rsidRPr="009F337B">
        <w:rPr>
          <w:rFonts w:eastAsia="Arial" w:cs="Arial"/>
          <w:b/>
          <w:color w:val="000000"/>
          <w:u w:color="000000"/>
          <w:lang w:val="en-US" w:eastAsia="es-ES"/>
        </w:rPr>
        <w:t>State</w:t>
      </w:r>
      <w:r w:rsidRPr="009F337B">
        <w:rPr>
          <w:rFonts w:eastAsia="Arial" w:cs="Arial"/>
          <w:i w:val="0"/>
          <w:color w:val="000000"/>
          <w:u w:color="000000"/>
          <w:lang w:val="en-US" w:eastAsia="es-ES"/>
        </w:rPr>
        <w:t xml:space="preserve"> argued that the </w:t>
      </w:r>
      <w:r w:rsidR="008B7C7D" w:rsidRPr="009F337B">
        <w:rPr>
          <w:rFonts w:eastAsia="Arial" w:cs="Arial"/>
          <w:i w:val="0"/>
          <w:color w:val="000000"/>
          <w:u w:color="000000"/>
          <w:lang w:val="en-US" w:eastAsia="es-ES"/>
        </w:rPr>
        <w:t>ruling</w:t>
      </w:r>
      <w:r w:rsidRPr="009F337B">
        <w:rPr>
          <w:rFonts w:eastAsia="Arial" w:cs="Arial"/>
          <w:i w:val="0"/>
          <w:color w:val="000000"/>
          <w:u w:color="000000"/>
          <w:lang w:val="en-US" w:eastAsia="es-ES"/>
        </w:rPr>
        <w:t xml:space="preserve"> on the application for amparo complied with the judicial elements of simplicity, promptness and effectiveness, and it was decided on the basis of due process of law and the evidence provided by the parties. It also indicated that, if </w:t>
      </w:r>
      <w:r w:rsidRPr="009F337B">
        <w:rPr>
          <w:rFonts w:eastAsia="Times New Roman"/>
          <w:i w:val="0"/>
          <w:color w:val="000000"/>
          <w:u w:color="000000"/>
          <w:lang w:val="en-US" w:eastAsia="es-ES"/>
        </w:rPr>
        <w:t>the presumed victims did not agree with the Constitutional Court’s decision, they should have had recourse to the pertinent procedural remedies. Regarding the assertion that the Constitutional Court</w:t>
      </w:r>
      <w:r w:rsidR="008B7C7D" w:rsidRPr="009F337B">
        <w:rPr>
          <w:rFonts w:eastAsia="Times New Roman"/>
          <w:i w:val="0"/>
          <w:color w:val="000000"/>
          <w:u w:color="000000"/>
          <w:lang w:val="en-US" w:eastAsia="es-ES"/>
        </w:rPr>
        <w:t>’s ruling</w:t>
      </w:r>
      <w:r w:rsidRPr="009F337B">
        <w:rPr>
          <w:rFonts w:eastAsia="Times New Roman"/>
          <w:i w:val="0"/>
          <w:color w:val="000000"/>
          <w:u w:color="000000"/>
          <w:lang w:val="en-US" w:eastAsia="es-ES"/>
        </w:rPr>
        <w:t xml:space="preserve"> had not decided the merits of the matter, </w:t>
      </w:r>
      <w:r w:rsidR="008B7C7D" w:rsidRPr="009F337B">
        <w:rPr>
          <w:rFonts w:eastAsia="Times New Roman"/>
          <w:i w:val="0"/>
          <w:color w:val="000000"/>
          <w:u w:color="000000"/>
          <w:lang w:val="en-US" w:eastAsia="es-ES"/>
        </w:rPr>
        <w:t>the State</w:t>
      </w:r>
      <w:r w:rsidRPr="009F337B">
        <w:rPr>
          <w:rFonts w:eastAsia="Times New Roman"/>
          <w:i w:val="0"/>
          <w:color w:val="000000"/>
          <w:u w:color="000000"/>
          <w:lang w:val="en-US" w:eastAsia="es-ES"/>
        </w:rPr>
        <w:t xml:space="preserve"> argued that </w:t>
      </w:r>
      <w:r w:rsidR="008B7C7D" w:rsidRPr="009F337B">
        <w:rPr>
          <w:rFonts w:eastAsia="Times New Roman"/>
          <w:i w:val="0"/>
          <w:color w:val="000000"/>
          <w:u w:color="000000"/>
          <w:lang w:val="en-US" w:eastAsia="es-ES"/>
        </w:rPr>
        <w:t>it</w:t>
      </w:r>
      <w:r w:rsidRPr="009F337B">
        <w:rPr>
          <w:rFonts w:eastAsia="Times New Roman"/>
          <w:i w:val="0"/>
          <w:color w:val="000000"/>
          <w:u w:color="000000"/>
          <w:lang w:val="en-US" w:eastAsia="es-ES"/>
        </w:rPr>
        <w:t xml:space="preserve"> had adopted an exceptional measure by allocating a special </w:t>
      </w:r>
      <w:r w:rsidR="007F67DF" w:rsidRPr="009F337B">
        <w:rPr>
          <w:rFonts w:eastAsia="Times New Roman"/>
          <w:i w:val="0"/>
          <w:color w:val="000000"/>
          <w:u w:color="000000"/>
          <w:lang w:val="en-US" w:eastAsia="es-ES"/>
        </w:rPr>
        <w:t>appropriation</w:t>
      </w:r>
      <w:r w:rsidR="008B7C7D" w:rsidRPr="009F337B">
        <w:rPr>
          <w:rFonts w:eastAsia="Times New Roman"/>
          <w:i w:val="0"/>
          <w:color w:val="000000"/>
          <w:u w:color="000000"/>
          <w:lang w:val="en-US" w:eastAsia="es-ES"/>
        </w:rPr>
        <w:t xml:space="preserve"> of 500,000.00 quetzals</w:t>
      </w:r>
      <w:r w:rsidRPr="009F337B">
        <w:rPr>
          <w:rFonts w:eastAsia="Times New Roman"/>
          <w:i w:val="0"/>
          <w:color w:val="000000"/>
          <w:u w:color="000000"/>
          <w:lang w:val="en-US" w:eastAsia="es-ES"/>
        </w:rPr>
        <w:t xml:space="preserve"> to the Ministry of Public Health and Social Assistances to respond to the request. The State also argued that, according to the Inter-American Court’s criteria, the obligation to provide the reasoning for </w:t>
      </w:r>
      <w:r w:rsidR="008B7C7D" w:rsidRPr="009F337B">
        <w:rPr>
          <w:rFonts w:eastAsia="Times New Roman"/>
          <w:i w:val="0"/>
          <w:color w:val="000000"/>
          <w:u w:color="000000"/>
          <w:lang w:val="en-US" w:eastAsia="es-ES"/>
        </w:rPr>
        <w:t>a ruling</w:t>
      </w:r>
      <w:r w:rsidRPr="009F337B">
        <w:rPr>
          <w:rFonts w:eastAsia="Times New Roman"/>
          <w:i w:val="0"/>
          <w:color w:val="000000"/>
          <w:u w:color="000000"/>
          <w:lang w:val="en-US" w:eastAsia="es-ES"/>
        </w:rPr>
        <w:t xml:space="preserve"> does not require a detailed answer to each and every argument of the parties, but can vary according to the nature of the decision and that, in each case, it is necessary to analyze whether the said guarantee has been met</w:t>
      </w:r>
      <w:r w:rsidR="008B7C7D" w:rsidRPr="009F337B">
        <w:rPr>
          <w:rFonts w:eastAsia="Times New Roman"/>
          <w:i w:val="0"/>
          <w:color w:val="000000"/>
          <w:u w:color="000000"/>
          <w:lang w:val="en-US" w:eastAsia="es-ES"/>
        </w:rPr>
        <w:t>; also,</w:t>
      </w:r>
      <w:r w:rsidRPr="009F337B">
        <w:rPr>
          <w:rFonts w:eastAsia="Times New Roman"/>
          <w:i w:val="0"/>
          <w:color w:val="000000"/>
          <w:u w:color="000000"/>
          <w:lang w:val="en-US" w:eastAsia="es-ES"/>
        </w:rPr>
        <w:t xml:space="preserve"> the requirement that the </w:t>
      </w:r>
      <w:r w:rsidR="008B7C7D" w:rsidRPr="009F337B">
        <w:rPr>
          <w:rFonts w:eastAsia="Times New Roman"/>
          <w:i w:val="0"/>
          <w:color w:val="000000"/>
          <w:u w:color="000000"/>
          <w:lang w:val="en-US" w:eastAsia="es-ES"/>
        </w:rPr>
        <w:t>ruling</w:t>
      </w:r>
      <w:r w:rsidRPr="009F337B">
        <w:rPr>
          <w:rFonts w:eastAsia="Times New Roman"/>
          <w:i w:val="0"/>
          <w:color w:val="000000"/>
          <w:u w:color="000000"/>
          <w:lang w:val="en-US" w:eastAsia="es-ES"/>
        </w:rPr>
        <w:t xml:space="preserve"> should be reasoned, does not mean that the</w:t>
      </w:r>
      <w:r w:rsidR="008B7C7D" w:rsidRPr="009F337B">
        <w:rPr>
          <w:rFonts w:eastAsia="Times New Roman"/>
          <w:i w:val="0"/>
          <w:color w:val="000000"/>
          <w:u w:color="000000"/>
          <w:lang w:val="en-US" w:eastAsia="es-ES"/>
        </w:rPr>
        <w:t xml:space="preserve"> </w:t>
      </w:r>
      <w:r w:rsidRPr="009F337B">
        <w:rPr>
          <w:rFonts w:eastAsia="Times New Roman"/>
          <w:i w:val="0"/>
          <w:color w:val="000000"/>
          <w:u w:color="000000"/>
          <w:lang w:val="en-US" w:eastAsia="es-ES"/>
        </w:rPr>
        <w:t>merits of the matter</w:t>
      </w:r>
      <w:r w:rsidR="008B7C7D" w:rsidRPr="009F337B">
        <w:rPr>
          <w:rFonts w:eastAsia="Times New Roman"/>
          <w:i w:val="0"/>
          <w:color w:val="000000"/>
          <w:u w:color="000000"/>
          <w:lang w:val="en-US" w:eastAsia="es-ES"/>
        </w:rPr>
        <w:t xml:space="preserve"> must be analyzed</w:t>
      </w:r>
    </w:p>
    <w:p w14:paraId="16BA0870" w14:textId="77777777" w:rsidR="008E387F" w:rsidRPr="009F337B" w:rsidRDefault="008E387F" w:rsidP="008E387F">
      <w:pPr>
        <w:pStyle w:val="Estilo1"/>
        <w:tabs>
          <w:tab w:val="left" w:pos="709"/>
          <w:tab w:val="left" w:pos="1134"/>
        </w:tabs>
        <w:spacing w:after="0"/>
        <w:ind w:left="0" w:right="-4" w:firstLine="0"/>
        <w:rPr>
          <w:rFonts w:cs="Arial"/>
          <w:i w:val="0"/>
          <w:color w:val="000000"/>
          <w:u w:color="000000"/>
          <w:lang w:val="en-US"/>
        </w:rPr>
      </w:pPr>
    </w:p>
    <w:p w14:paraId="3D0BFAAF" w14:textId="40C689A3" w:rsidR="008E387F" w:rsidRPr="009F337B" w:rsidRDefault="00473F70" w:rsidP="008E387F">
      <w:pPr>
        <w:pStyle w:val="Ttulo2"/>
        <w:spacing w:before="0" w:after="0"/>
        <w:rPr>
          <w:rFonts w:eastAsia="Verdana" w:cs="Cambria"/>
          <w:bCs/>
          <w:color w:val="000000"/>
          <w:u w:color="000000"/>
          <w:lang w:val="en-US" w:eastAsia="x-none"/>
        </w:rPr>
      </w:pPr>
      <w:bookmarkStart w:id="91" w:name="_Toc527466496"/>
      <w:r w:rsidRPr="009F337B">
        <w:rPr>
          <w:rFonts w:eastAsia="Verdana" w:cs="Cambria"/>
          <w:bCs/>
          <w:color w:val="000000"/>
          <w:u w:color="000000"/>
          <w:lang w:val="en-US" w:eastAsia="x-none"/>
        </w:rPr>
        <w:t>Considerations</w:t>
      </w:r>
      <w:r w:rsidR="00AE5F9E" w:rsidRPr="009F337B">
        <w:rPr>
          <w:rFonts w:eastAsia="Verdana" w:cs="Cambria"/>
          <w:bCs/>
          <w:color w:val="000000"/>
          <w:u w:color="000000"/>
          <w:lang w:val="en-US" w:eastAsia="x-none"/>
        </w:rPr>
        <w:t xml:space="preserve"> of the Court</w:t>
      </w:r>
      <w:bookmarkEnd w:id="91"/>
    </w:p>
    <w:p w14:paraId="1B9B04B7" w14:textId="77777777" w:rsidR="008B7C7D" w:rsidRPr="009F337B" w:rsidRDefault="008B7C7D" w:rsidP="008B7C7D">
      <w:pPr>
        <w:rPr>
          <w:lang w:val="en-US" w:eastAsia="x-none"/>
        </w:rPr>
      </w:pPr>
    </w:p>
    <w:p w14:paraId="2408E6C3" w14:textId="4AB5A9BF" w:rsidR="00C42183" w:rsidRPr="009F337B" w:rsidRDefault="008B7C7D" w:rsidP="00593E37">
      <w:pPr>
        <w:pStyle w:val="Estilo1"/>
        <w:numPr>
          <w:ilvl w:val="0"/>
          <w:numId w:val="1"/>
        </w:numPr>
        <w:tabs>
          <w:tab w:val="left" w:pos="709"/>
          <w:tab w:val="left" w:pos="1134"/>
        </w:tabs>
        <w:spacing w:after="0"/>
        <w:ind w:left="0" w:right="-4" w:firstLine="0"/>
        <w:rPr>
          <w:rFonts w:cs="Verdana"/>
          <w:bCs/>
          <w:i w:val="0"/>
          <w:iCs/>
          <w:lang w:val="en-US"/>
        </w:rPr>
      </w:pPr>
      <w:r w:rsidRPr="009F337B">
        <w:rPr>
          <w:rFonts w:cs="Verdana"/>
          <w:bCs/>
          <w:i w:val="0"/>
          <w:iCs/>
          <w:lang w:val="en-US"/>
        </w:rPr>
        <w:t>T</w:t>
      </w:r>
      <w:r w:rsidR="0055675C" w:rsidRPr="009F337B">
        <w:rPr>
          <w:rFonts w:cs="Verdana"/>
          <w:bCs/>
          <w:i w:val="0"/>
          <w:iCs/>
          <w:lang w:val="en-US"/>
        </w:rPr>
        <w:t xml:space="preserve">he Court has indicated that </w:t>
      </w:r>
      <w:r w:rsidRPr="009F337B">
        <w:rPr>
          <w:rFonts w:cs="Verdana"/>
          <w:bCs/>
          <w:i w:val="0"/>
          <w:iCs/>
          <w:lang w:val="en-US"/>
        </w:rPr>
        <w:t xml:space="preserve">Article 25(1) of the Convention </w:t>
      </w:r>
      <w:r w:rsidR="0055675C" w:rsidRPr="009F337B">
        <w:rPr>
          <w:rFonts w:cs="Verdana"/>
          <w:bCs/>
          <w:i w:val="0"/>
          <w:iCs/>
          <w:lang w:val="en-US"/>
        </w:rPr>
        <w:t>establishes the obligation of the States Parties to ensure, to all persons subject to their jurisdiction, an effective judicial remedy against acts that violate their fundamental rights.</w:t>
      </w:r>
      <w:r w:rsidR="0055675C" w:rsidRPr="009F337B">
        <w:rPr>
          <w:rFonts w:eastAsiaTheme="minorHAnsi" w:cstheme="minorBidi"/>
          <w:i w:val="0"/>
          <w:vertAlign w:val="superscript"/>
          <w:lang w:val="en-US"/>
        </w:rPr>
        <w:footnoteReference w:id="198"/>
      </w:r>
      <w:r w:rsidR="0055675C" w:rsidRPr="009F337B">
        <w:rPr>
          <w:rFonts w:cs="Verdana"/>
          <w:bCs/>
          <w:i w:val="0"/>
          <w:iCs/>
          <w:lang w:val="en-US"/>
        </w:rPr>
        <w:t xml:space="preserve"> This effectiveness supposes that, in addition to the formal existence of the remed</w:t>
      </w:r>
      <w:r w:rsidR="003033C4" w:rsidRPr="009F337B">
        <w:rPr>
          <w:rFonts w:cs="Verdana"/>
          <w:bCs/>
          <w:i w:val="0"/>
          <w:iCs/>
          <w:lang w:val="en-US"/>
        </w:rPr>
        <w:t>y</w:t>
      </w:r>
      <w:r w:rsidR="0055675C" w:rsidRPr="009F337B">
        <w:rPr>
          <w:rFonts w:cs="Verdana"/>
          <w:bCs/>
          <w:i w:val="0"/>
          <w:iCs/>
          <w:lang w:val="en-US"/>
        </w:rPr>
        <w:t xml:space="preserve">, </w:t>
      </w:r>
      <w:r w:rsidR="003033C4" w:rsidRPr="009F337B">
        <w:rPr>
          <w:rFonts w:cs="Verdana"/>
          <w:bCs/>
          <w:i w:val="0"/>
          <w:iCs/>
          <w:lang w:val="en-US"/>
        </w:rPr>
        <w:t>it</w:t>
      </w:r>
      <w:r w:rsidR="0055675C" w:rsidRPr="009F337B">
        <w:rPr>
          <w:rFonts w:cs="Verdana"/>
          <w:bCs/>
          <w:i w:val="0"/>
          <w:iCs/>
          <w:lang w:val="en-US"/>
        </w:rPr>
        <w:t xml:space="preserve"> lead</w:t>
      </w:r>
      <w:r w:rsidR="003033C4" w:rsidRPr="009F337B">
        <w:rPr>
          <w:rFonts w:cs="Verdana"/>
          <w:bCs/>
          <w:i w:val="0"/>
          <w:iCs/>
          <w:lang w:val="en-US"/>
        </w:rPr>
        <w:t>s</w:t>
      </w:r>
      <w:r w:rsidR="0055675C" w:rsidRPr="009F337B">
        <w:rPr>
          <w:rFonts w:cs="Verdana"/>
          <w:bCs/>
          <w:i w:val="0"/>
          <w:iCs/>
          <w:lang w:val="en-US"/>
        </w:rPr>
        <w:t xml:space="preserve"> to results or responses to the violation of the rights </w:t>
      </w:r>
      <w:r w:rsidR="003033C4" w:rsidRPr="009F337B">
        <w:rPr>
          <w:rFonts w:cs="Verdana"/>
          <w:bCs/>
          <w:i w:val="0"/>
          <w:iCs/>
          <w:lang w:val="en-US"/>
        </w:rPr>
        <w:t>recognized</w:t>
      </w:r>
      <w:r w:rsidR="0055675C" w:rsidRPr="009F337B">
        <w:rPr>
          <w:rFonts w:cs="Verdana"/>
          <w:bCs/>
          <w:i w:val="0"/>
          <w:iCs/>
          <w:lang w:val="en-US"/>
        </w:rPr>
        <w:t xml:space="preserve"> in either </w:t>
      </w:r>
      <w:r w:rsidR="00AE5F9E" w:rsidRPr="009F337B">
        <w:rPr>
          <w:i w:val="0"/>
          <w:lang w:val="en-US"/>
        </w:rPr>
        <w:t>the Convention</w:t>
      </w:r>
      <w:r w:rsidR="00C42183" w:rsidRPr="009F337B">
        <w:rPr>
          <w:i w:val="0"/>
          <w:lang w:val="en-US"/>
        </w:rPr>
        <w:t xml:space="preserve">, </w:t>
      </w:r>
      <w:r w:rsidR="0055675C" w:rsidRPr="009F337B">
        <w:rPr>
          <w:i w:val="0"/>
          <w:lang w:val="en-US"/>
        </w:rPr>
        <w:t>or the</w:t>
      </w:r>
      <w:r w:rsidR="003033C4" w:rsidRPr="009F337B">
        <w:rPr>
          <w:i w:val="0"/>
          <w:lang w:val="en-US"/>
        </w:rPr>
        <w:t>ir</w:t>
      </w:r>
      <w:r w:rsidR="00C42183" w:rsidRPr="009F337B">
        <w:rPr>
          <w:i w:val="0"/>
          <w:lang w:val="en-US"/>
        </w:rPr>
        <w:t xml:space="preserve"> </w:t>
      </w:r>
      <w:r w:rsidR="009E46AF" w:rsidRPr="009F337B">
        <w:rPr>
          <w:i w:val="0"/>
          <w:lang w:val="en-US"/>
        </w:rPr>
        <w:t>Constitution</w:t>
      </w:r>
      <w:r w:rsidR="00C42183" w:rsidRPr="009F337B">
        <w:rPr>
          <w:i w:val="0"/>
          <w:lang w:val="en-US"/>
        </w:rPr>
        <w:t xml:space="preserve"> </w:t>
      </w:r>
      <w:r w:rsidR="0055675C" w:rsidRPr="009F337B">
        <w:rPr>
          <w:i w:val="0"/>
          <w:lang w:val="en-US"/>
        </w:rPr>
        <w:t>and</w:t>
      </w:r>
      <w:r w:rsidR="00C42183" w:rsidRPr="009F337B">
        <w:rPr>
          <w:i w:val="0"/>
          <w:lang w:val="en-US"/>
        </w:rPr>
        <w:t xml:space="preserve"> l</w:t>
      </w:r>
      <w:r w:rsidR="0055675C" w:rsidRPr="009F337B">
        <w:rPr>
          <w:i w:val="0"/>
          <w:lang w:val="en-US"/>
        </w:rPr>
        <w:t>aws.</w:t>
      </w:r>
      <w:r w:rsidR="00C42183" w:rsidRPr="009F337B">
        <w:rPr>
          <w:rStyle w:val="Refdenotaalpie"/>
          <w:i w:val="0"/>
          <w:lang w:val="en-US"/>
        </w:rPr>
        <w:footnoteReference w:id="199"/>
      </w:r>
      <w:r w:rsidR="0055675C" w:rsidRPr="009F337B">
        <w:rPr>
          <w:i w:val="0"/>
          <w:lang w:val="en-US"/>
        </w:rPr>
        <w:t xml:space="preserve"> Accordingly, those remedies that, owing to the general situation in the country or even due to the particular circumstances of a specific case, are illusory cannot be considered effective.</w:t>
      </w:r>
      <w:r w:rsidR="00C42183" w:rsidRPr="009F337B">
        <w:rPr>
          <w:rStyle w:val="Refdenotaalpie"/>
          <w:i w:val="0"/>
          <w:lang w:val="en-US"/>
        </w:rPr>
        <w:footnoteReference w:id="200"/>
      </w:r>
      <w:r w:rsidR="0055675C" w:rsidRPr="009F337B">
        <w:rPr>
          <w:i w:val="0"/>
          <w:lang w:val="en-US"/>
        </w:rPr>
        <w:t xml:space="preserve"> This may occur, for example, when their </w:t>
      </w:r>
      <w:r w:rsidR="00AD786A" w:rsidRPr="009F337B">
        <w:rPr>
          <w:i w:val="0"/>
          <w:lang w:val="en-US"/>
        </w:rPr>
        <w:t>ineffectiveness</w:t>
      </w:r>
      <w:r w:rsidR="0055675C" w:rsidRPr="009F337B">
        <w:rPr>
          <w:i w:val="0"/>
          <w:lang w:val="en-US"/>
        </w:rPr>
        <w:t xml:space="preserve"> has been revealed by practice, because the Judiciary lacks the necessary </w:t>
      </w:r>
      <w:r w:rsidR="00AD786A" w:rsidRPr="009F337B">
        <w:rPr>
          <w:i w:val="0"/>
          <w:lang w:val="en-US"/>
        </w:rPr>
        <w:t>i</w:t>
      </w:r>
      <w:r w:rsidR="0055675C" w:rsidRPr="009F337B">
        <w:rPr>
          <w:i w:val="0"/>
          <w:lang w:val="en-US"/>
        </w:rPr>
        <w:t>ndependence to decide with impartiality, or owing to any other situation that constitutes a denial of justice.</w:t>
      </w:r>
      <w:r w:rsidR="00C42183" w:rsidRPr="009F337B">
        <w:rPr>
          <w:rStyle w:val="Refdenotaalpie"/>
          <w:i w:val="0"/>
          <w:lang w:val="en-US"/>
        </w:rPr>
        <w:footnoteReference w:id="201"/>
      </w:r>
      <w:r w:rsidR="00C42183" w:rsidRPr="009F337B">
        <w:rPr>
          <w:i w:val="0"/>
          <w:lang w:val="en-US"/>
        </w:rPr>
        <w:t xml:space="preserve"> </w:t>
      </w:r>
      <w:r w:rsidR="0055675C" w:rsidRPr="009F337B">
        <w:rPr>
          <w:i w:val="0"/>
          <w:lang w:val="en-US"/>
        </w:rPr>
        <w:t>Thus, proceedings should be aimed at implementation of the protection of the right recognized in the legal ruling by the appropriate application of th</w:t>
      </w:r>
      <w:r w:rsidR="00AD786A" w:rsidRPr="009F337B">
        <w:rPr>
          <w:i w:val="0"/>
          <w:lang w:val="en-US"/>
        </w:rPr>
        <w:t>at</w:t>
      </w:r>
      <w:r w:rsidR="0055675C" w:rsidRPr="009F337B">
        <w:rPr>
          <w:i w:val="0"/>
          <w:lang w:val="en-US"/>
        </w:rPr>
        <w:t xml:space="preserve"> ruling.</w:t>
      </w:r>
      <w:r w:rsidR="00C42183" w:rsidRPr="009F337B">
        <w:rPr>
          <w:rFonts w:cs="Verdana"/>
          <w:i w:val="0"/>
          <w:sz w:val="16"/>
          <w:szCs w:val="16"/>
          <w:vertAlign w:val="superscript"/>
          <w:lang w:val="en-US"/>
        </w:rPr>
        <w:footnoteReference w:id="202"/>
      </w:r>
    </w:p>
    <w:p w14:paraId="67DE21A2" w14:textId="77777777" w:rsidR="008E387F" w:rsidRPr="009F337B" w:rsidRDefault="008E387F" w:rsidP="008E387F">
      <w:pPr>
        <w:pStyle w:val="Estilo1"/>
        <w:tabs>
          <w:tab w:val="left" w:pos="709"/>
          <w:tab w:val="left" w:pos="1134"/>
        </w:tabs>
        <w:spacing w:after="0"/>
        <w:ind w:left="0" w:right="-4" w:firstLine="0"/>
        <w:rPr>
          <w:rFonts w:cs="Verdana"/>
          <w:bCs/>
          <w:i w:val="0"/>
          <w:iCs/>
          <w:lang w:val="en-US"/>
        </w:rPr>
      </w:pPr>
    </w:p>
    <w:p w14:paraId="2E2B2D4A" w14:textId="66D8AFBE" w:rsidR="00C42183" w:rsidRPr="009F337B" w:rsidRDefault="00AE5F9E" w:rsidP="00593E37">
      <w:pPr>
        <w:pStyle w:val="Estilo1"/>
        <w:numPr>
          <w:ilvl w:val="0"/>
          <w:numId w:val="1"/>
        </w:numPr>
        <w:tabs>
          <w:tab w:val="left" w:pos="709"/>
          <w:tab w:val="left" w:pos="1134"/>
        </w:tabs>
        <w:spacing w:after="0"/>
        <w:ind w:left="0" w:right="-4" w:firstLine="0"/>
        <w:rPr>
          <w:rFonts w:cs="Verdana"/>
          <w:bCs/>
          <w:i w:val="0"/>
          <w:iCs/>
          <w:lang w:val="en-US"/>
        </w:rPr>
      </w:pPr>
      <w:r w:rsidRPr="009F337B">
        <w:rPr>
          <w:rFonts w:cs="Verdana"/>
          <w:bCs/>
          <w:i w:val="0"/>
          <w:iCs/>
          <w:lang w:val="en-US"/>
        </w:rPr>
        <w:lastRenderedPageBreak/>
        <w:t>The Court</w:t>
      </w:r>
      <w:r w:rsidR="00C42183" w:rsidRPr="009F337B">
        <w:rPr>
          <w:rFonts w:cs="Verdana"/>
          <w:bCs/>
          <w:i w:val="0"/>
          <w:iCs/>
          <w:lang w:val="en-US"/>
        </w:rPr>
        <w:t xml:space="preserve"> ha</w:t>
      </w:r>
      <w:r w:rsidR="0055675C" w:rsidRPr="009F337B">
        <w:rPr>
          <w:rFonts w:cs="Verdana"/>
          <w:bCs/>
          <w:i w:val="0"/>
          <w:iCs/>
          <w:lang w:val="en-US"/>
        </w:rPr>
        <w:t>s established that, for an effective remedy to exist, it is not sufficient that it exists formally.</w:t>
      </w:r>
      <w:r w:rsidR="00C42183" w:rsidRPr="009F337B">
        <w:rPr>
          <w:rFonts w:cs="Verdana"/>
          <w:bCs/>
          <w:i w:val="0"/>
          <w:iCs/>
          <w:sz w:val="16"/>
          <w:szCs w:val="16"/>
          <w:vertAlign w:val="superscript"/>
          <w:lang w:val="en-US"/>
        </w:rPr>
        <w:footnoteReference w:id="203"/>
      </w:r>
      <w:r w:rsidR="0055675C" w:rsidRPr="009F337B">
        <w:rPr>
          <w:rFonts w:cs="Verdana"/>
          <w:bCs/>
          <w:i w:val="0"/>
          <w:iCs/>
          <w:lang w:val="en-US"/>
        </w:rPr>
        <w:t xml:space="preserve"> This means that the remedy should be appropriate to </w:t>
      </w:r>
      <w:r w:rsidR="00AD786A" w:rsidRPr="009F337B">
        <w:rPr>
          <w:rFonts w:cs="Verdana"/>
          <w:bCs/>
          <w:i w:val="0"/>
          <w:iCs/>
          <w:lang w:val="en-US"/>
        </w:rPr>
        <w:t>contest</w:t>
      </w:r>
      <w:r w:rsidR="0055675C" w:rsidRPr="009F337B">
        <w:rPr>
          <w:rFonts w:cs="Verdana"/>
          <w:bCs/>
          <w:i w:val="0"/>
          <w:iCs/>
          <w:lang w:val="en-US"/>
        </w:rPr>
        <w:t xml:space="preserve"> the violation and </w:t>
      </w:r>
      <w:r w:rsidR="00B04FFC" w:rsidRPr="009F337B">
        <w:rPr>
          <w:rFonts w:cs="Verdana"/>
          <w:bCs/>
          <w:i w:val="0"/>
          <w:iCs/>
          <w:lang w:val="en-US"/>
        </w:rPr>
        <w:t>that its application by the competent authority be effective.</w:t>
      </w:r>
      <w:r w:rsidR="00C42183" w:rsidRPr="009F337B">
        <w:rPr>
          <w:rFonts w:cs="Verdana"/>
          <w:bCs/>
          <w:i w:val="0"/>
          <w:iCs/>
          <w:sz w:val="16"/>
          <w:szCs w:val="16"/>
          <w:vertAlign w:val="superscript"/>
          <w:lang w:val="en-US"/>
        </w:rPr>
        <w:footnoteReference w:id="204"/>
      </w:r>
      <w:r w:rsidR="00B04FFC" w:rsidRPr="009F337B">
        <w:rPr>
          <w:rFonts w:cs="Verdana"/>
          <w:bCs/>
          <w:i w:val="0"/>
          <w:iCs/>
          <w:lang w:val="en-US"/>
        </w:rPr>
        <w:t xml:space="preserve"> </w:t>
      </w:r>
      <w:r w:rsidR="00AD786A" w:rsidRPr="009F337B">
        <w:rPr>
          <w:rFonts w:cs="Verdana"/>
          <w:bCs/>
          <w:i w:val="0"/>
          <w:iCs/>
          <w:lang w:val="en-US"/>
        </w:rPr>
        <w:t>In addition, the</w:t>
      </w:r>
      <w:r w:rsidR="00B04FFC" w:rsidRPr="009F337B">
        <w:rPr>
          <w:rFonts w:cs="Verdana"/>
          <w:bCs/>
          <w:i w:val="0"/>
          <w:iCs/>
          <w:lang w:val="en-US"/>
        </w:rPr>
        <w:t xml:space="preserve"> Court has established that an effective judicial remedy implies that the analysis of a judicial remedy by the competent authority cannot be reduced to a mere formality, but rather the said authority must examine the reasons cited by the plaintiff and rule on them expressly.</w:t>
      </w:r>
      <w:r w:rsidR="00C42183" w:rsidRPr="009F337B">
        <w:rPr>
          <w:rFonts w:cs="Verdana"/>
          <w:bCs/>
          <w:i w:val="0"/>
          <w:iCs/>
          <w:sz w:val="16"/>
          <w:szCs w:val="16"/>
          <w:vertAlign w:val="superscript"/>
          <w:lang w:val="en-US"/>
        </w:rPr>
        <w:footnoteReference w:id="205"/>
      </w:r>
      <w:r w:rsidR="00C42183" w:rsidRPr="009F337B">
        <w:rPr>
          <w:rFonts w:cs="Verdana"/>
          <w:bCs/>
          <w:i w:val="0"/>
          <w:iCs/>
          <w:lang w:val="en-US"/>
        </w:rPr>
        <w:t xml:space="preserve"> </w:t>
      </w:r>
      <w:r w:rsidR="00B04FFC" w:rsidRPr="009F337B">
        <w:rPr>
          <w:rFonts w:cs="Verdana"/>
          <w:bCs/>
          <w:i w:val="0"/>
          <w:iCs/>
          <w:lang w:val="en-US"/>
        </w:rPr>
        <w:t>This does not mean that the</w:t>
      </w:r>
      <w:r w:rsidR="00AD786A" w:rsidRPr="009F337B">
        <w:rPr>
          <w:rFonts w:cs="Verdana"/>
          <w:bCs/>
          <w:i w:val="0"/>
          <w:iCs/>
          <w:lang w:val="en-US"/>
        </w:rPr>
        <w:t xml:space="preserve"> Court assesses the</w:t>
      </w:r>
      <w:r w:rsidR="00B04FFC" w:rsidRPr="009F337B">
        <w:rPr>
          <w:rFonts w:cs="Verdana"/>
          <w:bCs/>
          <w:i w:val="0"/>
          <w:iCs/>
          <w:lang w:val="en-US"/>
        </w:rPr>
        <w:t xml:space="preserve"> effectiveness of a remedy </w:t>
      </w:r>
      <w:r w:rsidR="00AD786A" w:rsidRPr="009F337B">
        <w:rPr>
          <w:rFonts w:cs="Verdana"/>
          <w:bCs/>
          <w:i w:val="0"/>
          <w:iCs/>
          <w:lang w:val="en-US"/>
        </w:rPr>
        <w:t>based on</w:t>
      </w:r>
      <w:r w:rsidR="000532D0">
        <w:rPr>
          <w:rFonts w:cs="Verdana"/>
          <w:bCs/>
          <w:i w:val="0"/>
          <w:iCs/>
          <w:lang w:val="en-US"/>
        </w:rPr>
        <w:t xml:space="preserve"> whether</w:t>
      </w:r>
      <w:r w:rsidR="00B04FFC" w:rsidRPr="009F337B">
        <w:rPr>
          <w:rFonts w:cs="Verdana"/>
          <w:bCs/>
          <w:i w:val="0"/>
          <w:iCs/>
          <w:lang w:val="en-US"/>
        </w:rPr>
        <w:t xml:space="preserve"> it </w:t>
      </w:r>
      <w:r w:rsidR="000532D0">
        <w:rPr>
          <w:rFonts w:cs="Verdana"/>
          <w:bCs/>
          <w:i w:val="0"/>
          <w:iCs/>
          <w:lang w:val="en-US"/>
        </w:rPr>
        <w:t xml:space="preserve">has </w:t>
      </w:r>
      <w:r w:rsidR="00B04FFC" w:rsidRPr="009F337B">
        <w:rPr>
          <w:rFonts w:cs="Verdana"/>
          <w:bCs/>
          <w:i w:val="0"/>
          <w:iCs/>
          <w:lang w:val="en-US"/>
        </w:rPr>
        <w:t>produc</w:t>
      </w:r>
      <w:r w:rsidR="000532D0">
        <w:rPr>
          <w:rFonts w:cs="Verdana"/>
          <w:bCs/>
          <w:i w:val="0"/>
          <w:iCs/>
          <w:lang w:val="en-US"/>
        </w:rPr>
        <w:t>ed</w:t>
      </w:r>
      <w:r w:rsidR="00B04FFC" w:rsidRPr="009F337B">
        <w:rPr>
          <w:rFonts w:cs="Verdana"/>
          <w:bCs/>
          <w:i w:val="0"/>
          <w:iCs/>
          <w:lang w:val="en-US"/>
        </w:rPr>
        <w:t xml:space="preserve"> a favorable result for the plaintiff.</w:t>
      </w:r>
      <w:r w:rsidR="00C42183" w:rsidRPr="009F337B">
        <w:rPr>
          <w:rFonts w:cs="Verdana"/>
          <w:bCs/>
          <w:i w:val="0"/>
          <w:iCs/>
          <w:sz w:val="16"/>
          <w:szCs w:val="16"/>
          <w:vertAlign w:val="superscript"/>
          <w:lang w:val="en-US"/>
        </w:rPr>
        <w:footnoteReference w:id="206"/>
      </w:r>
      <w:r w:rsidR="00C42183" w:rsidRPr="009F337B">
        <w:rPr>
          <w:rFonts w:cs="Verdana"/>
          <w:bCs/>
          <w:i w:val="0"/>
          <w:iCs/>
          <w:lang w:val="en-US"/>
        </w:rPr>
        <w:t xml:space="preserve"> </w:t>
      </w:r>
      <w:r w:rsidRPr="009F337B">
        <w:rPr>
          <w:rFonts w:cs="Verdana"/>
          <w:bCs/>
          <w:i w:val="0"/>
          <w:iCs/>
          <w:lang w:val="en-US"/>
        </w:rPr>
        <w:t>The Court</w:t>
      </w:r>
      <w:r w:rsidR="00C42183" w:rsidRPr="009F337B">
        <w:rPr>
          <w:rFonts w:cs="Verdana"/>
          <w:bCs/>
          <w:i w:val="0"/>
          <w:iCs/>
          <w:lang w:val="en-US"/>
        </w:rPr>
        <w:t xml:space="preserve"> ha</w:t>
      </w:r>
      <w:r w:rsidR="00B04FFC" w:rsidRPr="009F337B">
        <w:rPr>
          <w:rFonts w:cs="Verdana"/>
          <w:bCs/>
          <w:i w:val="0"/>
          <w:iCs/>
          <w:lang w:val="en-US"/>
        </w:rPr>
        <w:t>s indicated that, by virtue</w:t>
      </w:r>
      <w:r w:rsidR="00C42183" w:rsidRPr="009F337B">
        <w:rPr>
          <w:rFonts w:cs="Verdana"/>
          <w:bCs/>
          <w:i w:val="0"/>
          <w:iCs/>
          <w:lang w:val="en-US"/>
        </w:rPr>
        <w:t xml:space="preserve"> </w:t>
      </w:r>
      <w:r w:rsidR="003C46A3" w:rsidRPr="009F337B">
        <w:rPr>
          <w:rFonts w:cs="Verdana"/>
          <w:bCs/>
          <w:i w:val="0"/>
          <w:iCs/>
          <w:lang w:val="en-US"/>
        </w:rPr>
        <w:t>of Article</w:t>
      </w:r>
      <w:r w:rsidR="00C42183" w:rsidRPr="009F337B">
        <w:rPr>
          <w:rFonts w:cs="Verdana"/>
          <w:bCs/>
          <w:i w:val="0"/>
          <w:iCs/>
          <w:lang w:val="en-US"/>
        </w:rPr>
        <w:t xml:space="preserve"> 25</w:t>
      </w:r>
      <w:r w:rsidR="00B04FFC" w:rsidRPr="009F337B">
        <w:rPr>
          <w:rFonts w:cs="Verdana"/>
          <w:bCs/>
          <w:i w:val="0"/>
          <w:iCs/>
          <w:lang w:val="en-US"/>
        </w:rPr>
        <w:t>(</w:t>
      </w:r>
      <w:r w:rsidR="00C42183" w:rsidRPr="009F337B">
        <w:rPr>
          <w:rFonts w:cs="Verdana"/>
          <w:bCs/>
          <w:i w:val="0"/>
          <w:iCs/>
          <w:lang w:val="en-US"/>
        </w:rPr>
        <w:t>2</w:t>
      </w:r>
      <w:r w:rsidR="00B04FFC" w:rsidRPr="009F337B">
        <w:rPr>
          <w:rFonts w:cs="Verdana"/>
          <w:bCs/>
          <w:i w:val="0"/>
          <w:iCs/>
          <w:lang w:val="en-US"/>
        </w:rPr>
        <w:t>)(</w:t>
      </w:r>
      <w:r w:rsidR="00C42183" w:rsidRPr="009F337B">
        <w:rPr>
          <w:rFonts w:cs="Verdana"/>
          <w:bCs/>
          <w:i w:val="0"/>
          <w:iCs/>
          <w:lang w:val="en-US"/>
        </w:rPr>
        <w:t>c</w:t>
      </w:r>
      <w:r w:rsidR="00B04FFC" w:rsidRPr="009F337B">
        <w:rPr>
          <w:rFonts w:cs="Verdana"/>
          <w:bCs/>
          <w:i w:val="0"/>
          <w:iCs/>
          <w:lang w:val="en-US"/>
        </w:rPr>
        <w:t>)</w:t>
      </w:r>
      <w:r w:rsidRPr="009F337B">
        <w:rPr>
          <w:rFonts w:cs="Verdana"/>
          <w:bCs/>
          <w:i w:val="0"/>
          <w:iCs/>
          <w:lang w:val="en-US"/>
        </w:rPr>
        <w:t xml:space="preserve"> of the Convention</w:t>
      </w:r>
      <w:r w:rsidR="00C42183" w:rsidRPr="009F337B">
        <w:rPr>
          <w:rFonts w:cs="Verdana"/>
          <w:bCs/>
          <w:i w:val="0"/>
          <w:iCs/>
          <w:lang w:val="en-US"/>
        </w:rPr>
        <w:t xml:space="preserve">, </w:t>
      </w:r>
      <w:r w:rsidR="00B04FFC" w:rsidRPr="009F337B">
        <w:rPr>
          <w:rFonts w:cs="Verdana"/>
          <w:bCs/>
          <w:i w:val="0"/>
          <w:iCs/>
          <w:lang w:val="en-US"/>
        </w:rPr>
        <w:t>State responsibility does not end when the competent authorities issue a decision or judgment, but also requires the State to ensure the means to execute the final decisions, so that the rights declared are protected effectively.</w:t>
      </w:r>
      <w:r w:rsidR="00C42183" w:rsidRPr="009F337B">
        <w:rPr>
          <w:rFonts w:cs="Verdana"/>
          <w:bCs/>
          <w:i w:val="0"/>
          <w:iCs/>
          <w:sz w:val="16"/>
          <w:szCs w:val="16"/>
          <w:vertAlign w:val="superscript"/>
          <w:lang w:val="en-US"/>
        </w:rPr>
        <w:footnoteReference w:id="207"/>
      </w:r>
    </w:p>
    <w:p w14:paraId="28631595" w14:textId="77777777" w:rsidR="008E387F" w:rsidRPr="009F337B" w:rsidRDefault="008E387F" w:rsidP="008E387F">
      <w:pPr>
        <w:pStyle w:val="Estilo1"/>
        <w:tabs>
          <w:tab w:val="left" w:pos="709"/>
          <w:tab w:val="left" w:pos="1134"/>
        </w:tabs>
        <w:spacing w:after="0"/>
        <w:ind w:left="0" w:right="-4" w:firstLine="0"/>
        <w:rPr>
          <w:rFonts w:cs="Verdana"/>
          <w:bCs/>
          <w:i w:val="0"/>
          <w:iCs/>
          <w:lang w:val="en-US"/>
        </w:rPr>
      </w:pPr>
    </w:p>
    <w:p w14:paraId="336EF1D2" w14:textId="10158421" w:rsidR="00C42183" w:rsidRPr="009F337B" w:rsidRDefault="00B04FFC" w:rsidP="00593E37">
      <w:pPr>
        <w:pStyle w:val="Estilo1"/>
        <w:numPr>
          <w:ilvl w:val="0"/>
          <w:numId w:val="1"/>
        </w:numPr>
        <w:tabs>
          <w:tab w:val="left" w:pos="709"/>
          <w:tab w:val="left" w:pos="1134"/>
        </w:tabs>
        <w:spacing w:after="0"/>
        <w:ind w:left="0" w:right="-4" w:firstLine="0"/>
        <w:rPr>
          <w:rFonts w:eastAsia="Cambria" w:cs="Verdana"/>
          <w:bCs/>
          <w:i w:val="0"/>
          <w:iCs/>
          <w:color w:val="000000"/>
          <w:u w:color="000000"/>
          <w:lang w:val="en-US" w:eastAsia="es-ES"/>
        </w:rPr>
      </w:pPr>
      <w:r w:rsidRPr="009F337B">
        <w:rPr>
          <w:rFonts w:eastAsia="Cambria" w:cs="Verdana"/>
          <w:bCs/>
          <w:i w:val="0"/>
          <w:iCs/>
          <w:color w:val="000000"/>
          <w:u w:color="000000"/>
          <w:lang w:val="en-US" w:eastAsia="es-ES"/>
        </w:rPr>
        <w:t>The</w:t>
      </w:r>
      <w:r w:rsidR="00AE5F9E" w:rsidRPr="009F337B">
        <w:rPr>
          <w:rFonts w:eastAsia="Cambria" w:cs="Verdana"/>
          <w:bCs/>
          <w:i w:val="0"/>
          <w:iCs/>
          <w:color w:val="000000"/>
          <w:u w:color="000000"/>
          <w:lang w:val="en-US" w:eastAsia="es-ES"/>
        </w:rPr>
        <w:t xml:space="preserve"> Court</w:t>
      </w:r>
      <w:r w:rsidR="00C42183" w:rsidRPr="009F337B">
        <w:rPr>
          <w:rFonts w:eastAsia="Cambria" w:cs="Verdana"/>
          <w:bCs/>
          <w:i w:val="0"/>
          <w:iCs/>
          <w:color w:val="000000"/>
          <w:u w:color="000000"/>
          <w:lang w:val="en-US" w:eastAsia="es-ES"/>
        </w:rPr>
        <w:t xml:space="preserve"> ha</w:t>
      </w:r>
      <w:r w:rsidRPr="009F337B">
        <w:rPr>
          <w:rFonts w:eastAsia="Cambria" w:cs="Verdana"/>
          <w:bCs/>
          <w:i w:val="0"/>
          <w:iCs/>
          <w:color w:val="000000"/>
          <w:u w:color="000000"/>
          <w:lang w:val="en-US" w:eastAsia="es-ES"/>
        </w:rPr>
        <w:t>s also indicated that, in light</w:t>
      </w:r>
      <w:r w:rsidR="00C42183" w:rsidRPr="009F337B">
        <w:rPr>
          <w:rFonts w:eastAsia="Cambria" w:cs="Verdana"/>
          <w:bCs/>
          <w:i w:val="0"/>
          <w:iCs/>
          <w:color w:val="000000"/>
          <w:u w:color="000000"/>
          <w:lang w:val="en-US" w:eastAsia="es-ES"/>
        </w:rPr>
        <w:t xml:space="preserve"> </w:t>
      </w:r>
      <w:r w:rsidR="003C46A3" w:rsidRPr="009F337B">
        <w:rPr>
          <w:rFonts w:eastAsia="Cambria" w:cs="Verdana"/>
          <w:bCs/>
          <w:i w:val="0"/>
          <w:iCs/>
          <w:color w:val="000000"/>
          <w:u w:color="000000"/>
          <w:lang w:val="en-US" w:eastAsia="es-ES"/>
        </w:rPr>
        <w:t>of Article</w:t>
      </w:r>
      <w:r w:rsidR="00C42183" w:rsidRPr="009F337B">
        <w:rPr>
          <w:rFonts w:eastAsia="Cambria" w:cs="Verdana"/>
          <w:bCs/>
          <w:i w:val="0"/>
          <w:iCs/>
          <w:color w:val="000000"/>
          <w:u w:color="000000"/>
          <w:lang w:val="en-US" w:eastAsia="es-ES"/>
        </w:rPr>
        <w:t xml:space="preserve"> </w:t>
      </w:r>
      <w:r w:rsidRPr="009F337B">
        <w:rPr>
          <w:rFonts w:eastAsia="Cambria" w:cs="Verdana"/>
          <w:bCs/>
          <w:i w:val="0"/>
          <w:iCs/>
          <w:color w:val="000000"/>
          <w:u w:color="000000"/>
          <w:lang w:val="en-US" w:eastAsia="es-ES"/>
        </w:rPr>
        <w:t>8(1)</w:t>
      </w:r>
      <w:r w:rsidR="00AE5F9E" w:rsidRPr="009F337B">
        <w:rPr>
          <w:rFonts w:eastAsia="Cambria" w:cs="Verdana"/>
          <w:bCs/>
          <w:i w:val="0"/>
          <w:iCs/>
          <w:color w:val="000000"/>
          <w:u w:color="000000"/>
          <w:lang w:val="en-US" w:eastAsia="es-ES"/>
        </w:rPr>
        <w:t xml:space="preserve"> of the Convention</w:t>
      </w:r>
      <w:r w:rsidR="00C42183" w:rsidRPr="009F337B">
        <w:rPr>
          <w:rFonts w:eastAsia="Cambria" w:cs="Verdana"/>
          <w:bCs/>
          <w:i w:val="0"/>
          <w:iCs/>
          <w:color w:val="000000"/>
          <w:u w:color="000000"/>
          <w:lang w:val="en-US" w:eastAsia="es-ES"/>
        </w:rPr>
        <w:t xml:space="preserve">, </w:t>
      </w:r>
      <w:r w:rsidRPr="009F337B">
        <w:rPr>
          <w:rFonts w:eastAsia="Cambria" w:cs="Verdana"/>
          <w:bCs/>
          <w:i w:val="0"/>
          <w:iCs/>
          <w:color w:val="000000"/>
          <w:u w:color="000000"/>
          <w:lang w:val="en-US" w:eastAsia="es-ES"/>
        </w:rPr>
        <w:t xml:space="preserve">everyone has the right to a hearing by a competent and impartial court with due procedural guarantees, which include the possibility of presenting arguments and providing evidence. The Court has indicated that this provision of the Convention means that the State must ensure that the decision resulting from the proceedings satisfies the purpose for which </w:t>
      </w:r>
      <w:r w:rsidR="004506E1" w:rsidRPr="009F337B">
        <w:rPr>
          <w:rFonts w:eastAsia="Cambria" w:cs="Verdana"/>
          <w:bCs/>
          <w:i w:val="0"/>
          <w:iCs/>
          <w:color w:val="000000"/>
          <w:u w:color="000000"/>
          <w:lang w:val="en-US" w:eastAsia="es-ES"/>
        </w:rPr>
        <w:t>it</w:t>
      </w:r>
      <w:r w:rsidRPr="009F337B">
        <w:rPr>
          <w:rFonts w:eastAsia="Cambria" w:cs="Verdana"/>
          <w:bCs/>
          <w:i w:val="0"/>
          <w:iCs/>
          <w:color w:val="000000"/>
          <w:u w:color="000000"/>
          <w:lang w:val="en-US" w:eastAsia="es-ES"/>
        </w:rPr>
        <w:t xml:space="preserve"> was conceived. This does not mean that it must always be accepted, but that its ability to produce the result for which it was conceived must be guaranteed.</w:t>
      </w:r>
      <w:r w:rsidR="00C42183" w:rsidRPr="009F337B">
        <w:rPr>
          <w:rFonts w:eastAsia="Cambria" w:cs="Cambria"/>
          <w:i w:val="0"/>
          <w:color w:val="000000"/>
          <w:sz w:val="16"/>
          <w:szCs w:val="16"/>
          <w:u w:color="000000"/>
          <w:vertAlign w:val="superscript"/>
          <w:lang w:val="en-US" w:eastAsia="es-ES"/>
        </w:rPr>
        <w:footnoteReference w:id="208"/>
      </w:r>
      <w:r w:rsidR="00C42183" w:rsidRPr="009F337B">
        <w:rPr>
          <w:rFonts w:eastAsia="Cambria" w:cs="Verdana"/>
          <w:bCs/>
          <w:i w:val="0"/>
          <w:iCs/>
          <w:color w:val="000000"/>
          <w:u w:color="000000"/>
          <w:lang w:val="en-US" w:eastAsia="es-ES"/>
        </w:rPr>
        <w:t xml:space="preserve"> </w:t>
      </w:r>
      <w:r w:rsidRPr="009F337B">
        <w:rPr>
          <w:rFonts w:eastAsia="Cambria" w:cs="Verdana"/>
          <w:bCs/>
          <w:i w:val="0"/>
          <w:iCs/>
          <w:color w:val="000000"/>
          <w:u w:color="000000"/>
          <w:lang w:val="en-US" w:eastAsia="es-ES"/>
        </w:rPr>
        <w:t>In addition,</w:t>
      </w:r>
      <w:r w:rsidR="00C42183" w:rsidRPr="009F337B">
        <w:rPr>
          <w:rFonts w:eastAsia="Cambria" w:cs="Verdana"/>
          <w:bCs/>
          <w:i w:val="0"/>
          <w:iCs/>
          <w:color w:val="000000"/>
          <w:u w:color="000000"/>
          <w:lang w:val="en-US" w:eastAsia="es-ES"/>
        </w:rPr>
        <w:t xml:space="preserve"> </w:t>
      </w:r>
      <w:r w:rsidR="00AE5F9E" w:rsidRPr="009F337B">
        <w:rPr>
          <w:rFonts w:eastAsia="Cambria" w:cs="Cambria"/>
          <w:i w:val="0"/>
          <w:color w:val="000000"/>
          <w:u w:color="000000"/>
          <w:lang w:val="en-US" w:eastAsia="es-ES"/>
        </w:rPr>
        <w:t>the Court</w:t>
      </w:r>
      <w:r w:rsidR="00C42183" w:rsidRPr="009F337B">
        <w:rPr>
          <w:rFonts w:eastAsia="Cambria" w:cs="Cambria"/>
          <w:i w:val="0"/>
          <w:color w:val="000000"/>
          <w:u w:color="000000"/>
          <w:lang w:val="en-US" w:eastAsia="es-ES"/>
        </w:rPr>
        <w:t xml:space="preserve"> rec</w:t>
      </w:r>
      <w:r w:rsidRPr="009F337B">
        <w:rPr>
          <w:rFonts w:eastAsia="Cambria" w:cs="Cambria"/>
          <w:i w:val="0"/>
          <w:color w:val="000000"/>
          <w:u w:color="000000"/>
          <w:lang w:val="en-US" w:eastAsia="es-ES"/>
        </w:rPr>
        <w:t xml:space="preserve">alls that the right of access to justice </w:t>
      </w:r>
      <w:r w:rsidR="00242C4A" w:rsidRPr="009F337B">
        <w:rPr>
          <w:rFonts w:eastAsia="Cambria" w:cs="Cambria"/>
          <w:i w:val="0"/>
          <w:color w:val="000000"/>
          <w:u w:color="000000"/>
          <w:lang w:val="en-US" w:eastAsia="es-ES"/>
        </w:rPr>
        <w:t>requires that a dispute must be decided in a reasonable time because</w:t>
      </w:r>
      <w:r w:rsidR="00C10F19" w:rsidRPr="009F337B">
        <w:rPr>
          <w:rFonts w:eastAsia="Cambria" w:cs="Cambria"/>
          <w:i w:val="0"/>
          <w:color w:val="000000"/>
          <w:u w:color="000000"/>
          <w:lang w:val="en-US" w:eastAsia="es-ES"/>
        </w:rPr>
        <w:t xml:space="preserve">, in certain cases, </w:t>
      </w:r>
      <w:r w:rsidR="00242C4A" w:rsidRPr="009F337B">
        <w:rPr>
          <w:rFonts w:eastAsia="Cambria" w:cs="Cambria"/>
          <w:i w:val="0"/>
          <w:color w:val="000000"/>
          <w:u w:color="000000"/>
          <w:lang w:val="en-US" w:eastAsia="es-ES"/>
        </w:rPr>
        <w:t>a prolonged delay may,</w:t>
      </w:r>
      <w:r w:rsidR="00C10F19" w:rsidRPr="009F337B">
        <w:rPr>
          <w:rFonts w:eastAsia="Cambria" w:cs="Cambria"/>
          <w:i w:val="0"/>
          <w:color w:val="000000"/>
          <w:u w:color="000000"/>
          <w:lang w:val="en-US" w:eastAsia="es-ES"/>
        </w:rPr>
        <w:t xml:space="preserve"> in itself, </w:t>
      </w:r>
      <w:r w:rsidR="00242C4A" w:rsidRPr="009F337B">
        <w:rPr>
          <w:rFonts w:eastAsia="Cambria" w:cs="Cambria"/>
          <w:i w:val="0"/>
          <w:color w:val="000000"/>
          <w:u w:color="000000"/>
          <w:lang w:val="en-US" w:eastAsia="es-ES"/>
        </w:rPr>
        <w:t xml:space="preserve">constitute </w:t>
      </w:r>
      <w:r w:rsidR="00C10F19" w:rsidRPr="009F337B">
        <w:rPr>
          <w:rFonts w:eastAsia="Cambria" w:cs="Cambria"/>
          <w:i w:val="0"/>
          <w:color w:val="000000"/>
          <w:u w:color="000000"/>
          <w:lang w:val="en-US" w:eastAsia="es-ES"/>
        </w:rPr>
        <w:t>a violation of judicial guarantees.</w:t>
      </w:r>
      <w:r w:rsidR="00C42183" w:rsidRPr="009F337B">
        <w:rPr>
          <w:rFonts w:eastAsia="Cambria" w:cs="Verdana"/>
          <w:i w:val="0"/>
          <w:color w:val="000000"/>
          <w:sz w:val="16"/>
          <w:szCs w:val="16"/>
          <w:u w:color="000000"/>
          <w:vertAlign w:val="superscript"/>
          <w:lang w:val="en-US" w:eastAsia="es-ES"/>
        </w:rPr>
        <w:footnoteReference w:id="209"/>
      </w:r>
    </w:p>
    <w:p w14:paraId="541AA191" w14:textId="77777777" w:rsidR="008E387F" w:rsidRPr="009F337B" w:rsidRDefault="008E387F" w:rsidP="008E387F">
      <w:pPr>
        <w:pStyle w:val="Estilo1"/>
        <w:tabs>
          <w:tab w:val="left" w:pos="709"/>
          <w:tab w:val="left" w:pos="1134"/>
        </w:tabs>
        <w:spacing w:after="0"/>
        <w:ind w:left="0" w:right="-4" w:firstLine="0"/>
        <w:rPr>
          <w:rFonts w:eastAsia="Cambria" w:cs="Verdana"/>
          <w:bCs/>
          <w:i w:val="0"/>
          <w:iCs/>
          <w:color w:val="000000"/>
          <w:u w:color="000000"/>
          <w:lang w:val="en-US" w:eastAsia="es-ES"/>
        </w:rPr>
      </w:pPr>
    </w:p>
    <w:p w14:paraId="2512812D" w14:textId="0EE12FF1" w:rsidR="00C42183" w:rsidRPr="009F337B" w:rsidRDefault="00C10F19" w:rsidP="00593E37">
      <w:pPr>
        <w:pStyle w:val="Estilo1"/>
        <w:numPr>
          <w:ilvl w:val="0"/>
          <w:numId w:val="1"/>
        </w:numPr>
        <w:tabs>
          <w:tab w:val="left" w:pos="709"/>
          <w:tab w:val="left" w:pos="1134"/>
        </w:tabs>
        <w:spacing w:after="0"/>
        <w:ind w:left="0" w:right="-4" w:firstLine="0"/>
        <w:rPr>
          <w:rFonts w:eastAsia="Cambria" w:cs="Verdana"/>
          <w:bCs/>
          <w:i w:val="0"/>
          <w:iCs/>
          <w:color w:val="000000"/>
          <w:u w:color="000000"/>
          <w:lang w:val="en-US" w:eastAsia="es-ES"/>
        </w:rPr>
      </w:pPr>
      <w:r w:rsidRPr="009F337B">
        <w:rPr>
          <w:rFonts w:eastAsia="Verdana" w:cs="Cambria"/>
          <w:bCs/>
          <w:i w:val="0"/>
          <w:color w:val="000000"/>
          <w:u w:color="000000"/>
          <w:lang w:val="en-US" w:eastAsia="x-none"/>
        </w:rPr>
        <w:t xml:space="preserve">Furthermore, the Court has asserted that the obligation to provide the reasons for a ruling is one of the guarantees included in </w:t>
      </w:r>
      <w:r w:rsidR="00AE5F9E" w:rsidRPr="009F337B">
        <w:rPr>
          <w:rFonts w:cs="Verdana"/>
          <w:bCs/>
          <w:i w:val="0"/>
          <w:iCs/>
          <w:lang w:val="en-US"/>
        </w:rPr>
        <w:t>Article</w:t>
      </w:r>
      <w:r w:rsidR="00C42183" w:rsidRPr="009F337B">
        <w:rPr>
          <w:rFonts w:cs="Verdana"/>
          <w:bCs/>
          <w:i w:val="0"/>
          <w:iCs/>
          <w:lang w:val="en-US"/>
        </w:rPr>
        <w:t xml:space="preserve"> 8</w:t>
      </w:r>
      <w:r w:rsidRPr="009F337B">
        <w:rPr>
          <w:rFonts w:cs="Verdana"/>
          <w:bCs/>
          <w:i w:val="0"/>
          <w:iCs/>
          <w:lang w:val="en-US"/>
        </w:rPr>
        <w:t>(</w:t>
      </w:r>
      <w:r w:rsidR="00C42183" w:rsidRPr="009F337B">
        <w:rPr>
          <w:rFonts w:cs="Verdana"/>
          <w:bCs/>
          <w:i w:val="0"/>
          <w:iCs/>
          <w:lang w:val="en-US"/>
        </w:rPr>
        <w:t>1</w:t>
      </w:r>
      <w:r w:rsidRPr="009F337B">
        <w:rPr>
          <w:rFonts w:cs="Verdana"/>
          <w:bCs/>
          <w:i w:val="0"/>
          <w:iCs/>
          <w:lang w:val="en-US"/>
        </w:rPr>
        <w:t>)</w:t>
      </w:r>
      <w:r w:rsidR="00C42183" w:rsidRPr="009F337B">
        <w:rPr>
          <w:rFonts w:cs="Verdana"/>
          <w:bCs/>
          <w:i w:val="0"/>
          <w:iCs/>
          <w:lang w:val="en-US"/>
        </w:rPr>
        <w:t xml:space="preserve"> </w:t>
      </w:r>
      <w:r w:rsidRPr="009F337B">
        <w:rPr>
          <w:rFonts w:cs="Verdana"/>
          <w:bCs/>
          <w:i w:val="0"/>
          <w:iCs/>
          <w:lang w:val="en-US"/>
        </w:rPr>
        <w:t>to safeguard the right to due process of law.</w:t>
      </w:r>
      <w:r w:rsidR="00C42183" w:rsidRPr="009F337B">
        <w:rPr>
          <w:i w:val="0"/>
          <w:sz w:val="16"/>
          <w:szCs w:val="16"/>
          <w:vertAlign w:val="superscript"/>
          <w:lang w:val="en-US"/>
        </w:rPr>
        <w:footnoteReference w:id="210"/>
      </w:r>
      <w:r w:rsidR="00C42183" w:rsidRPr="009F337B">
        <w:rPr>
          <w:rFonts w:cs="Verdana"/>
          <w:bCs/>
          <w:i w:val="0"/>
          <w:iCs/>
          <w:lang w:val="en-US"/>
        </w:rPr>
        <w:t xml:space="preserve"> </w:t>
      </w:r>
      <w:bookmarkStart w:id="92" w:name="_Ref454242864"/>
      <w:r w:rsidRPr="009F337B">
        <w:rPr>
          <w:rFonts w:cs="Verdana"/>
          <w:bCs/>
          <w:i w:val="0"/>
          <w:iCs/>
          <w:lang w:val="en-US"/>
        </w:rPr>
        <w:t>The reasoning is the exteriorization of the justification allow</w:t>
      </w:r>
      <w:r w:rsidR="00870D56" w:rsidRPr="009F337B">
        <w:rPr>
          <w:rFonts w:cs="Verdana"/>
          <w:bCs/>
          <w:i w:val="0"/>
          <w:iCs/>
          <w:lang w:val="en-US"/>
        </w:rPr>
        <w:t>ing</w:t>
      </w:r>
      <w:r w:rsidRPr="009F337B">
        <w:rPr>
          <w:rFonts w:cs="Verdana"/>
          <w:bCs/>
          <w:i w:val="0"/>
          <w:iCs/>
          <w:lang w:val="en-US"/>
        </w:rPr>
        <w:t xml:space="preserve"> a conclusion to be </w:t>
      </w:r>
      <w:r w:rsidRPr="009F337B">
        <w:rPr>
          <w:rFonts w:cs="Verdana"/>
          <w:bCs/>
          <w:i w:val="0"/>
          <w:iCs/>
          <w:lang w:val="en-US"/>
        </w:rPr>
        <w:lastRenderedPageBreak/>
        <w:t>reached.</w:t>
      </w:r>
      <w:r w:rsidR="00C42183" w:rsidRPr="009F337B">
        <w:rPr>
          <w:i w:val="0"/>
          <w:sz w:val="16"/>
          <w:szCs w:val="16"/>
          <w:vertAlign w:val="superscript"/>
          <w:lang w:val="en-US"/>
        </w:rPr>
        <w:footnoteReference w:id="211"/>
      </w:r>
      <w:r w:rsidR="00C42183" w:rsidRPr="009F337B">
        <w:rPr>
          <w:rFonts w:cs="Verdana"/>
          <w:bCs/>
          <w:i w:val="0"/>
          <w:iCs/>
          <w:lang w:val="en-US"/>
        </w:rPr>
        <w:t xml:space="preserve"> </w:t>
      </w:r>
      <w:r w:rsidRPr="009F337B">
        <w:rPr>
          <w:rFonts w:cs="Verdana"/>
          <w:bCs/>
          <w:i w:val="0"/>
          <w:iCs/>
          <w:lang w:val="en-US"/>
        </w:rPr>
        <w:t xml:space="preserve">The obligation to provide </w:t>
      </w:r>
      <w:r w:rsidR="00870D56" w:rsidRPr="009F337B">
        <w:rPr>
          <w:rFonts w:cs="Verdana"/>
          <w:bCs/>
          <w:i w:val="0"/>
          <w:iCs/>
          <w:lang w:val="en-US"/>
        </w:rPr>
        <w:t xml:space="preserve">the </w:t>
      </w:r>
      <w:r w:rsidRPr="009F337B">
        <w:rPr>
          <w:rFonts w:cs="Verdana"/>
          <w:bCs/>
          <w:i w:val="0"/>
          <w:iCs/>
          <w:lang w:val="en-US"/>
        </w:rPr>
        <w:t xml:space="preserve">reasons for </w:t>
      </w:r>
      <w:r w:rsidR="00870D56" w:rsidRPr="009F337B">
        <w:rPr>
          <w:rFonts w:cs="Verdana"/>
          <w:bCs/>
          <w:i w:val="0"/>
          <w:iCs/>
          <w:lang w:val="en-US"/>
        </w:rPr>
        <w:t>a ruling</w:t>
      </w:r>
      <w:r w:rsidRPr="009F337B">
        <w:rPr>
          <w:rFonts w:cs="Verdana"/>
          <w:bCs/>
          <w:i w:val="0"/>
          <w:iCs/>
          <w:lang w:val="en-US"/>
        </w:rPr>
        <w:t xml:space="preserve"> is a guarantee related to the proper administration of justice that</w:t>
      </w:r>
      <w:r w:rsidR="00870D56" w:rsidRPr="009F337B">
        <w:rPr>
          <w:rFonts w:cs="Verdana"/>
          <w:bCs/>
          <w:i w:val="0"/>
          <w:iCs/>
          <w:lang w:val="en-US"/>
        </w:rPr>
        <w:t xml:space="preserve"> ensures to</w:t>
      </w:r>
      <w:r w:rsidRPr="009F337B">
        <w:rPr>
          <w:rFonts w:cs="Verdana"/>
          <w:bCs/>
          <w:i w:val="0"/>
          <w:iCs/>
          <w:lang w:val="en-US"/>
        </w:rPr>
        <w:t xml:space="preserve"> citizens the</w:t>
      </w:r>
      <w:r w:rsidR="00870D56" w:rsidRPr="009F337B">
        <w:rPr>
          <w:rFonts w:cs="Verdana"/>
          <w:bCs/>
          <w:i w:val="0"/>
          <w:iCs/>
          <w:lang w:val="en-US"/>
        </w:rPr>
        <w:t>ir</w:t>
      </w:r>
      <w:r w:rsidRPr="009F337B">
        <w:rPr>
          <w:rFonts w:cs="Verdana"/>
          <w:bCs/>
          <w:i w:val="0"/>
          <w:iCs/>
          <w:lang w:val="en-US"/>
        </w:rPr>
        <w:t xml:space="preserve"> right to be tried for the reasons established by law, while providing credibility to judicial decisions in a democratic society.</w:t>
      </w:r>
      <w:r w:rsidR="00C42183" w:rsidRPr="009F337B">
        <w:rPr>
          <w:i w:val="0"/>
          <w:sz w:val="16"/>
          <w:szCs w:val="16"/>
          <w:vertAlign w:val="superscript"/>
          <w:lang w:val="en-US"/>
        </w:rPr>
        <w:footnoteReference w:id="212"/>
      </w:r>
      <w:r w:rsidRPr="009F337B">
        <w:rPr>
          <w:rFonts w:cs="Verdana"/>
          <w:bCs/>
          <w:i w:val="0"/>
          <w:iCs/>
          <w:lang w:val="en-US"/>
        </w:rPr>
        <w:t xml:space="preserve"> Based on the foregoing, the </w:t>
      </w:r>
      <w:r w:rsidR="00870D56" w:rsidRPr="009F337B">
        <w:rPr>
          <w:rFonts w:cs="Verdana"/>
          <w:bCs/>
          <w:i w:val="0"/>
          <w:iCs/>
          <w:lang w:val="en-US"/>
        </w:rPr>
        <w:t>rulings</w:t>
      </w:r>
      <w:r w:rsidRPr="009F337B">
        <w:rPr>
          <w:rFonts w:cs="Verdana"/>
          <w:bCs/>
          <w:i w:val="0"/>
          <w:iCs/>
          <w:lang w:val="en-US"/>
        </w:rPr>
        <w:t xml:space="preserve"> adopted by the States’ domestic courts that may affect human </w:t>
      </w:r>
      <w:r w:rsidR="00870D56" w:rsidRPr="009F337B">
        <w:rPr>
          <w:rFonts w:cs="Verdana"/>
          <w:bCs/>
          <w:i w:val="0"/>
          <w:iCs/>
          <w:lang w:val="en-US"/>
        </w:rPr>
        <w:t>r</w:t>
      </w:r>
      <w:r w:rsidRPr="009F337B">
        <w:rPr>
          <w:rFonts w:cs="Verdana"/>
          <w:bCs/>
          <w:i w:val="0"/>
          <w:iCs/>
          <w:lang w:val="en-US"/>
        </w:rPr>
        <w:t xml:space="preserve">ights must be reasoned; to the contrary, they would </w:t>
      </w:r>
      <w:r w:rsidR="000E514E" w:rsidRPr="009F337B">
        <w:rPr>
          <w:rFonts w:cs="Verdana"/>
          <w:bCs/>
          <w:i w:val="0"/>
          <w:iCs/>
          <w:lang w:val="en-US"/>
        </w:rPr>
        <w:t>b</w:t>
      </w:r>
      <w:r w:rsidRPr="009F337B">
        <w:rPr>
          <w:rFonts w:cs="Verdana"/>
          <w:bCs/>
          <w:i w:val="0"/>
          <w:iCs/>
          <w:lang w:val="en-US"/>
        </w:rPr>
        <w:t>e arbitrary.</w:t>
      </w:r>
      <w:r w:rsidR="00C42183" w:rsidRPr="009F337B">
        <w:rPr>
          <w:i w:val="0"/>
          <w:sz w:val="16"/>
          <w:szCs w:val="16"/>
          <w:vertAlign w:val="superscript"/>
          <w:lang w:val="en-US"/>
        </w:rPr>
        <w:footnoteReference w:id="213"/>
      </w:r>
      <w:r w:rsidRPr="009F337B">
        <w:rPr>
          <w:rFonts w:cs="Verdana"/>
          <w:bCs/>
          <w:i w:val="0"/>
          <w:iCs/>
          <w:lang w:val="en-US"/>
        </w:rPr>
        <w:t xml:space="preserve"> The reasoning of a ruling should provide information on the facts, </w:t>
      </w:r>
      <w:r w:rsidR="00F361F2">
        <w:rPr>
          <w:rFonts w:cs="Verdana"/>
          <w:bCs/>
          <w:i w:val="0"/>
          <w:iCs/>
          <w:lang w:val="en-US"/>
        </w:rPr>
        <w:t>grounds</w:t>
      </w:r>
      <w:r w:rsidRPr="009F337B">
        <w:rPr>
          <w:rFonts w:cs="Verdana"/>
          <w:bCs/>
          <w:i w:val="0"/>
          <w:iCs/>
          <w:lang w:val="en-US"/>
        </w:rPr>
        <w:t xml:space="preserve"> and laws on which the court </w:t>
      </w:r>
      <w:r w:rsidR="00870D56" w:rsidRPr="009F337B">
        <w:rPr>
          <w:rFonts w:cs="Verdana"/>
          <w:bCs/>
          <w:i w:val="0"/>
          <w:iCs/>
          <w:lang w:val="en-US"/>
        </w:rPr>
        <w:t xml:space="preserve">has </w:t>
      </w:r>
      <w:r w:rsidRPr="009F337B">
        <w:rPr>
          <w:rFonts w:cs="Verdana"/>
          <w:bCs/>
          <w:i w:val="0"/>
          <w:iCs/>
          <w:lang w:val="en-US"/>
        </w:rPr>
        <w:t>based itself to take its decision, so that any indication of arbitrariness can be dismissed, while demonstrating to the parties that they have been heard during the proceedings.</w:t>
      </w:r>
      <w:r w:rsidR="00C42183" w:rsidRPr="009F337B">
        <w:rPr>
          <w:i w:val="0"/>
          <w:sz w:val="16"/>
          <w:szCs w:val="16"/>
          <w:vertAlign w:val="superscript"/>
          <w:lang w:val="en-US"/>
        </w:rPr>
        <w:footnoteReference w:id="214"/>
      </w:r>
      <w:r w:rsidRPr="009F337B">
        <w:rPr>
          <w:rFonts w:cs="Verdana"/>
          <w:bCs/>
          <w:i w:val="0"/>
          <w:iCs/>
          <w:lang w:val="en-US"/>
        </w:rPr>
        <w:t xml:space="preserve"> Also, it should show that the arguments of the parties have been duly taken into account and that all the evidence has been analyzed.</w:t>
      </w:r>
      <w:r w:rsidR="00C42183" w:rsidRPr="009F337B">
        <w:rPr>
          <w:i w:val="0"/>
          <w:sz w:val="16"/>
          <w:szCs w:val="16"/>
          <w:vertAlign w:val="superscript"/>
          <w:lang w:val="en-US"/>
        </w:rPr>
        <w:footnoteReference w:id="215"/>
      </w:r>
      <w:bookmarkEnd w:id="92"/>
    </w:p>
    <w:p w14:paraId="15F95D09" w14:textId="77777777" w:rsidR="008E387F" w:rsidRPr="009F337B" w:rsidRDefault="008E387F" w:rsidP="008E387F">
      <w:pPr>
        <w:pStyle w:val="Estilo1"/>
        <w:tabs>
          <w:tab w:val="left" w:pos="709"/>
          <w:tab w:val="left" w:pos="1134"/>
        </w:tabs>
        <w:spacing w:after="0"/>
        <w:ind w:left="0" w:right="-4" w:firstLine="0"/>
        <w:rPr>
          <w:rFonts w:eastAsia="Cambria" w:cs="Verdana"/>
          <w:bCs/>
          <w:i w:val="0"/>
          <w:iCs/>
          <w:color w:val="000000"/>
          <w:u w:color="000000"/>
          <w:lang w:val="en-US" w:eastAsia="es-ES"/>
        </w:rPr>
      </w:pPr>
    </w:p>
    <w:p w14:paraId="7C5877E9" w14:textId="34478F61" w:rsidR="005A37F3" w:rsidRPr="009F337B" w:rsidRDefault="00C10F19" w:rsidP="00593E37">
      <w:pPr>
        <w:pStyle w:val="Estilo1"/>
        <w:numPr>
          <w:ilvl w:val="0"/>
          <w:numId w:val="1"/>
        </w:numPr>
        <w:tabs>
          <w:tab w:val="left" w:pos="709"/>
          <w:tab w:val="left" w:pos="1134"/>
        </w:tabs>
        <w:spacing w:after="0"/>
        <w:ind w:left="0" w:right="-4" w:firstLine="0"/>
        <w:rPr>
          <w:rFonts w:eastAsia="Verdana" w:cs="Cambria"/>
          <w:bCs/>
          <w:i w:val="0"/>
          <w:color w:val="000000"/>
          <w:u w:color="000000"/>
          <w:lang w:val="en-US" w:eastAsia="x-none"/>
        </w:rPr>
      </w:pPr>
      <w:r w:rsidRPr="009F337B">
        <w:rPr>
          <w:rFonts w:eastAsia="Verdana" w:cs="Cambria"/>
          <w:i w:val="0"/>
          <w:color w:val="000000"/>
          <w:u w:color="000000"/>
          <w:lang w:val="en-US" w:eastAsia="x-none"/>
        </w:rPr>
        <w:t xml:space="preserve">Regarding this case, </w:t>
      </w:r>
      <w:r w:rsidR="00AE5F9E" w:rsidRPr="009F337B">
        <w:rPr>
          <w:rFonts w:eastAsia="Verdana" w:cs="Cambria"/>
          <w:i w:val="0"/>
          <w:color w:val="000000"/>
          <w:u w:color="000000"/>
          <w:lang w:val="en-US" w:eastAsia="x-none"/>
        </w:rPr>
        <w:t>the Court</w:t>
      </w:r>
      <w:r w:rsidR="00C42183" w:rsidRPr="009F337B">
        <w:rPr>
          <w:rFonts w:eastAsia="Verdana" w:cs="Cambria"/>
          <w:i w:val="0"/>
          <w:color w:val="000000"/>
          <w:u w:color="000000"/>
          <w:lang w:val="en-US" w:eastAsia="x-none"/>
        </w:rPr>
        <w:t xml:space="preserve"> </w:t>
      </w:r>
      <w:r w:rsidRPr="009F337B">
        <w:rPr>
          <w:rFonts w:eastAsia="Verdana" w:cs="Cambria"/>
          <w:i w:val="0"/>
          <w:color w:val="000000"/>
          <w:u w:color="000000"/>
          <w:lang w:val="en-US" w:eastAsia="x-none"/>
        </w:rPr>
        <w:t xml:space="preserve">recalls that, on </w:t>
      </w:r>
      <w:r w:rsidRPr="009F337B">
        <w:rPr>
          <w:i w:val="0"/>
          <w:lang w:val="en-US"/>
        </w:rPr>
        <w:t>November 23, 2001, May 27, and June 10, 2002,</w:t>
      </w:r>
      <w:r w:rsidRPr="009F337B">
        <w:rPr>
          <w:rFonts w:eastAsia="Verdana" w:cs="Cambria"/>
          <w:i w:val="0"/>
          <w:color w:val="000000"/>
          <w:u w:color="000000"/>
          <w:lang w:val="en-US" w:eastAsia="x-none"/>
        </w:rPr>
        <w:t xml:space="preserve"> the</w:t>
      </w:r>
      <w:r w:rsidR="00C42183" w:rsidRPr="009F337B">
        <w:rPr>
          <w:i w:val="0"/>
          <w:lang w:val="en-US"/>
        </w:rPr>
        <w:t xml:space="preserve"> </w:t>
      </w:r>
      <w:proofErr w:type="spellStart"/>
      <w:r w:rsidR="00C42183" w:rsidRPr="009F337B">
        <w:rPr>
          <w:lang w:val="en-US"/>
        </w:rPr>
        <w:t>Asociación</w:t>
      </w:r>
      <w:proofErr w:type="spellEnd"/>
      <w:r w:rsidR="00C42183" w:rsidRPr="009F337B">
        <w:rPr>
          <w:lang w:val="en-US"/>
        </w:rPr>
        <w:t xml:space="preserve"> </w:t>
      </w:r>
      <w:proofErr w:type="spellStart"/>
      <w:r w:rsidR="00C42183" w:rsidRPr="009F337B">
        <w:rPr>
          <w:lang w:val="en-US"/>
        </w:rPr>
        <w:t>Coordinadora</w:t>
      </w:r>
      <w:proofErr w:type="spellEnd"/>
      <w:r w:rsidR="00C42183" w:rsidRPr="009F337B">
        <w:rPr>
          <w:lang w:val="en-US"/>
        </w:rPr>
        <w:t xml:space="preserve"> de </w:t>
      </w:r>
      <w:proofErr w:type="spellStart"/>
      <w:r w:rsidR="00C42183" w:rsidRPr="009F337B">
        <w:rPr>
          <w:lang w:val="en-US"/>
        </w:rPr>
        <w:t>Sectores</w:t>
      </w:r>
      <w:proofErr w:type="spellEnd"/>
      <w:r w:rsidR="00C42183" w:rsidRPr="009F337B">
        <w:rPr>
          <w:lang w:val="en-US"/>
        </w:rPr>
        <w:t xml:space="preserve"> de </w:t>
      </w:r>
      <w:proofErr w:type="spellStart"/>
      <w:r w:rsidR="00C42183" w:rsidRPr="009F337B">
        <w:rPr>
          <w:lang w:val="en-US"/>
        </w:rPr>
        <w:t>Lucha</w:t>
      </w:r>
      <w:proofErr w:type="spellEnd"/>
      <w:r w:rsidR="00C42183" w:rsidRPr="009F337B">
        <w:rPr>
          <w:lang w:val="en-US"/>
        </w:rPr>
        <w:t xml:space="preserve"> Contra el </w:t>
      </w:r>
      <w:r w:rsidRPr="009F337B">
        <w:rPr>
          <w:lang w:val="en-US"/>
        </w:rPr>
        <w:t>SIDA</w:t>
      </w:r>
      <w:r w:rsidR="00C42183" w:rsidRPr="009F337B">
        <w:rPr>
          <w:i w:val="0"/>
          <w:lang w:val="en-US"/>
        </w:rPr>
        <w:t xml:space="preserve"> (ACSLCS), </w:t>
      </w:r>
      <w:r w:rsidRPr="009F337B">
        <w:rPr>
          <w:i w:val="0"/>
          <w:lang w:val="en-US"/>
        </w:rPr>
        <w:t xml:space="preserve">the Ombudsman, and other organizations that represent </w:t>
      </w:r>
      <w:r w:rsidR="00080A1E" w:rsidRPr="009F337B">
        <w:rPr>
          <w:i w:val="0"/>
          <w:lang w:val="en-US"/>
        </w:rPr>
        <w:t>people living with HIV</w:t>
      </w:r>
      <w:r w:rsidR="00C42183" w:rsidRPr="009F337B">
        <w:rPr>
          <w:i w:val="0"/>
          <w:lang w:val="en-US"/>
        </w:rPr>
        <w:t>/</w:t>
      </w:r>
      <w:r w:rsidR="00CA11F6" w:rsidRPr="009F337B">
        <w:rPr>
          <w:i w:val="0"/>
          <w:lang w:val="en-US"/>
        </w:rPr>
        <w:t>AIDS</w:t>
      </w:r>
      <w:r w:rsidR="00C42183" w:rsidRPr="009F337B">
        <w:rPr>
          <w:i w:val="0"/>
          <w:lang w:val="en-US"/>
        </w:rPr>
        <w:t xml:space="preserve">, </w:t>
      </w:r>
      <w:r w:rsidRPr="009F337B">
        <w:rPr>
          <w:i w:val="0"/>
          <w:lang w:val="en-US"/>
        </w:rPr>
        <w:t>sent three letters in which the</w:t>
      </w:r>
      <w:r w:rsidR="00870D56" w:rsidRPr="009F337B">
        <w:rPr>
          <w:i w:val="0"/>
          <w:lang w:val="en-US"/>
        </w:rPr>
        <w:t>y</w:t>
      </w:r>
      <w:r w:rsidRPr="009F337B">
        <w:rPr>
          <w:i w:val="0"/>
          <w:lang w:val="en-US"/>
        </w:rPr>
        <w:t xml:space="preserve"> asked the State of </w:t>
      </w:r>
      <w:r w:rsidR="00C42183" w:rsidRPr="009F337B">
        <w:rPr>
          <w:i w:val="0"/>
          <w:lang w:val="en-US"/>
        </w:rPr>
        <w:t xml:space="preserve">Guatemala, </w:t>
      </w:r>
      <w:r w:rsidRPr="009F337B">
        <w:rPr>
          <w:i w:val="0"/>
          <w:lang w:val="en-US"/>
        </w:rPr>
        <w:t>through</w:t>
      </w:r>
      <w:r w:rsidR="00AE5F9E" w:rsidRPr="009F337B">
        <w:rPr>
          <w:i w:val="0"/>
          <w:lang w:val="en-US"/>
        </w:rPr>
        <w:t xml:space="preserve"> the President</w:t>
      </w:r>
      <w:r w:rsidR="00C42183" w:rsidRPr="009F337B">
        <w:rPr>
          <w:i w:val="0"/>
          <w:lang w:val="en-US"/>
        </w:rPr>
        <w:t xml:space="preserve"> </w:t>
      </w:r>
      <w:r w:rsidR="008E2262" w:rsidRPr="009F337B">
        <w:rPr>
          <w:i w:val="0"/>
          <w:lang w:val="en-US"/>
        </w:rPr>
        <w:t>of the Republic</w:t>
      </w:r>
      <w:r w:rsidR="003C46A3" w:rsidRPr="009F337B">
        <w:rPr>
          <w:i w:val="0"/>
          <w:lang w:val="en-US"/>
        </w:rPr>
        <w:t xml:space="preserve"> and </w:t>
      </w:r>
      <w:r w:rsidRPr="009F337B">
        <w:rPr>
          <w:i w:val="0"/>
          <w:lang w:val="en-US"/>
        </w:rPr>
        <w:t xml:space="preserve">the </w:t>
      </w:r>
      <w:r w:rsidR="00926020" w:rsidRPr="009F337B">
        <w:rPr>
          <w:i w:val="0"/>
          <w:lang w:val="en-US"/>
        </w:rPr>
        <w:t>Ministry of Health</w:t>
      </w:r>
      <w:r w:rsidR="00C42183" w:rsidRPr="009F337B">
        <w:rPr>
          <w:i w:val="0"/>
          <w:lang w:val="en-US"/>
        </w:rPr>
        <w:t xml:space="preserve">, </w:t>
      </w:r>
      <w:r w:rsidRPr="009F337B">
        <w:rPr>
          <w:i w:val="0"/>
          <w:lang w:val="en-US"/>
        </w:rPr>
        <w:t xml:space="preserve">to provide medical care </w:t>
      </w:r>
      <w:r w:rsidR="003C46A3" w:rsidRPr="009F337B">
        <w:rPr>
          <w:i w:val="0"/>
          <w:lang w:val="en-US"/>
        </w:rPr>
        <w:t xml:space="preserve">and </w:t>
      </w:r>
      <w:r w:rsidR="00FE1EFF" w:rsidRPr="009F337B">
        <w:rPr>
          <w:i w:val="0"/>
          <w:lang w:val="en-US"/>
        </w:rPr>
        <w:t>antiretroviral treatment</w:t>
      </w:r>
      <w:r w:rsidR="00C42183" w:rsidRPr="009F337B">
        <w:rPr>
          <w:i w:val="0"/>
          <w:lang w:val="en-US"/>
        </w:rPr>
        <w:t xml:space="preserve"> </w:t>
      </w:r>
      <w:r w:rsidRPr="009F337B">
        <w:rPr>
          <w:i w:val="0"/>
          <w:lang w:val="en-US"/>
        </w:rPr>
        <w:t xml:space="preserve">to everyone diagnosed with </w:t>
      </w:r>
      <w:r w:rsidR="00CA11F6" w:rsidRPr="009F337B">
        <w:rPr>
          <w:i w:val="0"/>
          <w:lang w:val="en-US"/>
        </w:rPr>
        <w:t>HIV/AIDS</w:t>
      </w:r>
      <w:r w:rsidR="00C42183" w:rsidRPr="009F337B">
        <w:rPr>
          <w:i w:val="0"/>
          <w:lang w:val="en-US"/>
        </w:rPr>
        <w:t xml:space="preserve">, </w:t>
      </w:r>
      <w:r w:rsidRPr="009F337B">
        <w:rPr>
          <w:i w:val="0"/>
          <w:lang w:val="en-US"/>
        </w:rPr>
        <w:t xml:space="preserve">without receiving any response </w:t>
      </w:r>
      <w:r w:rsidR="00C51C1D" w:rsidRPr="009F337B">
        <w:rPr>
          <w:i w:val="0"/>
          <w:lang w:val="en-US"/>
        </w:rPr>
        <w:t>(</w:t>
      </w:r>
      <w:r w:rsidR="00C51C1D" w:rsidRPr="009F337B">
        <w:rPr>
          <w:lang w:val="en-US"/>
        </w:rPr>
        <w:t>supra</w:t>
      </w:r>
      <w:r w:rsidR="00C51C1D" w:rsidRPr="009F337B">
        <w:rPr>
          <w:i w:val="0"/>
          <w:lang w:val="en-US"/>
        </w:rPr>
        <w:t xml:space="preserve"> </w:t>
      </w:r>
      <w:r w:rsidR="00C60B17" w:rsidRPr="009F337B">
        <w:rPr>
          <w:i w:val="0"/>
          <w:lang w:val="en-US"/>
        </w:rPr>
        <w:t>para.</w:t>
      </w:r>
      <w:r w:rsidR="00C42183" w:rsidRPr="009F337B">
        <w:rPr>
          <w:i w:val="0"/>
          <w:lang w:val="en-US"/>
        </w:rPr>
        <w:t xml:space="preserve"> </w:t>
      </w:r>
      <w:r w:rsidR="00C51C1D" w:rsidRPr="009F337B">
        <w:rPr>
          <w:i w:val="0"/>
          <w:lang w:val="en-US"/>
        </w:rPr>
        <w:t>56</w:t>
      </w:r>
      <w:r w:rsidR="00C42183" w:rsidRPr="009F337B">
        <w:rPr>
          <w:i w:val="0"/>
          <w:lang w:val="en-US"/>
        </w:rPr>
        <w:t>).</w:t>
      </w:r>
      <w:r w:rsidR="005A37F3" w:rsidRPr="009F337B">
        <w:rPr>
          <w:i w:val="0"/>
          <w:lang w:val="en-US"/>
        </w:rPr>
        <w:t xml:space="preserve"> </w:t>
      </w:r>
      <w:r w:rsidRPr="009F337B">
        <w:rPr>
          <w:i w:val="0"/>
          <w:lang w:val="en-US"/>
        </w:rPr>
        <w:t>Due to the lack of response from</w:t>
      </w:r>
      <w:r w:rsidR="00AE5F9E" w:rsidRPr="009F337B">
        <w:rPr>
          <w:i w:val="0"/>
          <w:lang w:val="en-US"/>
        </w:rPr>
        <w:t xml:space="preserve"> the President</w:t>
      </w:r>
      <w:r w:rsidR="003C46A3" w:rsidRPr="009F337B">
        <w:rPr>
          <w:i w:val="0"/>
          <w:lang w:val="en-US"/>
        </w:rPr>
        <w:t xml:space="preserve"> and </w:t>
      </w:r>
      <w:r w:rsidRPr="009F337B">
        <w:rPr>
          <w:i w:val="0"/>
          <w:lang w:val="en-US"/>
        </w:rPr>
        <w:t>the</w:t>
      </w:r>
      <w:r w:rsidR="00F155E0" w:rsidRPr="009F337B">
        <w:rPr>
          <w:i w:val="0"/>
          <w:lang w:val="en-US"/>
        </w:rPr>
        <w:t xml:space="preserve"> Minist</w:t>
      </w:r>
      <w:r w:rsidRPr="009F337B">
        <w:rPr>
          <w:i w:val="0"/>
          <w:lang w:val="en-US"/>
        </w:rPr>
        <w:t xml:space="preserve">er of Health, on </w:t>
      </w:r>
      <w:r w:rsidR="0016125F" w:rsidRPr="009F337B">
        <w:rPr>
          <w:i w:val="0"/>
          <w:lang w:val="en-US"/>
        </w:rPr>
        <w:t>July 26,</w:t>
      </w:r>
      <w:r w:rsidR="00C42183" w:rsidRPr="009F337B">
        <w:rPr>
          <w:i w:val="0"/>
          <w:lang w:val="en-US"/>
        </w:rPr>
        <w:t xml:space="preserve"> 2002</w:t>
      </w:r>
      <w:r w:rsidRPr="009F337B">
        <w:rPr>
          <w:i w:val="0"/>
          <w:lang w:val="en-US"/>
        </w:rPr>
        <w:t>,</w:t>
      </w:r>
      <w:r w:rsidR="00C42183" w:rsidRPr="009F337B">
        <w:rPr>
          <w:i w:val="0"/>
          <w:lang w:val="en-US"/>
        </w:rPr>
        <w:t xml:space="preserve"> </w:t>
      </w:r>
      <w:r w:rsidRPr="009F337B">
        <w:rPr>
          <w:i w:val="0"/>
          <w:lang w:val="en-US"/>
        </w:rPr>
        <w:t xml:space="preserve">22 people, including 13 </w:t>
      </w:r>
      <w:r w:rsidR="00CC6A68" w:rsidRPr="009F337B">
        <w:rPr>
          <w:i w:val="0"/>
          <w:lang w:val="en-US"/>
        </w:rPr>
        <w:t xml:space="preserve">of the </w:t>
      </w:r>
      <w:r w:rsidR="00A00EE5" w:rsidRPr="009F337B">
        <w:rPr>
          <w:i w:val="0"/>
          <w:lang w:val="en-US"/>
        </w:rPr>
        <w:t>presumed</w:t>
      </w:r>
      <w:r w:rsidR="003C46A3" w:rsidRPr="009F337B">
        <w:rPr>
          <w:i w:val="0"/>
          <w:lang w:val="en-US"/>
        </w:rPr>
        <w:t xml:space="preserve"> victims</w:t>
      </w:r>
      <w:r w:rsidR="00C42183" w:rsidRPr="009F337B">
        <w:rPr>
          <w:i w:val="0"/>
          <w:lang w:val="en-US"/>
        </w:rPr>
        <w:t xml:space="preserve">, </w:t>
      </w:r>
      <w:r w:rsidRPr="009F337B">
        <w:rPr>
          <w:i w:val="0"/>
          <w:lang w:val="en-US"/>
        </w:rPr>
        <w:t>filed an application for amparo before</w:t>
      </w:r>
      <w:r w:rsidR="00C42183" w:rsidRPr="009F337B">
        <w:rPr>
          <w:i w:val="0"/>
          <w:lang w:val="en-US"/>
        </w:rPr>
        <w:t xml:space="preserve"> </w:t>
      </w:r>
      <w:r w:rsidR="00AE5F9E" w:rsidRPr="009F337B">
        <w:rPr>
          <w:i w:val="0"/>
          <w:lang w:val="en-US"/>
        </w:rPr>
        <w:t xml:space="preserve">the </w:t>
      </w:r>
      <w:r w:rsidR="0016125F" w:rsidRPr="009F337B">
        <w:rPr>
          <w:i w:val="0"/>
          <w:lang w:val="en-US"/>
        </w:rPr>
        <w:t>Constitutional Court</w:t>
      </w:r>
      <w:r w:rsidR="00C42183" w:rsidRPr="009F337B">
        <w:rPr>
          <w:i w:val="0"/>
          <w:lang w:val="en-US"/>
        </w:rPr>
        <w:t xml:space="preserve"> </w:t>
      </w:r>
      <w:r w:rsidR="00C51C1D" w:rsidRPr="009F337B">
        <w:rPr>
          <w:i w:val="0"/>
          <w:lang w:val="en-US"/>
        </w:rPr>
        <w:t>(</w:t>
      </w:r>
      <w:r w:rsidR="00C51C1D" w:rsidRPr="009F337B">
        <w:rPr>
          <w:lang w:val="en-US"/>
        </w:rPr>
        <w:t>supra</w:t>
      </w:r>
      <w:r w:rsidR="00C51C1D" w:rsidRPr="009F337B">
        <w:rPr>
          <w:i w:val="0"/>
          <w:lang w:val="en-US"/>
        </w:rPr>
        <w:t xml:space="preserve"> </w:t>
      </w:r>
      <w:r w:rsidR="00C60B17" w:rsidRPr="009F337B">
        <w:rPr>
          <w:i w:val="0"/>
          <w:lang w:val="en-US"/>
        </w:rPr>
        <w:t>para.</w:t>
      </w:r>
      <w:r w:rsidR="005A37F3" w:rsidRPr="009F337B">
        <w:rPr>
          <w:i w:val="0"/>
          <w:lang w:val="en-US"/>
        </w:rPr>
        <w:t xml:space="preserve"> </w:t>
      </w:r>
      <w:r w:rsidR="00C51C1D" w:rsidRPr="009F337B">
        <w:rPr>
          <w:i w:val="0"/>
          <w:lang w:val="en-US"/>
        </w:rPr>
        <w:t>57</w:t>
      </w:r>
      <w:r w:rsidR="005A37F3" w:rsidRPr="009F337B">
        <w:rPr>
          <w:i w:val="0"/>
          <w:lang w:val="en-US"/>
        </w:rPr>
        <w:t xml:space="preserve">). </w:t>
      </w:r>
      <w:r w:rsidRPr="009F337B">
        <w:rPr>
          <w:i w:val="0"/>
          <w:lang w:val="en-US"/>
        </w:rPr>
        <w:t xml:space="preserve">The applicants indicated that, as a result of this refusal or omission by </w:t>
      </w:r>
      <w:r w:rsidR="00AE5F9E" w:rsidRPr="009F337B">
        <w:rPr>
          <w:i w:val="0"/>
          <w:lang w:val="en-US"/>
        </w:rPr>
        <w:t>the President</w:t>
      </w:r>
      <w:r w:rsidR="00C42183" w:rsidRPr="009F337B">
        <w:rPr>
          <w:i w:val="0"/>
          <w:lang w:val="en-US"/>
        </w:rPr>
        <w:t xml:space="preserve">, </w:t>
      </w:r>
      <w:r w:rsidRPr="009F337B">
        <w:rPr>
          <w:i w:val="0"/>
          <w:lang w:val="en-US"/>
        </w:rPr>
        <w:t xml:space="preserve">the right to </w:t>
      </w:r>
      <w:r w:rsidR="007F67DF" w:rsidRPr="009F337B">
        <w:rPr>
          <w:i w:val="0"/>
          <w:lang w:val="en-US"/>
        </w:rPr>
        <w:t xml:space="preserve">personal </w:t>
      </w:r>
      <w:r w:rsidRPr="009F337B">
        <w:rPr>
          <w:i w:val="0"/>
          <w:lang w:val="en-US"/>
        </w:rPr>
        <w:t xml:space="preserve">protection, the </w:t>
      </w:r>
      <w:r w:rsidR="00F3419F" w:rsidRPr="009F337B">
        <w:rPr>
          <w:i w:val="0"/>
          <w:lang w:val="en-US"/>
        </w:rPr>
        <w:t>right to life</w:t>
      </w:r>
      <w:r w:rsidR="00C42183" w:rsidRPr="009F337B">
        <w:rPr>
          <w:i w:val="0"/>
          <w:lang w:val="en-US"/>
        </w:rPr>
        <w:t xml:space="preserve">, </w:t>
      </w:r>
      <w:r w:rsidRPr="009F337B">
        <w:rPr>
          <w:i w:val="0"/>
          <w:lang w:val="en-US"/>
        </w:rPr>
        <w:t xml:space="preserve">the right of petition, the rights inherent to the individual, </w:t>
      </w:r>
      <w:r w:rsidR="003C46A3" w:rsidRPr="009F337B">
        <w:rPr>
          <w:i w:val="0"/>
          <w:lang w:val="en-US"/>
        </w:rPr>
        <w:t xml:space="preserve">and </w:t>
      </w:r>
      <w:r w:rsidR="00A51F3B" w:rsidRPr="009F337B">
        <w:rPr>
          <w:i w:val="0"/>
          <w:lang w:val="en-US"/>
        </w:rPr>
        <w:t>the right to health</w:t>
      </w:r>
      <w:r w:rsidRPr="009F337B">
        <w:rPr>
          <w:i w:val="0"/>
          <w:lang w:val="en-US"/>
        </w:rPr>
        <w:t xml:space="preserve"> had been violated, and asked</w:t>
      </w:r>
      <w:r w:rsidR="005A37F3" w:rsidRPr="009F337B">
        <w:rPr>
          <w:i w:val="0"/>
          <w:lang w:val="en-US"/>
        </w:rPr>
        <w:t xml:space="preserve"> </w:t>
      </w:r>
      <w:r w:rsidR="00AE5F9E" w:rsidRPr="009F337B">
        <w:rPr>
          <w:i w:val="0"/>
          <w:lang w:val="en-US"/>
        </w:rPr>
        <w:t xml:space="preserve">the </w:t>
      </w:r>
      <w:r w:rsidR="0016125F" w:rsidRPr="009F337B">
        <w:rPr>
          <w:i w:val="0"/>
          <w:lang w:val="en-US"/>
        </w:rPr>
        <w:t>Constitutional Court</w:t>
      </w:r>
      <w:r w:rsidR="005A37F3" w:rsidRPr="009F337B">
        <w:rPr>
          <w:i w:val="0"/>
          <w:lang w:val="en-US"/>
        </w:rPr>
        <w:t xml:space="preserve"> </w:t>
      </w:r>
      <w:r w:rsidRPr="009F337B">
        <w:rPr>
          <w:i w:val="0"/>
          <w:lang w:val="en-US"/>
        </w:rPr>
        <w:t>to decide the application for amparo promptly</w:t>
      </w:r>
      <w:r w:rsidR="007F67DF" w:rsidRPr="009F337B">
        <w:rPr>
          <w:i w:val="0"/>
          <w:lang w:val="en-US"/>
        </w:rPr>
        <w:t>. They also</w:t>
      </w:r>
      <w:r w:rsidRPr="009F337B">
        <w:rPr>
          <w:i w:val="0"/>
          <w:lang w:val="en-US"/>
        </w:rPr>
        <w:t xml:space="preserve"> indicated that the State had the obligation to guarantee their right to life by a policy of procurement and non-discriminatory, systematic and daily distribution of </w:t>
      </w:r>
      <w:r w:rsidR="00AC2165" w:rsidRPr="009F337B">
        <w:rPr>
          <w:i w:val="0"/>
          <w:lang w:val="en-US"/>
        </w:rPr>
        <w:t>antiretroviral drugs</w:t>
      </w:r>
      <w:r w:rsidR="005A37F3" w:rsidRPr="009F337B">
        <w:rPr>
          <w:i w:val="0"/>
          <w:lang w:val="en-US"/>
        </w:rPr>
        <w:t>, prefer</w:t>
      </w:r>
      <w:r w:rsidRPr="009F337B">
        <w:rPr>
          <w:i w:val="0"/>
          <w:lang w:val="en-US"/>
        </w:rPr>
        <w:t>ably good quality generic drugs available on the market</w:t>
      </w:r>
      <w:r w:rsidR="005A37F3" w:rsidRPr="009F337B">
        <w:rPr>
          <w:i w:val="0"/>
          <w:lang w:val="en-US"/>
        </w:rPr>
        <w:t>.</w:t>
      </w:r>
    </w:p>
    <w:p w14:paraId="1C57D3E9" w14:textId="77777777" w:rsidR="008E387F" w:rsidRPr="009F337B" w:rsidRDefault="008E387F" w:rsidP="008E387F">
      <w:pPr>
        <w:pStyle w:val="Estilo1"/>
        <w:tabs>
          <w:tab w:val="left" w:pos="709"/>
          <w:tab w:val="left" w:pos="1134"/>
        </w:tabs>
        <w:spacing w:after="0"/>
        <w:ind w:left="0" w:right="-4" w:firstLine="0"/>
        <w:rPr>
          <w:rFonts w:eastAsia="Verdana" w:cs="Cambria"/>
          <w:bCs/>
          <w:i w:val="0"/>
          <w:color w:val="000000"/>
          <w:u w:color="000000"/>
          <w:lang w:val="en-US" w:eastAsia="x-none"/>
        </w:rPr>
      </w:pPr>
    </w:p>
    <w:p w14:paraId="62D4BEDE" w14:textId="645DD0EA" w:rsidR="005A37F3" w:rsidRPr="009F337B" w:rsidRDefault="00C10F19" w:rsidP="00593E37">
      <w:pPr>
        <w:pStyle w:val="Estilo1"/>
        <w:numPr>
          <w:ilvl w:val="0"/>
          <w:numId w:val="1"/>
        </w:numPr>
        <w:tabs>
          <w:tab w:val="left" w:pos="709"/>
          <w:tab w:val="left" w:pos="1134"/>
        </w:tabs>
        <w:spacing w:after="0"/>
        <w:ind w:left="0" w:right="-4" w:firstLine="0"/>
        <w:rPr>
          <w:rFonts w:eastAsia="Verdana" w:cs="Cambria"/>
          <w:bCs/>
          <w:i w:val="0"/>
          <w:color w:val="000000"/>
          <w:u w:color="000000"/>
          <w:lang w:val="en-US" w:eastAsia="x-none"/>
        </w:rPr>
      </w:pPr>
      <w:r w:rsidRPr="009F337B">
        <w:rPr>
          <w:rFonts w:eastAsia="Verdana" w:cs="Cambria"/>
          <w:bCs/>
          <w:i w:val="0"/>
          <w:color w:val="000000"/>
          <w:u w:color="000000"/>
          <w:lang w:val="en-US" w:eastAsia="x-none"/>
        </w:rPr>
        <w:t>In response to the request</w:t>
      </w:r>
      <w:r w:rsidR="00C42183" w:rsidRPr="009F337B">
        <w:rPr>
          <w:rFonts w:eastAsia="Verdana" w:cs="Cambria"/>
          <w:i w:val="0"/>
          <w:color w:val="000000"/>
          <w:u w:color="000000"/>
          <w:lang w:val="en-US" w:eastAsia="x-none"/>
        </w:rPr>
        <w:t xml:space="preserve"> </w:t>
      </w:r>
      <w:r w:rsidR="00AE5F9E" w:rsidRPr="009F337B">
        <w:rPr>
          <w:rFonts w:eastAsia="Verdana" w:cs="Cambria"/>
          <w:i w:val="0"/>
          <w:color w:val="000000"/>
          <w:u w:color="000000"/>
          <w:lang w:val="en-US" w:eastAsia="x-none"/>
        </w:rPr>
        <w:t>the President</w:t>
      </w:r>
      <w:r w:rsidR="00C42183" w:rsidRPr="009F337B">
        <w:rPr>
          <w:rFonts w:eastAsia="Verdana" w:cs="Cambria"/>
          <w:i w:val="0"/>
          <w:color w:val="000000"/>
          <w:u w:color="000000"/>
          <w:lang w:val="en-US" w:eastAsia="x-none"/>
        </w:rPr>
        <w:t xml:space="preserve"> aut</w:t>
      </w:r>
      <w:r w:rsidRPr="009F337B">
        <w:rPr>
          <w:rFonts w:eastAsia="Verdana" w:cs="Cambria"/>
          <w:i w:val="0"/>
          <w:color w:val="000000"/>
          <w:u w:color="000000"/>
          <w:lang w:val="en-US" w:eastAsia="x-none"/>
        </w:rPr>
        <w:t>horized a special</w:t>
      </w:r>
      <w:r w:rsidR="008F4D37" w:rsidRPr="009F337B">
        <w:rPr>
          <w:rFonts w:eastAsia="Verdana" w:cs="Cambria"/>
          <w:i w:val="0"/>
          <w:color w:val="000000"/>
          <w:u w:color="000000"/>
          <w:lang w:val="en-US" w:eastAsia="x-none"/>
        </w:rPr>
        <w:t xml:space="preserve"> appropriation</w:t>
      </w:r>
      <w:r w:rsidR="00C42183" w:rsidRPr="009F337B">
        <w:rPr>
          <w:rFonts w:eastAsia="Verdana" w:cs="Cambria"/>
          <w:i w:val="0"/>
          <w:color w:val="000000"/>
          <w:u w:color="000000"/>
          <w:lang w:val="en-US" w:eastAsia="x-none"/>
        </w:rPr>
        <w:t xml:space="preserve"> </w:t>
      </w:r>
      <w:r w:rsidRPr="009F337B">
        <w:rPr>
          <w:rFonts w:eastAsia="Verdana" w:cs="Cambria"/>
          <w:i w:val="0"/>
          <w:color w:val="000000"/>
          <w:u w:color="000000"/>
          <w:lang w:val="en-US" w:eastAsia="x-none"/>
        </w:rPr>
        <w:t xml:space="preserve">of five hundred thousand quetzals </w:t>
      </w:r>
      <w:r w:rsidR="00C42183" w:rsidRPr="009F337B">
        <w:rPr>
          <w:rFonts w:eastAsia="Verdana" w:cs="Cambria"/>
          <w:i w:val="0"/>
          <w:color w:val="000000"/>
          <w:u w:color="000000"/>
          <w:lang w:val="en-US" w:eastAsia="x-none"/>
        </w:rPr>
        <w:t xml:space="preserve">(Q.500,000.00) </w:t>
      </w:r>
      <w:r w:rsidRPr="009F337B">
        <w:rPr>
          <w:rFonts w:eastAsia="Verdana" w:cs="Cambria"/>
          <w:i w:val="0"/>
          <w:color w:val="000000"/>
          <w:u w:color="000000"/>
          <w:lang w:val="en-US" w:eastAsia="x-none"/>
        </w:rPr>
        <w:t xml:space="preserve">to meet the requirements of people living with </w:t>
      </w:r>
      <w:r w:rsidR="00CA11F6" w:rsidRPr="009F337B">
        <w:rPr>
          <w:rFonts w:eastAsia="Verdana" w:cs="Cambria"/>
          <w:i w:val="0"/>
          <w:color w:val="000000"/>
          <w:u w:color="000000"/>
          <w:lang w:val="en-US" w:eastAsia="x-none"/>
        </w:rPr>
        <w:t>HIV</w:t>
      </w:r>
      <w:r w:rsidR="00C42183" w:rsidRPr="009F337B">
        <w:rPr>
          <w:rFonts w:eastAsia="Verdana" w:cs="Cambria"/>
          <w:i w:val="0"/>
          <w:color w:val="000000"/>
          <w:u w:color="000000"/>
          <w:lang w:val="en-US" w:eastAsia="x-none"/>
        </w:rPr>
        <w:t xml:space="preserve"> (</w:t>
      </w:r>
      <w:r w:rsidR="00C42183" w:rsidRPr="009F337B">
        <w:rPr>
          <w:rFonts w:eastAsia="Verdana" w:cs="Cambria"/>
          <w:color w:val="000000"/>
          <w:u w:color="000000"/>
          <w:lang w:val="en-US" w:eastAsia="x-none"/>
        </w:rPr>
        <w:t>supra</w:t>
      </w:r>
      <w:r w:rsidR="00C42183" w:rsidRPr="009F337B">
        <w:rPr>
          <w:rFonts w:eastAsia="Verdana" w:cs="Cambria"/>
          <w:i w:val="0"/>
          <w:color w:val="000000"/>
          <w:u w:color="000000"/>
          <w:lang w:val="en-US" w:eastAsia="x-none"/>
        </w:rPr>
        <w:t xml:space="preserve"> </w:t>
      </w:r>
      <w:r w:rsidR="00C60B17" w:rsidRPr="009F337B">
        <w:rPr>
          <w:rFonts w:eastAsia="Verdana" w:cs="Cambria"/>
          <w:i w:val="0"/>
          <w:color w:val="000000"/>
          <w:u w:color="000000"/>
          <w:lang w:val="en-US" w:eastAsia="x-none"/>
        </w:rPr>
        <w:t>para.</w:t>
      </w:r>
      <w:r w:rsidR="001D40BB" w:rsidRPr="009F337B">
        <w:rPr>
          <w:rFonts w:eastAsia="Verdana" w:cs="Cambria"/>
          <w:i w:val="0"/>
          <w:color w:val="000000"/>
          <w:u w:color="000000"/>
          <w:lang w:val="en-US" w:eastAsia="x-none"/>
        </w:rPr>
        <w:t xml:space="preserve"> </w:t>
      </w:r>
      <w:r w:rsidR="00C51C1D" w:rsidRPr="009F337B">
        <w:rPr>
          <w:rFonts w:eastAsia="Verdana" w:cs="Cambria"/>
          <w:i w:val="0"/>
          <w:color w:val="000000"/>
          <w:u w:color="000000"/>
          <w:lang w:val="en-US" w:eastAsia="x-none"/>
        </w:rPr>
        <w:t>60</w:t>
      </w:r>
      <w:r w:rsidR="00C42183" w:rsidRPr="009F337B">
        <w:rPr>
          <w:rFonts w:eastAsia="Verdana" w:cs="Cambria"/>
          <w:i w:val="0"/>
          <w:color w:val="000000"/>
          <w:u w:color="000000"/>
          <w:lang w:val="en-US" w:eastAsia="x-none"/>
        </w:rPr>
        <w:t>)</w:t>
      </w:r>
      <w:r w:rsidR="005A37F3" w:rsidRPr="009F337B">
        <w:rPr>
          <w:rFonts w:eastAsia="Verdana" w:cs="Cambria"/>
          <w:i w:val="0"/>
          <w:color w:val="000000"/>
          <w:u w:color="000000"/>
          <w:lang w:val="en-US" w:eastAsia="x-none"/>
        </w:rPr>
        <w:t xml:space="preserve">. </w:t>
      </w:r>
      <w:r w:rsidRPr="009F337B">
        <w:rPr>
          <w:rFonts w:eastAsia="Verdana" w:cs="Cambria"/>
          <w:i w:val="0"/>
          <w:color w:val="000000"/>
          <w:u w:color="000000"/>
          <w:lang w:val="en-US" w:eastAsia="x-none"/>
        </w:rPr>
        <w:t>On October 29,</w:t>
      </w:r>
      <w:r w:rsidR="00C42183" w:rsidRPr="009F337B">
        <w:rPr>
          <w:rFonts w:eastAsia="Verdana" w:cs="Cambria"/>
          <w:i w:val="0"/>
          <w:color w:val="000000"/>
          <w:u w:color="000000"/>
          <w:lang w:val="en-US" w:eastAsia="x-none"/>
        </w:rPr>
        <w:t xml:space="preserve"> 2002</w:t>
      </w:r>
      <w:r w:rsidRPr="009F337B">
        <w:rPr>
          <w:rFonts w:eastAsia="Verdana" w:cs="Cambria"/>
          <w:i w:val="0"/>
          <w:color w:val="000000"/>
          <w:u w:color="000000"/>
          <w:lang w:val="en-US" w:eastAsia="x-none"/>
        </w:rPr>
        <w:t xml:space="preserve">, the applicants acknowledged the willingness </w:t>
      </w:r>
      <w:r w:rsidR="00AE5F9E" w:rsidRPr="009F337B">
        <w:rPr>
          <w:rFonts w:eastAsia="Verdana" w:cs="Cambria"/>
          <w:i w:val="0"/>
          <w:color w:val="000000"/>
          <w:u w:color="000000"/>
          <w:lang w:val="en-US" w:eastAsia="x-none"/>
        </w:rPr>
        <w:t>of the President</w:t>
      </w:r>
      <w:r w:rsidR="00C42183" w:rsidRPr="009F337B">
        <w:rPr>
          <w:rFonts w:eastAsia="Verdana" w:cs="Cambria"/>
          <w:i w:val="0"/>
          <w:color w:val="000000"/>
          <w:u w:color="000000"/>
          <w:lang w:val="en-US" w:eastAsia="x-none"/>
        </w:rPr>
        <w:t xml:space="preserve"> </w:t>
      </w:r>
      <w:r w:rsidR="000C535D" w:rsidRPr="009F337B">
        <w:rPr>
          <w:rFonts w:eastAsia="Verdana" w:cs="Cambria"/>
          <w:i w:val="0"/>
          <w:color w:val="000000"/>
          <w:u w:color="000000"/>
          <w:lang w:val="en-US" w:eastAsia="x-none"/>
        </w:rPr>
        <w:t>of</w:t>
      </w:r>
      <w:r w:rsidR="00C42183" w:rsidRPr="009F337B">
        <w:rPr>
          <w:rFonts w:eastAsia="Verdana" w:cs="Cambria"/>
          <w:i w:val="0"/>
          <w:color w:val="000000"/>
          <w:u w:color="000000"/>
          <w:lang w:val="en-US" w:eastAsia="x-none"/>
        </w:rPr>
        <w:t xml:space="preserve"> Guatemala </w:t>
      </w:r>
      <w:r w:rsidRPr="009F337B">
        <w:rPr>
          <w:rFonts w:eastAsia="Verdana" w:cs="Cambria"/>
          <w:i w:val="0"/>
          <w:color w:val="000000"/>
          <w:u w:color="000000"/>
          <w:lang w:val="en-US" w:eastAsia="x-none"/>
        </w:rPr>
        <w:t xml:space="preserve">to respond to the requests made in the initial application </w:t>
      </w:r>
      <w:r w:rsidR="007F67DF" w:rsidRPr="009F337B">
        <w:rPr>
          <w:rFonts w:eastAsia="Verdana" w:cs="Cambria"/>
          <w:i w:val="0"/>
          <w:color w:val="000000"/>
          <w:u w:color="000000"/>
          <w:lang w:val="en-US" w:eastAsia="x-none"/>
        </w:rPr>
        <w:t>by</w:t>
      </w:r>
      <w:r w:rsidRPr="009F337B">
        <w:rPr>
          <w:rFonts w:eastAsia="Verdana" w:cs="Cambria"/>
          <w:i w:val="0"/>
          <w:color w:val="000000"/>
          <w:u w:color="000000"/>
          <w:lang w:val="en-US" w:eastAsia="x-none"/>
        </w:rPr>
        <w:t xml:space="preserve"> allocat</w:t>
      </w:r>
      <w:r w:rsidR="007F67DF" w:rsidRPr="009F337B">
        <w:rPr>
          <w:rFonts w:eastAsia="Verdana" w:cs="Cambria"/>
          <w:i w:val="0"/>
          <w:color w:val="000000"/>
          <w:u w:color="000000"/>
          <w:lang w:val="en-US" w:eastAsia="x-none"/>
        </w:rPr>
        <w:t>ing</w:t>
      </w:r>
      <w:r w:rsidRPr="009F337B">
        <w:rPr>
          <w:rFonts w:eastAsia="Verdana" w:cs="Cambria"/>
          <w:i w:val="0"/>
          <w:color w:val="000000"/>
          <w:u w:color="000000"/>
          <w:lang w:val="en-US" w:eastAsia="x-none"/>
        </w:rPr>
        <w:t xml:space="preserve"> five hundred thousand quetzals for the care of </w:t>
      </w:r>
      <w:r w:rsidR="00080A1E" w:rsidRPr="009F337B">
        <w:rPr>
          <w:rFonts w:eastAsia="Verdana" w:cs="Cambria"/>
          <w:i w:val="0"/>
          <w:color w:val="000000"/>
          <w:u w:color="000000"/>
          <w:lang w:val="en-US" w:eastAsia="x-none"/>
        </w:rPr>
        <w:t>people living with HIV</w:t>
      </w:r>
      <w:r w:rsidR="00C42183" w:rsidRPr="009F337B">
        <w:rPr>
          <w:rFonts w:eastAsia="Verdana" w:cs="Cambria"/>
          <w:i w:val="0"/>
          <w:color w:val="000000"/>
          <w:u w:color="000000"/>
          <w:lang w:val="en-US" w:eastAsia="x-none"/>
        </w:rPr>
        <w:t xml:space="preserve">. </w:t>
      </w:r>
      <w:r w:rsidRPr="009F337B">
        <w:rPr>
          <w:rFonts w:eastAsia="Verdana" w:cs="Cambria"/>
          <w:i w:val="0"/>
          <w:color w:val="000000"/>
          <w:u w:color="000000"/>
          <w:lang w:val="en-US" w:eastAsia="x-none"/>
        </w:rPr>
        <w:t xml:space="preserve">However, they asserted that the reasons for filing the application for amparo subsisted, </w:t>
      </w:r>
      <w:r w:rsidR="007F67DF" w:rsidRPr="009F337B">
        <w:rPr>
          <w:rFonts w:eastAsia="Verdana" w:cs="Cambria"/>
          <w:i w:val="0"/>
          <w:color w:val="000000"/>
          <w:u w:color="000000"/>
          <w:lang w:val="en-US" w:eastAsia="x-none"/>
        </w:rPr>
        <w:t>because</w:t>
      </w:r>
      <w:r w:rsidRPr="009F337B">
        <w:rPr>
          <w:rFonts w:eastAsia="Verdana" w:cs="Cambria"/>
          <w:i w:val="0"/>
          <w:color w:val="000000"/>
          <w:u w:color="000000"/>
          <w:lang w:val="en-US" w:eastAsia="x-none"/>
        </w:rPr>
        <w:t xml:space="preserve"> the </w:t>
      </w:r>
      <w:r w:rsidR="00AC2165" w:rsidRPr="009F337B">
        <w:rPr>
          <w:rFonts w:eastAsia="Verdana" w:cs="Cambria"/>
          <w:i w:val="0"/>
          <w:color w:val="000000"/>
          <w:u w:color="000000"/>
          <w:lang w:val="en-US" w:eastAsia="x-none"/>
        </w:rPr>
        <w:t xml:space="preserve">antiretroviral </w:t>
      </w:r>
      <w:r w:rsidRPr="009F337B">
        <w:rPr>
          <w:rFonts w:eastAsia="Verdana" w:cs="Cambria"/>
          <w:i w:val="0"/>
          <w:color w:val="000000"/>
          <w:u w:color="000000"/>
          <w:lang w:val="en-US" w:eastAsia="x-none"/>
        </w:rPr>
        <w:t xml:space="preserve">treatment had not been initiated for everyone living with this diagnosis, </w:t>
      </w:r>
      <w:r w:rsidR="007F67DF" w:rsidRPr="009F337B">
        <w:rPr>
          <w:rFonts w:eastAsia="Verdana" w:cs="Cambria"/>
          <w:i w:val="0"/>
          <w:color w:val="000000"/>
          <w:u w:color="000000"/>
          <w:lang w:val="en-US" w:eastAsia="x-none"/>
        </w:rPr>
        <w:t>as</w:t>
      </w:r>
      <w:r w:rsidRPr="009F337B">
        <w:rPr>
          <w:rFonts w:eastAsia="Verdana" w:cs="Cambria"/>
          <w:i w:val="0"/>
          <w:color w:val="000000"/>
          <w:u w:color="000000"/>
          <w:lang w:val="en-US" w:eastAsia="x-none"/>
        </w:rPr>
        <w:t xml:space="preserve"> treatment was only being provided to 27 of them</w:t>
      </w:r>
      <w:r w:rsidR="001D40BB" w:rsidRPr="009F337B">
        <w:rPr>
          <w:rFonts w:eastAsia="Verdana" w:cs="Cambria"/>
          <w:i w:val="0"/>
          <w:color w:val="000000"/>
          <w:u w:color="000000"/>
          <w:lang w:val="en-US" w:eastAsia="x-none"/>
        </w:rPr>
        <w:t xml:space="preserve"> (</w:t>
      </w:r>
      <w:r w:rsidR="001D40BB" w:rsidRPr="009F337B">
        <w:rPr>
          <w:rFonts w:eastAsia="Verdana" w:cs="Cambria"/>
          <w:color w:val="000000"/>
          <w:u w:color="000000"/>
          <w:lang w:val="en-US" w:eastAsia="x-none"/>
        </w:rPr>
        <w:t>supra</w:t>
      </w:r>
      <w:r w:rsidR="001D40BB" w:rsidRPr="009F337B">
        <w:rPr>
          <w:rFonts w:eastAsia="Verdana" w:cs="Cambria"/>
          <w:i w:val="0"/>
          <w:color w:val="000000"/>
          <w:u w:color="000000"/>
          <w:lang w:val="en-US" w:eastAsia="x-none"/>
        </w:rPr>
        <w:t xml:space="preserve"> </w:t>
      </w:r>
      <w:r w:rsidR="00C60B17" w:rsidRPr="009F337B">
        <w:rPr>
          <w:rFonts w:eastAsia="Verdana" w:cs="Cambria"/>
          <w:i w:val="0"/>
          <w:color w:val="000000"/>
          <w:u w:color="000000"/>
          <w:lang w:val="en-US" w:eastAsia="x-none"/>
        </w:rPr>
        <w:t>para.</w:t>
      </w:r>
      <w:r w:rsidR="001D40BB" w:rsidRPr="009F337B">
        <w:rPr>
          <w:rFonts w:eastAsia="Verdana" w:cs="Cambria"/>
          <w:i w:val="0"/>
          <w:color w:val="000000"/>
          <w:u w:color="000000"/>
          <w:lang w:val="en-US" w:eastAsia="x-none"/>
        </w:rPr>
        <w:t xml:space="preserve"> </w:t>
      </w:r>
      <w:r w:rsidR="00C51C1D" w:rsidRPr="009F337B">
        <w:rPr>
          <w:rFonts w:eastAsia="Verdana" w:cs="Cambria"/>
          <w:i w:val="0"/>
          <w:color w:val="000000"/>
          <w:u w:color="000000"/>
          <w:lang w:val="en-US" w:eastAsia="x-none"/>
        </w:rPr>
        <w:t>60</w:t>
      </w:r>
      <w:r w:rsidR="00C42183" w:rsidRPr="009F337B">
        <w:rPr>
          <w:rFonts w:eastAsia="Verdana" w:cs="Cambria"/>
          <w:i w:val="0"/>
          <w:color w:val="000000"/>
          <w:u w:color="000000"/>
          <w:lang w:val="en-US" w:eastAsia="x-none"/>
        </w:rPr>
        <w:t>)</w:t>
      </w:r>
      <w:r w:rsidR="005A37F3" w:rsidRPr="009F337B">
        <w:rPr>
          <w:rFonts w:eastAsia="Verdana" w:cs="Cambria"/>
          <w:i w:val="0"/>
          <w:color w:val="000000"/>
          <w:u w:color="000000"/>
          <w:lang w:val="en-US" w:eastAsia="x-none"/>
        </w:rPr>
        <w:t xml:space="preserve">. </w:t>
      </w:r>
      <w:r w:rsidR="007F67DF" w:rsidRPr="009F337B">
        <w:rPr>
          <w:rFonts w:eastAsia="Verdana" w:cs="Cambria"/>
          <w:i w:val="0"/>
          <w:color w:val="000000"/>
          <w:u w:color="000000"/>
          <w:lang w:val="en-US" w:eastAsia="x-none"/>
        </w:rPr>
        <w:t xml:space="preserve">To </w:t>
      </w:r>
      <w:r w:rsidRPr="009F337B">
        <w:rPr>
          <w:rFonts w:eastAsia="Verdana" w:cs="Cambria"/>
          <w:i w:val="0"/>
          <w:color w:val="000000"/>
          <w:u w:color="000000"/>
          <w:lang w:val="en-US" w:eastAsia="x-none"/>
        </w:rPr>
        <w:t xml:space="preserve">prove the connection between the </w:t>
      </w:r>
      <w:r w:rsidR="007F67DF" w:rsidRPr="009F337B">
        <w:rPr>
          <w:rFonts w:eastAsia="Verdana" w:cs="Cambria"/>
          <w:i w:val="0"/>
          <w:color w:val="000000"/>
          <w:u w:color="000000"/>
          <w:lang w:val="en-US" w:eastAsia="x-none"/>
        </w:rPr>
        <w:t xml:space="preserve">human rights </w:t>
      </w:r>
      <w:r w:rsidRPr="009F337B">
        <w:rPr>
          <w:rFonts w:eastAsia="Verdana" w:cs="Cambria"/>
          <w:i w:val="0"/>
          <w:color w:val="000000"/>
          <w:u w:color="000000"/>
          <w:lang w:val="en-US" w:eastAsia="x-none"/>
        </w:rPr>
        <w:t xml:space="preserve">violation claimed and the applicants for amparo, the applicants </w:t>
      </w:r>
      <w:r w:rsidRPr="009F337B">
        <w:rPr>
          <w:rFonts w:eastAsia="Verdana" w:cs="Cambria"/>
          <w:i w:val="0"/>
          <w:color w:val="000000"/>
          <w:u w:color="000000"/>
          <w:lang w:val="en-US" w:eastAsia="x-none"/>
        </w:rPr>
        <w:lastRenderedPageBreak/>
        <w:t xml:space="preserve">asked </w:t>
      </w:r>
      <w:r w:rsidR="00AE5F9E" w:rsidRPr="009F337B">
        <w:rPr>
          <w:rFonts w:eastAsia="Verdana" w:cs="Cambria"/>
          <w:i w:val="0"/>
          <w:color w:val="000000"/>
          <w:u w:color="000000"/>
          <w:lang w:val="en-US" w:eastAsia="x-none"/>
        </w:rPr>
        <w:t xml:space="preserve">the </w:t>
      </w:r>
      <w:r w:rsidR="0016125F" w:rsidRPr="009F337B">
        <w:rPr>
          <w:rFonts w:eastAsia="Verdana" w:cs="Cambria"/>
          <w:i w:val="0"/>
          <w:color w:val="000000"/>
          <w:u w:color="000000"/>
          <w:lang w:val="en-US" w:eastAsia="x-none"/>
        </w:rPr>
        <w:t>Constitutional Court</w:t>
      </w:r>
      <w:r w:rsidR="00C42183" w:rsidRPr="009F337B">
        <w:rPr>
          <w:rFonts w:eastAsia="Verdana" w:cs="Cambria"/>
          <w:i w:val="0"/>
          <w:color w:val="000000"/>
          <w:u w:color="000000"/>
          <w:lang w:val="en-US" w:eastAsia="x-none"/>
        </w:rPr>
        <w:t xml:space="preserve"> </w:t>
      </w:r>
      <w:r w:rsidRPr="009F337B">
        <w:rPr>
          <w:rFonts w:eastAsia="Verdana" w:cs="Cambria"/>
          <w:i w:val="0"/>
          <w:color w:val="000000"/>
          <w:u w:color="000000"/>
          <w:lang w:val="en-US" w:eastAsia="x-none"/>
        </w:rPr>
        <w:t xml:space="preserve">to issue </w:t>
      </w:r>
      <w:r w:rsidR="007F67DF" w:rsidRPr="009F337B">
        <w:rPr>
          <w:rFonts w:eastAsia="Verdana" w:cs="Cambria"/>
          <w:i w:val="0"/>
          <w:color w:val="000000"/>
          <w:u w:color="000000"/>
          <w:lang w:val="en-US" w:eastAsia="x-none"/>
        </w:rPr>
        <w:t xml:space="preserve">a </w:t>
      </w:r>
      <w:r w:rsidR="006D23ED" w:rsidRPr="009F337B">
        <w:rPr>
          <w:rFonts w:eastAsia="Verdana" w:cs="Cambria"/>
          <w:i w:val="0"/>
          <w:color w:val="000000"/>
          <w:u w:color="000000"/>
          <w:lang w:val="en-US" w:eastAsia="x-none"/>
        </w:rPr>
        <w:t>request</w:t>
      </w:r>
      <w:r w:rsidR="007F67DF" w:rsidRPr="009F337B">
        <w:rPr>
          <w:rFonts w:eastAsia="Verdana" w:cs="Cambria"/>
          <w:i w:val="0"/>
          <w:color w:val="000000"/>
          <w:u w:color="000000"/>
          <w:lang w:val="en-US" w:eastAsia="x-none"/>
        </w:rPr>
        <w:t xml:space="preserve"> for helpful information </w:t>
      </w:r>
      <w:r w:rsidR="006D23ED" w:rsidRPr="009F337B">
        <w:rPr>
          <w:rFonts w:eastAsia="Verdana" w:cs="Cambria"/>
          <w:i w:val="0"/>
          <w:color w:val="000000"/>
          <w:u w:color="000000"/>
          <w:lang w:val="en-US" w:eastAsia="x-none"/>
        </w:rPr>
        <w:t>in order</w:t>
      </w:r>
      <w:r w:rsidR="007F67DF" w:rsidRPr="009F337B">
        <w:rPr>
          <w:rFonts w:eastAsia="Verdana" w:cs="Cambria"/>
          <w:i w:val="0"/>
          <w:color w:val="000000"/>
          <w:u w:color="000000"/>
          <w:lang w:val="en-US" w:eastAsia="x-none"/>
        </w:rPr>
        <w:t xml:space="preserve"> </w:t>
      </w:r>
      <w:r w:rsidRPr="009F337B">
        <w:rPr>
          <w:rFonts w:eastAsia="Verdana" w:cs="Cambria"/>
          <w:i w:val="0"/>
          <w:color w:val="000000"/>
          <w:u w:color="000000"/>
          <w:lang w:val="en-US" w:eastAsia="x-none"/>
        </w:rPr>
        <w:t xml:space="preserve">to obtain the </w:t>
      </w:r>
      <w:r w:rsidR="007F67DF" w:rsidRPr="009F337B">
        <w:rPr>
          <w:rFonts w:eastAsia="Verdana" w:cs="Cambria"/>
          <w:i w:val="0"/>
          <w:color w:val="000000"/>
          <w:u w:color="000000"/>
          <w:lang w:val="en-US" w:eastAsia="x-none"/>
        </w:rPr>
        <w:t xml:space="preserve">applicants’ </w:t>
      </w:r>
      <w:r w:rsidRPr="009F337B">
        <w:rPr>
          <w:rFonts w:eastAsia="Verdana" w:cs="Cambria"/>
          <w:i w:val="0"/>
          <w:color w:val="000000"/>
          <w:u w:color="000000"/>
          <w:lang w:val="en-US" w:eastAsia="x-none"/>
        </w:rPr>
        <w:t xml:space="preserve">medical records because they were all living with HIV, and to declare the application for amparo admissible, ordering the State to enact public policies that </w:t>
      </w:r>
      <w:r w:rsidR="007F67DF" w:rsidRPr="009F337B">
        <w:rPr>
          <w:rFonts w:eastAsia="Verdana" w:cs="Cambria"/>
          <w:i w:val="0"/>
          <w:color w:val="000000"/>
          <w:u w:color="000000"/>
          <w:lang w:val="en-US" w:eastAsia="x-none"/>
        </w:rPr>
        <w:t xml:space="preserve">ensured </w:t>
      </w:r>
      <w:r w:rsidRPr="009F337B">
        <w:rPr>
          <w:rFonts w:eastAsia="Verdana" w:cs="Cambria"/>
          <w:i w:val="0"/>
          <w:color w:val="000000"/>
          <w:u w:color="000000"/>
          <w:lang w:val="en-US" w:eastAsia="x-none"/>
        </w:rPr>
        <w:t>the collective right to life of</w:t>
      </w:r>
      <w:r w:rsidRPr="009F337B">
        <w:rPr>
          <w:rFonts w:eastAsia="Verdana" w:cs="Cambria"/>
          <w:bCs/>
          <w:i w:val="0"/>
          <w:color w:val="000000"/>
          <w:u w:color="000000"/>
          <w:lang w:val="en-US" w:eastAsia="x-none"/>
        </w:rPr>
        <w:t xml:space="preserve"> </w:t>
      </w:r>
      <w:r w:rsidR="00080A1E" w:rsidRPr="009F337B">
        <w:rPr>
          <w:rFonts w:eastAsia="Verdana" w:cs="Cambria"/>
          <w:i w:val="0"/>
          <w:color w:val="000000"/>
          <w:u w:color="000000"/>
          <w:lang w:val="en-US" w:eastAsia="x-none"/>
        </w:rPr>
        <w:t>people living with HIV</w:t>
      </w:r>
      <w:r w:rsidR="003C46A3" w:rsidRPr="009F337B">
        <w:rPr>
          <w:rFonts w:eastAsia="Verdana" w:cs="Cambria"/>
          <w:i w:val="0"/>
          <w:color w:val="000000"/>
          <w:u w:color="000000"/>
          <w:lang w:val="en-US" w:eastAsia="x-none"/>
        </w:rPr>
        <w:t xml:space="preserve"> and </w:t>
      </w:r>
      <w:r w:rsidRPr="009F337B">
        <w:rPr>
          <w:rFonts w:eastAsia="Verdana" w:cs="Cambria"/>
          <w:i w:val="0"/>
          <w:color w:val="000000"/>
          <w:u w:color="000000"/>
          <w:lang w:val="en-US" w:eastAsia="x-none"/>
        </w:rPr>
        <w:t xml:space="preserve">the distribution of </w:t>
      </w:r>
      <w:r w:rsidR="00D52F4C" w:rsidRPr="009F337B">
        <w:rPr>
          <w:rFonts w:eastAsia="Verdana" w:cs="Cambria"/>
          <w:i w:val="0"/>
          <w:color w:val="000000"/>
          <w:u w:color="000000"/>
          <w:lang w:val="en-US" w:eastAsia="x-none"/>
        </w:rPr>
        <w:t>antiretroviral drugs</w:t>
      </w:r>
      <w:r w:rsidRPr="009F337B">
        <w:rPr>
          <w:rFonts w:eastAsia="Verdana" w:cs="Cambria"/>
          <w:i w:val="0"/>
          <w:color w:val="000000"/>
          <w:u w:color="000000"/>
          <w:lang w:val="en-US" w:eastAsia="x-none"/>
        </w:rPr>
        <w:t>, without any discrimination, in the country’s hospitals and health centers</w:t>
      </w:r>
      <w:r w:rsidR="00C42183" w:rsidRPr="009F337B">
        <w:rPr>
          <w:rFonts w:eastAsia="Verdana" w:cs="Cambria"/>
          <w:i w:val="0"/>
          <w:color w:val="000000"/>
          <w:u w:color="000000"/>
          <w:lang w:val="en-US" w:eastAsia="x-none"/>
        </w:rPr>
        <w:t xml:space="preserve"> (</w:t>
      </w:r>
      <w:r w:rsidR="00C42183" w:rsidRPr="009F337B">
        <w:rPr>
          <w:rFonts w:eastAsia="Verdana" w:cs="Cambria"/>
          <w:color w:val="000000"/>
          <w:u w:color="000000"/>
          <w:lang w:val="en-US" w:eastAsia="x-none"/>
        </w:rPr>
        <w:t>supra</w:t>
      </w:r>
      <w:r w:rsidR="00C42183" w:rsidRPr="009F337B">
        <w:rPr>
          <w:rFonts w:eastAsia="Verdana" w:cs="Cambria"/>
          <w:i w:val="0"/>
          <w:color w:val="000000"/>
          <w:u w:color="000000"/>
          <w:lang w:val="en-US" w:eastAsia="x-none"/>
        </w:rPr>
        <w:t xml:space="preserve"> </w:t>
      </w:r>
      <w:r w:rsidR="00C60B17" w:rsidRPr="009F337B">
        <w:rPr>
          <w:rFonts w:eastAsia="Verdana" w:cs="Cambria"/>
          <w:i w:val="0"/>
          <w:color w:val="000000"/>
          <w:u w:color="000000"/>
          <w:lang w:val="en-US" w:eastAsia="x-none"/>
        </w:rPr>
        <w:t>para.</w:t>
      </w:r>
      <w:r w:rsidR="00C42183" w:rsidRPr="009F337B">
        <w:rPr>
          <w:rFonts w:eastAsia="Verdana" w:cs="Cambria"/>
          <w:i w:val="0"/>
          <w:color w:val="000000"/>
          <w:u w:color="000000"/>
          <w:lang w:val="en-US" w:eastAsia="x-none"/>
        </w:rPr>
        <w:t xml:space="preserve"> </w:t>
      </w:r>
      <w:r w:rsidR="00C51C1D" w:rsidRPr="009F337B">
        <w:rPr>
          <w:rFonts w:eastAsia="Verdana" w:cs="Cambria"/>
          <w:i w:val="0"/>
          <w:color w:val="000000"/>
          <w:u w:color="000000"/>
          <w:lang w:val="en-US" w:eastAsia="x-none"/>
        </w:rPr>
        <w:t>61</w:t>
      </w:r>
      <w:r w:rsidR="00C42183" w:rsidRPr="009F337B">
        <w:rPr>
          <w:rFonts w:eastAsia="Verdana" w:cs="Cambria"/>
          <w:i w:val="0"/>
          <w:color w:val="000000"/>
          <w:u w:color="000000"/>
          <w:lang w:val="en-US" w:eastAsia="x-none"/>
        </w:rPr>
        <w:t>)</w:t>
      </w:r>
      <w:r w:rsidR="001D40BB" w:rsidRPr="009F337B">
        <w:rPr>
          <w:rFonts w:eastAsia="Verdana" w:cs="Cambria"/>
          <w:i w:val="0"/>
          <w:color w:val="000000"/>
          <w:u w:color="000000"/>
          <w:lang w:val="en-US" w:eastAsia="x-none"/>
        </w:rPr>
        <w:t>.</w:t>
      </w:r>
    </w:p>
    <w:p w14:paraId="2AD0EAF2" w14:textId="77777777" w:rsidR="008E387F" w:rsidRPr="009F337B" w:rsidRDefault="008E387F" w:rsidP="008E387F">
      <w:pPr>
        <w:pStyle w:val="Estilo1"/>
        <w:tabs>
          <w:tab w:val="left" w:pos="709"/>
          <w:tab w:val="left" w:pos="1134"/>
        </w:tabs>
        <w:spacing w:after="0"/>
        <w:ind w:left="0" w:right="-4" w:firstLine="0"/>
        <w:rPr>
          <w:rFonts w:eastAsia="Verdana" w:cs="Cambria"/>
          <w:bCs/>
          <w:i w:val="0"/>
          <w:color w:val="000000"/>
          <w:u w:color="000000"/>
          <w:lang w:val="en-US" w:eastAsia="x-none"/>
        </w:rPr>
      </w:pPr>
    </w:p>
    <w:p w14:paraId="6020A569" w14:textId="72D3F8D8" w:rsidR="00C42183" w:rsidRPr="009F337B" w:rsidRDefault="001B28F9" w:rsidP="00593E37">
      <w:pPr>
        <w:pStyle w:val="Estilo1"/>
        <w:numPr>
          <w:ilvl w:val="0"/>
          <w:numId w:val="1"/>
        </w:numPr>
        <w:tabs>
          <w:tab w:val="left" w:pos="709"/>
          <w:tab w:val="left" w:pos="1134"/>
        </w:tabs>
        <w:spacing w:after="0"/>
        <w:ind w:left="0" w:right="-4" w:firstLine="0"/>
        <w:rPr>
          <w:rFonts w:eastAsia="Verdana" w:cs="Cambria"/>
          <w:bCs/>
          <w:i w:val="0"/>
          <w:color w:val="000000"/>
          <w:u w:color="000000"/>
          <w:lang w:val="en-US" w:eastAsia="x-none"/>
        </w:rPr>
      </w:pPr>
      <w:r w:rsidRPr="009F337B">
        <w:rPr>
          <w:rFonts w:eastAsia="Verdana" w:cs="Cambria"/>
          <w:i w:val="0"/>
          <w:color w:val="000000"/>
          <w:u w:color="000000"/>
          <w:lang w:val="en-US" w:eastAsia="x-none"/>
        </w:rPr>
        <w:t>Finally, on January 29,</w:t>
      </w:r>
      <w:r w:rsidR="00C42183" w:rsidRPr="009F337B">
        <w:rPr>
          <w:rFonts w:eastAsia="Verdana" w:cs="Cambria"/>
          <w:i w:val="0"/>
          <w:color w:val="000000"/>
          <w:u w:color="000000"/>
          <w:lang w:val="en-US" w:eastAsia="x-none"/>
        </w:rPr>
        <w:t xml:space="preserve"> 2003</w:t>
      </w:r>
      <w:r w:rsidRPr="009F337B">
        <w:rPr>
          <w:rFonts w:eastAsia="Verdana" w:cs="Cambria"/>
          <w:i w:val="0"/>
          <w:color w:val="000000"/>
          <w:u w:color="000000"/>
          <w:lang w:val="en-US" w:eastAsia="x-none"/>
        </w:rPr>
        <w:t>,</w:t>
      </w:r>
      <w:r w:rsidR="00C42183" w:rsidRPr="009F337B">
        <w:rPr>
          <w:rFonts w:eastAsia="Verdana" w:cs="Cambria"/>
          <w:i w:val="0"/>
          <w:color w:val="000000"/>
          <w:u w:color="000000"/>
          <w:lang w:val="en-US" w:eastAsia="x-none"/>
        </w:rPr>
        <w:t xml:space="preserve"> </w:t>
      </w:r>
      <w:r w:rsidR="00AE5F9E" w:rsidRPr="009F337B">
        <w:rPr>
          <w:rFonts w:eastAsia="Verdana" w:cs="Cambria"/>
          <w:i w:val="0"/>
          <w:color w:val="000000"/>
          <w:u w:color="000000"/>
          <w:lang w:val="en-US" w:eastAsia="x-none"/>
        </w:rPr>
        <w:t xml:space="preserve">the </w:t>
      </w:r>
      <w:r w:rsidR="0016125F" w:rsidRPr="009F337B">
        <w:rPr>
          <w:rFonts w:eastAsia="Verdana" w:cs="Cambria"/>
          <w:i w:val="0"/>
          <w:color w:val="000000"/>
          <w:u w:color="000000"/>
          <w:lang w:val="en-US" w:eastAsia="x-none"/>
        </w:rPr>
        <w:t>Constitutional Court</w:t>
      </w:r>
      <w:r w:rsidR="00C42183" w:rsidRPr="009F337B">
        <w:rPr>
          <w:rFonts w:eastAsia="Verdana" w:cs="Cambria"/>
          <w:i w:val="0"/>
          <w:color w:val="000000"/>
          <w:u w:color="000000"/>
          <w:lang w:val="en-US" w:eastAsia="x-none"/>
        </w:rPr>
        <w:t xml:space="preserve"> </w:t>
      </w:r>
      <w:r w:rsidRPr="009F337B">
        <w:rPr>
          <w:rFonts w:eastAsia="Verdana" w:cs="Cambria"/>
          <w:i w:val="0"/>
          <w:color w:val="000000"/>
          <w:u w:color="000000"/>
          <w:lang w:val="en-US" w:eastAsia="x-none"/>
        </w:rPr>
        <w:t>decided that the remedy filed by the applicants was unsubstantiated, because the conduct</w:t>
      </w:r>
      <w:r w:rsidR="00E42B62" w:rsidRPr="009F337B">
        <w:rPr>
          <w:rFonts w:eastAsia="Verdana" w:cs="Cambria"/>
          <w:i w:val="0"/>
          <w:color w:val="000000"/>
          <w:u w:color="000000"/>
          <w:lang w:val="en-US" w:eastAsia="x-none"/>
        </w:rPr>
        <w:t xml:space="preserve"> described in the application had ceased, and therefore declared that the application was “simply inadmissible.” </w:t>
      </w:r>
      <w:r w:rsidR="00AE5F9E" w:rsidRPr="009F337B">
        <w:rPr>
          <w:rFonts w:eastAsia="Verdana" w:cs="Cambria"/>
          <w:i w:val="0"/>
          <w:color w:val="000000"/>
          <w:u w:color="000000"/>
          <w:lang w:val="en-US" w:eastAsia="x-none"/>
        </w:rPr>
        <w:t xml:space="preserve">The </w:t>
      </w:r>
      <w:r w:rsidR="0016125F" w:rsidRPr="009F337B">
        <w:rPr>
          <w:rFonts w:eastAsia="Verdana" w:cs="Cambria"/>
          <w:i w:val="0"/>
          <w:color w:val="000000"/>
          <w:u w:color="000000"/>
          <w:lang w:val="en-US" w:eastAsia="x-none"/>
        </w:rPr>
        <w:t>Constitutional Court</w:t>
      </w:r>
      <w:r w:rsidR="00C42183" w:rsidRPr="009F337B">
        <w:rPr>
          <w:rFonts w:eastAsia="Verdana" w:cs="Cambria"/>
          <w:i w:val="0"/>
          <w:color w:val="000000"/>
          <w:u w:color="000000"/>
          <w:lang w:val="en-US" w:eastAsia="x-none"/>
        </w:rPr>
        <w:t xml:space="preserve"> </w:t>
      </w:r>
      <w:r w:rsidR="00E42B62" w:rsidRPr="009F337B">
        <w:rPr>
          <w:rFonts w:eastAsia="Verdana" w:cs="Cambria"/>
          <w:i w:val="0"/>
          <w:color w:val="000000"/>
          <w:u w:color="000000"/>
          <w:lang w:val="en-US" w:eastAsia="x-none"/>
        </w:rPr>
        <w:t>noted that, in a memorandum of</w:t>
      </w:r>
      <w:r w:rsidR="00C42183" w:rsidRPr="009F337B">
        <w:rPr>
          <w:rFonts w:eastAsia="Verdana" w:cs="Cambria"/>
          <w:i w:val="0"/>
          <w:color w:val="000000"/>
          <w:u w:color="000000"/>
          <w:lang w:val="en-US" w:eastAsia="x-none"/>
        </w:rPr>
        <w:t xml:space="preserve"> </w:t>
      </w:r>
      <w:r w:rsidR="00E42B62" w:rsidRPr="009F337B">
        <w:rPr>
          <w:rFonts w:eastAsia="Verdana" w:cs="Cambria"/>
          <w:i w:val="0"/>
          <w:color w:val="000000"/>
          <w:u w:color="000000"/>
          <w:lang w:val="en-US" w:eastAsia="x-none"/>
        </w:rPr>
        <w:t>October 30,</w:t>
      </w:r>
      <w:r w:rsidR="00C42183" w:rsidRPr="009F337B">
        <w:rPr>
          <w:rFonts w:eastAsia="Verdana" w:cs="Cambria"/>
          <w:i w:val="0"/>
          <w:color w:val="000000"/>
          <w:u w:color="000000"/>
          <w:lang w:val="en-US" w:eastAsia="x-none"/>
        </w:rPr>
        <w:t xml:space="preserve"> 2002, </w:t>
      </w:r>
      <w:r w:rsidR="006D23ED" w:rsidRPr="009F337B">
        <w:rPr>
          <w:rFonts w:eastAsia="Verdana" w:cs="Cambria"/>
          <w:i w:val="0"/>
          <w:color w:val="000000"/>
          <w:u w:color="000000"/>
          <w:lang w:val="en-US" w:eastAsia="x-none"/>
        </w:rPr>
        <w:t xml:space="preserve">the applicants </w:t>
      </w:r>
      <w:r w:rsidR="00E42B62" w:rsidRPr="009F337B">
        <w:rPr>
          <w:rFonts w:eastAsia="Verdana" w:cs="Cambria"/>
          <w:i w:val="0"/>
          <w:color w:val="000000"/>
          <w:u w:color="000000"/>
          <w:lang w:val="en-US" w:eastAsia="x-none"/>
        </w:rPr>
        <w:t xml:space="preserve">had stated that the resources offered by the President had been transferred </w:t>
      </w:r>
      <w:r w:rsidR="001D40BB" w:rsidRPr="009F337B">
        <w:rPr>
          <w:rFonts w:eastAsia="Verdana" w:cs="Cambria"/>
          <w:i w:val="0"/>
          <w:color w:val="000000"/>
          <w:u w:color="000000"/>
          <w:lang w:val="en-US" w:eastAsia="x-none"/>
        </w:rPr>
        <w:t>(</w:t>
      </w:r>
      <w:r w:rsidR="001D40BB" w:rsidRPr="009F337B">
        <w:rPr>
          <w:rFonts w:eastAsia="Verdana" w:cs="Cambria"/>
          <w:color w:val="000000"/>
          <w:u w:color="000000"/>
          <w:lang w:val="en-US" w:eastAsia="x-none"/>
        </w:rPr>
        <w:t>supra</w:t>
      </w:r>
      <w:r w:rsidR="001D40BB" w:rsidRPr="009F337B">
        <w:rPr>
          <w:rFonts w:eastAsia="Verdana" w:cs="Cambria"/>
          <w:i w:val="0"/>
          <w:color w:val="000000"/>
          <w:u w:color="000000"/>
          <w:lang w:val="en-US" w:eastAsia="x-none"/>
        </w:rPr>
        <w:t xml:space="preserve"> </w:t>
      </w:r>
      <w:r w:rsidR="00C60B17" w:rsidRPr="009F337B">
        <w:rPr>
          <w:rFonts w:eastAsia="Verdana" w:cs="Cambria"/>
          <w:i w:val="0"/>
          <w:color w:val="000000"/>
          <w:u w:color="000000"/>
          <w:lang w:val="en-US" w:eastAsia="x-none"/>
        </w:rPr>
        <w:t>para.</w:t>
      </w:r>
      <w:r w:rsidR="00C42183" w:rsidRPr="009F337B">
        <w:rPr>
          <w:rFonts w:eastAsia="Verdana" w:cs="Cambria"/>
          <w:i w:val="0"/>
          <w:color w:val="000000"/>
          <w:u w:color="000000"/>
          <w:lang w:val="en-US" w:eastAsia="x-none"/>
        </w:rPr>
        <w:t xml:space="preserve"> </w:t>
      </w:r>
      <w:r w:rsidR="00C51C1D" w:rsidRPr="009F337B">
        <w:rPr>
          <w:rFonts w:eastAsia="Verdana" w:cs="Cambria"/>
          <w:i w:val="0"/>
          <w:color w:val="000000"/>
          <w:u w:color="000000"/>
          <w:lang w:val="en-US" w:eastAsia="x-none"/>
        </w:rPr>
        <w:t>62</w:t>
      </w:r>
      <w:r w:rsidR="00C42183" w:rsidRPr="009F337B">
        <w:rPr>
          <w:rFonts w:eastAsia="Verdana" w:cs="Cambria"/>
          <w:i w:val="0"/>
          <w:color w:val="000000"/>
          <w:u w:color="000000"/>
          <w:lang w:val="en-US" w:eastAsia="x-none"/>
        </w:rPr>
        <w:t>)</w:t>
      </w:r>
      <w:r w:rsidR="001D40BB" w:rsidRPr="009F337B">
        <w:rPr>
          <w:rFonts w:eastAsia="Verdana" w:cs="Cambria"/>
          <w:i w:val="0"/>
          <w:color w:val="000000"/>
          <w:u w:color="000000"/>
          <w:lang w:val="en-US" w:eastAsia="x-none"/>
        </w:rPr>
        <w:t>.</w:t>
      </w:r>
    </w:p>
    <w:p w14:paraId="3E9A0621" w14:textId="77777777" w:rsidR="008E387F" w:rsidRPr="009F337B" w:rsidRDefault="008E387F" w:rsidP="008E387F">
      <w:pPr>
        <w:pStyle w:val="Estilo1"/>
        <w:tabs>
          <w:tab w:val="left" w:pos="709"/>
          <w:tab w:val="left" w:pos="1134"/>
        </w:tabs>
        <w:spacing w:after="0"/>
        <w:ind w:left="0" w:right="-4" w:firstLine="0"/>
        <w:rPr>
          <w:rFonts w:eastAsia="Verdana" w:cs="Cambria"/>
          <w:bCs/>
          <w:i w:val="0"/>
          <w:color w:val="000000"/>
          <w:u w:color="000000"/>
          <w:lang w:val="en-US" w:eastAsia="x-none"/>
        </w:rPr>
      </w:pPr>
    </w:p>
    <w:p w14:paraId="61368271" w14:textId="1582758B" w:rsidR="00C42183" w:rsidRPr="009F337B" w:rsidRDefault="00E42B62" w:rsidP="00593E37">
      <w:pPr>
        <w:pStyle w:val="Estilo1"/>
        <w:numPr>
          <w:ilvl w:val="0"/>
          <w:numId w:val="1"/>
        </w:numPr>
        <w:tabs>
          <w:tab w:val="left" w:pos="709"/>
          <w:tab w:val="left" w:pos="1134"/>
        </w:tabs>
        <w:spacing w:after="0"/>
        <w:ind w:left="0" w:right="-4" w:firstLine="0"/>
        <w:rPr>
          <w:rFonts w:eastAsia="Verdana" w:cs="Cambria"/>
          <w:i w:val="0"/>
          <w:color w:val="000000"/>
          <w:u w:color="000000"/>
          <w:lang w:val="en-US" w:eastAsia="x-none"/>
        </w:rPr>
      </w:pPr>
      <w:r w:rsidRPr="009F337B">
        <w:rPr>
          <w:rFonts w:eastAsia="Verdana" w:cs="Cambria"/>
          <w:i w:val="0"/>
          <w:color w:val="000000"/>
          <w:u w:color="000000"/>
          <w:lang w:val="en-US" w:eastAsia="x-none"/>
        </w:rPr>
        <w:t xml:space="preserve">Based on </w:t>
      </w:r>
      <w:r w:rsidR="006D23ED" w:rsidRPr="009F337B">
        <w:rPr>
          <w:rFonts w:eastAsia="Verdana" w:cs="Cambria"/>
          <w:i w:val="0"/>
          <w:color w:val="000000"/>
          <w:u w:color="000000"/>
          <w:lang w:val="en-US" w:eastAsia="x-none"/>
        </w:rPr>
        <w:t xml:space="preserve">the </w:t>
      </w:r>
      <w:r w:rsidRPr="009F337B">
        <w:rPr>
          <w:rFonts w:eastAsia="Verdana" w:cs="Cambria"/>
          <w:i w:val="0"/>
          <w:color w:val="000000"/>
          <w:u w:color="000000"/>
          <w:lang w:val="en-US" w:eastAsia="x-none"/>
        </w:rPr>
        <w:t>above</w:t>
      </w:r>
      <w:r w:rsidR="00C42183" w:rsidRPr="009F337B">
        <w:rPr>
          <w:rFonts w:eastAsia="Verdana" w:cs="Cambria"/>
          <w:i w:val="0"/>
          <w:color w:val="000000"/>
          <w:u w:color="000000"/>
          <w:lang w:val="en-US" w:eastAsia="x-none"/>
        </w:rPr>
        <w:t xml:space="preserve">, </w:t>
      </w:r>
      <w:r w:rsidR="00AE5F9E" w:rsidRPr="009F337B">
        <w:rPr>
          <w:rFonts w:eastAsia="Verdana" w:cs="Cambria"/>
          <w:i w:val="0"/>
          <w:color w:val="000000"/>
          <w:u w:color="000000"/>
          <w:lang w:val="en-US" w:eastAsia="x-none"/>
        </w:rPr>
        <w:t>the Court</w:t>
      </w:r>
      <w:r w:rsidR="00C42183" w:rsidRPr="009F337B">
        <w:rPr>
          <w:rFonts w:eastAsia="Verdana" w:cs="Cambria"/>
          <w:i w:val="0"/>
          <w:color w:val="000000"/>
          <w:u w:color="000000"/>
          <w:lang w:val="en-US" w:eastAsia="x-none"/>
        </w:rPr>
        <w:t xml:space="preserve"> </w:t>
      </w:r>
      <w:r w:rsidRPr="009F337B">
        <w:rPr>
          <w:rFonts w:eastAsia="Verdana" w:cs="Cambria"/>
          <w:i w:val="0"/>
          <w:color w:val="000000"/>
          <w:u w:color="000000"/>
          <w:lang w:val="en-US" w:eastAsia="x-none"/>
        </w:rPr>
        <w:t xml:space="preserve">will proceed to assess whether the proceedings </w:t>
      </w:r>
      <w:r w:rsidR="00371ADF" w:rsidRPr="009F337B">
        <w:rPr>
          <w:rFonts w:eastAsia="Verdana" w:cs="Cambria"/>
          <w:i w:val="0"/>
          <w:color w:val="000000"/>
          <w:u w:color="000000"/>
          <w:lang w:val="en-US" w:eastAsia="x-none"/>
        </w:rPr>
        <w:t xml:space="preserve">of the </w:t>
      </w:r>
      <w:r w:rsidRPr="009F337B">
        <w:rPr>
          <w:rFonts w:eastAsia="Verdana" w:cs="Cambria"/>
          <w:i w:val="0"/>
          <w:color w:val="000000"/>
          <w:u w:color="000000"/>
          <w:lang w:val="en-US" w:eastAsia="x-none"/>
        </w:rPr>
        <w:t xml:space="preserve">Constitutional </w:t>
      </w:r>
      <w:r w:rsidR="008C399E" w:rsidRPr="009F337B">
        <w:rPr>
          <w:rFonts w:eastAsia="Verdana" w:cs="Cambria"/>
          <w:i w:val="0"/>
          <w:color w:val="000000"/>
          <w:u w:color="000000"/>
          <w:lang w:val="en-US" w:eastAsia="x-none"/>
        </w:rPr>
        <w:t>Court</w:t>
      </w:r>
      <w:r w:rsidR="00C42183" w:rsidRPr="009F337B">
        <w:rPr>
          <w:rFonts w:eastAsia="Verdana" w:cs="Cambria"/>
          <w:i w:val="0"/>
          <w:color w:val="000000"/>
          <w:u w:color="000000"/>
          <w:lang w:val="en-US" w:eastAsia="x-none"/>
        </w:rPr>
        <w:t xml:space="preserve"> </w:t>
      </w:r>
      <w:r w:rsidRPr="009F337B">
        <w:rPr>
          <w:rFonts w:eastAsia="Verdana" w:cs="Cambria"/>
          <w:i w:val="0"/>
          <w:color w:val="000000"/>
          <w:u w:color="000000"/>
          <w:lang w:val="en-US" w:eastAsia="x-none"/>
        </w:rPr>
        <w:t>constituted a violation of the</w:t>
      </w:r>
      <w:r w:rsidR="00C42183" w:rsidRPr="009F337B">
        <w:rPr>
          <w:rFonts w:eastAsia="Verdana" w:cs="Cambria"/>
          <w:i w:val="0"/>
          <w:color w:val="000000"/>
          <w:u w:color="000000"/>
          <w:lang w:val="en-US" w:eastAsia="x-none"/>
        </w:rPr>
        <w:t xml:space="preserve"> </w:t>
      </w:r>
      <w:r w:rsidRPr="009F337B">
        <w:rPr>
          <w:rFonts w:eastAsia="Verdana" w:cs="Cambria"/>
          <w:i w:val="0"/>
          <w:color w:val="000000"/>
          <w:u w:color="000000"/>
          <w:lang w:val="en-US" w:eastAsia="x-none"/>
        </w:rPr>
        <w:t xml:space="preserve">right to judicial guarantees and judicial protection </w:t>
      </w:r>
      <w:r w:rsidR="00CC6A68" w:rsidRPr="009F337B">
        <w:rPr>
          <w:rFonts w:eastAsia="Verdana" w:cs="Cambria"/>
          <w:i w:val="0"/>
          <w:color w:val="000000"/>
          <w:u w:color="000000"/>
          <w:lang w:val="en-US" w:eastAsia="x-none"/>
        </w:rPr>
        <w:t xml:space="preserve">of the </w:t>
      </w:r>
      <w:r w:rsidR="00A00EE5" w:rsidRPr="009F337B">
        <w:rPr>
          <w:rFonts w:eastAsia="Verdana" w:cs="Cambria"/>
          <w:i w:val="0"/>
          <w:color w:val="000000"/>
          <w:u w:color="000000"/>
          <w:lang w:val="en-US" w:eastAsia="x-none"/>
        </w:rPr>
        <w:t>presumed</w:t>
      </w:r>
      <w:r w:rsidR="003C46A3" w:rsidRPr="009F337B">
        <w:rPr>
          <w:rFonts w:eastAsia="Verdana" w:cs="Cambria"/>
          <w:i w:val="0"/>
          <w:color w:val="000000"/>
          <w:u w:color="000000"/>
          <w:lang w:val="en-US" w:eastAsia="x-none"/>
        </w:rPr>
        <w:t xml:space="preserve"> victims</w:t>
      </w:r>
      <w:r w:rsidR="00C42183" w:rsidRPr="009F337B">
        <w:rPr>
          <w:rFonts w:eastAsia="Verdana" w:cs="Cambria"/>
          <w:i w:val="0"/>
          <w:color w:val="000000"/>
          <w:u w:color="000000"/>
          <w:lang w:val="en-US" w:eastAsia="x-none"/>
        </w:rPr>
        <w:t xml:space="preserve">. </w:t>
      </w:r>
      <w:r w:rsidRPr="009F337B">
        <w:rPr>
          <w:rFonts w:eastAsia="Verdana" w:cs="Cambria"/>
          <w:i w:val="0"/>
          <w:color w:val="000000"/>
          <w:u w:color="000000"/>
          <w:lang w:val="en-US" w:eastAsia="x-none"/>
        </w:rPr>
        <w:t xml:space="preserve">Specifically, the Court will determine whether the remedy filed before </w:t>
      </w:r>
      <w:r w:rsidR="00AE5F9E" w:rsidRPr="009F337B">
        <w:rPr>
          <w:rFonts w:eastAsia="Verdana" w:cs="Cambria"/>
          <w:i w:val="0"/>
          <w:color w:val="000000"/>
          <w:u w:color="000000"/>
          <w:lang w:val="en-US" w:eastAsia="x-none"/>
        </w:rPr>
        <w:t xml:space="preserve">the </w:t>
      </w:r>
      <w:r w:rsidR="0016125F" w:rsidRPr="009F337B">
        <w:rPr>
          <w:rFonts w:eastAsia="Verdana" w:cs="Cambria"/>
          <w:i w:val="0"/>
          <w:color w:val="000000"/>
          <w:u w:color="000000"/>
          <w:lang w:val="en-US" w:eastAsia="x-none"/>
        </w:rPr>
        <w:t>Constitutional Court</w:t>
      </w:r>
      <w:r w:rsidRPr="009F337B">
        <w:rPr>
          <w:rFonts w:eastAsia="Verdana" w:cs="Cambria"/>
          <w:i w:val="0"/>
          <w:color w:val="000000"/>
          <w:u w:color="000000"/>
          <w:lang w:val="en-US" w:eastAsia="x-none"/>
        </w:rPr>
        <w:t>:</w:t>
      </w:r>
      <w:r w:rsidR="001D40BB" w:rsidRPr="009F337B">
        <w:rPr>
          <w:rFonts w:eastAsia="Verdana" w:cs="Cambria"/>
          <w:i w:val="0"/>
          <w:color w:val="000000"/>
          <w:u w:color="000000"/>
          <w:lang w:val="en-US" w:eastAsia="x-none"/>
        </w:rPr>
        <w:t xml:space="preserve"> </w:t>
      </w:r>
      <w:r w:rsidRPr="009F337B">
        <w:rPr>
          <w:rFonts w:eastAsia="Verdana" w:cs="Cambria"/>
          <w:i w:val="0"/>
          <w:color w:val="000000"/>
          <w:u w:color="000000"/>
          <w:lang w:val="en-US" w:eastAsia="x-none"/>
        </w:rPr>
        <w:t>(</w:t>
      </w:r>
      <w:proofErr w:type="spellStart"/>
      <w:r w:rsidR="00C42183" w:rsidRPr="009F337B">
        <w:rPr>
          <w:rFonts w:eastAsia="Verdana" w:cs="Cambria"/>
          <w:i w:val="0"/>
          <w:color w:val="000000"/>
          <w:u w:color="000000"/>
          <w:lang w:val="en-US" w:eastAsia="x-none"/>
        </w:rPr>
        <w:t>i</w:t>
      </w:r>
      <w:proofErr w:type="spellEnd"/>
      <w:r w:rsidR="00C42183" w:rsidRPr="009F337B">
        <w:rPr>
          <w:rFonts w:eastAsia="Verdana" w:cs="Cambria"/>
          <w:i w:val="0"/>
          <w:color w:val="000000"/>
          <w:u w:color="000000"/>
          <w:lang w:val="en-US" w:eastAsia="x-none"/>
        </w:rPr>
        <w:t xml:space="preserve">) </w:t>
      </w:r>
      <w:r w:rsidRPr="009F337B">
        <w:rPr>
          <w:rFonts w:eastAsia="Verdana" w:cs="Cambria"/>
          <w:i w:val="0"/>
          <w:color w:val="000000"/>
          <w:u w:color="000000"/>
          <w:lang w:val="en-US" w:eastAsia="x-none"/>
        </w:rPr>
        <w:t>complied with the requirements of appropriateness and effectiveness, and (ii) was decided within a reasonable time.</w:t>
      </w:r>
    </w:p>
    <w:p w14:paraId="79089773" w14:textId="77777777" w:rsidR="00EE1E0E" w:rsidRPr="009F337B" w:rsidRDefault="00EE1E0E" w:rsidP="00E92CA8">
      <w:pPr>
        <w:rPr>
          <w:b/>
          <w:i/>
          <w:u w:color="000000"/>
          <w:lang w:val="en-US"/>
        </w:rPr>
      </w:pPr>
    </w:p>
    <w:p w14:paraId="72709FBC" w14:textId="2661279F" w:rsidR="00C42183" w:rsidRPr="009F337B" w:rsidRDefault="000B26F9" w:rsidP="000B26F9">
      <w:pPr>
        <w:pStyle w:val="Estilo1"/>
        <w:tabs>
          <w:tab w:val="left" w:pos="709"/>
          <w:tab w:val="left" w:pos="1134"/>
        </w:tabs>
        <w:spacing w:after="0"/>
        <w:ind w:left="0" w:right="-4" w:firstLine="0"/>
        <w:rPr>
          <w:rFonts w:eastAsia="Times" w:cs="Arial"/>
          <w:b/>
          <w:szCs w:val="20"/>
          <w:lang w:val="en-US"/>
        </w:rPr>
      </w:pPr>
      <w:r w:rsidRPr="009F337B">
        <w:rPr>
          <w:rFonts w:eastAsia="Times" w:cs="Arial"/>
          <w:b/>
          <w:szCs w:val="20"/>
          <w:lang w:val="en-US"/>
        </w:rPr>
        <w:tab/>
      </w:r>
      <w:r w:rsidRPr="009F337B">
        <w:rPr>
          <w:rFonts w:eastAsia="Times" w:cs="Arial"/>
          <w:b/>
          <w:szCs w:val="20"/>
          <w:lang w:val="en-US"/>
        </w:rPr>
        <w:tab/>
      </w:r>
      <w:r w:rsidR="00C42183" w:rsidRPr="009F337B">
        <w:rPr>
          <w:rFonts w:eastAsia="Times" w:cs="Arial"/>
          <w:b/>
          <w:szCs w:val="20"/>
          <w:lang w:val="en-US"/>
        </w:rPr>
        <w:t>B.1</w:t>
      </w:r>
      <w:r w:rsidR="00762208" w:rsidRPr="009F337B">
        <w:rPr>
          <w:rFonts w:eastAsia="Times" w:cs="Arial"/>
          <w:b/>
          <w:szCs w:val="20"/>
          <w:lang w:val="en-US"/>
        </w:rPr>
        <w:t>.</w:t>
      </w:r>
      <w:r w:rsidR="00C42183" w:rsidRPr="009F337B">
        <w:rPr>
          <w:rFonts w:eastAsia="Times" w:cs="Arial"/>
          <w:b/>
          <w:szCs w:val="20"/>
          <w:lang w:val="en-US"/>
        </w:rPr>
        <w:t xml:space="preserve"> </w:t>
      </w:r>
      <w:r w:rsidR="00E42B62" w:rsidRPr="009F337B">
        <w:rPr>
          <w:rFonts w:eastAsia="Times" w:cs="Arial"/>
          <w:b/>
          <w:szCs w:val="20"/>
          <w:lang w:val="en-US"/>
        </w:rPr>
        <w:t>Appropriateness and effectiveness of the application for amparo</w:t>
      </w:r>
    </w:p>
    <w:p w14:paraId="2462D0DE" w14:textId="77777777" w:rsidR="008E387F" w:rsidRPr="009F337B" w:rsidRDefault="008E387F" w:rsidP="008E387F">
      <w:pPr>
        <w:rPr>
          <w:lang w:val="en-US"/>
        </w:rPr>
      </w:pPr>
    </w:p>
    <w:p w14:paraId="36E5A4BE" w14:textId="55231429" w:rsidR="00C42183" w:rsidRPr="009F337B" w:rsidRDefault="00BE6926" w:rsidP="00593E37">
      <w:pPr>
        <w:pStyle w:val="Estilo1"/>
        <w:numPr>
          <w:ilvl w:val="0"/>
          <w:numId w:val="1"/>
        </w:numPr>
        <w:tabs>
          <w:tab w:val="left" w:pos="709"/>
          <w:tab w:val="left" w:pos="1134"/>
        </w:tabs>
        <w:spacing w:after="0"/>
        <w:ind w:left="0" w:right="-4" w:firstLine="0"/>
        <w:rPr>
          <w:rFonts w:eastAsia="Verdana" w:cs="Cambria"/>
          <w:bCs/>
          <w:i w:val="0"/>
          <w:color w:val="000000"/>
          <w:u w:color="000000"/>
          <w:lang w:val="en-US" w:eastAsia="x-none"/>
        </w:rPr>
      </w:pPr>
      <w:r w:rsidRPr="009F337B">
        <w:rPr>
          <w:rFonts w:eastAsia="Verdana" w:cs="Cambria"/>
          <w:bCs/>
          <w:i w:val="0"/>
          <w:color w:val="000000"/>
          <w:u w:color="000000"/>
          <w:lang w:val="en-US" w:eastAsia="x-none"/>
        </w:rPr>
        <w:t>First</w:t>
      </w:r>
      <w:r w:rsidR="00C42183" w:rsidRPr="009F337B">
        <w:rPr>
          <w:rFonts w:eastAsia="Verdana" w:cs="Cambria"/>
          <w:bCs/>
          <w:i w:val="0"/>
          <w:color w:val="000000"/>
          <w:u w:color="000000"/>
          <w:lang w:val="en-US" w:eastAsia="x-none"/>
        </w:rPr>
        <w:t xml:space="preserve">, </w:t>
      </w:r>
      <w:r w:rsidRPr="009F337B">
        <w:rPr>
          <w:rFonts w:eastAsia="Verdana" w:cs="Cambria"/>
          <w:bCs/>
          <w:i w:val="0"/>
          <w:color w:val="000000"/>
          <w:u w:color="000000"/>
          <w:lang w:val="en-US" w:eastAsia="x-none"/>
        </w:rPr>
        <w:t xml:space="preserve">the Court must determine whether </w:t>
      </w:r>
      <w:r w:rsidR="00AE5F9E" w:rsidRPr="009F337B">
        <w:rPr>
          <w:rFonts w:eastAsia="Verdana" w:cs="Cambria"/>
          <w:bCs/>
          <w:i w:val="0"/>
          <w:color w:val="000000"/>
          <w:u w:color="000000"/>
          <w:lang w:val="en-US" w:eastAsia="x-none"/>
        </w:rPr>
        <w:t xml:space="preserve">the </w:t>
      </w:r>
      <w:r w:rsidR="0016125F" w:rsidRPr="009F337B">
        <w:rPr>
          <w:rFonts w:eastAsia="Verdana" w:cs="Cambria"/>
          <w:bCs/>
          <w:i w:val="0"/>
          <w:color w:val="000000"/>
          <w:u w:color="000000"/>
          <w:lang w:val="en-US" w:eastAsia="x-none"/>
        </w:rPr>
        <w:t>Constitutional Court</w:t>
      </w:r>
      <w:r w:rsidRPr="009F337B">
        <w:rPr>
          <w:rFonts w:eastAsia="Verdana" w:cs="Cambria"/>
          <w:bCs/>
          <w:i w:val="0"/>
          <w:color w:val="000000"/>
          <w:u w:color="000000"/>
          <w:lang w:val="en-US" w:eastAsia="x-none"/>
        </w:rPr>
        <w:t>’s ruling met the requirements of appropriateness and effectiveness in keeping with the</w:t>
      </w:r>
      <w:r w:rsidR="006D23ED" w:rsidRPr="009F337B">
        <w:rPr>
          <w:rFonts w:eastAsia="Verdana" w:cs="Cambria"/>
          <w:bCs/>
          <w:i w:val="0"/>
          <w:color w:val="000000"/>
          <w:u w:color="000000"/>
          <w:lang w:val="en-US" w:eastAsia="x-none"/>
        </w:rPr>
        <w:t xml:space="preserve"> Convention’s</w:t>
      </w:r>
      <w:r w:rsidRPr="009F337B">
        <w:rPr>
          <w:rFonts w:eastAsia="Verdana" w:cs="Cambria"/>
          <w:bCs/>
          <w:i w:val="0"/>
          <w:color w:val="000000"/>
          <w:u w:color="000000"/>
          <w:lang w:val="en-US" w:eastAsia="x-none"/>
        </w:rPr>
        <w:t xml:space="preserve"> standards. In this regard, the Court recalls that the right to an effective remedy results in the obligation of the competent authority to examine the reasons cited by a plaintiff, to rule expressly on them, and to verify the execution of its decisions. However, this obligation does not mean that the effectiveness of a remedy is measured by virtue of it producing a favorable result for the plaintiff. The State obligation to ensure this right is an obligation of means or conduct, so that, in this case, the fact that the Constitutional Court did not arrive at the legal conclusion </w:t>
      </w:r>
      <w:r w:rsidR="006D23ED" w:rsidRPr="009F337B">
        <w:rPr>
          <w:rFonts w:eastAsia="Verdana" w:cs="Cambria"/>
          <w:bCs/>
          <w:i w:val="0"/>
          <w:color w:val="000000"/>
          <w:u w:color="000000"/>
          <w:lang w:val="en-US" w:eastAsia="x-none"/>
        </w:rPr>
        <w:t>desired by</w:t>
      </w:r>
      <w:r w:rsidRPr="009F337B">
        <w:rPr>
          <w:rFonts w:eastAsia="Verdana" w:cs="Cambria"/>
          <w:bCs/>
          <w:i w:val="0"/>
          <w:color w:val="000000"/>
          <w:u w:color="000000"/>
          <w:lang w:val="en-US" w:eastAsia="x-none"/>
        </w:rPr>
        <w:t xml:space="preserve"> the plaintiffs does not constitute </w:t>
      </w:r>
      <w:r w:rsidRPr="009F337B">
        <w:rPr>
          <w:rFonts w:eastAsia="Verdana" w:cs="Cambria"/>
          <w:bCs/>
          <w:color w:val="000000"/>
          <w:u w:color="000000"/>
          <w:lang w:val="en-US" w:eastAsia="x-none"/>
        </w:rPr>
        <w:t>per se</w:t>
      </w:r>
      <w:r w:rsidRPr="009F337B">
        <w:rPr>
          <w:rFonts w:eastAsia="Verdana" w:cs="Cambria"/>
          <w:bCs/>
          <w:i w:val="0"/>
          <w:color w:val="000000"/>
          <w:u w:color="000000"/>
          <w:lang w:val="en-US" w:eastAsia="x-none"/>
        </w:rPr>
        <w:t xml:space="preserve"> a violation of the right of access to justice. Nevertheless, the Court recalls that, under Article 8(1)</w:t>
      </w:r>
      <w:r w:rsidR="00AE5F9E" w:rsidRPr="009F337B">
        <w:rPr>
          <w:rFonts w:eastAsia="Verdana" w:cs="Cambria"/>
          <w:bCs/>
          <w:i w:val="0"/>
          <w:color w:val="000000"/>
          <w:u w:color="000000"/>
          <w:lang w:val="en-US" w:eastAsia="x-none"/>
        </w:rPr>
        <w:t xml:space="preserve"> of the Convention</w:t>
      </w:r>
      <w:r w:rsidR="00C42183" w:rsidRPr="009F337B">
        <w:rPr>
          <w:rFonts w:eastAsia="Verdana" w:cs="Cambria"/>
          <w:bCs/>
          <w:i w:val="0"/>
          <w:color w:val="000000"/>
          <w:u w:color="000000"/>
          <w:lang w:val="en-US" w:eastAsia="x-none"/>
        </w:rPr>
        <w:t xml:space="preserve">, </w:t>
      </w:r>
      <w:r w:rsidRPr="009F337B">
        <w:rPr>
          <w:rFonts w:eastAsia="Verdana" w:cs="Cambria"/>
          <w:bCs/>
          <w:i w:val="0"/>
          <w:color w:val="000000"/>
          <w:u w:color="000000"/>
          <w:lang w:val="en-US" w:eastAsia="x-none"/>
        </w:rPr>
        <w:t xml:space="preserve">the competent authorities are obliged to provide the reasons for their decisions </w:t>
      </w:r>
      <w:r w:rsidR="00C42183" w:rsidRPr="009F337B">
        <w:rPr>
          <w:rFonts w:eastAsia="Verdana" w:cs="Cambria"/>
          <w:bCs/>
          <w:i w:val="0"/>
          <w:color w:val="000000"/>
          <w:u w:color="000000"/>
          <w:lang w:val="en-US" w:eastAsia="x-none"/>
        </w:rPr>
        <w:t>(</w:t>
      </w:r>
      <w:r w:rsidR="00C42183" w:rsidRPr="009F337B">
        <w:rPr>
          <w:rFonts w:eastAsia="Verdana" w:cs="Cambria"/>
          <w:bCs/>
          <w:color w:val="000000"/>
          <w:u w:color="000000"/>
          <w:lang w:val="en-US" w:eastAsia="x-none"/>
        </w:rPr>
        <w:t>supra</w:t>
      </w:r>
      <w:r w:rsidR="00C42183" w:rsidRPr="009F337B">
        <w:rPr>
          <w:rFonts w:eastAsia="Verdana" w:cs="Cambria"/>
          <w:bCs/>
          <w:i w:val="0"/>
          <w:color w:val="000000"/>
          <w:u w:color="000000"/>
          <w:lang w:val="en-US" w:eastAsia="x-none"/>
        </w:rPr>
        <w:t xml:space="preserve"> </w:t>
      </w:r>
      <w:r w:rsidR="00C60B17" w:rsidRPr="009F337B">
        <w:rPr>
          <w:rFonts w:eastAsia="Verdana" w:cs="Cambria"/>
          <w:bCs/>
          <w:i w:val="0"/>
          <w:color w:val="000000"/>
          <w:u w:color="000000"/>
          <w:lang w:val="en-US" w:eastAsia="x-none"/>
        </w:rPr>
        <w:t>para.</w:t>
      </w:r>
      <w:r w:rsidR="007972C3" w:rsidRPr="009F337B">
        <w:rPr>
          <w:rFonts w:eastAsia="Verdana" w:cs="Cambria"/>
          <w:bCs/>
          <w:i w:val="0"/>
          <w:color w:val="000000"/>
          <w:u w:color="000000"/>
          <w:lang w:val="en-US" w:eastAsia="x-none"/>
        </w:rPr>
        <w:t xml:space="preserve"> </w:t>
      </w:r>
      <w:r w:rsidR="00C51C1D" w:rsidRPr="009F337B">
        <w:rPr>
          <w:rFonts w:eastAsia="Verdana" w:cs="Cambria"/>
          <w:bCs/>
          <w:i w:val="0"/>
          <w:color w:val="000000"/>
          <w:u w:color="000000"/>
          <w:lang w:val="en-US" w:eastAsia="x-none"/>
        </w:rPr>
        <w:t>17</w:t>
      </w:r>
      <w:r w:rsidR="00462F6A" w:rsidRPr="009F337B">
        <w:rPr>
          <w:rFonts w:eastAsia="Verdana" w:cs="Cambria"/>
          <w:bCs/>
          <w:i w:val="0"/>
          <w:color w:val="000000"/>
          <w:u w:color="000000"/>
          <w:lang w:val="en-US" w:eastAsia="x-none"/>
        </w:rPr>
        <w:t>1</w:t>
      </w:r>
      <w:r w:rsidR="00C42183" w:rsidRPr="009F337B">
        <w:rPr>
          <w:rFonts w:eastAsia="Verdana" w:cs="Cambria"/>
          <w:bCs/>
          <w:i w:val="0"/>
          <w:color w:val="000000"/>
          <w:u w:color="000000"/>
          <w:lang w:val="en-US" w:eastAsia="x-none"/>
        </w:rPr>
        <w:t>).</w:t>
      </w:r>
    </w:p>
    <w:p w14:paraId="22EB58B0" w14:textId="77777777" w:rsidR="008E387F" w:rsidRPr="009F337B" w:rsidRDefault="008E387F" w:rsidP="008E387F">
      <w:pPr>
        <w:pStyle w:val="Estilo1"/>
        <w:tabs>
          <w:tab w:val="left" w:pos="709"/>
          <w:tab w:val="left" w:pos="1134"/>
        </w:tabs>
        <w:spacing w:after="0"/>
        <w:ind w:left="0" w:right="-4" w:firstLine="0"/>
        <w:rPr>
          <w:rFonts w:eastAsia="Verdana" w:cs="Cambria"/>
          <w:bCs/>
          <w:i w:val="0"/>
          <w:color w:val="000000"/>
          <w:u w:color="000000"/>
          <w:lang w:val="en-US" w:eastAsia="x-none"/>
        </w:rPr>
      </w:pPr>
    </w:p>
    <w:p w14:paraId="37D47B8B" w14:textId="79F4B2FF" w:rsidR="008E387F" w:rsidRPr="009F337B" w:rsidRDefault="00BE6926" w:rsidP="00593E37">
      <w:pPr>
        <w:pStyle w:val="Estilo1"/>
        <w:numPr>
          <w:ilvl w:val="0"/>
          <w:numId w:val="1"/>
        </w:numPr>
        <w:tabs>
          <w:tab w:val="left" w:pos="709"/>
          <w:tab w:val="left" w:pos="1134"/>
        </w:tabs>
        <w:spacing w:after="0"/>
        <w:ind w:left="0" w:right="-4" w:firstLine="0"/>
        <w:rPr>
          <w:rFonts w:eastAsia="Verdana" w:cs="Cambria"/>
          <w:bCs/>
          <w:i w:val="0"/>
          <w:color w:val="000000"/>
          <w:u w:color="000000"/>
          <w:lang w:val="en-US" w:eastAsia="x-none"/>
        </w:rPr>
      </w:pPr>
      <w:r w:rsidRPr="009F337B">
        <w:rPr>
          <w:rFonts w:cs="Verdana"/>
          <w:bCs/>
          <w:i w:val="0"/>
          <w:iCs/>
          <w:lang w:val="en-US"/>
        </w:rPr>
        <w:t xml:space="preserve">The Court notes that, in its ruling of </w:t>
      </w:r>
      <w:r w:rsidR="001B28F9" w:rsidRPr="009F337B">
        <w:rPr>
          <w:rFonts w:cs="Verdana"/>
          <w:bCs/>
          <w:i w:val="0"/>
          <w:iCs/>
          <w:lang w:val="en-US"/>
        </w:rPr>
        <w:t>January 29,</w:t>
      </w:r>
      <w:r w:rsidR="00C42183" w:rsidRPr="009F337B">
        <w:rPr>
          <w:rFonts w:cs="Verdana"/>
          <w:bCs/>
          <w:i w:val="0"/>
          <w:iCs/>
          <w:lang w:val="en-US"/>
        </w:rPr>
        <w:t xml:space="preserve"> 2003, </w:t>
      </w:r>
      <w:r w:rsidR="00AE5F9E" w:rsidRPr="009F337B">
        <w:rPr>
          <w:rFonts w:cs="Verdana"/>
          <w:bCs/>
          <w:i w:val="0"/>
          <w:iCs/>
          <w:lang w:val="en-US"/>
        </w:rPr>
        <w:t xml:space="preserve">the </w:t>
      </w:r>
      <w:r w:rsidR="0016125F" w:rsidRPr="009F337B">
        <w:rPr>
          <w:rFonts w:cs="Verdana"/>
          <w:bCs/>
          <w:i w:val="0"/>
          <w:iCs/>
          <w:lang w:val="en-US"/>
        </w:rPr>
        <w:t>Constitutional Court</w:t>
      </w:r>
      <w:r w:rsidR="00C42183" w:rsidRPr="009F337B">
        <w:rPr>
          <w:rFonts w:cs="Verdana"/>
          <w:bCs/>
          <w:i w:val="0"/>
          <w:iCs/>
          <w:lang w:val="en-US"/>
        </w:rPr>
        <w:t xml:space="preserve"> </w:t>
      </w:r>
      <w:r w:rsidRPr="009F337B">
        <w:rPr>
          <w:rFonts w:cs="Verdana"/>
          <w:bCs/>
          <w:i w:val="0"/>
          <w:iCs/>
          <w:lang w:val="en-US"/>
        </w:rPr>
        <w:t xml:space="preserve">merely analyzed whether it could be considered that the agreement of </w:t>
      </w:r>
      <w:r w:rsidR="00E42B62" w:rsidRPr="009F337B">
        <w:rPr>
          <w:rFonts w:cs="Verdana"/>
          <w:bCs/>
          <w:i w:val="0"/>
          <w:iCs/>
          <w:lang w:val="en-US"/>
        </w:rPr>
        <w:t>October 30,</w:t>
      </w:r>
      <w:r w:rsidR="00C42183" w:rsidRPr="009F337B">
        <w:rPr>
          <w:rFonts w:cs="Verdana"/>
          <w:bCs/>
          <w:i w:val="0"/>
          <w:iCs/>
          <w:lang w:val="en-US"/>
        </w:rPr>
        <w:t xml:space="preserve"> 2002</w:t>
      </w:r>
      <w:r w:rsidRPr="009F337B">
        <w:rPr>
          <w:rFonts w:cs="Verdana"/>
          <w:bCs/>
          <w:i w:val="0"/>
          <w:iCs/>
          <w:lang w:val="en-US"/>
        </w:rPr>
        <w:t xml:space="preserve">, had put an end to the contested act, insofar as it had constituted a response by </w:t>
      </w:r>
      <w:r w:rsidR="00AE5F9E" w:rsidRPr="009F337B">
        <w:rPr>
          <w:rFonts w:cs="Verdana"/>
          <w:bCs/>
          <w:i w:val="0"/>
          <w:iCs/>
          <w:lang w:val="en-US"/>
        </w:rPr>
        <w:t>the President</w:t>
      </w:r>
      <w:r w:rsidR="00C42183" w:rsidRPr="009F337B">
        <w:rPr>
          <w:rFonts w:cs="Verdana"/>
          <w:bCs/>
          <w:i w:val="0"/>
          <w:iCs/>
          <w:lang w:val="en-US"/>
        </w:rPr>
        <w:t xml:space="preserve"> </w:t>
      </w:r>
      <w:r w:rsidRPr="009F337B">
        <w:rPr>
          <w:rFonts w:cs="Verdana"/>
          <w:bCs/>
          <w:i w:val="0"/>
          <w:iCs/>
          <w:lang w:val="en-US"/>
        </w:rPr>
        <w:t xml:space="preserve">to the plaintiffs’ request. In this regard, this Court notes that </w:t>
      </w:r>
      <w:r w:rsidR="00AE5F9E" w:rsidRPr="009F337B">
        <w:rPr>
          <w:rFonts w:cs="Verdana"/>
          <w:bCs/>
          <w:i w:val="0"/>
          <w:iCs/>
          <w:lang w:val="en-US"/>
        </w:rPr>
        <w:t xml:space="preserve">the </w:t>
      </w:r>
      <w:r w:rsidR="0016125F" w:rsidRPr="009F337B">
        <w:rPr>
          <w:rFonts w:cs="Verdana"/>
          <w:bCs/>
          <w:i w:val="0"/>
          <w:iCs/>
          <w:lang w:val="en-US"/>
        </w:rPr>
        <w:t>Constitutional Court</w:t>
      </w:r>
      <w:r w:rsidR="00C42183" w:rsidRPr="009F337B">
        <w:rPr>
          <w:rFonts w:cs="Verdana"/>
          <w:bCs/>
          <w:i w:val="0"/>
          <w:iCs/>
          <w:lang w:val="en-US"/>
        </w:rPr>
        <w:t xml:space="preserve"> </w:t>
      </w:r>
      <w:r w:rsidRPr="009F337B">
        <w:rPr>
          <w:rFonts w:cs="Verdana"/>
          <w:bCs/>
          <w:i w:val="0"/>
          <w:iCs/>
          <w:lang w:val="en-US"/>
        </w:rPr>
        <w:t>did not take into consideration that, even though the act</w:t>
      </w:r>
      <w:r w:rsidR="006D23ED" w:rsidRPr="009F337B">
        <w:rPr>
          <w:rFonts w:cs="Verdana"/>
          <w:bCs/>
          <w:i w:val="0"/>
          <w:iCs/>
          <w:lang w:val="en-US"/>
        </w:rPr>
        <w:t xml:space="preserve"> contested</w:t>
      </w:r>
      <w:r w:rsidRPr="009F337B">
        <w:rPr>
          <w:rFonts w:cs="Verdana"/>
          <w:bCs/>
          <w:i w:val="0"/>
          <w:iCs/>
          <w:lang w:val="en-US"/>
        </w:rPr>
        <w:t xml:space="preserve"> by </w:t>
      </w:r>
      <w:r w:rsidR="00A00EE5" w:rsidRPr="009F337B">
        <w:rPr>
          <w:rFonts w:cs="Verdana"/>
          <w:bCs/>
          <w:i w:val="0"/>
          <w:iCs/>
          <w:lang w:val="en-US"/>
        </w:rPr>
        <w:t>the presumed</w:t>
      </w:r>
      <w:r w:rsidR="003C46A3" w:rsidRPr="009F337B">
        <w:rPr>
          <w:rFonts w:cs="Verdana"/>
          <w:bCs/>
          <w:i w:val="0"/>
          <w:iCs/>
          <w:lang w:val="en-US"/>
        </w:rPr>
        <w:t xml:space="preserve"> victims</w:t>
      </w:r>
      <w:r w:rsidR="00C42183" w:rsidRPr="009F337B">
        <w:rPr>
          <w:rFonts w:cs="Verdana"/>
          <w:bCs/>
          <w:i w:val="0"/>
          <w:iCs/>
          <w:lang w:val="en-US"/>
        </w:rPr>
        <w:t xml:space="preserve"> </w:t>
      </w:r>
      <w:r w:rsidRPr="009F337B">
        <w:rPr>
          <w:rFonts w:cs="Verdana"/>
          <w:bCs/>
          <w:i w:val="0"/>
          <w:iCs/>
          <w:lang w:val="en-US"/>
        </w:rPr>
        <w:t xml:space="preserve">consisted in the omissive conduct </w:t>
      </w:r>
      <w:r w:rsidR="00AE5F9E" w:rsidRPr="009F337B">
        <w:rPr>
          <w:rFonts w:cs="Verdana"/>
          <w:bCs/>
          <w:i w:val="0"/>
          <w:iCs/>
          <w:lang w:val="en-US"/>
        </w:rPr>
        <w:t>of the President</w:t>
      </w:r>
      <w:r w:rsidR="00C42183" w:rsidRPr="009F337B">
        <w:rPr>
          <w:rFonts w:cs="Verdana"/>
          <w:bCs/>
          <w:i w:val="0"/>
          <w:iCs/>
          <w:lang w:val="en-US"/>
        </w:rPr>
        <w:t xml:space="preserve"> </w:t>
      </w:r>
      <w:r w:rsidRPr="009F337B">
        <w:rPr>
          <w:rFonts w:cs="Verdana"/>
          <w:bCs/>
          <w:i w:val="0"/>
          <w:iCs/>
          <w:lang w:val="en-US"/>
        </w:rPr>
        <w:t xml:space="preserve">in relation to their petition, the plaintiffs also claimed that the absence of medical treatment jeopardized their </w:t>
      </w:r>
      <w:r w:rsidR="00F3419F" w:rsidRPr="009F337B">
        <w:rPr>
          <w:rFonts w:eastAsia="Verdana" w:cs="Cambria"/>
          <w:bCs/>
          <w:i w:val="0"/>
          <w:color w:val="000000"/>
          <w:u w:color="000000"/>
          <w:lang w:val="en-US" w:eastAsia="x-none"/>
        </w:rPr>
        <w:t>right to life</w:t>
      </w:r>
      <w:r w:rsidR="003C46A3" w:rsidRPr="009F337B">
        <w:rPr>
          <w:rFonts w:eastAsia="Verdana" w:cs="Cambria"/>
          <w:bCs/>
          <w:i w:val="0"/>
          <w:color w:val="000000"/>
          <w:u w:color="000000"/>
          <w:lang w:val="en-US" w:eastAsia="x-none"/>
        </w:rPr>
        <w:t xml:space="preserve"> and </w:t>
      </w:r>
      <w:r w:rsidRPr="009F337B">
        <w:rPr>
          <w:rFonts w:eastAsia="Verdana" w:cs="Cambria"/>
          <w:bCs/>
          <w:i w:val="0"/>
          <w:color w:val="000000"/>
          <w:u w:color="000000"/>
          <w:lang w:val="en-US" w:eastAsia="x-none"/>
        </w:rPr>
        <w:t>to health owing to the lack of access to</w:t>
      </w:r>
      <w:r w:rsidR="00C42183" w:rsidRPr="009F337B">
        <w:rPr>
          <w:rFonts w:eastAsia="Verdana" w:cs="Cambria"/>
          <w:bCs/>
          <w:i w:val="0"/>
          <w:color w:val="000000"/>
          <w:u w:color="000000"/>
          <w:lang w:val="en-US" w:eastAsia="x-none"/>
        </w:rPr>
        <w:t xml:space="preserve"> </w:t>
      </w:r>
      <w:r w:rsidR="00AC2165" w:rsidRPr="009F337B">
        <w:rPr>
          <w:rFonts w:eastAsia="Verdana" w:cs="Cambria"/>
          <w:bCs/>
          <w:i w:val="0"/>
          <w:color w:val="000000"/>
          <w:u w:color="000000"/>
          <w:lang w:val="en-US" w:eastAsia="x-none"/>
        </w:rPr>
        <w:t>antiretroviral drugs</w:t>
      </w:r>
      <w:r w:rsidR="00C42183" w:rsidRPr="009F337B">
        <w:rPr>
          <w:rFonts w:eastAsia="Verdana" w:cs="Cambria"/>
          <w:bCs/>
          <w:i w:val="0"/>
          <w:color w:val="000000"/>
          <w:u w:color="000000"/>
          <w:lang w:val="en-US" w:eastAsia="x-none"/>
        </w:rPr>
        <w:t xml:space="preserve">. </w:t>
      </w:r>
      <w:r w:rsidRPr="009F337B">
        <w:rPr>
          <w:rFonts w:eastAsia="Verdana" w:cs="Cambria"/>
          <w:bCs/>
          <w:i w:val="0"/>
          <w:color w:val="000000"/>
          <w:u w:color="000000"/>
          <w:lang w:val="en-US" w:eastAsia="x-none"/>
        </w:rPr>
        <w:t xml:space="preserve">Accordingly, this Court notes the inadequacy of </w:t>
      </w:r>
      <w:r w:rsidR="00AE5F9E" w:rsidRPr="009F337B">
        <w:rPr>
          <w:rFonts w:eastAsia="Verdana" w:cs="Cambria"/>
          <w:bCs/>
          <w:i w:val="0"/>
          <w:color w:val="000000"/>
          <w:u w:color="000000"/>
          <w:lang w:val="en-US" w:eastAsia="x-none"/>
        </w:rPr>
        <w:t xml:space="preserve">the </w:t>
      </w:r>
      <w:r w:rsidR="0016125F" w:rsidRPr="009F337B">
        <w:rPr>
          <w:rFonts w:eastAsia="Verdana" w:cs="Cambria"/>
          <w:bCs/>
          <w:i w:val="0"/>
          <w:color w:val="000000"/>
          <w:u w:color="000000"/>
          <w:lang w:val="en-US" w:eastAsia="x-none"/>
        </w:rPr>
        <w:t>Constitutional Court</w:t>
      </w:r>
      <w:r w:rsidRPr="009F337B">
        <w:rPr>
          <w:rFonts w:eastAsia="Verdana" w:cs="Cambria"/>
          <w:bCs/>
          <w:i w:val="0"/>
          <w:color w:val="000000"/>
          <w:u w:color="000000"/>
          <w:lang w:val="en-US" w:eastAsia="x-none"/>
        </w:rPr>
        <w:t xml:space="preserve">’s ruling, because it was not sufficient that it merely rule </w:t>
      </w:r>
      <w:r w:rsidR="006D23ED" w:rsidRPr="009F337B">
        <w:rPr>
          <w:rFonts w:eastAsia="Verdana" w:cs="Cambria"/>
          <w:bCs/>
          <w:i w:val="0"/>
          <w:color w:val="000000"/>
          <w:u w:color="000000"/>
          <w:lang w:val="en-US" w:eastAsia="x-none"/>
        </w:rPr>
        <w:t>on</w:t>
      </w:r>
      <w:r w:rsidRPr="009F337B">
        <w:rPr>
          <w:rFonts w:eastAsia="Verdana" w:cs="Cambria"/>
          <w:bCs/>
          <w:i w:val="0"/>
          <w:color w:val="000000"/>
          <w:u w:color="000000"/>
          <w:lang w:val="en-US" w:eastAsia="x-none"/>
        </w:rPr>
        <w:t xml:space="preserve"> the President’s failure to respond to the plaintiffs’ request</w:t>
      </w:r>
      <w:r w:rsidR="006D23ED" w:rsidRPr="009F337B">
        <w:rPr>
          <w:rFonts w:eastAsia="Verdana" w:cs="Cambria"/>
          <w:bCs/>
          <w:i w:val="0"/>
          <w:color w:val="000000"/>
          <w:u w:color="000000"/>
          <w:lang w:val="en-US" w:eastAsia="x-none"/>
        </w:rPr>
        <w:t>;</w:t>
      </w:r>
      <w:r w:rsidRPr="009F337B">
        <w:rPr>
          <w:rFonts w:eastAsia="Verdana" w:cs="Cambria"/>
          <w:bCs/>
          <w:i w:val="0"/>
          <w:color w:val="000000"/>
          <w:u w:color="000000"/>
          <w:lang w:val="en-US" w:eastAsia="x-none"/>
        </w:rPr>
        <w:t xml:space="preserve"> it was also necessary that it rule on the central aspect that </w:t>
      </w:r>
      <w:r w:rsidR="006D23ED" w:rsidRPr="009F337B">
        <w:rPr>
          <w:rFonts w:eastAsia="Verdana" w:cs="Cambria"/>
          <w:bCs/>
          <w:i w:val="0"/>
          <w:color w:val="000000"/>
          <w:u w:color="000000"/>
          <w:lang w:val="en-US" w:eastAsia="x-none"/>
        </w:rPr>
        <w:t>led to the filing of the</w:t>
      </w:r>
      <w:r w:rsidRPr="009F337B">
        <w:rPr>
          <w:rFonts w:eastAsia="Verdana" w:cs="Cambria"/>
          <w:bCs/>
          <w:i w:val="0"/>
          <w:color w:val="000000"/>
          <w:u w:color="000000"/>
          <w:lang w:val="en-US" w:eastAsia="x-none"/>
        </w:rPr>
        <w:t xml:space="preserve"> application for amparo, which was the risk that existed to the plaintiffs’ right to health and life owing to the lack of access to medical treatment.</w:t>
      </w:r>
    </w:p>
    <w:p w14:paraId="173973CB" w14:textId="77777777" w:rsidR="00BE6926" w:rsidRPr="009F337B" w:rsidRDefault="00BE6926" w:rsidP="00BE6926">
      <w:pPr>
        <w:pStyle w:val="Estilo1"/>
        <w:tabs>
          <w:tab w:val="left" w:pos="709"/>
          <w:tab w:val="left" w:pos="1134"/>
        </w:tabs>
        <w:spacing w:after="0"/>
        <w:ind w:left="0" w:right="-4" w:firstLine="0"/>
        <w:rPr>
          <w:rFonts w:eastAsia="Verdana" w:cs="Cambria"/>
          <w:bCs/>
          <w:i w:val="0"/>
          <w:color w:val="000000"/>
          <w:u w:color="000000"/>
          <w:lang w:val="en-US" w:eastAsia="x-none"/>
        </w:rPr>
      </w:pPr>
    </w:p>
    <w:p w14:paraId="1B00EEDC" w14:textId="7E25018B" w:rsidR="00C42183" w:rsidRPr="009F337B" w:rsidRDefault="00BE6926" w:rsidP="00593E37">
      <w:pPr>
        <w:pStyle w:val="Estilo1"/>
        <w:numPr>
          <w:ilvl w:val="0"/>
          <w:numId w:val="1"/>
        </w:numPr>
        <w:tabs>
          <w:tab w:val="left" w:pos="709"/>
          <w:tab w:val="left" w:pos="1134"/>
        </w:tabs>
        <w:spacing w:after="0"/>
        <w:ind w:left="0" w:right="-4" w:firstLine="0"/>
        <w:rPr>
          <w:rFonts w:eastAsia="Verdana" w:cs="Cambria"/>
          <w:bCs/>
          <w:i w:val="0"/>
          <w:color w:val="000000"/>
          <w:u w:color="000000"/>
          <w:lang w:val="en-US" w:eastAsia="x-none"/>
        </w:rPr>
      </w:pPr>
      <w:r w:rsidRPr="009F337B">
        <w:rPr>
          <w:rFonts w:cs="Verdana"/>
          <w:bCs/>
          <w:i w:val="0"/>
          <w:iCs/>
          <w:lang w:val="en-US"/>
        </w:rPr>
        <w:t xml:space="preserve">The Court also notes that </w:t>
      </w:r>
      <w:r w:rsidR="00AE5F9E" w:rsidRPr="009F337B">
        <w:rPr>
          <w:rFonts w:cs="Verdana"/>
          <w:bCs/>
          <w:i w:val="0"/>
          <w:iCs/>
          <w:lang w:val="en-US"/>
        </w:rPr>
        <w:t xml:space="preserve">the </w:t>
      </w:r>
      <w:r w:rsidR="0016125F" w:rsidRPr="009F337B">
        <w:rPr>
          <w:rFonts w:cs="Verdana"/>
          <w:bCs/>
          <w:i w:val="0"/>
          <w:iCs/>
          <w:lang w:val="en-US"/>
        </w:rPr>
        <w:t>Constitutional Court</w:t>
      </w:r>
      <w:r w:rsidR="00C42183" w:rsidRPr="009F337B">
        <w:rPr>
          <w:rFonts w:cs="Verdana"/>
          <w:bCs/>
          <w:i w:val="0"/>
          <w:iCs/>
          <w:lang w:val="en-US"/>
        </w:rPr>
        <w:t xml:space="preserve"> </w:t>
      </w:r>
      <w:r w:rsidRPr="009F337B">
        <w:rPr>
          <w:rFonts w:cs="Verdana"/>
          <w:bCs/>
          <w:i w:val="0"/>
          <w:iCs/>
          <w:lang w:val="en-US"/>
        </w:rPr>
        <w:t xml:space="preserve">did not justify why it considered that the measure taken by </w:t>
      </w:r>
      <w:r w:rsidR="00AE5F9E" w:rsidRPr="009F337B">
        <w:rPr>
          <w:rFonts w:cs="Verdana"/>
          <w:bCs/>
          <w:i w:val="0"/>
          <w:iCs/>
          <w:lang w:val="en-US"/>
        </w:rPr>
        <w:t>the President</w:t>
      </w:r>
      <w:r w:rsidR="00C42183" w:rsidRPr="009F337B">
        <w:rPr>
          <w:rFonts w:cs="Verdana"/>
          <w:bCs/>
          <w:i w:val="0"/>
          <w:iCs/>
          <w:lang w:val="en-US"/>
        </w:rPr>
        <w:t xml:space="preserve"> </w:t>
      </w:r>
      <w:r w:rsidRPr="009F337B">
        <w:rPr>
          <w:rFonts w:cs="Verdana"/>
          <w:bCs/>
          <w:i w:val="0"/>
          <w:iCs/>
          <w:lang w:val="en-US"/>
        </w:rPr>
        <w:t xml:space="preserve">to allocate five hundred thousand quetzals for the medical care of </w:t>
      </w:r>
      <w:r w:rsidR="00080A1E" w:rsidRPr="009F337B">
        <w:rPr>
          <w:rFonts w:cs="Verdana"/>
          <w:bCs/>
          <w:i w:val="0"/>
          <w:iCs/>
          <w:lang w:val="en-US"/>
        </w:rPr>
        <w:t>people living with HIV</w:t>
      </w:r>
      <w:r w:rsidRPr="009F337B">
        <w:rPr>
          <w:rFonts w:cs="Verdana"/>
          <w:bCs/>
          <w:i w:val="0"/>
          <w:iCs/>
          <w:lang w:val="en-US"/>
        </w:rPr>
        <w:t xml:space="preserve"> was sufficient to consider that the underlying constitutional question raised had ceased. As mentioned previously, </w:t>
      </w:r>
      <w:r w:rsidR="00A00EE5" w:rsidRPr="009F337B">
        <w:rPr>
          <w:rFonts w:cs="Verdana"/>
          <w:bCs/>
          <w:i w:val="0"/>
          <w:iCs/>
          <w:lang w:val="en-US"/>
        </w:rPr>
        <w:t>the presumed</w:t>
      </w:r>
      <w:r w:rsidR="003C46A3" w:rsidRPr="009F337B">
        <w:rPr>
          <w:rFonts w:cs="Verdana"/>
          <w:bCs/>
          <w:i w:val="0"/>
          <w:iCs/>
          <w:lang w:val="en-US"/>
        </w:rPr>
        <w:t xml:space="preserve"> victims</w:t>
      </w:r>
      <w:r w:rsidR="00C42183" w:rsidRPr="009F337B">
        <w:rPr>
          <w:rFonts w:cs="Verdana"/>
          <w:bCs/>
          <w:i w:val="0"/>
          <w:iCs/>
          <w:lang w:val="en-US"/>
        </w:rPr>
        <w:t xml:space="preserve"> </w:t>
      </w:r>
      <w:r w:rsidRPr="009F337B">
        <w:rPr>
          <w:rFonts w:cs="Verdana"/>
          <w:bCs/>
          <w:i w:val="0"/>
          <w:iCs/>
          <w:lang w:val="en-US"/>
        </w:rPr>
        <w:t xml:space="preserve">were not only dissatisfied with the President’s failure to answer their letter, but, </w:t>
      </w:r>
      <w:r w:rsidRPr="009F337B">
        <w:rPr>
          <w:rFonts w:cs="Verdana"/>
          <w:bCs/>
          <w:i w:val="0"/>
          <w:iCs/>
          <w:lang w:val="en-US"/>
        </w:rPr>
        <w:lastRenderedPageBreak/>
        <w:t>furthermore, in that letter they had requested medical care</w:t>
      </w:r>
      <w:r w:rsidR="003C46A3" w:rsidRPr="009F337B">
        <w:rPr>
          <w:rFonts w:cs="Verdana"/>
          <w:bCs/>
          <w:i w:val="0"/>
          <w:iCs/>
          <w:lang w:val="en-US"/>
        </w:rPr>
        <w:t xml:space="preserve"> and </w:t>
      </w:r>
      <w:r w:rsidR="00FE1EFF" w:rsidRPr="009F337B">
        <w:rPr>
          <w:rFonts w:cs="Verdana"/>
          <w:bCs/>
          <w:i w:val="0"/>
          <w:iCs/>
          <w:lang w:val="en-US"/>
        </w:rPr>
        <w:t>antiretroviral treatment</w:t>
      </w:r>
      <w:r w:rsidR="00C42183" w:rsidRPr="009F337B">
        <w:rPr>
          <w:rFonts w:cs="Verdana"/>
          <w:bCs/>
          <w:i w:val="0"/>
          <w:iCs/>
          <w:lang w:val="en-US"/>
        </w:rPr>
        <w:t xml:space="preserve"> </w:t>
      </w:r>
      <w:r w:rsidRPr="009F337B">
        <w:rPr>
          <w:rFonts w:cs="Verdana"/>
          <w:bCs/>
          <w:i w:val="0"/>
          <w:iCs/>
          <w:lang w:val="en-US"/>
        </w:rPr>
        <w:t xml:space="preserve">for people diagnosed with HIV, and this should have been examined by </w:t>
      </w:r>
      <w:r w:rsidR="00AE5F9E" w:rsidRPr="009F337B">
        <w:rPr>
          <w:rFonts w:cs="Verdana"/>
          <w:bCs/>
          <w:i w:val="0"/>
          <w:iCs/>
          <w:lang w:val="en-US"/>
        </w:rPr>
        <w:t xml:space="preserve">the </w:t>
      </w:r>
      <w:r w:rsidR="0016125F" w:rsidRPr="009F337B">
        <w:rPr>
          <w:rFonts w:cs="Verdana"/>
          <w:bCs/>
          <w:i w:val="0"/>
          <w:iCs/>
          <w:lang w:val="en-US"/>
        </w:rPr>
        <w:t>Constitutional Court</w:t>
      </w:r>
      <w:r w:rsidR="00C42183" w:rsidRPr="009F337B">
        <w:rPr>
          <w:rFonts w:cs="Verdana"/>
          <w:bCs/>
          <w:i w:val="0"/>
          <w:iCs/>
          <w:lang w:val="en-US"/>
        </w:rPr>
        <w:t xml:space="preserve">. </w:t>
      </w:r>
      <w:r w:rsidRPr="009F337B">
        <w:rPr>
          <w:rFonts w:cs="Verdana"/>
          <w:bCs/>
          <w:i w:val="0"/>
          <w:iCs/>
          <w:lang w:val="en-US"/>
        </w:rPr>
        <w:t xml:space="preserve">Specifically, that Court should have analyzed whether the measure taken by the President was effective to ensure the rights at stake. </w:t>
      </w:r>
    </w:p>
    <w:p w14:paraId="3FC9C56E" w14:textId="77777777" w:rsidR="008E387F" w:rsidRPr="009F337B" w:rsidRDefault="008E387F" w:rsidP="008E387F">
      <w:pPr>
        <w:pStyle w:val="Estilo1"/>
        <w:tabs>
          <w:tab w:val="left" w:pos="709"/>
          <w:tab w:val="left" w:pos="1134"/>
        </w:tabs>
        <w:spacing w:after="0"/>
        <w:ind w:left="0" w:right="-4" w:firstLine="0"/>
        <w:rPr>
          <w:rFonts w:eastAsia="Verdana" w:cs="Cambria"/>
          <w:bCs/>
          <w:i w:val="0"/>
          <w:color w:val="000000"/>
          <w:u w:color="000000"/>
          <w:lang w:val="en-US" w:eastAsia="x-none"/>
        </w:rPr>
      </w:pPr>
    </w:p>
    <w:p w14:paraId="469BC7F8" w14:textId="1016FDF7" w:rsidR="00C42183" w:rsidRPr="009F337B" w:rsidRDefault="00BE6926" w:rsidP="00593E37">
      <w:pPr>
        <w:pStyle w:val="Estilo1"/>
        <w:numPr>
          <w:ilvl w:val="0"/>
          <w:numId w:val="1"/>
        </w:numPr>
        <w:tabs>
          <w:tab w:val="left" w:pos="709"/>
          <w:tab w:val="left" w:pos="1134"/>
        </w:tabs>
        <w:spacing w:after="0"/>
        <w:ind w:left="0" w:right="-4" w:firstLine="0"/>
        <w:rPr>
          <w:rFonts w:eastAsia="Verdana" w:cs="Cambria"/>
          <w:bCs/>
          <w:i w:val="0"/>
          <w:color w:val="000000"/>
          <w:u w:color="000000"/>
          <w:lang w:val="en-US" w:eastAsia="x-none"/>
        </w:rPr>
      </w:pPr>
      <w:r w:rsidRPr="009F337B">
        <w:rPr>
          <w:rFonts w:cs="Verdana"/>
          <w:bCs/>
          <w:i w:val="0"/>
          <w:iCs/>
          <w:lang w:val="en-US"/>
        </w:rPr>
        <w:t>Based on the above</w:t>
      </w:r>
      <w:r w:rsidR="00C42183" w:rsidRPr="009F337B">
        <w:rPr>
          <w:rFonts w:cs="Verdana"/>
          <w:bCs/>
          <w:i w:val="0"/>
          <w:iCs/>
          <w:lang w:val="en-US"/>
        </w:rPr>
        <w:t xml:space="preserve">, </w:t>
      </w:r>
      <w:r w:rsidR="00AE5F9E" w:rsidRPr="009F337B">
        <w:rPr>
          <w:rFonts w:cs="Verdana"/>
          <w:bCs/>
          <w:i w:val="0"/>
          <w:iCs/>
          <w:lang w:val="en-US"/>
        </w:rPr>
        <w:t>the Court</w:t>
      </w:r>
      <w:r w:rsidR="00C42183" w:rsidRPr="009F337B">
        <w:rPr>
          <w:rFonts w:cs="Verdana"/>
          <w:bCs/>
          <w:i w:val="0"/>
          <w:iCs/>
          <w:lang w:val="en-US"/>
        </w:rPr>
        <w:t xml:space="preserve"> rec</w:t>
      </w:r>
      <w:r w:rsidRPr="009F337B">
        <w:rPr>
          <w:rFonts w:cs="Verdana"/>
          <w:bCs/>
          <w:i w:val="0"/>
          <w:iCs/>
          <w:lang w:val="en-US"/>
        </w:rPr>
        <w:t>alls that the requirement that the reasons should be provided for any decision is not the same as there being an analysis of the merits of the matter, an examination that is not essential to determine the effectiveness of the remedy.</w:t>
      </w:r>
      <w:r w:rsidR="00C42183" w:rsidRPr="009F337B">
        <w:rPr>
          <w:rFonts w:cs="Verdana"/>
          <w:bCs/>
          <w:i w:val="0"/>
          <w:iCs/>
          <w:vertAlign w:val="superscript"/>
          <w:lang w:val="en-US"/>
        </w:rPr>
        <w:footnoteReference w:id="216"/>
      </w:r>
      <w:r w:rsidRPr="009F337B">
        <w:rPr>
          <w:rFonts w:cs="Verdana"/>
          <w:bCs/>
          <w:i w:val="0"/>
          <w:iCs/>
          <w:lang w:val="en-US"/>
        </w:rPr>
        <w:t xml:space="preserve"> However, the reasoning behind a ruling should allow the facts, grounds and laws on which the authority based itself to take its decision to be known clearly and expressly, in order to rule out any indication of arbitrariness; a situation that did not occur in this case. The European Court has considered that a remedy</w:t>
      </w:r>
      <w:r w:rsidR="00A1762F" w:rsidRPr="009F337B">
        <w:rPr>
          <w:rFonts w:cs="Verdana"/>
          <w:bCs/>
          <w:i w:val="0"/>
          <w:iCs/>
          <w:lang w:val="en-US"/>
        </w:rPr>
        <w:t xml:space="preserve"> </w:t>
      </w:r>
      <w:r w:rsidR="0060699E" w:rsidRPr="009F337B">
        <w:rPr>
          <w:rFonts w:cs="Verdana"/>
          <w:bCs/>
          <w:i w:val="0"/>
          <w:iCs/>
          <w:lang w:val="en-US"/>
        </w:rPr>
        <w:t>“</w:t>
      </w:r>
      <w:r w:rsidR="00A1762F" w:rsidRPr="009F337B">
        <w:rPr>
          <w:rFonts w:cs="Verdana"/>
          <w:bCs/>
          <w:i w:val="0"/>
          <w:iCs/>
          <w:lang w:val="en-US"/>
        </w:rPr>
        <w:t>is effective if there ha</w:t>
      </w:r>
      <w:r w:rsidR="0060699E" w:rsidRPr="009F337B">
        <w:rPr>
          <w:rFonts w:cs="Verdana"/>
          <w:bCs/>
          <w:i w:val="0"/>
          <w:iCs/>
          <w:lang w:val="en-US"/>
        </w:rPr>
        <w:t>d</w:t>
      </w:r>
      <w:r w:rsidR="00A1762F" w:rsidRPr="009F337B">
        <w:rPr>
          <w:rFonts w:cs="Verdana"/>
          <w:bCs/>
          <w:i w:val="0"/>
          <w:iCs/>
          <w:lang w:val="en-US"/>
        </w:rPr>
        <w:t xml:space="preserve"> been a sufficient judicial review, even when the</w:t>
      </w:r>
      <w:r w:rsidR="00A1762F" w:rsidRPr="009F337B">
        <w:rPr>
          <w:rFonts w:eastAsia="Verdana" w:cs="Cambria"/>
          <w:bCs/>
          <w:i w:val="0"/>
          <w:color w:val="000000"/>
          <w:u w:color="000000"/>
          <w:lang w:val="en-US" w:eastAsia="x-none"/>
        </w:rPr>
        <w:t xml:space="preserve"> </w:t>
      </w:r>
      <w:r w:rsidR="00A1762F" w:rsidRPr="009F337B">
        <w:rPr>
          <w:rFonts w:cs="Verdana"/>
          <w:bCs/>
          <w:i w:val="0"/>
          <w:iCs/>
          <w:lang w:val="en-US"/>
        </w:rPr>
        <w:t>jurisdiction [of the judicial organ] over the facts was limited</w:t>
      </w:r>
      <w:r w:rsidR="00C42183" w:rsidRPr="009F337B">
        <w:rPr>
          <w:rFonts w:cs="Verdana"/>
          <w:bCs/>
          <w:i w:val="0"/>
          <w:iCs/>
          <w:lang w:val="en-US"/>
        </w:rPr>
        <w:t>,</w:t>
      </w:r>
      <w:r w:rsidR="00A1762F" w:rsidRPr="009F337B">
        <w:rPr>
          <w:rFonts w:cs="Verdana"/>
          <w:bCs/>
          <w:i w:val="0"/>
          <w:iCs/>
          <w:lang w:val="en-US"/>
        </w:rPr>
        <w:t xml:space="preserve"> […if ]</w:t>
      </w:r>
      <w:r w:rsidR="00C42183" w:rsidRPr="009F337B">
        <w:rPr>
          <w:rFonts w:cs="Verdana"/>
          <w:bCs/>
          <w:i w:val="0"/>
          <w:iCs/>
          <w:lang w:val="en-US"/>
        </w:rPr>
        <w:t xml:space="preserve"> </w:t>
      </w:r>
      <w:r w:rsidR="00A1762F" w:rsidRPr="009F337B">
        <w:rPr>
          <w:rFonts w:cs="Verdana"/>
          <w:bCs/>
          <w:i w:val="0"/>
          <w:iCs/>
          <w:lang w:val="en-US"/>
        </w:rPr>
        <w:t>it could have annulled the decision on a number of grounds, including if the decision had been reached on the basis of a misconception of fact or law.</w:t>
      </w:r>
      <w:r w:rsidR="00C42183" w:rsidRPr="009F337B">
        <w:rPr>
          <w:rFonts w:cs="Verdana"/>
          <w:bCs/>
          <w:i w:val="0"/>
          <w:iCs/>
          <w:lang w:val="en-US"/>
        </w:rPr>
        <w:t>”</w:t>
      </w:r>
      <w:r w:rsidR="00C42183" w:rsidRPr="009F337B">
        <w:rPr>
          <w:rFonts w:cs="Verdana"/>
          <w:bCs/>
          <w:i w:val="0"/>
          <w:iCs/>
          <w:vertAlign w:val="superscript"/>
          <w:lang w:val="en-US"/>
        </w:rPr>
        <w:footnoteReference w:id="217"/>
      </w:r>
    </w:p>
    <w:p w14:paraId="7384243F" w14:textId="77777777" w:rsidR="00EE1E0E" w:rsidRPr="009F337B" w:rsidRDefault="00EE1E0E" w:rsidP="00E92CA8">
      <w:pPr>
        <w:rPr>
          <w:u w:color="000000"/>
          <w:lang w:val="en-US"/>
        </w:rPr>
      </w:pPr>
    </w:p>
    <w:p w14:paraId="52C0473D" w14:textId="51BE4115" w:rsidR="00C42183" w:rsidRPr="009F337B" w:rsidRDefault="000B26F9" w:rsidP="000B26F9">
      <w:pPr>
        <w:pStyle w:val="Estilo1"/>
        <w:tabs>
          <w:tab w:val="left" w:pos="709"/>
          <w:tab w:val="left" w:pos="1134"/>
        </w:tabs>
        <w:spacing w:after="0"/>
        <w:ind w:left="0" w:right="-4" w:firstLine="0"/>
        <w:rPr>
          <w:u w:color="000000"/>
          <w:lang w:val="en-US"/>
        </w:rPr>
      </w:pPr>
      <w:r w:rsidRPr="009F337B">
        <w:rPr>
          <w:rFonts w:eastAsia="Times" w:cs="Arial"/>
          <w:b/>
          <w:szCs w:val="20"/>
          <w:lang w:val="en-US"/>
        </w:rPr>
        <w:tab/>
      </w:r>
      <w:r w:rsidRPr="009F337B">
        <w:rPr>
          <w:rFonts w:eastAsia="Times" w:cs="Arial"/>
          <w:b/>
          <w:szCs w:val="20"/>
          <w:lang w:val="en-US"/>
        </w:rPr>
        <w:tab/>
      </w:r>
      <w:r w:rsidR="00C42183" w:rsidRPr="009F337B">
        <w:rPr>
          <w:rFonts w:eastAsia="Times" w:cs="Arial"/>
          <w:b/>
          <w:szCs w:val="20"/>
          <w:lang w:val="en-US"/>
        </w:rPr>
        <w:t>B.2</w:t>
      </w:r>
      <w:r w:rsidR="00762208" w:rsidRPr="009F337B">
        <w:rPr>
          <w:rFonts w:eastAsia="Times" w:cs="Arial"/>
          <w:b/>
          <w:szCs w:val="20"/>
          <w:lang w:val="en-US"/>
        </w:rPr>
        <w:t>.</w:t>
      </w:r>
      <w:r w:rsidR="00C42183" w:rsidRPr="009F337B">
        <w:rPr>
          <w:rFonts w:eastAsia="Times" w:cs="Arial"/>
          <w:b/>
          <w:szCs w:val="20"/>
          <w:lang w:val="en-US"/>
        </w:rPr>
        <w:t xml:space="preserve"> </w:t>
      </w:r>
      <w:r w:rsidR="004A1D8A" w:rsidRPr="009F337B">
        <w:rPr>
          <w:rFonts w:eastAsia="Times" w:cs="Arial"/>
          <w:b/>
          <w:szCs w:val="20"/>
          <w:lang w:val="en-US"/>
        </w:rPr>
        <w:t>Reasonable time</w:t>
      </w:r>
    </w:p>
    <w:p w14:paraId="44AD7B96" w14:textId="77777777" w:rsidR="008E387F" w:rsidRPr="009F337B" w:rsidRDefault="008E387F" w:rsidP="008E387F">
      <w:pPr>
        <w:rPr>
          <w:lang w:val="en-US"/>
        </w:rPr>
      </w:pPr>
    </w:p>
    <w:p w14:paraId="1D79C728" w14:textId="135BDD25" w:rsidR="00C42183" w:rsidRPr="009F337B" w:rsidRDefault="00AE5F9E" w:rsidP="00593E37">
      <w:pPr>
        <w:pStyle w:val="Estilo1"/>
        <w:numPr>
          <w:ilvl w:val="0"/>
          <w:numId w:val="1"/>
        </w:numPr>
        <w:tabs>
          <w:tab w:val="left" w:pos="709"/>
          <w:tab w:val="left" w:pos="1134"/>
        </w:tabs>
        <w:spacing w:after="0"/>
        <w:ind w:left="0" w:right="-4" w:firstLine="0"/>
        <w:rPr>
          <w:rFonts w:eastAsia="Verdana" w:cs="Cambria"/>
          <w:bCs/>
          <w:i w:val="0"/>
          <w:color w:val="000000"/>
          <w:u w:color="000000"/>
          <w:lang w:val="en-US" w:eastAsia="x-none"/>
        </w:rPr>
      </w:pPr>
      <w:r w:rsidRPr="009F337B">
        <w:rPr>
          <w:rFonts w:cs="Verdana"/>
          <w:bCs/>
          <w:i w:val="0"/>
          <w:iCs/>
          <w:lang w:val="en-US"/>
        </w:rPr>
        <w:t>The Commission</w:t>
      </w:r>
      <w:r w:rsidR="003C46A3" w:rsidRPr="009F337B">
        <w:rPr>
          <w:rFonts w:cs="Verdana"/>
          <w:bCs/>
          <w:i w:val="0"/>
          <w:iCs/>
          <w:lang w:val="en-US"/>
        </w:rPr>
        <w:t xml:space="preserve"> and </w:t>
      </w:r>
      <w:r w:rsidR="007327F5" w:rsidRPr="009F337B">
        <w:rPr>
          <w:rFonts w:cs="Verdana"/>
          <w:bCs/>
          <w:i w:val="0"/>
          <w:iCs/>
          <w:lang w:val="en-US"/>
        </w:rPr>
        <w:t>the representatives</w:t>
      </w:r>
      <w:r w:rsidR="00C42183" w:rsidRPr="009F337B">
        <w:rPr>
          <w:rFonts w:cs="Verdana"/>
          <w:bCs/>
          <w:i w:val="0"/>
          <w:iCs/>
          <w:lang w:val="en-US"/>
        </w:rPr>
        <w:t xml:space="preserve"> </w:t>
      </w:r>
      <w:r w:rsidR="004A1D8A" w:rsidRPr="009F337B">
        <w:rPr>
          <w:rFonts w:cs="Verdana"/>
          <w:bCs/>
          <w:i w:val="0"/>
          <w:iCs/>
          <w:lang w:val="en-US"/>
        </w:rPr>
        <w:t>argued that</w:t>
      </w:r>
      <w:r w:rsidR="00C42183" w:rsidRPr="009F337B">
        <w:rPr>
          <w:rFonts w:cs="Verdana"/>
          <w:bCs/>
          <w:i w:val="0"/>
          <w:iCs/>
          <w:lang w:val="en-US"/>
        </w:rPr>
        <w:t xml:space="preserve"> </w:t>
      </w:r>
      <w:r w:rsidR="003C46A3" w:rsidRPr="009F337B">
        <w:rPr>
          <w:rFonts w:cs="Verdana"/>
          <w:bCs/>
          <w:i w:val="0"/>
          <w:iCs/>
          <w:lang w:val="en-US"/>
        </w:rPr>
        <w:t>the State</w:t>
      </w:r>
      <w:r w:rsidR="00C42183" w:rsidRPr="009F337B">
        <w:rPr>
          <w:rFonts w:cs="Verdana"/>
          <w:bCs/>
          <w:i w:val="0"/>
          <w:iCs/>
          <w:lang w:val="en-US"/>
        </w:rPr>
        <w:t xml:space="preserve"> </w:t>
      </w:r>
      <w:r w:rsidR="004A1D8A" w:rsidRPr="009F337B">
        <w:rPr>
          <w:rFonts w:cs="Verdana"/>
          <w:bCs/>
          <w:i w:val="0"/>
          <w:iCs/>
          <w:lang w:val="en-US"/>
        </w:rPr>
        <w:t>had violated the reasonable time</w:t>
      </w:r>
      <w:r w:rsidR="00C42183" w:rsidRPr="009F337B">
        <w:rPr>
          <w:rFonts w:cs="Verdana"/>
          <w:bCs/>
          <w:i w:val="0"/>
          <w:iCs/>
          <w:lang w:val="en-US"/>
        </w:rPr>
        <w:t xml:space="preserve"> </w:t>
      </w:r>
      <w:r w:rsidR="004A1D8A" w:rsidRPr="009F337B">
        <w:rPr>
          <w:rFonts w:cs="Verdana"/>
          <w:bCs/>
          <w:i w:val="0"/>
          <w:iCs/>
          <w:lang w:val="en-US"/>
        </w:rPr>
        <w:t>established in</w:t>
      </w:r>
      <w:r w:rsidR="00C42183" w:rsidRPr="009F337B">
        <w:rPr>
          <w:rFonts w:cs="Verdana"/>
          <w:bCs/>
          <w:i w:val="0"/>
          <w:iCs/>
          <w:lang w:val="en-US"/>
        </w:rPr>
        <w:t xml:space="preserve"> </w:t>
      </w:r>
      <w:r w:rsidR="00BE6926" w:rsidRPr="009F337B">
        <w:rPr>
          <w:rFonts w:cs="Verdana"/>
          <w:bCs/>
          <w:i w:val="0"/>
          <w:iCs/>
          <w:lang w:val="en-US"/>
        </w:rPr>
        <w:t>Article 8(1)</w:t>
      </w:r>
      <w:r w:rsidR="00C42183" w:rsidRPr="009F337B">
        <w:rPr>
          <w:rFonts w:cs="Verdana"/>
          <w:bCs/>
          <w:i w:val="0"/>
          <w:iCs/>
          <w:lang w:val="en-US"/>
        </w:rPr>
        <w:t xml:space="preserve">. </w:t>
      </w:r>
      <w:r w:rsidR="004A1D8A" w:rsidRPr="009F337B">
        <w:rPr>
          <w:rFonts w:cs="Verdana"/>
          <w:bCs/>
          <w:i w:val="0"/>
          <w:iCs/>
          <w:lang w:val="en-US"/>
        </w:rPr>
        <w:t>In this regard, the Court has reiterated that the reasonable time</w:t>
      </w:r>
      <w:r w:rsidR="00C42183" w:rsidRPr="009F337B">
        <w:rPr>
          <w:rFonts w:cs="Verdana"/>
          <w:bCs/>
          <w:i w:val="0"/>
          <w:iCs/>
          <w:lang w:val="en-US"/>
        </w:rPr>
        <w:t xml:space="preserve"> </w:t>
      </w:r>
      <w:r w:rsidR="004A1D8A" w:rsidRPr="009F337B">
        <w:rPr>
          <w:rFonts w:cs="Verdana"/>
          <w:bCs/>
          <w:i w:val="0"/>
          <w:iCs/>
          <w:lang w:val="en-US"/>
        </w:rPr>
        <w:t>should be examined in each specific case, in relation to the total duration of the proceedings, from the first procedural act up until the final judgment is handed down.</w:t>
      </w:r>
      <w:r w:rsidR="00C42183" w:rsidRPr="009F337B">
        <w:rPr>
          <w:rFonts w:cs="Verdana"/>
          <w:bCs/>
          <w:i w:val="0"/>
          <w:iCs/>
          <w:sz w:val="16"/>
          <w:szCs w:val="16"/>
          <w:vertAlign w:val="superscript"/>
          <w:lang w:val="en-US"/>
        </w:rPr>
        <w:footnoteReference w:id="218"/>
      </w:r>
      <w:r w:rsidR="004A1D8A" w:rsidRPr="009F337B">
        <w:rPr>
          <w:rFonts w:cs="Verdana"/>
          <w:bCs/>
          <w:i w:val="0"/>
          <w:iCs/>
          <w:lang w:val="en-US"/>
        </w:rPr>
        <w:t xml:space="preserve"> Thus, it has considered four elements</w:t>
      </w:r>
      <w:r w:rsidR="0060699E" w:rsidRPr="009F337B">
        <w:rPr>
          <w:rFonts w:cs="Verdana"/>
          <w:bCs/>
          <w:i w:val="0"/>
          <w:iCs/>
          <w:lang w:val="en-US"/>
        </w:rPr>
        <w:t xml:space="preserve"> in order</w:t>
      </w:r>
      <w:r w:rsidR="004A1D8A" w:rsidRPr="009F337B">
        <w:rPr>
          <w:rFonts w:cs="Verdana"/>
          <w:bCs/>
          <w:i w:val="0"/>
          <w:iCs/>
          <w:lang w:val="en-US"/>
        </w:rPr>
        <w:t xml:space="preserve"> to analyze whether the guarantee of a reasonable times has been respected; namely: (</w:t>
      </w:r>
      <w:proofErr w:type="spellStart"/>
      <w:r w:rsidR="00462F6A" w:rsidRPr="009F337B">
        <w:rPr>
          <w:rFonts w:cs="Verdana"/>
          <w:bCs/>
          <w:i w:val="0"/>
          <w:iCs/>
          <w:lang w:val="en-US"/>
        </w:rPr>
        <w:t>i</w:t>
      </w:r>
      <w:proofErr w:type="spellEnd"/>
      <w:r w:rsidR="00462F6A" w:rsidRPr="009F337B">
        <w:rPr>
          <w:rFonts w:cs="Verdana"/>
          <w:bCs/>
          <w:i w:val="0"/>
          <w:iCs/>
          <w:lang w:val="en-US"/>
        </w:rPr>
        <w:t>)</w:t>
      </w:r>
      <w:r w:rsidR="004A1D8A" w:rsidRPr="009F337B">
        <w:rPr>
          <w:rFonts w:cs="Verdana"/>
          <w:bCs/>
          <w:i w:val="0"/>
          <w:iCs/>
          <w:lang w:val="en-US"/>
        </w:rPr>
        <w:t xml:space="preserve"> the complexity of the matter; (ii) the procedural activity of the interested party; (iii) the conduct of the judicial authorities, and (iv) the effects on the legal situation of the person involved in the proceedings. The Court recalls that it is incumbent on the State to justify, on the basis of these criteria, the reason why it has required the time that has elapsed to process cases and, in the absence of such justification, the Court has broad powers to reach its own conclusions in this regard.</w:t>
      </w:r>
      <w:r w:rsidR="00C42183" w:rsidRPr="009F337B">
        <w:rPr>
          <w:rFonts w:cs="Verdana"/>
          <w:bCs/>
          <w:i w:val="0"/>
          <w:iCs/>
          <w:sz w:val="16"/>
          <w:szCs w:val="16"/>
          <w:vertAlign w:val="superscript"/>
          <w:lang w:val="en-US"/>
        </w:rPr>
        <w:footnoteReference w:id="219"/>
      </w:r>
    </w:p>
    <w:p w14:paraId="3BA05A1B" w14:textId="77777777" w:rsidR="008E387F" w:rsidRPr="009F337B" w:rsidRDefault="008E387F" w:rsidP="008E387F">
      <w:pPr>
        <w:pStyle w:val="Estilo1"/>
        <w:tabs>
          <w:tab w:val="left" w:pos="709"/>
          <w:tab w:val="left" w:pos="1134"/>
        </w:tabs>
        <w:spacing w:after="0"/>
        <w:ind w:left="0" w:right="-4" w:firstLine="0"/>
        <w:rPr>
          <w:rFonts w:eastAsia="Verdana" w:cs="Cambria"/>
          <w:bCs/>
          <w:i w:val="0"/>
          <w:color w:val="000000"/>
          <w:u w:color="000000"/>
          <w:lang w:val="en-US" w:eastAsia="x-none"/>
        </w:rPr>
      </w:pPr>
    </w:p>
    <w:p w14:paraId="3D5BC0EF" w14:textId="2704CE1F" w:rsidR="00C42183" w:rsidRPr="009F337B" w:rsidRDefault="004A1D8A" w:rsidP="00593E37">
      <w:pPr>
        <w:pStyle w:val="Estilo1"/>
        <w:numPr>
          <w:ilvl w:val="0"/>
          <w:numId w:val="1"/>
        </w:numPr>
        <w:tabs>
          <w:tab w:val="left" w:pos="709"/>
          <w:tab w:val="left" w:pos="1134"/>
        </w:tabs>
        <w:spacing w:after="0"/>
        <w:ind w:left="0" w:right="-4" w:firstLine="0"/>
        <w:rPr>
          <w:rFonts w:eastAsia="Verdana" w:cs="Cambria"/>
          <w:bCs/>
          <w:i w:val="0"/>
          <w:color w:val="000000"/>
          <w:u w:color="000000"/>
          <w:lang w:val="en-US" w:eastAsia="x-none"/>
        </w:rPr>
      </w:pPr>
      <w:r w:rsidRPr="009F337B">
        <w:rPr>
          <w:rFonts w:cs="Verdana"/>
          <w:bCs/>
          <w:i w:val="0"/>
          <w:iCs/>
          <w:lang w:val="en-US"/>
        </w:rPr>
        <w:t>In this case</w:t>
      </w:r>
      <w:r w:rsidR="00C42183" w:rsidRPr="009F337B">
        <w:rPr>
          <w:rFonts w:cs="Verdana"/>
          <w:bCs/>
          <w:i w:val="0"/>
          <w:iCs/>
          <w:lang w:val="en-US"/>
        </w:rPr>
        <w:t xml:space="preserve">, </w:t>
      </w:r>
      <w:r w:rsidR="00AE5F9E" w:rsidRPr="009F337B">
        <w:rPr>
          <w:rFonts w:cs="Verdana"/>
          <w:bCs/>
          <w:i w:val="0"/>
          <w:iCs/>
          <w:lang w:val="en-US"/>
        </w:rPr>
        <w:t>the Court</w:t>
      </w:r>
      <w:r w:rsidR="00C42183" w:rsidRPr="009F337B">
        <w:rPr>
          <w:rFonts w:cs="Verdana"/>
          <w:bCs/>
          <w:i w:val="0"/>
          <w:iCs/>
          <w:lang w:val="en-US"/>
        </w:rPr>
        <w:t xml:space="preserve"> </w:t>
      </w:r>
      <w:r w:rsidRPr="009F337B">
        <w:rPr>
          <w:rFonts w:cs="Verdana"/>
          <w:bCs/>
          <w:i w:val="0"/>
          <w:iCs/>
          <w:lang w:val="en-US"/>
        </w:rPr>
        <w:t xml:space="preserve">notes that the application for amparo was filed on </w:t>
      </w:r>
      <w:r w:rsidR="0016125F" w:rsidRPr="009F337B">
        <w:rPr>
          <w:rFonts w:eastAsia="Verdana" w:cs="Cambria"/>
          <w:bCs/>
          <w:i w:val="0"/>
          <w:color w:val="000000"/>
          <w:u w:color="000000"/>
          <w:lang w:val="en-US" w:eastAsia="x-none"/>
        </w:rPr>
        <w:t>July 26,</w:t>
      </w:r>
      <w:r w:rsidR="00C42183" w:rsidRPr="009F337B">
        <w:rPr>
          <w:rFonts w:eastAsia="Verdana" w:cs="Cambria"/>
          <w:bCs/>
          <w:i w:val="0"/>
          <w:color w:val="000000"/>
          <w:u w:color="000000"/>
          <w:lang w:val="en-US" w:eastAsia="x-none"/>
        </w:rPr>
        <w:t xml:space="preserve"> 2002</w:t>
      </w:r>
      <w:r w:rsidRPr="009F337B">
        <w:rPr>
          <w:rFonts w:eastAsia="Verdana" w:cs="Cambria"/>
          <w:bCs/>
          <w:i w:val="0"/>
          <w:color w:val="000000"/>
          <w:u w:color="000000"/>
          <w:lang w:val="en-US" w:eastAsia="x-none"/>
        </w:rPr>
        <w:t xml:space="preserve">, and </w:t>
      </w:r>
      <w:r w:rsidR="00A57597" w:rsidRPr="009F337B">
        <w:rPr>
          <w:rFonts w:eastAsia="Verdana" w:cs="Cambria"/>
          <w:bCs/>
          <w:i w:val="0"/>
          <w:color w:val="000000"/>
          <w:u w:color="000000"/>
          <w:lang w:val="en-US" w:eastAsia="x-none"/>
        </w:rPr>
        <w:t xml:space="preserve">the proceedings concluded with the decision on inadmissibility on </w:t>
      </w:r>
      <w:r w:rsidR="001B28F9" w:rsidRPr="009F337B">
        <w:rPr>
          <w:rFonts w:eastAsia="Verdana" w:cs="Cambria"/>
          <w:bCs/>
          <w:i w:val="0"/>
          <w:color w:val="000000"/>
          <w:u w:color="000000"/>
          <w:lang w:val="en-US" w:eastAsia="x-none"/>
        </w:rPr>
        <w:t>January 29,</w:t>
      </w:r>
      <w:r w:rsidR="00C42183" w:rsidRPr="009F337B">
        <w:rPr>
          <w:rFonts w:eastAsia="Verdana" w:cs="Cambria"/>
          <w:bCs/>
          <w:i w:val="0"/>
          <w:color w:val="000000"/>
          <w:u w:color="000000"/>
          <w:lang w:val="en-US" w:eastAsia="x-none"/>
        </w:rPr>
        <w:t xml:space="preserve"> 2003, </w:t>
      </w:r>
      <w:r w:rsidR="00A57597" w:rsidRPr="009F337B">
        <w:rPr>
          <w:rFonts w:eastAsia="Verdana" w:cs="Cambria"/>
          <w:bCs/>
          <w:i w:val="0"/>
          <w:color w:val="000000"/>
          <w:u w:color="000000"/>
          <w:lang w:val="en-US" w:eastAsia="x-none"/>
        </w:rPr>
        <w:t>so that the duration of the proceedings was approximately six months. Accordingly, the Court will determine whether this length of time was reasonable pursuant to the criteria established in its case law</w:t>
      </w:r>
      <w:r w:rsidR="008E387F" w:rsidRPr="009F337B">
        <w:rPr>
          <w:rFonts w:eastAsia="Verdana" w:cs="Cambria"/>
          <w:bCs/>
          <w:i w:val="0"/>
          <w:color w:val="000000"/>
          <w:u w:color="000000"/>
          <w:lang w:val="en-US" w:eastAsia="x-none"/>
        </w:rPr>
        <w:t>.</w:t>
      </w:r>
    </w:p>
    <w:p w14:paraId="20CEC5C0" w14:textId="77777777" w:rsidR="008E387F" w:rsidRPr="009F337B" w:rsidRDefault="008E387F" w:rsidP="008E387F">
      <w:pPr>
        <w:pStyle w:val="Estilo1"/>
        <w:tabs>
          <w:tab w:val="left" w:pos="709"/>
          <w:tab w:val="left" w:pos="1134"/>
        </w:tabs>
        <w:spacing w:after="0"/>
        <w:ind w:left="0" w:right="-4" w:firstLine="0"/>
        <w:rPr>
          <w:rFonts w:eastAsia="Verdana" w:cs="Cambria"/>
          <w:bCs/>
          <w:i w:val="0"/>
          <w:color w:val="000000"/>
          <w:u w:color="000000"/>
          <w:lang w:val="en-US" w:eastAsia="x-none"/>
        </w:rPr>
      </w:pPr>
    </w:p>
    <w:p w14:paraId="5CA666C7" w14:textId="55B53880" w:rsidR="00C42183" w:rsidRPr="009F337B" w:rsidRDefault="00D61B77" w:rsidP="00593E37">
      <w:pPr>
        <w:pStyle w:val="Estilo1"/>
        <w:numPr>
          <w:ilvl w:val="0"/>
          <w:numId w:val="1"/>
        </w:numPr>
        <w:tabs>
          <w:tab w:val="left" w:pos="709"/>
          <w:tab w:val="left" w:pos="1134"/>
        </w:tabs>
        <w:spacing w:after="0"/>
        <w:ind w:left="0" w:right="-4" w:firstLine="0"/>
        <w:rPr>
          <w:rFonts w:eastAsia="Verdana" w:cs="Cambria"/>
          <w:bCs/>
          <w:i w:val="0"/>
          <w:color w:val="000000"/>
          <w:u w:color="000000"/>
          <w:lang w:val="en-US" w:eastAsia="x-none"/>
        </w:rPr>
      </w:pPr>
      <w:r w:rsidRPr="009F337B">
        <w:rPr>
          <w:rFonts w:eastAsia="Verdana" w:cs="Cambria"/>
          <w:bCs/>
          <w:i w:val="0"/>
          <w:color w:val="000000"/>
          <w:u w:color="000000"/>
          <w:lang w:val="en-US" w:eastAsia="x-none"/>
        </w:rPr>
        <w:t xml:space="preserve">The Court has taken into account different criteria to determine the complexity of a proceeding. These include the complexity of the evidence, the plurality of procedural subjects or the number of victims, the time elapsed since the violation, the characteristics of </w:t>
      </w:r>
      <w:r w:rsidRPr="009F337B">
        <w:rPr>
          <w:rFonts w:eastAsia="Verdana" w:cs="Cambria"/>
          <w:bCs/>
          <w:i w:val="0"/>
          <w:color w:val="000000"/>
          <w:u w:color="000000"/>
          <w:lang w:val="en-US" w:eastAsia="x-none"/>
        </w:rPr>
        <w:lastRenderedPageBreak/>
        <w:t>the remedy established in domestic law, and the context in which the violation occurred.</w:t>
      </w:r>
      <w:r w:rsidR="00C42183" w:rsidRPr="009F337B">
        <w:rPr>
          <w:rFonts w:eastAsia="Verdana" w:cs="Cambria"/>
          <w:bCs/>
          <w:i w:val="0"/>
          <w:color w:val="000000"/>
          <w:u w:color="000000"/>
          <w:vertAlign w:val="superscript"/>
          <w:lang w:val="en-US" w:eastAsia="x-none"/>
        </w:rPr>
        <w:footnoteReference w:id="220"/>
      </w:r>
      <w:r w:rsidR="00C42183" w:rsidRPr="009F337B">
        <w:rPr>
          <w:rFonts w:eastAsia="Verdana" w:cs="Cambria"/>
          <w:bCs/>
          <w:i w:val="0"/>
          <w:color w:val="000000"/>
          <w:u w:color="000000"/>
          <w:lang w:val="en-US" w:eastAsia="x-none"/>
        </w:rPr>
        <w:t xml:space="preserve"> </w:t>
      </w:r>
      <w:r w:rsidRPr="009F337B">
        <w:rPr>
          <w:rFonts w:eastAsia="Verdana" w:cs="Cambria"/>
          <w:bCs/>
          <w:i w:val="0"/>
          <w:color w:val="000000"/>
          <w:u w:color="000000"/>
          <w:lang w:val="en-US" w:eastAsia="x-none"/>
        </w:rPr>
        <w:t>In this case, the Court observes that, under the application for amparo</w:t>
      </w:r>
      <w:r w:rsidR="00764494" w:rsidRPr="009F337B">
        <w:rPr>
          <w:rFonts w:eastAsia="Verdana" w:cs="Cambria"/>
          <w:bCs/>
          <w:i w:val="0"/>
          <w:color w:val="000000"/>
          <w:u w:color="000000"/>
          <w:lang w:val="en-US" w:eastAsia="x-none"/>
        </w:rPr>
        <w:t xml:space="preserve">, a certain degree of complexity existed as regards the plurality of applicants and owing to the context in which this remedy was filed, because it related to </w:t>
      </w:r>
      <w:r w:rsidR="00080A1E" w:rsidRPr="009F337B">
        <w:rPr>
          <w:rFonts w:eastAsia="Verdana" w:cs="Cambria"/>
          <w:bCs/>
          <w:i w:val="0"/>
          <w:color w:val="000000"/>
          <w:u w:color="000000"/>
          <w:lang w:val="en-US" w:eastAsia="x-none"/>
        </w:rPr>
        <w:t>people living with HIV</w:t>
      </w:r>
      <w:r w:rsidR="00C42183" w:rsidRPr="009F337B">
        <w:rPr>
          <w:rFonts w:eastAsia="Verdana" w:cs="Cambria"/>
          <w:bCs/>
          <w:i w:val="0"/>
          <w:color w:val="000000"/>
          <w:u w:color="000000"/>
          <w:lang w:val="en-US" w:eastAsia="x-none"/>
        </w:rPr>
        <w:t xml:space="preserve">, </w:t>
      </w:r>
      <w:r w:rsidR="00764494" w:rsidRPr="009F337B">
        <w:rPr>
          <w:rFonts w:eastAsia="Verdana" w:cs="Cambria"/>
          <w:bCs/>
          <w:i w:val="0"/>
          <w:color w:val="000000"/>
          <w:u w:color="000000"/>
          <w:lang w:val="en-US" w:eastAsia="x-none"/>
        </w:rPr>
        <w:t xml:space="preserve">and therefore their rights to health and </w:t>
      </w:r>
      <w:r w:rsidR="0060699E" w:rsidRPr="009F337B">
        <w:rPr>
          <w:rFonts w:eastAsia="Verdana" w:cs="Cambria"/>
          <w:bCs/>
          <w:i w:val="0"/>
          <w:color w:val="000000"/>
          <w:u w:color="000000"/>
          <w:lang w:val="en-US" w:eastAsia="x-none"/>
        </w:rPr>
        <w:t xml:space="preserve">to </w:t>
      </w:r>
      <w:r w:rsidR="00764494" w:rsidRPr="009F337B">
        <w:rPr>
          <w:rFonts w:eastAsia="Verdana" w:cs="Cambria"/>
          <w:bCs/>
          <w:i w:val="0"/>
          <w:color w:val="000000"/>
          <w:u w:color="000000"/>
          <w:lang w:val="en-US" w:eastAsia="x-none"/>
        </w:rPr>
        <w:t>life were involved. The Court considers that these characteristics made the analysis of the merits of the matter</w:t>
      </w:r>
      <w:r w:rsidR="0060699E" w:rsidRPr="009F337B">
        <w:rPr>
          <w:rFonts w:eastAsia="Verdana" w:cs="Cambria"/>
          <w:bCs/>
          <w:i w:val="0"/>
          <w:color w:val="000000"/>
          <w:u w:color="000000"/>
          <w:lang w:val="en-US" w:eastAsia="x-none"/>
        </w:rPr>
        <w:t xml:space="preserve"> and </w:t>
      </w:r>
      <w:r w:rsidR="00764494" w:rsidRPr="009F337B">
        <w:rPr>
          <w:rFonts w:eastAsia="Verdana" w:cs="Cambria"/>
          <w:bCs/>
          <w:i w:val="0"/>
          <w:color w:val="000000"/>
          <w:u w:color="000000"/>
          <w:lang w:val="en-US" w:eastAsia="x-none"/>
        </w:rPr>
        <w:t>the processing of the application</w:t>
      </w:r>
      <w:r w:rsidR="0060699E" w:rsidRPr="009F337B">
        <w:rPr>
          <w:rFonts w:eastAsia="Verdana" w:cs="Cambria"/>
          <w:bCs/>
          <w:i w:val="0"/>
          <w:color w:val="000000"/>
          <w:u w:color="000000"/>
          <w:lang w:val="en-US" w:eastAsia="x-none"/>
        </w:rPr>
        <w:t xml:space="preserve"> more complex</w:t>
      </w:r>
      <w:r w:rsidR="00764494" w:rsidRPr="009F337B">
        <w:rPr>
          <w:rFonts w:eastAsia="Verdana" w:cs="Cambria"/>
          <w:bCs/>
          <w:i w:val="0"/>
          <w:color w:val="000000"/>
          <w:u w:color="000000"/>
          <w:lang w:val="en-US" w:eastAsia="x-none"/>
        </w:rPr>
        <w:t xml:space="preserve">. </w:t>
      </w:r>
    </w:p>
    <w:p w14:paraId="7DAD7030" w14:textId="77777777" w:rsidR="00496750" w:rsidRPr="009F337B" w:rsidRDefault="00496750" w:rsidP="00496750">
      <w:pPr>
        <w:pStyle w:val="Estilo1"/>
        <w:tabs>
          <w:tab w:val="left" w:pos="709"/>
          <w:tab w:val="left" w:pos="1134"/>
        </w:tabs>
        <w:spacing w:after="0"/>
        <w:ind w:left="0" w:right="-4" w:firstLine="0"/>
        <w:rPr>
          <w:rFonts w:eastAsia="Verdana" w:cs="Cambria"/>
          <w:bCs/>
          <w:i w:val="0"/>
          <w:color w:val="000000"/>
          <w:u w:color="000000"/>
          <w:lang w:val="en-US" w:eastAsia="x-none"/>
        </w:rPr>
      </w:pPr>
    </w:p>
    <w:p w14:paraId="1C50D875" w14:textId="3A6D9236" w:rsidR="00E569ED" w:rsidRPr="009F337B" w:rsidRDefault="00C42183" w:rsidP="00593E37">
      <w:pPr>
        <w:pStyle w:val="Estilo1"/>
        <w:numPr>
          <w:ilvl w:val="0"/>
          <w:numId w:val="1"/>
        </w:numPr>
        <w:tabs>
          <w:tab w:val="left" w:pos="709"/>
          <w:tab w:val="left" w:pos="1134"/>
        </w:tabs>
        <w:spacing w:after="0"/>
        <w:ind w:left="0" w:right="-4" w:firstLine="0"/>
        <w:rPr>
          <w:rFonts w:eastAsia="Verdana" w:cs="Cambria"/>
          <w:bCs/>
          <w:i w:val="0"/>
          <w:color w:val="000000"/>
          <w:u w:color="000000"/>
          <w:lang w:val="en-US" w:eastAsia="x-none"/>
        </w:rPr>
      </w:pPr>
      <w:r w:rsidRPr="009F337B">
        <w:rPr>
          <w:rFonts w:eastAsia="Verdana" w:cs="Cambria"/>
          <w:bCs/>
          <w:i w:val="0"/>
          <w:color w:val="000000"/>
          <w:u w:color="000000"/>
          <w:lang w:val="en-US" w:eastAsia="x-none"/>
        </w:rPr>
        <w:t>Re</w:t>
      </w:r>
      <w:r w:rsidR="00764494" w:rsidRPr="009F337B">
        <w:rPr>
          <w:rFonts w:eastAsia="Verdana" w:cs="Cambria"/>
          <w:bCs/>
          <w:i w:val="0"/>
          <w:color w:val="000000"/>
          <w:u w:color="000000"/>
          <w:lang w:val="en-US" w:eastAsia="x-none"/>
        </w:rPr>
        <w:t>gardi</w:t>
      </w:r>
      <w:r w:rsidR="00E569ED" w:rsidRPr="009F337B">
        <w:rPr>
          <w:rFonts w:eastAsia="Verdana" w:cs="Cambria"/>
          <w:bCs/>
          <w:i w:val="0"/>
          <w:color w:val="000000"/>
          <w:u w:color="000000"/>
          <w:lang w:val="en-US" w:eastAsia="x-none"/>
        </w:rPr>
        <w:t>n</w:t>
      </w:r>
      <w:r w:rsidR="00764494" w:rsidRPr="009F337B">
        <w:rPr>
          <w:rFonts w:eastAsia="Verdana" w:cs="Cambria"/>
          <w:bCs/>
          <w:i w:val="0"/>
          <w:color w:val="000000"/>
          <w:u w:color="000000"/>
          <w:lang w:val="en-US" w:eastAsia="x-none"/>
        </w:rPr>
        <w:t>g the proc</w:t>
      </w:r>
      <w:r w:rsidR="00E569ED" w:rsidRPr="009F337B">
        <w:rPr>
          <w:rFonts w:eastAsia="Verdana" w:cs="Cambria"/>
          <w:bCs/>
          <w:i w:val="0"/>
          <w:color w:val="000000"/>
          <w:u w:color="000000"/>
          <w:lang w:val="en-US" w:eastAsia="x-none"/>
        </w:rPr>
        <w:t>edural activity of the interested parties, the Court notes that the presumed victims promoted procedural momentum and that there is no information of activities aimed at obstruct</w:t>
      </w:r>
      <w:r w:rsidR="0060699E" w:rsidRPr="009F337B">
        <w:rPr>
          <w:rFonts w:eastAsia="Verdana" w:cs="Cambria"/>
          <w:bCs/>
          <w:i w:val="0"/>
          <w:color w:val="000000"/>
          <w:u w:color="000000"/>
          <w:lang w:val="en-US" w:eastAsia="x-none"/>
        </w:rPr>
        <w:t>ing</w:t>
      </w:r>
      <w:r w:rsidR="00E569ED" w:rsidRPr="009F337B">
        <w:rPr>
          <w:rFonts w:eastAsia="Verdana" w:cs="Cambria"/>
          <w:bCs/>
          <w:i w:val="0"/>
          <w:color w:val="000000"/>
          <w:u w:color="000000"/>
          <w:lang w:val="en-US" w:eastAsia="x-none"/>
        </w:rPr>
        <w:t xml:space="preserve"> the application for amparo. </w:t>
      </w:r>
      <w:r w:rsidR="00127DA7" w:rsidRPr="009F337B">
        <w:rPr>
          <w:rFonts w:eastAsia="Verdana" w:cs="Cambria"/>
          <w:bCs/>
          <w:i w:val="0"/>
          <w:color w:val="000000"/>
          <w:u w:color="000000"/>
          <w:lang w:val="en-US" w:eastAsia="x-none"/>
        </w:rPr>
        <w:t>Accordingly</w:t>
      </w:r>
      <w:r w:rsidR="00E569ED" w:rsidRPr="009F337B">
        <w:rPr>
          <w:rFonts w:eastAsia="Verdana" w:cs="Cambria"/>
          <w:bCs/>
          <w:i w:val="0"/>
          <w:color w:val="000000"/>
          <w:u w:color="000000"/>
          <w:lang w:val="en-US" w:eastAsia="x-none"/>
        </w:rPr>
        <w:t>, it is not possible to conclude that there was any delay on the part of the applicants for amparo.</w:t>
      </w:r>
    </w:p>
    <w:p w14:paraId="1B4347B7" w14:textId="77777777" w:rsidR="008E387F" w:rsidRPr="009F337B" w:rsidRDefault="008E387F" w:rsidP="008E387F">
      <w:pPr>
        <w:pStyle w:val="Estilo1"/>
        <w:tabs>
          <w:tab w:val="left" w:pos="709"/>
          <w:tab w:val="left" w:pos="1134"/>
        </w:tabs>
        <w:spacing w:after="0"/>
        <w:ind w:left="0" w:right="-4" w:firstLine="0"/>
        <w:rPr>
          <w:rFonts w:eastAsia="Verdana" w:cs="Cambria"/>
          <w:bCs/>
          <w:i w:val="0"/>
          <w:color w:val="000000"/>
          <w:u w:color="000000"/>
          <w:lang w:val="en-US" w:eastAsia="x-none"/>
        </w:rPr>
      </w:pPr>
    </w:p>
    <w:p w14:paraId="2A13C912" w14:textId="79ABC679" w:rsidR="00E569ED" w:rsidRPr="009F337B" w:rsidRDefault="00E569ED" w:rsidP="00593E37">
      <w:pPr>
        <w:pStyle w:val="Estilo1"/>
        <w:numPr>
          <w:ilvl w:val="0"/>
          <w:numId w:val="1"/>
        </w:numPr>
        <w:tabs>
          <w:tab w:val="left" w:pos="709"/>
          <w:tab w:val="left" w:pos="1134"/>
        </w:tabs>
        <w:spacing w:after="0"/>
        <w:ind w:left="0" w:right="-4" w:firstLine="0"/>
        <w:rPr>
          <w:rFonts w:eastAsia="Verdana" w:cs="Cambria"/>
          <w:bCs/>
          <w:i w:val="0"/>
          <w:color w:val="000000"/>
          <w:u w:color="000000"/>
          <w:lang w:val="en-US" w:eastAsia="x-none"/>
        </w:rPr>
      </w:pPr>
      <w:r w:rsidRPr="009F337B">
        <w:rPr>
          <w:rFonts w:eastAsia="Verdana" w:cs="Cambria"/>
          <w:bCs/>
          <w:i w:val="0"/>
          <w:color w:val="000000"/>
          <w:u w:color="000000"/>
          <w:lang w:val="en-US" w:eastAsia="x-none"/>
        </w:rPr>
        <w:t xml:space="preserve">In relation to the conduct of the judicial authorities, the Court notes that the application for amparo was filed on </w:t>
      </w:r>
      <w:r w:rsidR="0016125F" w:rsidRPr="009F337B">
        <w:rPr>
          <w:rFonts w:eastAsia="Verdana" w:cs="Cambria"/>
          <w:bCs/>
          <w:i w:val="0"/>
          <w:color w:val="000000"/>
          <w:u w:color="000000"/>
          <w:lang w:val="en-US" w:eastAsia="x-none"/>
        </w:rPr>
        <w:t>July 26,</w:t>
      </w:r>
      <w:r w:rsidR="00C42183" w:rsidRPr="009F337B">
        <w:rPr>
          <w:rFonts w:eastAsia="Verdana" w:cs="Cambria"/>
          <w:bCs/>
          <w:i w:val="0"/>
          <w:color w:val="000000"/>
          <w:u w:color="000000"/>
          <w:lang w:val="en-US" w:eastAsia="x-none"/>
        </w:rPr>
        <w:t xml:space="preserve"> 2002. </w:t>
      </w:r>
      <w:r w:rsidRPr="009F337B">
        <w:rPr>
          <w:rFonts w:eastAsia="Verdana" w:cs="Cambria"/>
          <w:bCs/>
          <w:i w:val="0"/>
          <w:color w:val="000000"/>
          <w:u w:color="000000"/>
          <w:lang w:val="en-US" w:eastAsia="x-none"/>
        </w:rPr>
        <w:t xml:space="preserve">Subsequently, in an order of October 18, </w:t>
      </w:r>
      <w:r w:rsidR="00AE5F9E" w:rsidRPr="009F337B">
        <w:rPr>
          <w:rFonts w:eastAsia="Verdana" w:cs="Cambria"/>
          <w:bCs/>
          <w:i w:val="0"/>
          <w:color w:val="000000"/>
          <w:u w:color="000000"/>
          <w:lang w:val="en-US" w:eastAsia="x-none"/>
        </w:rPr>
        <w:t xml:space="preserve">the </w:t>
      </w:r>
      <w:r w:rsidR="0016125F" w:rsidRPr="009F337B">
        <w:rPr>
          <w:rFonts w:eastAsia="Verdana" w:cs="Cambria"/>
          <w:bCs/>
          <w:i w:val="0"/>
          <w:color w:val="000000"/>
          <w:u w:color="000000"/>
          <w:lang w:val="en-US" w:eastAsia="x-none"/>
        </w:rPr>
        <w:t>Constitutional Court</w:t>
      </w:r>
      <w:r w:rsidR="00C42183" w:rsidRPr="009F337B">
        <w:rPr>
          <w:rFonts w:eastAsia="Verdana" w:cs="Cambria"/>
          <w:bCs/>
          <w:i w:val="0"/>
          <w:color w:val="000000"/>
          <w:u w:color="000000"/>
          <w:lang w:val="en-US" w:eastAsia="x-none"/>
        </w:rPr>
        <w:t xml:space="preserve"> </w:t>
      </w:r>
      <w:r w:rsidRPr="009F337B">
        <w:rPr>
          <w:rFonts w:eastAsia="Verdana" w:cs="Cambria"/>
          <w:bCs/>
          <w:i w:val="0"/>
          <w:color w:val="000000"/>
          <w:u w:color="000000"/>
          <w:lang w:val="en-US" w:eastAsia="x-none"/>
        </w:rPr>
        <w:t xml:space="preserve">granted the parties 48 hours to present their arguments at a hearing. Then, in a ruling on January 29, 2003, it merely declared that the application for amparo was inadmissible. In this regard, the Court notes that there is no evidence of procedural inactivity on the part of the authorities, or that they took steps that could have delayed the proceeding. </w:t>
      </w:r>
    </w:p>
    <w:p w14:paraId="541584A4" w14:textId="77777777" w:rsidR="00E569ED" w:rsidRPr="009F337B" w:rsidRDefault="00E569ED" w:rsidP="00E569ED">
      <w:pPr>
        <w:pStyle w:val="Prrafodelista"/>
        <w:rPr>
          <w:rFonts w:eastAsia="Verdana" w:cs="Cambria"/>
          <w:bCs/>
          <w:i/>
          <w:color w:val="000000"/>
          <w:u w:color="000000"/>
          <w:lang w:val="en-US" w:eastAsia="x-none"/>
        </w:rPr>
      </w:pPr>
    </w:p>
    <w:p w14:paraId="553002BC" w14:textId="4195E646" w:rsidR="00360392" w:rsidRPr="009F337B" w:rsidRDefault="00E569ED" w:rsidP="00593E37">
      <w:pPr>
        <w:pStyle w:val="Estilo1"/>
        <w:numPr>
          <w:ilvl w:val="0"/>
          <w:numId w:val="1"/>
        </w:numPr>
        <w:tabs>
          <w:tab w:val="left" w:pos="709"/>
          <w:tab w:val="left" w:pos="1134"/>
        </w:tabs>
        <w:spacing w:after="0"/>
        <w:ind w:left="0" w:right="-4" w:firstLine="0"/>
        <w:rPr>
          <w:rFonts w:eastAsia="Verdana" w:cs="Cambria"/>
          <w:bCs/>
          <w:i w:val="0"/>
          <w:color w:val="000000"/>
          <w:u w:color="000000"/>
          <w:lang w:val="en-US" w:eastAsia="x-none"/>
        </w:rPr>
      </w:pPr>
      <w:r w:rsidRPr="009F337B">
        <w:rPr>
          <w:rFonts w:eastAsia="Verdana" w:cs="Cambria"/>
          <w:bCs/>
          <w:i w:val="0"/>
          <w:color w:val="000000"/>
          <w:u w:color="000000"/>
          <w:lang w:val="en-US" w:eastAsia="x-none"/>
        </w:rPr>
        <w:t>With regard to the fourth element, the Court has indicated that, to determine the reasonableness of the time, it is necessary to take into account the effect caused by the duration of the proceedings on the legal situation of the person involved, considering, among other aspects, the matter in dispute. Thus, the Court has established that</w:t>
      </w:r>
      <w:r w:rsidR="00127DA7" w:rsidRPr="009F337B">
        <w:rPr>
          <w:rFonts w:eastAsia="Verdana" w:cs="Cambria"/>
          <w:bCs/>
          <w:i w:val="0"/>
          <w:color w:val="000000"/>
          <w:u w:color="000000"/>
          <w:lang w:val="en-US" w:eastAsia="x-none"/>
        </w:rPr>
        <w:t>,</w:t>
      </w:r>
      <w:r w:rsidRPr="009F337B">
        <w:rPr>
          <w:rFonts w:eastAsia="Verdana" w:cs="Cambria"/>
          <w:bCs/>
          <w:i w:val="0"/>
          <w:color w:val="000000"/>
          <w:u w:color="000000"/>
          <w:lang w:val="en-US" w:eastAsia="x-none"/>
        </w:rPr>
        <w:t xml:space="preserve"> if the passage of time has a relevant impact on the legal situation of the individual, </w:t>
      </w:r>
      <w:r w:rsidR="00804C56" w:rsidRPr="009F337B">
        <w:rPr>
          <w:rFonts w:eastAsia="Verdana" w:cs="Cambria"/>
          <w:bCs/>
          <w:i w:val="0"/>
          <w:color w:val="000000"/>
          <w:u w:color="000000"/>
          <w:lang w:val="en-US" w:eastAsia="x-none"/>
        </w:rPr>
        <w:t xml:space="preserve">the proceeding </w:t>
      </w:r>
      <w:r w:rsidR="00127DA7" w:rsidRPr="009F337B">
        <w:rPr>
          <w:rFonts w:eastAsia="Verdana" w:cs="Cambria"/>
          <w:bCs/>
          <w:i w:val="0"/>
          <w:color w:val="000000"/>
          <w:u w:color="000000"/>
          <w:lang w:val="en-US" w:eastAsia="x-none"/>
        </w:rPr>
        <w:t>must</w:t>
      </w:r>
      <w:r w:rsidR="00804C56" w:rsidRPr="009F337B">
        <w:rPr>
          <w:rFonts w:eastAsia="Verdana" w:cs="Cambria"/>
          <w:bCs/>
          <w:i w:val="0"/>
          <w:color w:val="000000"/>
          <w:u w:color="000000"/>
          <w:lang w:val="en-US" w:eastAsia="x-none"/>
        </w:rPr>
        <w:t xml:space="preserve"> be </w:t>
      </w:r>
      <w:r w:rsidR="00127DA7" w:rsidRPr="009F337B">
        <w:rPr>
          <w:rFonts w:eastAsia="Verdana" w:cs="Cambria"/>
          <w:bCs/>
          <w:i w:val="0"/>
          <w:color w:val="000000"/>
          <w:u w:color="000000"/>
          <w:lang w:val="en-US" w:eastAsia="x-none"/>
        </w:rPr>
        <w:t>conducted</w:t>
      </w:r>
      <w:r w:rsidR="00804C56" w:rsidRPr="009F337B">
        <w:rPr>
          <w:rFonts w:eastAsia="Verdana" w:cs="Cambria"/>
          <w:bCs/>
          <w:i w:val="0"/>
          <w:color w:val="000000"/>
          <w:u w:color="000000"/>
          <w:lang w:val="en-US" w:eastAsia="x-none"/>
        </w:rPr>
        <w:t xml:space="preserve"> more promptly in order to decide the case rapidly. In th</w:t>
      </w:r>
      <w:r w:rsidR="00127DA7" w:rsidRPr="009F337B">
        <w:rPr>
          <w:rFonts w:eastAsia="Verdana" w:cs="Cambria"/>
          <w:bCs/>
          <w:i w:val="0"/>
          <w:color w:val="000000"/>
          <w:u w:color="000000"/>
          <w:lang w:val="en-US" w:eastAsia="x-none"/>
        </w:rPr>
        <w:t>e instant</w:t>
      </w:r>
      <w:r w:rsidR="00804C56" w:rsidRPr="009F337B">
        <w:rPr>
          <w:rFonts w:eastAsia="Verdana" w:cs="Cambria"/>
          <w:bCs/>
          <w:i w:val="0"/>
          <w:color w:val="000000"/>
          <w:u w:color="000000"/>
          <w:lang w:val="en-US" w:eastAsia="x-none"/>
        </w:rPr>
        <w:t xml:space="preserve"> case, the Court finds it relevant to recall that the application for amparo filed by the presumed victims involved </w:t>
      </w:r>
      <w:r w:rsidR="00080A1E" w:rsidRPr="009F337B">
        <w:rPr>
          <w:rFonts w:eastAsia="Verdana" w:cs="Cambria"/>
          <w:bCs/>
          <w:i w:val="0"/>
          <w:color w:val="000000"/>
          <w:u w:color="000000"/>
          <w:lang w:val="en-US" w:eastAsia="x-none"/>
        </w:rPr>
        <w:t>people living with HIV</w:t>
      </w:r>
      <w:r w:rsidR="00360392" w:rsidRPr="009F337B">
        <w:rPr>
          <w:rFonts w:eastAsia="Verdana" w:cs="Cambria"/>
          <w:bCs/>
          <w:i w:val="0"/>
          <w:color w:val="000000"/>
          <w:u w:color="000000"/>
          <w:lang w:val="en-US" w:eastAsia="x-none"/>
        </w:rPr>
        <w:t xml:space="preserve"> </w:t>
      </w:r>
      <w:r w:rsidR="00804C56" w:rsidRPr="009F337B">
        <w:rPr>
          <w:rFonts w:eastAsia="Verdana" w:cs="Cambria"/>
          <w:bCs/>
          <w:i w:val="0"/>
          <w:color w:val="000000"/>
          <w:u w:color="000000"/>
          <w:lang w:val="en-US" w:eastAsia="x-none"/>
        </w:rPr>
        <w:t xml:space="preserve">who depended on medical care to avoid adverse effects on their health, their </w:t>
      </w:r>
      <w:r w:rsidR="003C46A3" w:rsidRPr="009F337B">
        <w:rPr>
          <w:rFonts w:eastAsia="Verdana" w:cs="Cambria"/>
          <w:bCs/>
          <w:i w:val="0"/>
          <w:color w:val="000000"/>
          <w:u w:color="000000"/>
          <w:lang w:val="en-US" w:eastAsia="x-none"/>
        </w:rPr>
        <w:t xml:space="preserve">personal integrity and </w:t>
      </w:r>
      <w:r w:rsidR="00804C56" w:rsidRPr="009F337B">
        <w:rPr>
          <w:rFonts w:eastAsia="Verdana" w:cs="Cambria"/>
          <w:bCs/>
          <w:i w:val="0"/>
          <w:color w:val="000000"/>
          <w:u w:color="000000"/>
          <w:lang w:val="en-US" w:eastAsia="x-none"/>
        </w:rPr>
        <w:t xml:space="preserve">their life, </w:t>
      </w:r>
      <w:r w:rsidR="00127DA7" w:rsidRPr="009F337B">
        <w:rPr>
          <w:rFonts w:eastAsia="Verdana" w:cs="Cambria"/>
          <w:bCs/>
          <w:i w:val="0"/>
          <w:color w:val="000000"/>
          <w:u w:color="000000"/>
          <w:lang w:val="en-US" w:eastAsia="x-none"/>
        </w:rPr>
        <w:t>and this involved</w:t>
      </w:r>
      <w:r w:rsidR="00804C56" w:rsidRPr="009F337B">
        <w:rPr>
          <w:rFonts w:eastAsia="Verdana" w:cs="Cambria"/>
          <w:bCs/>
          <w:i w:val="0"/>
          <w:color w:val="000000"/>
          <w:u w:color="000000"/>
          <w:lang w:val="en-US" w:eastAsia="x-none"/>
        </w:rPr>
        <w:t xml:space="preserve"> an enhanced obligation to respect and to ensure their rights. The Court considers that, when deciding the remedy that was filed, the authorities took into account the vulnerability </w:t>
      </w:r>
      <w:r w:rsidR="00127DA7" w:rsidRPr="009F337B">
        <w:rPr>
          <w:rFonts w:eastAsia="Verdana" w:cs="Cambria"/>
          <w:bCs/>
          <w:i w:val="0"/>
          <w:color w:val="000000"/>
          <w:u w:color="000000"/>
          <w:lang w:val="en-US" w:eastAsia="x-none"/>
        </w:rPr>
        <w:t xml:space="preserve">of the presumed victims </w:t>
      </w:r>
      <w:r w:rsidR="00804C56" w:rsidRPr="009F337B">
        <w:rPr>
          <w:rFonts w:eastAsia="Verdana" w:cs="Cambria"/>
          <w:bCs/>
          <w:i w:val="0"/>
          <w:color w:val="000000"/>
          <w:u w:color="000000"/>
          <w:lang w:val="en-US" w:eastAsia="x-none"/>
        </w:rPr>
        <w:t xml:space="preserve">and the risk of affecting the rights </w:t>
      </w:r>
      <w:r w:rsidR="00127DA7" w:rsidRPr="009F337B">
        <w:rPr>
          <w:rFonts w:eastAsia="Verdana" w:cs="Cambria"/>
          <w:bCs/>
          <w:i w:val="0"/>
          <w:color w:val="000000"/>
          <w:u w:color="000000"/>
          <w:lang w:val="en-US" w:eastAsia="x-none"/>
        </w:rPr>
        <w:t>in question.</w:t>
      </w:r>
    </w:p>
    <w:p w14:paraId="360A5CE4" w14:textId="77777777" w:rsidR="008E387F" w:rsidRPr="009F337B" w:rsidRDefault="008E387F" w:rsidP="008E387F">
      <w:pPr>
        <w:pStyle w:val="Estilo1"/>
        <w:tabs>
          <w:tab w:val="left" w:pos="709"/>
          <w:tab w:val="left" w:pos="1134"/>
        </w:tabs>
        <w:spacing w:after="0"/>
        <w:ind w:left="0" w:right="-4" w:firstLine="0"/>
        <w:rPr>
          <w:rFonts w:eastAsia="Verdana" w:cs="Cambria"/>
          <w:bCs/>
          <w:i w:val="0"/>
          <w:color w:val="000000"/>
          <w:u w:color="000000"/>
          <w:lang w:val="en-US" w:eastAsia="x-none"/>
        </w:rPr>
      </w:pPr>
    </w:p>
    <w:p w14:paraId="4BFBED73" w14:textId="2232204D" w:rsidR="00C42183" w:rsidRPr="009F337B" w:rsidRDefault="00804C56" w:rsidP="00593E37">
      <w:pPr>
        <w:pStyle w:val="Estilo1"/>
        <w:numPr>
          <w:ilvl w:val="0"/>
          <w:numId w:val="1"/>
        </w:numPr>
        <w:tabs>
          <w:tab w:val="left" w:pos="709"/>
          <w:tab w:val="left" w:pos="1134"/>
        </w:tabs>
        <w:spacing w:after="0"/>
        <w:ind w:left="0" w:right="-4" w:firstLine="0"/>
        <w:rPr>
          <w:rFonts w:eastAsia="Verdana" w:cs="Cambria"/>
          <w:bCs/>
          <w:i w:val="0"/>
          <w:color w:val="000000"/>
          <w:u w:color="000000"/>
          <w:lang w:val="en-US" w:eastAsia="x-none"/>
        </w:rPr>
      </w:pPr>
      <w:r w:rsidRPr="009F337B">
        <w:rPr>
          <w:rFonts w:eastAsia="Verdana" w:cs="Cambria"/>
          <w:bCs/>
          <w:i w:val="0"/>
          <w:color w:val="000000"/>
          <w:u w:color="000000"/>
          <w:lang w:val="en-US" w:eastAsia="x-none"/>
        </w:rPr>
        <w:t xml:space="preserve">Based on the above, the Court finds that it has been proved sufficiently that the prolongation of the proceedings in this case, given its characteristics, had an impact on the legal situation of the applicants, because owing to the delay in the settlement of the case, the possibility of the delivery of antiretroviral drugs was delayed, which resulted in a risk </w:t>
      </w:r>
      <w:r w:rsidR="00127DA7" w:rsidRPr="009F337B">
        <w:rPr>
          <w:rFonts w:eastAsia="Verdana" w:cs="Cambria"/>
          <w:bCs/>
          <w:i w:val="0"/>
          <w:color w:val="000000"/>
          <w:u w:color="000000"/>
          <w:lang w:val="en-US" w:eastAsia="x-none"/>
        </w:rPr>
        <w:t>to</w:t>
      </w:r>
      <w:r w:rsidRPr="009F337B">
        <w:rPr>
          <w:rFonts w:eastAsia="Verdana" w:cs="Cambria"/>
          <w:bCs/>
          <w:i w:val="0"/>
          <w:color w:val="000000"/>
          <w:u w:color="000000"/>
          <w:lang w:val="en-US" w:eastAsia="x-none"/>
        </w:rPr>
        <w:t xml:space="preserve"> their rights to health, personal integrity and life. Consequently, based on the duration and the characteristics of the proceedings, as well as on the actions </w:t>
      </w:r>
      <w:r w:rsidR="00CC6A68" w:rsidRPr="009F337B">
        <w:rPr>
          <w:rFonts w:cs="Verdana"/>
          <w:bCs/>
          <w:i w:val="0"/>
          <w:iCs/>
          <w:lang w:val="en-US"/>
        </w:rPr>
        <w:t xml:space="preserve">of the </w:t>
      </w:r>
      <w:r w:rsidR="00A00EE5" w:rsidRPr="009F337B">
        <w:rPr>
          <w:rFonts w:cs="Verdana"/>
          <w:bCs/>
          <w:i w:val="0"/>
          <w:iCs/>
          <w:lang w:val="en-US"/>
        </w:rPr>
        <w:t>presumed</w:t>
      </w:r>
      <w:r w:rsidR="003C46A3" w:rsidRPr="009F337B">
        <w:rPr>
          <w:rFonts w:cs="Verdana"/>
          <w:bCs/>
          <w:i w:val="0"/>
          <w:iCs/>
          <w:lang w:val="en-US"/>
        </w:rPr>
        <w:t xml:space="preserve"> victims and </w:t>
      </w:r>
      <w:r w:rsidRPr="009F337B">
        <w:rPr>
          <w:rFonts w:cs="Verdana"/>
          <w:bCs/>
          <w:i w:val="0"/>
          <w:iCs/>
          <w:lang w:val="en-US"/>
        </w:rPr>
        <w:t xml:space="preserve">of the authorities, the Court concludes that the </w:t>
      </w:r>
      <w:r w:rsidR="00127DA7" w:rsidRPr="009F337B">
        <w:rPr>
          <w:rFonts w:cs="Verdana"/>
          <w:bCs/>
          <w:i w:val="0"/>
          <w:iCs/>
          <w:lang w:val="en-US"/>
        </w:rPr>
        <w:t>delay</w:t>
      </w:r>
      <w:r w:rsidRPr="009F337B">
        <w:rPr>
          <w:rFonts w:cs="Verdana"/>
          <w:bCs/>
          <w:i w:val="0"/>
          <w:iCs/>
          <w:lang w:val="en-US"/>
        </w:rPr>
        <w:t xml:space="preserve"> of approximately six months </w:t>
      </w:r>
      <w:r w:rsidR="00127DA7" w:rsidRPr="009F337B">
        <w:rPr>
          <w:rFonts w:cs="Verdana"/>
          <w:bCs/>
          <w:i w:val="0"/>
          <w:iCs/>
          <w:lang w:val="en-US"/>
        </w:rPr>
        <w:t>in</w:t>
      </w:r>
      <w:r w:rsidRPr="009F337B">
        <w:rPr>
          <w:rFonts w:cs="Verdana"/>
          <w:bCs/>
          <w:i w:val="0"/>
          <w:iCs/>
          <w:lang w:val="en-US"/>
        </w:rPr>
        <w:t xml:space="preserve"> </w:t>
      </w:r>
      <w:r w:rsidR="00127DA7" w:rsidRPr="009F337B">
        <w:rPr>
          <w:rFonts w:cs="Verdana"/>
          <w:bCs/>
          <w:i w:val="0"/>
          <w:iCs/>
          <w:lang w:val="en-US"/>
        </w:rPr>
        <w:t>deciding</w:t>
      </w:r>
      <w:r w:rsidRPr="009F337B">
        <w:rPr>
          <w:rFonts w:cs="Verdana"/>
          <w:bCs/>
          <w:i w:val="0"/>
          <w:iCs/>
          <w:lang w:val="en-US"/>
        </w:rPr>
        <w:t xml:space="preserve"> the application for amparo filed by the </w:t>
      </w:r>
      <w:r w:rsidR="00C42183" w:rsidRPr="009F337B">
        <w:rPr>
          <w:rFonts w:cs="Verdana"/>
          <w:bCs/>
          <w:i w:val="0"/>
          <w:iCs/>
          <w:lang w:val="en-US"/>
        </w:rPr>
        <w:t xml:space="preserve">13 </w:t>
      </w:r>
      <w:r w:rsidR="003C46A3" w:rsidRPr="009F337B">
        <w:rPr>
          <w:rFonts w:cs="Verdana"/>
          <w:bCs/>
          <w:i w:val="0"/>
          <w:iCs/>
          <w:lang w:val="en-US"/>
        </w:rPr>
        <w:t>presumed victims</w:t>
      </w:r>
      <w:r w:rsidR="00747D88" w:rsidRPr="009F337B">
        <w:rPr>
          <w:rFonts w:cs="Verdana"/>
          <w:bCs/>
          <w:i w:val="0"/>
          <w:iCs/>
          <w:lang w:val="en-US"/>
        </w:rPr>
        <w:t xml:space="preserve"> constitu</w:t>
      </w:r>
      <w:r w:rsidRPr="009F337B">
        <w:rPr>
          <w:rFonts w:cs="Verdana"/>
          <w:bCs/>
          <w:i w:val="0"/>
          <w:iCs/>
          <w:lang w:val="en-US"/>
        </w:rPr>
        <w:t xml:space="preserve">ted a violation of the </w:t>
      </w:r>
      <w:r w:rsidR="004A1D8A" w:rsidRPr="009F337B">
        <w:rPr>
          <w:rFonts w:cs="Verdana"/>
          <w:bCs/>
          <w:i w:val="0"/>
          <w:iCs/>
          <w:lang w:val="en-US"/>
        </w:rPr>
        <w:t>reasonable time</w:t>
      </w:r>
      <w:r w:rsidR="00C42183" w:rsidRPr="009F337B">
        <w:rPr>
          <w:rFonts w:cs="Verdana"/>
          <w:bCs/>
          <w:i w:val="0"/>
          <w:iCs/>
          <w:lang w:val="en-US"/>
        </w:rPr>
        <w:t xml:space="preserve"> </w:t>
      </w:r>
      <w:r w:rsidRPr="009F337B">
        <w:rPr>
          <w:rFonts w:cs="Verdana"/>
          <w:bCs/>
          <w:i w:val="0"/>
          <w:iCs/>
          <w:lang w:val="en-US"/>
        </w:rPr>
        <w:t>established in</w:t>
      </w:r>
      <w:r w:rsidR="00C42183" w:rsidRPr="009F337B">
        <w:rPr>
          <w:rFonts w:cs="Verdana"/>
          <w:bCs/>
          <w:i w:val="0"/>
          <w:iCs/>
          <w:lang w:val="en-US"/>
        </w:rPr>
        <w:t xml:space="preserve"> </w:t>
      </w:r>
      <w:r w:rsidR="00BE6926" w:rsidRPr="009F337B">
        <w:rPr>
          <w:rFonts w:cs="Verdana"/>
          <w:bCs/>
          <w:i w:val="0"/>
          <w:iCs/>
          <w:lang w:val="en-US"/>
        </w:rPr>
        <w:t>Article 8(1)</w:t>
      </w:r>
      <w:r w:rsidR="00AE5F9E" w:rsidRPr="009F337B">
        <w:rPr>
          <w:rFonts w:cs="Verdana"/>
          <w:bCs/>
          <w:i w:val="0"/>
          <w:iCs/>
          <w:lang w:val="en-US"/>
        </w:rPr>
        <w:t xml:space="preserve"> of the American Convention</w:t>
      </w:r>
      <w:r w:rsidR="00C42183" w:rsidRPr="009F337B">
        <w:rPr>
          <w:rFonts w:cs="Verdana"/>
          <w:bCs/>
          <w:i w:val="0"/>
          <w:iCs/>
          <w:lang w:val="en-US"/>
        </w:rPr>
        <w:t>.</w:t>
      </w:r>
    </w:p>
    <w:p w14:paraId="74994C0B" w14:textId="77777777" w:rsidR="00EE1E0E" w:rsidRPr="009F337B" w:rsidRDefault="00EE1E0E" w:rsidP="00E92CA8">
      <w:pPr>
        <w:rPr>
          <w:u w:color="000000"/>
          <w:lang w:val="en-US"/>
        </w:rPr>
      </w:pPr>
    </w:p>
    <w:p w14:paraId="305CADD2" w14:textId="231C83F0" w:rsidR="008E387F" w:rsidRPr="009F337B" w:rsidRDefault="000B26F9" w:rsidP="000B26F9">
      <w:pPr>
        <w:pStyle w:val="Estilo1"/>
        <w:tabs>
          <w:tab w:val="left" w:pos="709"/>
          <w:tab w:val="left" w:pos="1134"/>
        </w:tabs>
        <w:spacing w:after="0"/>
        <w:ind w:left="0" w:right="-4" w:firstLine="0"/>
        <w:rPr>
          <w:rFonts w:eastAsia="Times" w:cs="Arial"/>
          <w:b/>
          <w:szCs w:val="20"/>
          <w:lang w:val="en-US"/>
        </w:rPr>
      </w:pPr>
      <w:r w:rsidRPr="009F337B">
        <w:rPr>
          <w:rFonts w:eastAsia="Times" w:cs="Arial"/>
          <w:b/>
          <w:szCs w:val="20"/>
          <w:lang w:val="en-US"/>
        </w:rPr>
        <w:tab/>
      </w:r>
      <w:r w:rsidRPr="009F337B">
        <w:rPr>
          <w:rFonts w:eastAsia="Times" w:cs="Arial"/>
          <w:b/>
          <w:szCs w:val="20"/>
          <w:lang w:val="en-US"/>
        </w:rPr>
        <w:tab/>
      </w:r>
      <w:r w:rsidR="00C42183" w:rsidRPr="009F337B">
        <w:rPr>
          <w:rFonts w:eastAsia="Times" w:cs="Arial"/>
          <w:b/>
          <w:szCs w:val="20"/>
          <w:lang w:val="en-US"/>
        </w:rPr>
        <w:t>B.3</w:t>
      </w:r>
      <w:r w:rsidR="00762208" w:rsidRPr="009F337B">
        <w:rPr>
          <w:rFonts w:eastAsia="Times" w:cs="Arial"/>
          <w:b/>
          <w:szCs w:val="20"/>
          <w:lang w:val="en-US"/>
        </w:rPr>
        <w:t>.</w:t>
      </w:r>
      <w:r w:rsidR="00C42183" w:rsidRPr="009F337B">
        <w:rPr>
          <w:rFonts w:eastAsia="Times" w:cs="Arial"/>
          <w:b/>
          <w:szCs w:val="20"/>
          <w:lang w:val="en-US"/>
        </w:rPr>
        <w:t xml:space="preserve"> </w:t>
      </w:r>
      <w:r w:rsidR="00954E95" w:rsidRPr="009F337B">
        <w:rPr>
          <w:rFonts w:eastAsia="Times" w:cs="Arial"/>
          <w:b/>
          <w:szCs w:val="20"/>
          <w:lang w:val="en-US"/>
        </w:rPr>
        <w:t>Conclusion</w:t>
      </w:r>
    </w:p>
    <w:p w14:paraId="49C7E8C0" w14:textId="77777777" w:rsidR="008E387F" w:rsidRPr="009F337B" w:rsidRDefault="008E387F" w:rsidP="008E387F">
      <w:pPr>
        <w:rPr>
          <w:lang w:val="en-US"/>
        </w:rPr>
      </w:pPr>
    </w:p>
    <w:p w14:paraId="465CFED8" w14:textId="1AFBFC55" w:rsidR="00C42183" w:rsidRPr="009F337B" w:rsidRDefault="00804C56" w:rsidP="00593E37">
      <w:pPr>
        <w:pStyle w:val="Estilo1"/>
        <w:numPr>
          <w:ilvl w:val="0"/>
          <w:numId w:val="1"/>
        </w:numPr>
        <w:tabs>
          <w:tab w:val="left" w:pos="709"/>
          <w:tab w:val="left" w:pos="1134"/>
        </w:tabs>
        <w:spacing w:after="0"/>
        <w:ind w:left="0" w:right="-4" w:firstLine="0"/>
        <w:rPr>
          <w:rFonts w:eastAsia="Verdana" w:cs="Cambria"/>
          <w:bCs/>
          <w:i w:val="0"/>
          <w:color w:val="000000"/>
          <w:u w:color="000000"/>
          <w:lang w:val="en-US" w:eastAsia="x-none"/>
        </w:rPr>
      </w:pPr>
      <w:r w:rsidRPr="009F337B">
        <w:rPr>
          <w:rFonts w:cs="Verdana"/>
          <w:bCs/>
          <w:i w:val="0"/>
          <w:iCs/>
          <w:lang w:val="en-US"/>
        </w:rPr>
        <w:t xml:space="preserve">The Court has established that the competent authority’s examination </w:t>
      </w:r>
      <w:r w:rsidR="00955193" w:rsidRPr="009F337B">
        <w:rPr>
          <w:rFonts w:cs="Verdana"/>
          <w:bCs/>
          <w:i w:val="0"/>
          <w:iCs/>
          <w:lang w:val="en-US"/>
        </w:rPr>
        <w:t xml:space="preserve">of a judicial remedy in which constitutional rights are in dispute cannot be reduced to a mere formality and </w:t>
      </w:r>
      <w:r w:rsidR="00127DA7" w:rsidRPr="009F337B">
        <w:rPr>
          <w:rFonts w:cs="Verdana"/>
          <w:bCs/>
          <w:i w:val="0"/>
          <w:iCs/>
          <w:lang w:val="en-US"/>
        </w:rPr>
        <w:t xml:space="preserve">ignore the </w:t>
      </w:r>
      <w:r w:rsidR="00955193" w:rsidRPr="009F337B">
        <w:rPr>
          <w:rFonts w:cs="Verdana"/>
          <w:bCs/>
          <w:i w:val="0"/>
          <w:iCs/>
          <w:lang w:val="en-US"/>
        </w:rPr>
        <w:t xml:space="preserve">arguments of the parties, because it must examine their reasons and rule on </w:t>
      </w:r>
      <w:r w:rsidR="00955193" w:rsidRPr="009F337B">
        <w:rPr>
          <w:rFonts w:cs="Verdana"/>
          <w:bCs/>
          <w:i w:val="0"/>
          <w:iCs/>
          <w:lang w:val="en-US"/>
        </w:rPr>
        <w:lastRenderedPageBreak/>
        <w:t>them according to the standards established by</w:t>
      </w:r>
      <w:r w:rsidR="00955193" w:rsidRPr="009F337B">
        <w:rPr>
          <w:rFonts w:eastAsia="Verdana" w:cs="Cambria"/>
          <w:bCs/>
          <w:i w:val="0"/>
          <w:color w:val="000000"/>
          <w:u w:color="000000"/>
          <w:lang w:val="en-US" w:eastAsia="x-none"/>
        </w:rPr>
        <w:t xml:space="preserve"> </w:t>
      </w:r>
      <w:r w:rsidR="00AE5F9E" w:rsidRPr="009F337B">
        <w:rPr>
          <w:rFonts w:cs="Verdana"/>
          <w:bCs/>
          <w:i w:val="0"/>
          <w:iCs/>
          <w:lang w:val="en-US"/>
        </w:rPr>
        <w:t>the American Convention</w:t>
      </w:r>
      <w:r w:rsidR="00955193" w:rsidRPr="009F337B">
        <w:rPr>
          <w:rFonts w:cs="Verdana"/>
          <w:bCs/>
          <w:i w:val="0"/>
          <w:iCs/>
          <w:lang w:val="en-US"/>
        </w:rPr>
        <w:t>.</w:t>
      </w:r>
      <w:r w:rsidR="00C42183" w:rsidRPr="009F337B">
        <w:rPr>
          <w:rFonts w:cs="Verdana"/>
          <w:bCs/>
          <w:i w:val="0"/>
          <w:iCs/>
          <w:sz w:val="16"/>
          <w:szCs w:val="16"/>
          <w:vertAlign w:val="superscript"/>
          <w:lang w:val="en-US"/>
        </w:rPr>
        <w:footnoteReference w:id="221"/>
      </w:r>
      <w:r w:rsidR="00955193" w:rsidRPr="009F337B">
        <w:rPr>
          <w:rFonts w:cs="Verdana"/>
          <w:bCs/>
          <w:i w:val="0"/>
          <w:iCs/>
          <w:lang w:val="en-US"/>
        </w:rPr>
        <w:t xml:space="preserve"> In this case, the Court concludes that the State violated the right to an effective judicial remedy because it failed to rule on the merits of the issue raised by the </w:t>
      </w:r>
      <w:r w:rsidR="00C42183" w:rsidRPr="009F337B">
        <w:rPr>
          <w:rFonts w:cs="Verdana"/>
          <w:bCs/>
          <w:i w:val="0"/>
          <w:iCs/>
          <w:lang w:val="en-US"/>
        </w:rPr>
        <w:t xml:space="preserve">13 </w:t>
      </w:r>
      <w:r w:rsidR="003C46A3" w:rsidRPr="009F337B">
        <w:rPr>
          <w:rFonts w:cs="Verdana"/>
          <w:bCs/>
          <w:i w:val="0"/>
          <w:iCs/>
          <w:lang w:val="en-US"/>
        </w:rPr>
        <w:t xml:space="preserve">presumed victims and </w:t>
      </w:r>
      <w:r w:rsidR="00955193" w:rsidRPr="009F337B">
        <w:rPr>
          <w:rFonts w:cs="Verdana"/>
          <w:bCs/>
          <w:i w:val="0"/>
          <w:iCs/>
          <w:lang w:val="en-US"/>
        </w:rPr>
        <w:t xml:space="preserve">because it did not verify whether the measure taken by the President was adequate to respond to the action required. In addition, the Court considers that </w:t>
      </w:r>
      <w:r w:rsidR="00AE5F9E" w:rsidRPr="009F337B">
        <w:rPr>
          <w:rFonts w:cs="Verdana"/>
          <w:bCs/>
          <w:i w:val="0"/>
          <w:iCs/>
          <w:lang w:val="en-US"/>
        </w:rPr>
        <w:t xml:space="preserve">the </w:t>
      </w:r>
      <w:r w:rsidR="0016125F" w:rsidRPr="009F337B">
        <w:rPr>
          <w:rFonts w:cs="Verdana"/>
          <w:bCs/>
          <w:i w:val="0"/>
          <w:iCs/>
          <w:lang w:val="en-US"/>
        </w:rPr>
        <w:t>Constitutional Court</w:t>
      </w:r>
      <w:r w:rsidR="00C42183" w:rsidRPr="009F337B">
        <w:rPr>
          <w:rFonts w:cs="Verdana"/>
          <w:bCs/>
          <w:i w:val="0"/>
          <w:iCs/>
          <w:lang w:val="en-US"/>
        </w:rPr>
        <w:t xml:space="preserve"> </w:t>
      </w:r>
      <w:r w:rsidR="00955193" w:rsidRPr="009F337B">
        <w:rPr>
          <w:rFonts w:cs="Verdana"/>
          <w:bCs/>
          <w:i w:val="0"/>
          <w:iCs/>
          <w:lang w:val="en-US"/>
        </w:rPr>
        <w:t xml:space="preserve">failed to comply with its duty to provide the reasons for its ruling. Consequently, the State is responsible for the violation of </w:t>
      </w:r>
      <w:r w:rsidR="00AE5F9E" w:rsidRPr="009F337B">
        <w:rPr>
          <w:rFonts w:cs="Verdana"/>
          <w:bCs/>
          <w:i w:val="0"/>
          <w:iCs/>
          <w:lang w:val="en-US"/>
        </w:rPr>
        <w:t>Articles</w:t>
      </w:r>
      <w:r w:rsidR="00C42183" w:rsidRPr="009F337B">
        <w:rPr>
          <w:rFonts w:cs="Verdana"/>
          <w:bCs/>
          <w:i w:val="0"/>
          <w:iCs/>
          <w:lang w:val="en-US"/>
        </w:rPr>
        <w:t xml:space="preserve"> 8</w:t>
      </w:r>
      <w:r w:rsidR="00955193" w:rsidRPr="009F337B">
        <w:rPr>
          <w:rFonts w:cs="Verdana"/>
          <w:bCs/>
          <w:i w:val="0"/>
          <w:iCs/>
          <w:lang w:val="en-US"/>
        </w:rPr>
        <w:t>(</w:t>
      </w:r>
      <w:r w:rsidR="00C42183" w:rsidRPr="009F337B">
        <w:rPr>
          <w:rFonts w:cs="Verdana"/>
          <w:bCs/>
          <w:i w:val="0"/>
          <w:iCs/>
          <w:lang w:val="en-US"/>
        </w:rPr>
        <w:t>1</w:t>
      </w:r>
      <w:r w:rsidR="00955193" w:rsidRPr="009F337B">
        <w:rPr>
          <w:rFonts w:cs="Verdana"/>
          <w:bCs/>
          <w:i w:val="0"/>
          <w:iCs/>
          <w:lang w:val="en-US"/>
        </w:rPr>
        <w:t>)</w:t>
      </w:r>
      <w:r w:rsidR="003C46A3" w:rsidRPr="009F337B">
        <w:rPr>
          <w:rFonts w:cs="Verdana"/>
          <w:bCs/>
          <w:i w:val="0"/>
          <w:iCs/>
          <w:lang w:val="en-US"/>
        </w:rPr>
        <w:t xml:space="preserve"> and </w:t>
      </w:r>
      <w:r w:rsidR="00C42183" w:rsidRPr="009F337B">
        <w:rPr>
          <w:rFonts w:cs="Verdana"/>
          <w:bCs/>
          <w:i w:val="0"/>
          <w:iCs/>
          <w:lang w:val="en-US"/>
        </w:rPr>
        <w:t>25</w:t>
      </w:r>
      <w:r w:rsidR="00AE5F9E" w:rsidRPr="009F337B">
        <w:rPr>
          <w:rFonts w:cs="Verdana"/>
          <w:bCs/>
          <w:i w:val="0"/>
          <w:iCs/>
          <w:lang w:val="en-US"/>
        </w:rPr>
        <w:t xml:space="preserve"> of the Convention</w:t>
      </w:r>
      <w:r w:rsidR="00C42183" w:rsidRPr="009F337B">
        <w:rPr>
          <w:rFonts w:cs="Verdana"/>
          <w:bCs/>
          <w:i w:val="0"/>
          <w:iCs/>
          <w:lang w:val="en-US"/>
        </w:rPr>
        <w:t xml:space="preserve">, </w:t>
      </w:r>
      <w:r w:rsidR="000E73AE" w:rsidRPr="009F337B">
        <w:rPr>
          <w:rFonts w:cs="Verdana"/>
          <w:bCs/>
          <w:i w:val="0"/>
          <w:iCs/>
          <w:lang w:val="en-US"/>
        </w:rPr>
        <w:t>in relation to</w:t>
      </w:r>
      <w:r w:rsidR="00C42183" w:rsidRPr="009F337B">
        <w:rPr>
          <w:rFonts w:cs="Verdana"/>
          <w:bCs/>
          <w:i w:val="0"/>
          <w:iCs/>
          <w:lang w:val="en-US"/>
        </w:rPr>
        <w:t xml:space="preserve"> </w:t>
      </w:r>
      <w:r w:rsidR="00AE5F9E" w:rsidRPr="009F337B">
        <w:rPr>
          <w:rFonts w:cs="Verdana"/>
          <w:bCs/>
          <w:i w:val="0"/>
          <w:iCs/>
          <w:lang w:val="en-US"/>
        </w:rPr>
        <w:t>Article</w:t>
      </w:r>
      <w:r w:rsidR="003C46A3" w:rsidRPr="009F337B">
        <w:rPr>
          <w:rFonts w:cs="Verdana"/>
          <w:bCs/>
          <w:i w:val="0"/>
          <w:iCs/>
          <w:lang w:val="en-US"/>
        </w:rPr>
        <w:t xml:space="preserve"> 1(1)</w:t>
      </w:r>
      <w:r w:rsidR="00C42183" w:rsidRPr="009F337B">
        <w:rPr>
          <w:rFonts w:cs="Verdana"/>
          <w:bCs/>
          <w:i w:val="0"/>
          <w:iCs/>
          <w:lang w:val="en-US"/>
        </w:rPr>
        <w:t xml:space="preserve"> </w:t>
      </w:r>
      <w:r w:rsidR="006D4A79" w:rsidRPr="009F337B">
        <w:rPr>
          <w:rFonts w:cs="Verdana"/>
          <w:bCs/>
          <w:i w:val="0"/>
          <w:iCs/>
          <w:lang w:val="en-US"/>
        </w:rPr>
        <w:t>of this instrument</w:t>
      </w:r>
      <w:r w:rsidR="0091276A" w:rsidRPr="009F337B">
        <w:rPr>
          <w:rFonts w:cs="Verdana"/>
          <w:bCs/>
          <w:i w:val="0"/>
          <w:iCs/>
          <w:lang w:val="en-US"/>
        </w:rPr>
        <w:t xml:space="preserve">, </w:t>
      </w:r>
      <w:r w:rsidR="00955193" w:rsidRPr="009F337B">
        <w:rPr>
          <w:rFonts w:cs="Verdana"/>
          <w:bCs/>
          <w:i w:val="0"/>
          <w:iCs/>
          <w:lang w:val="en-US"/>
        </w:rPr>
        <w:t>to the detriment of</w:t>
      </w:r>
      <w:r w:rsidR="0091276A" w:rsidRPr="009F337B">
        <w:rPr>
          <w:rFonts w:cs="Verdana"/>
          <w:bCs/>
          <w:i w:val="0"/>
          <w:iCs/>
          <w:lang w:val="en-US"/>
        </w:rPr>
        <w:t xml:space="preserve"> </w:t>
      </w:r>
      <w:r w:rsidR="0091276A" w:rsidRPr="009F337B">
        <w:rPr>
          <w:i w:val="0"/>
          <w:szCs w:val="16"/>
          <w:lang w:val="en-US"/>
        </w:rPr>
        <w:t xml:space="preserve">Luis Rolando </w:t>
      </w:r>
      <w:proofErr w:type="spellStart"/>
      <w:r w:rsidR="0091276A" w:rsidRPr="009F337B">
        <w:rPr>
          <w:i w:val="0"/>
          <w:szCs w:val="16"/>
          <w:lang w:val="en-US"/>
        </w:rPr>
        <w:t>Cuscul</w:t>
      </w:r>
      <w:proofErr w:type="spellEnd"/>
      <w:r w:rsidR="0091276A" w:rsidRPr="009F337B">
        <w:rPr>
          <w:i w:val="0"/>
          <w:szCs w:val="16"/>
          <w:lang w:val="en-US"/>
        </w:rPr>
        <w:t xml:space="preserve"> </w:t>
      </w:r>
      <w:proofErr w:type="spellStart"/>
      <w:r w:rsidR="0091276A" w:rsidRPr="009F337B">
        <w:rPr>
          <w:i w:val="0"/>
          <w:szCs w:val="16"/>
          <w:lang w:val="en-US"/>
        </w:rPr>
        <w:t>Pivaral</w:t>
      </w:r>
      <w:proofErr w:type="spellEnd"/>
      <w:r w:rsidR="0091276A" w:rsidRPr="009F337B">
        <w:rPr>
          <w:i w:val="0"/>
          <w:szCs w:val="16"/>
          <w:lang w:val="en-US"/>
        </w:rPr>
        <w:t>, Luis Armando Linares</w:t>
      </w:r>
      <w:r w:rsidR="00190C87" w:rsidRPr="009F337B">
        <w:rPr>
          <w:i w:val="0"/>
          <w:szCs w:val="16"/>
          <w:lang w:val="en-US"/>
        </w:rPr>
        <w:t xml:space="preserve"> </w:t>
      </w:r>
      <w:proofErr w:type="spellStart"/>
      <w:r w:rsidR="00190C87" w:rsidRPr="009F337B">
        <w:rPr>
          <w:i w:val="0"/>
          <w:szCs w:val="16"/>
          <w:lang w:val="en-US"/>
        </w:rPr>
        <w:t>Ruano</w:t>
      </w:r>
      <w:proofErr w:type="spellEnd"/>
      <w:r w:rsidR="0091276A" w:rsidRPr="009F337B">
        <w:rPr>
          <w:i w:val="0"/>
          <w:szCs w:val="16"/>
          <w:lang w:val="en-US"/>
        </w:rPr>
        <w:t xml:space="preserve">, Facundo Gómez Reyes, Marta Alicia Maldonado Paz, Miguel Lucas </w:t>
      </w:r>
      <w:proofErr w:type="spellStart"/>
      <w:r w:rsidR="0091276A" w:rsidRPr="009F337B">
        <w:rPr>
          <w:i w:val="0"/>
          <w:szCs w:val="16"/>
          <w:lang w:val="en-US"/>
        </w:rPr>
        <w:t>Va</w:t>
      </w:r>
      <w:r w:rsidR="00190C87" w:rsidRPr="009F337B">
        <w:rPr>
          <w:i w:val="0"/>
          <w:szCs w:val="16"/>
          <w:lang w:val="en-US"/>
        </w:rPr>
        <w:t>í</w:t>
      </w:r>
      <w:r w:rsidR="0091276A" w:rsidRPr="009F337B">
        <w:rPr>
          <w:i w:val="0"/>
          <w:szCs w:val="16"/>
          <w:lang w:val="en-US"/>
        </w:rPr>
        <w:t>l</w:t>
      </w:r>
      <w:proofErr w:type="spellEnd"/>
      <w:r w:rsidR="0091276A" w:rsidRPr="009F337B">
        <w:rPr>
          <w:i w:val="0"/>
          <w:szCs w:val="16"/>
          <w:lang w:val="en-US"/>
        </w:rPr>
        <w:t>, Ingrid Barillas Martínez, Jorge Armando Tavare</w:t>
      </w:r>
      <w:r w:rsidR="00190C87" w:rsidRPr="009F337B">
        <w:rPr>
          <w:i w:val="0"/>
          <w:szCs w:val="16"/>
          <w:lang w:val="en-US"/>
        </w:rPr>
        <w:t xml:space="preserve">s </w:t>
      </w:r>
      <w:proofErr w:type="spellStart"/>
      <w:r w:rsidR="00190C87" w:rsidRPr="009F337B">
        <w:rPr>
          <w:i w:val="0"/>
          <w:szCs w:val="16"/>
          <w:lang w:val="en-US"/>
        </w:rPr>
        <w:t>Barreno</w:t>
      </w:r>
      <w:proofErr w:type="spellEnd"/>
      <w:r w:rsidR="00190C87" w:rsidRPr="009F337B">
        <w:rPr>
          <w:i w:val="0"/>
          <w:szCs w:val="16"/>
          <w:lang w:val="en-US"/>
        </w:rPr>
        <w:t xml:space="preserve">, Melvin Yovani </w:t>
      </w:r>
      <w:proofErr w:type="spellStart"/>
      <w:r w:rsidR="00190C87" w:rsidRPr="009F337B">
        <w:rPr>
          <w:i w:val="0"/>
          <w:szCs w:val="16"/>
          <w:lang w:val="en-US"/>
        </w:rPr>
        <w:t>Ajtu</w:t>
      </w:r>
      <w:r w:rsidR="0091276A" w:rsidRPr="009F337B">
        <w:rPr>
          <w:i w:val="0"/>
          <w:szCs w:val="16"/>
          <w:lang w:val="en-US"/>
        </w:rPr>
        <w:t>n</w:t>
      </w:r>
      <w:proofErr w:type="spellEnd"/>
      <w:r w:rsidR="00190C87" w:rsidRPr="009F337B">
        <w:rPr>
          <w:i w:val="0"/>
          <w:szCs w:val="16"/>
          <w:lang w:val="en-US"/>
        </w:rPr>
        <w:t xml:space="preserve"> Escobar</w:t>
      </w:r>
      <w:r w:rsidR="0091276A" w:rsidRPr="009F337B">
        <w:rPr>
          <w:i w:val="0"/>
          <w:szCs w:val="16"/>
          <w:lang w:val="en-US"/>
        </w:rPr>
        <w:t xml:space="preserve">, </w:t>
      </w:r>
      <w:proofErr w:type="spellStart"/>
      <w:r w:rsidR="0091276A" w:rsidRPr="009F337B">
        <w:rPr>
          <w:i w:val="0"/>
          <w:szCs w:val="16"/>
          <w:lang w:val="en-US"/>
        </w:rPr>
        <w:t>Mardo</w:t>
      </w:r>
      <w:proofErr w:type="spellEnd"/>
      <w:r w:rsidR="0091276A" w:rsidRPr="009F337B">
        <w:rPr>
          <w:i w:val="0"/>
          <w:szCs w:val="16"/>
          <w:lang w:val="en-US"/>
        </w:rPr>
        <w:t xml:space="preserve"> Luis Hernández</w:t>
      </w:r>
      <w:r w:rsidR="003C46A3" w:rsidRPr="009F337B">
        <w:rPr>
          <w:i w:val="0"/>
          <w:szCs w:val="16"/>
          <w:lang w:val="en-US"/>
        </w:rPr>
        <w:t xml:space="preserve"> and </w:t>
      </w:r>
      <w:r w:rsidR="00190C87" w:rsidRPr="009F337B">
        <w:rPr>
          <w:i w:val="0"/>
          <w:szCs w:val="16"/>
          <w:lang w:val="en-US"/>
        </w:rPr>
        <w:t>Hernández</w:t>
      </w:r>
      <w:r w:rsidR="0091276A" w:rsidRPr="009F337B">
        <w:rPr>
          <w:i w:val="0"/>
          <w:szCs w:val="16"/>
          <w:lang w:val="en-US"/>
        </w:rPr>
        <w:t xml:space="preserve">, Alberto Quiché </w:t>
      </w:r>
      <w:proofErr w:type="spellStart"/>
      <w:r w:rsidR="0091276A" w:rsidRPr="009F337B">
        <w:rPr>
          <w:i w:val="0"/>
          <w:szCs w:val="16"/>
          <w:lang w:val="en-US"/>
        </w:rPr>
        <w:t>Cuxeva</w:t>
      </w:r>
      <w:proofErr w:type="spellEnd"/>
      <w:r w:rsidR="0091276A" w:rsidRPr="009F337B">
        <w:rPr>
          <w:i w:val="0"/>
          <w:szCs w:val="16"/>
          <w:lang w:val="en-US"/>
        </w:rPr>
        <w:t xml:space="preserve">, Teresa Magdalena Ramírez Castro, Rita </w:t>
      </w:r>
      <w:proofErr w:type="spellStart"/>
      <w:r w:rsidR="0091276A" w:rsidRPr="009F337B">
        <w:rPr>
          <w:i w:val="0"/>
          <w:szCs w:val="16"/>
          <w:lang w:val="en-US"/>
        </w:rPr>
        <w:t>Dubón</w:t>
      </w:r>
      <w:proofErr w:type="spellEnd"/>
      <w:r w:rsidR="0091276A" w:rsidRPr="009F337B">
        <w:rPr>
          <w:i w:val="0"/>
          <w:szCs w:val="16"/>
          <w:lang w:val="en-US"/>
        </w:rPr>
        <w:t xml:space="preserve"> Orozco</w:t>
      </w:r>
      <w:r w:rsidR="003C46A3" w:rsidRPr="009F337B">
        <w:rPr>
          <w:i w:val="0"/>
          <w:szCs w:val="16"/>
          <w:lang w:val="en-US"/>
        </w:rPr>
        <w:t xml:space="preserve"> and </w:t>
      </w:r>
      <w:r w:rsidR="0091276A" w:rsidRPr="009F337B">
        <w:rPr>
          <w:i w:val="0"/>
          <w:szCs w:val="16"/>
          <w:lang w:val="en-US"/>
        </w:rPr>
        <w:t>Dora Marina Martínez</w:t>
      </w:r>
      <w:r w:rsidR="00190C87" w:rsidRPr="009F337B">
        <w:rPr>
          <w:i w:val="0"/>
          <w:szCs w:val="16"/>
          <w:lang w:val="en-US"/>
        </w:rPr>
        <w:t xml:space="preserve"> </w:t>
      </w:r>
      <w:proofErr w:type="spellStart"/>
      <w:r w:rsidR="00190C87" w:rsidRPr="009F337B">
        <w:rPr>
          <w:i w:val="0"/>
          <w:szCs w:val="16"/>
          <w:lang w:val="en-US"/>
        </w:rPr>
        <w:t>Sofoifa</w:t>
      </w:r>
      <w:proofErr w:type="spellEnd"/>
      <w:r w:rsidR="00C42183" w:rsidRPr="009F337B">
        <w:rPr>
          <w:rFonts w:cs="Verdana"/>
          <w:bCs/>
          <w:i w:val="0"/>
          <w:iCs/>
          <w:lang w:val="en-US"/>
        </w:rPr>
        <w:t>.</w:t>
      </w:r>
    </w:p>
    <w:p w14:paraId="0FA8579A" w14:textId="77777777" w:rsidR="008E387F" w:rsidRPr="009F337B" w:rsidRDefault="008E387F" w:rsidP="008E387F">
      <w:pPr>
        <w:pStyle w:val="Estilo1"/>
        <w:tabs>
          <w:tab w:val="left" w:pos="709"/>
          <w:tab w:val="left" w:pos="1134"/>
        </w:tabs>
        <w:spacing w:after="0"/>
        <w:ind w:left="0" w:right="-4" w:firstLine="0"/>
        <w:rPr>
          <w:rFonts w:eastAsia="Verdana" w:cs="Cambria"/>
          <w:bCs/>
          <w:i w:val="0"/>
          <w:color w:val="000000"/>
          <w:u w:color="000000"/>
          <w:lang w:val="en-US" w:eastAsia="x-none"/>
        </w:rPr>
      </w:pPr>
    </w:p>
    <w:p w14:paraId="0C16F360" w14:textId="77777777" w:rsidR="00955193" w:rsidRPr="009F337B" w:rsidRDefault="00762208" w:rsidP="00E92CA8">
      <w:pPr>
        <w:pStyle w:val="Ttulo1"/>
        <w:spacing w:before="0" w:after="0"/>
        <w:rPr>
          <w:lang w:val="en-US"/>
        </w:rPr>
      </w:pPr>
      <w:bookmarkStart w:id="93" w:name="_Toc527466497"/>
      <w:r w:rsidRPr="009F337B">
        <w:rPr>
          <w:lang w:val="en-US"/>
        </w:rPr>
        <w:t>VIIi-3</w:t>
      </w:r>
      <w:r w:rsidR="00C4358F" w:rsidRPr="009F337B">
        <w:rPr>
          <w:lang w:val="en-US"/>
        </w:rPr>
        <w:br/>
      </w:r>
      <w:r w:rsidR="00955193" w:rsidRPr="009F337B">
        <w:rPr>
          <w:lang w:val="en-US"/>
        </w:rPr>
        <w:t>RIGHT TO PERSONAL INTEGRITY OF THE NEXT OF KIN OF THE VICTIMS</w:t>
      </w:r>
      <w:r w:rsidR="00C4358F" w:rsidRPr="009F337B">
        <w:rPr>
          <w:lang w:val="en-US"/>
        </w:rPr>
        <w:t xml:space="preserve"> </w:t>
      </w:r>
    </w:p>
    <w:p w14:paraId="182BDC36" w14:textId="55D5F4A3" w:rsidR="00C4358F" w:rsidRPr="009F337B" w:rsidRDefault="00C4358F" w:rsidP="00E92CA8">
      <w:pPr>
        <w:pStyle w:val="Ttulo1"/>
        <w:spacing w:before="0" w:after="0"/>
        <w:rPr>
          <w:lang w:val="en-US"/>
        </w:rPr>
      </w:pPr>
      <w:r w:rsidRPr="009F337B">
        <w:rPr>
          <w:lang w:val="en-US"/>
        </w:rPr>
        <w:t>(</w:t>
      </w:r>
      <w:r w:rsidR="00AE5F9E" w:rsidRPr="009F337B">
        <w:rPr>
          <w:lang w:val="en-US"/>
        </w:rPr>
        <w:t>Articles</w:t>
      </w:r>
      <w:r w:rsidRPr="009F337B">
        <w:rPr>
          <w:lang w:val="en-US"/>
        </w:rPr>
        <w:t xml:space="preserve"> 5</w:t>
      </w:r>
      <w:r w:rsidR="003C46A3" w:rsidRPr="009F337B">
        <w:rPr>
          <w:lang w:val="en-US"/>
        </w:rPr>
        <w:t xml:space="preserve"> and 1(1)</w:t>
      </w:r>
      <w:r w:rsidR="00AE5F9E" w:rsidRPr="009F337B">
        <w:rPr>
          <w:lang w:val="en-US"/>
        </w:rPr>
        <w:t xml:space="preserve"> of the American Convention</w:t>
      </w:r>
      <w:r w:rsidRPr="009F337B">
        <w:rPr>
          <w:lang w:val="en-US"/>
        </w:rPr>
        <w:t>)</w:t>
      </w:r>
      <w:bookmarkEnd w:id="93"/>
    </w:p>
    <w:p w14:paraId="68AE9E5F" w14:textId="77777777" w:rsidR="008E387F" w:rsidRPr="009F337B" w:rsidRDefault="008E387F" w:rsidP="008E387F">
      <w:pPr>
        <w:rPr>
          <w:lang w:val="en-US" w:eastAsia="es-ES"/>
        </w:rPr>
      </w:pPr>
    </w:p>
    <w:p w14:paraId="0A64C552" w14:textId="3EB1241E" w:rsidR="00C4358F" w:rsidRPr="009F337B" w:rsidRDefault="00955193" w:rsidP="00593E37">
      <w:pPr>
        <w:pStyle w:val="Ttulo2"/>
        <w:numPr>
          <w:ilvl w:val="0"/>
          <w:numId w:val="12"/>
        </w:numPr>
        <w:spacing w:before="0" w:after="0"/>
        <w:rPr>
          <w:u w:color="000000"/>
          <w:lang w:val="en-US"/>
        </w:rPr>
      </w:pPr>
      <w:bookmarkStart w:id="94" w:name="_Toc527466498"/>
      <w:r w:rsidRPr="009F337B">
        <w:rPr>
          <w:u w:color="000000"/>
          <w:lang w:val="en-US"/>
        </w:rPr>
        <w:t xml:space="preserve">Arguments of the parties and </w:t>
      </w:r>
      <w:r w:rsidR="00AE5F9E" w:rsidRPr="009F337B">
        <w:rPr>
          <w:u w:color="000000"/>
          <w:lang w:val="en-US"/>
        </w:rPr>
        <w:t>of the Commission</w:t>
      </w:r>
      <w:bookmarkEnd w:id="94"/>
    </w:p>
    <w:p w14:paraId="6D923AAD" w14:textId="77777777" w:rsidR="008E387F" w:rsidRPr="009F337B" w:rsidRDefault="008E387F" w:rsidP="008E387F">
      <w:pPr>
        <w:rPr>
          <w:lang w:val="en-US"/>
        </w:rPr>
      </w:pPr>
    </w:p>
    <w:p w14:paraId="3448415B" w14:textId="165A09EE" w:rsidR="00C4358F" w:rsidRPr="009F337B" w:rsidRDefault="00AE5F9E" w:rsidP="00593E37">
      <w:pPr>
        <w:pStyle w:val="Estilo1"/>
        <w:numPr>
          <w:ilvl w:val="0"/>
          <w:numId w:val="1"/>
        </w:numPr>
        <w:tabs>
          <w:tab w:val="left" w:pos="709"/>
          <w:tab w:val="left" w:pos="1134"/>
        </w:tabs>
        <w:spacing w:after="0"/>
        <w:ind w:left="0" w:right="-4" w:firstLine="0"/>
        <w:rPr>
          <w:rFonts w:cs="Times New Roman"/>
          <w:i w:val="0"/>
          <w:szCs w:val="20"/>
          <w:lang w:val="en-US"/>
        </w:rPr>
      </w:pPr>
      <w:r w:rsidRPr="009F337B">
        <w:rPr>
          <w:rFonts w:cs="Times New Roman"/>
          <w:i w:val="0"/>
          <w:szCs w:val="20"/>
          <w:lang w:val="en-US"/>
        </w:rPr>
        <w:t xml:space="preserve">The </w:t>
      </w:r>
      <w:r w:rsidRPr="009F337B">
        <w:rPr>
          <w:rFonts w:cs="Times New Roman"/>
          <w:b/>
          <w:szCs w:val="20"/>
          <w:lang w:val="en-US"/>
        </w:rPr>
        <w:t>Commission</w:t>
      </w:r>
      <w:r w:rsidR="00C4358F" w:rsidRPr="009F337B">
        <w:rPr>
          <w:rFonts w:cs="Times New Roman"/>
          <w:b/>
          <w:szCs w:val="20"/>
          <w:lang w:val="en-US"/>
        </w:rPr>
        <w:t xml:space="preserve"> </w:t>
      </w:r>
      <w:r w:rsidR="00955193" w:rsidRPr="009F337B">
        <w:rPr>
          <w:rFonts w:cs="Times New Roman"/>
          <w:i w:val="0"/>
          <w:szCs w:val="20"/>
          <w:lang w:val="en-US"/>
        </w:rPr>
        <w:t>indicated that</w:t>
      </w:r>
      <w:r w:rsidR="00C4358F" w:rsidRPr="009F337B">
        <w:rPr>
          <w:rFonts w:cs="Times New Roman"/>
          <w:i w:val="0"/>
          <w:szCs w:val="20"/>
          <w:lang w:val="en-US"/>
        </w:rPr>
        <w:t xml:space="preserve"> </w:t>
      </w:r>
      <w:r w:rsidR="003C46A3" w:rsidRPr="009F337B">
        <w:rPr>
          <w:rFonts w:cs="Times New Roman"/>
          <w:i w:val="0"/>
          <w:szCs w:val="20"/>
          <w:lang w:val="en-US"/>
        </w:rPr>
        <w:t>the State</w:t>
      </w:r>
      <w:r w:rsidR="00C4358F" w:rsidRPr="009F337B">
        <w:rPr>
          <w:rFonts w:cs="Times New Roman"/>
          <w:i w:val="0"/>
          <w:szCs w:val="20"/>
          <w:lang w:val="en-US"/>
        </w:rPr>
        <w:t xml:space="preserve"> </w:t>
      </w:r>
      <w:r w:rsidR="00955193" w:rsidRPr="009F337B">
        <w:rPr>
          <w:rFonts w:cs="Times New Roman"/>
          <w:i w:val="0"/>
          <w:szCs w:val="20"/>
          <w:lang w:val="en-US"/>
        </w:rPr>
        <w:t xml:space="preserve">had violated the right to mental and moral integrity </w:t>
      </w:r>
      <w:r w:rsidR="007F096F" w:rsidRPr="009F337B">
        <w:rPr>
          <w:rFonts w:cs="Times New Roman"/>
          <w:i w:val="0"/>
          <w:szCs w:val="20"/>
          <w:lang w:val="en-US"/>
        </w:rPr>
        <w:t>recognized</w:t>
      </w:r>
      <w:r w:rsidR="00955193" w:rsidRPr="009F337B">
        <w:rPr>
          <w:rFonts w:cs="Times New Roman"/>
          <w:i w:val="0"/>
          <w:szCs w:val="20"/>
          <w:lang w:val="en-US"/>
        </w:rPr>
        <w:t xml:space="preserve"> in </w:t>
      </w:r>
      <w:r w:rsidRPr="009F337B">
        <w:rPr>
          <w:rFonts w:cs="Times New Roman"/>
          <w:i w:val="0"/>
          <w:szCs w:val="20"/>
          <w:lang w:val="en-US"/>
        </w:rPr>
        <w:t>Article</w:t>
      </w:r>
      <w:r w:rsidR="003C46A3" w:rsidRPr="009F337B">
        <w:rPr>
          <w:rFonts w:cs="Times New Roman"/>
          <w:i w:val="0"/>
          <w:szCs w:val="20"/>
          <w:lang w:val="en-US"/>
        </w:rPr>
        <w:t xml:space="preserve"> 5(1)</w:t>
      </w:r>
      <w:r w:rsidRPr="009F337B">
        <w:rPr>
          <w:rFonts w:cs="Times New Roman"/>
          <w:i w:val="0"/>
          <w:szCs w:val="20"/>
          <w:lang w:val="en-US"/>
        </w:rPr>
        <w:t xml:space="preserve"> of the Convention</w:t>
      </w:r>
      <w:r w:rsidR="00C4358F" w:rsidRPr="009F337B">
        <w:rPr>
          <w:rFonts w:cs="Times New Roman"/>
          <w:i w:val="0"/>
          <w:szCs w:val="20"/>
          <w:lang w:val="en-US"/>
        </w:rPr>
        <w:t xml:space="preserve"> </w:t>
      </w:r>
      <w:r w:rsidR="00955193" w:rsidRPr="009F337B">
        <w:rPr>
          <w:rFonts w:cs="Times New Roman"/>
          <w:i w:val="0"/>
          <w:szCs w:val="20"/>
          <w:lang w:val="en-US"/>
        </w:rPr>
        <w:t>to the detriment of the</w:t>
      </w:r>
      <w:r w:rsidR="00C4358F" w:rsidRPr="009F337B">
        <w:rPr>
          <w:rFonts w:cs="Times New Roman"/>
          <w:i w:val="0"/>
          <w:szCs w:val="20"/>
          <w:lang w:val="en-US"/>
        </w:rPr>
        <w:t xml:space="preserve"> </w:t>
      </w:r>
      <w:r w:rsidR="0010522A" w:rsidRPr="009F337B">
        <w:rPr>
          <w:rFonts w:cs="Times New Roman"/>
          <w:i w:val="0"/>
          <w:szCs w:val="20"/>
          <w:lang w:val="en-US"/>
        </w:rPr>
        <w:t>next of kin</w:t>
      </w:r>
      <w:r w:rsidR="00C4358F" w:rsidRPr="009F337B">
        <w:rPr>
          <w:rFonts w:cs="Times New Roman"/>
          <w:i w:val="0"/>
          <w:szCs w:val="20"/>
          <w:lang w:val="en-US"/>
        </w:rPr>
        <w:t xml:space="preserve"> </w:t>
      </w:r>
      <w:r w:rsidR="00955193" w:rsidRPr="009F337B">
        <w:rPr>
          <w:rFonts w:cs="Times New Roman"/>
          <w:i w:val="0"/>
          <w:szCs w:val="20"/>
          <w:lang w:val="en-US"/>
        </w:rPr>
        <w:t xml:space="preserve">and/or closest circle of the victims in this case, owing to the additional suffering they underwent as a result of the </w:t>
      </w:r>
      <w:r w:rsidR="00F429F0" w:rsidRPr="009F337B">
        <w:rPr>
          <w:rFonts w:cs="Times New Roman"/>
          <w:i w:val="0"/>
          <w:szCs w:val="20"/>
          <w:lang w:val="en-US"/>
        </w:rPr>
        <w:t>specific</w:t>
      </w:r>
      <w:r w:rsidR="00955193" w:rsidRPr="009F337B">
        <w:rPr>
          <w:rFonts w:cs="Times New Roman"/>
          <w:i w:val="0"/>
          <w:szCs w:val="20"/>
          <w:lang w:val="en-US"/>
        </w:rPr>
        <w:t xml:space="preserve"> circumstances of the violations perpetrated against their loved ones, and </w:t>
      </w:r>
      <w:r w:rsidR="00F429F0" w:rsidRPr="009F337B">
        <w:rPr>
          <w:rFonts w:cs="Times New Roman"/>
          <w:i w:val="0"/>
          <w:szCs w:val="20"/>
          <w:lang w:val="en-US"/>
        </w:rPr>
        <w:t>based on</w:t>
      </w:r>
      <w:r w:rsidR="00955193" w:rsidRPr="009F337B">
        <w:rPr>
          <w:rFonts w:cs="Times New Roman"/>
          <w:i w:val="0"/>
          <w:szCs w:val="20"/>
          <w:lang w:val="en-US"/>
        </w:rPr>
        <w:t xml:space="preserve"> the acts and omissions of the </w:t>
      </w:r>
      <w:r w:rsidR="007F096F" w:rsidRPr="009F337B">
        <w:rPr>
          <w:rFonts w:cs="Times New Roman"/>
          <w:i w:val="0"/>
          <w:szCs w:val="20"/>
          <w:lang w:val="en-US"/>
        </w:rPr>
        <w:t>S</w:t>
      </w:r>
      <w:r w:rsidR="00955193" w:rsidRPr="009F337B">
        <w:rPr>
          <w:rFonts w:cs="Times New Roman"/>
          <w:i w:val="0"/>
          <w:szCs w:val="20"/>
          <w:lang w:val="en-US"/>
        </w:rPr>
        <w:t>tate authorities in relation to these facts.</w:t>
      </w:r>
    </w:p>
    <w:p w14:paraId="79C09183" w14:textId="77777777" w:rsidR="008E387F" w:rsidRPr="009F337B" w:rsidRDefault="008E387F" w:rsidP="008E387F">
      <w:pPr>
        <w:pStyle w:val="Estilo1"/>
        <w:tabs>
          <w:tab w:val="left" w:pos="709"/>
          <w:tab w:val="left" w:pos="1134"/>
        </w:tabs>
        <w:spacing w:after="0"/>
        <w:ind w:left="0" w:right="-4" w:firstLine="0"/>
        <w:rPr>
          <w:rFonts w:cs="Times New Roman"/>
          <w:i w:val="0"/>
          <w:szCs w:val="20"/>
          <w:lang w:val="en-US"/>
        </w:rPr>
      </w:pPr>
    </w:p>
    <w:p w14:paraId="452AE705" w14:textId="2CE16CCF" w:rsidR="00C4358F" w:rsidRPr="009F337B" w:rsidRDefault="007327F5" w:rsidP="00593E37">
      <w:pPr>
        <w:pStyle w:val="Estilo1"/>
        <w:numPr>
          <w:ilvl w:val="0"/>
          <w:numId w:val="1"/>
        </w:numPr>
        <w:tabs>
          <w:tab w:val="left" w:pos="709"/>
          <w:tab w:val="left" w:pos="1134"/>
        </w:tabs>
        <w:spacing w:after="0"/>
        <w:ind w:left="0" w:right="-4" w:firstLine="0"/>
        <w:rPr>
          <w:rFonts w:cs="Times New Roman"/>
          <w:i w:val="0"/>
          <w:szCs w:val="20"/>
          <w:lang w:val="en-US"/>
        </w:rPr>
      </w:pPr>
      <w:r w:rsidRPr="009F337B">
        <w:rPr>
          <w:rFonts w:cs="Times New Roman"/>
          <w:i w:val="0"/>
          <w:szCs w:val="20"/>
          <w:lang w:val="en-US"/>
        </w:rPr>
        <w:t xml:space="preserve">The </w:t>
      </w:r>
      <w:r w:rsidRPr="009F337B">
        <w:rPr>
          <w:rFonts w:cs="Times New Roman"/>
          <w:b/>
          <w:szCs w:val="20"/>
          <w:lang w:val="en-US"/>
        </w:rPr>
        <w:t>representatives</w:t>
      </w:r>
      <w:r w:rsidR="00C4358F" w:rsidRPr="009F337B">
        <w:rPr>
          <w:rFonts w:cs="Times New Roman"/>
          <w:i w:val="0"/>
          <w:szCs w:val="20"/>
          <w:lang w:val="en-US"/>
        </w:rPr>
        <w:t xml:space="preserve"> </w:t>
      </w:r>
      <w:r w:rsidR="00955193" w:rsidRPr="009F337B">
        <w:rPr>
          <w:rFonts w:cs="Times New Roman"/>
          <w:i w:val="0"/>
          <w:szCs w:val="20"/>
          <w:lang w:val="en-US"/>
        </w:rPr>
        <w:t>added that the</w:t>
      </w:r>
      <w:r w:rsidR="00C4358F" w:rsidRPr="009F337B">
        <w:rPr>
          <w:rFonts w:cs="Times New Roman"/>
          <w:i w:val="0"/>
          <w:szCs w:val="20"/>
          <w:lang w:val="en-US"/>
        </w:rPr>
        <w:t xml:space="preserve"> </w:t>
      </w:r>
      <w:r w:rsidR="0010522A" w:rsidRPr="009F337B">
        <w:rPr>
          <w:rFonts w:cs="Times New Roman"/>
          <w:i w:val="0"/>
          <w:szCs w:val="20"/>
          <w:lang w:val="en-US"/>
        </w:rPr>
        <w:t>next of kin</w:t>
      </w:r>
      <w:r w:rsidR="003C46A3" w:rsidRPr="009F337B">
        <w:rPr>
          <w:rFonts w:cs="Times New Roman"/>
          <w:i w:val="0"/>
          <w:szCs w:val="20"/>
          <w:lang w:val="en-US"/>
        </w:rPr>
        <w:t xml:space="preserve"> and </w:t>
      </w:r>
      <w:r w:rsidR="00F429F0" w:rsidRPr="009F337B">
        <w:rPr>
          <w:rFonts w:cs="Times New Roman"/>
          <w:i w:val="0"/>
          <w:szCs w:val="20"/>
          <w:lang w:val="en-US"/>
        </w:rPr>
        <w:t>those close to the victims experienced profound suffering on observing that, owing to the State’s failure to provide comprehensive care to the patients living with HIV, the latter’s health deteriorated and some of them eventually died. They also indicated that</w:t>
      </w:r>
      <w:r w:rsidR="007F096F" w:rsidRPr="009F337B">
        <w:rPr>
          <w:rFonts w:cs="Times New Roman"/>
          <w:i w:val="0"/>
          <w:szCs w:val="20"/>
          <w:lang w:val="en-US"/>
        </w:rPr>
        <w:t>, among other effects,</w:t>
      </w:r>
      <w:r w:rsidR="00F429F0" w:rsidRPr="009F337B">
        <w:rPr>
          <w:rFonts w:cs="Times New Roman"/>
          <w:i w:val="0"/>
          <w:szCs w:val="20"/>
          <w:lang w:val="en-US"/>
        </w:rPr>
        <w:t xml:space="preserve"> both the next of kin a</w:t>
      </w:r>
      <w:r w:rsidR="007F096F" w:rsidRPr="009F337B">
        <w:rPr>
          <w:rFonts w:cs="Times New Roman"/>
          <w:i w:val="0"/>
          <w:szCs w:val="20"/>
          <w:lang w:val="en-US"/>
        </w:rPr>
        <w:t>nd</w:t>
      </w:r>
      <w:r w:rsidR="00F429F0" w:rsidRPr="009F337B">
        <w:rPr>
          <w:rFonts w:cs="Times New Roman"/>
          <w:i w:val="0"/>
          <w:szCs w:val="20"/>
          <w:lang w:val="en-US"/>
        </w:rPr>
        <w:t xml:space="preserve"> those close to the victims had experienced different types of discrimination, </w:t>
      </w:r>
      <w:r w:rsidR="007F096F" w:rsidRPr="009F337B">
        <w:rPr>
          <w:rFonts w:cs="Times New Roman"/>
          <w:i w:val="0"/>
          <w:szCs w:val="20"/>
          <w:lang w:val="en-US"/>
        </w:rPr>
        <w:t xml:space="preserve">and </w:t>
      </w:r>
      <w:r w:rsidR="00F429F0" w:rsidRPr="009F337B">
        <w:rPr>
          <w:rFonts w:cs="Times New Roman"/>
          <w:i w:val="0"/>
          <w:szCs w:val="20"/>
          <w:lang w:val="en-US"/>
        </w:rPr>
        <w:t>changes to their life projects, their family ties, and their financial situation. In addition, the</w:t>
      </w:r>
      <w:r w:rsidR="007F096F" w:rsidRPr="009F337B">
        <w:rPr>
          <w:rFonts w:cs="Times New Roman"/>
          <w:i w:val="0"/>
          <w:szCs w:val="20"/>
          <w:lang w:val="en-US"/>
        </w:rPr>
        <w:t xml:space="preserve"> representatives</w:t>
      </w:r>
      <w:r w:rsidR="00F429F0" w:rsidRPr="009F337B">
        <w:rPr>
          <w:rFonts w:cs="Times New Roman"/>
          <w:i w:val="0"/>
          <w:szCs w:val="20"/>
          <w:lang w:val="en-US"/>
        </w:rPr>
        <w:t xml:space="preserve"> emphasized that, in view of the stigma that has traditionally accompanied people living with HIV, the close circle </w:t>
      </w:r>
      <w:r w:rsidR="007F096F" w:rsidRPr="009F337B">
        <w:rPr>
          <w:rFonts w:cs="Times New Roman"/>
          <w:i w:val="0"/>
          <w:szCs w:val="20"/>
          <w:lang w:val="en-US"/>
        </w:rPr>
        <w:t>who</w:t>
      </w:r>
      <w:r w:rsidR="00F429F0" w:rsidRPr="009F337B">
        <w:rPr>
          <w:rFonts w:cs="Times New Roman"/>
          <w:i w:val="0"/>
          <w:szCs w:val="20"/>
          <w:lang w:val="en-US"/>
        </w:rPr>
        <w:t xml:space="preserve"> support people suffering from this disease goes beyond the members of the victims’ biological family. The</w:t>
      </w:r>
      <w:r w:rsidR="007F096F" w:rsidRPr="009F337B">
        <w:rPr>
          <w:rFonts w:cs="Times New Roman"/>
          <w:i w:val="0"/>
          <w:szCs w:val="20"/>
          <w:lang w:val="en-US"/>
        </w:rPr>
        <w:t>y the</w:t>
      </w:r>
      <w:r w:rsidR="00F429F0" w:rsidRPr="009F337B">
        <w:rPr>
          <w:rFonts w:cs="Times New Roman"/>
          <w:i w:val="0"/>
          <w:szCs w:val="20"/>
          <w:lang w:val="en-US"/>
        </w:rPr>
        <w:t xml:space="preserve">refore concluded that the State of Guatemala was responsible for the violation of the right to </w:t>
      </w:r>
      <w:r w:rsidR="003C46A3" w:rsidRPr="009F337B">
        <w:rPr>
          <w:rFonts w:cs="Times New Roman"/>
          <w:i w:val="0"/>
          <w:szCs w:val="20"/>
          <w:lang w:val="en-US"/>
        </w:rPr>
        <w:t>personal integrity</w:t>
      </w:r>
      <w:r w:rsidR="00C4358F" w:rsidRPr="009F337B">
        <w:rPr>
          <w:rFonts w:cs="Times New Roman"/>
          <w:i w:val="0"/>
          <w:szCs w:val="20"/>
          <w:lang w:val="en-US"/>
        </w:rPr>
        <w:t xml:space="preserve">, </w:t>
      </w:r>
      <w:r w:rsidR="007F096F" w:rsidRPr="009F337B">
        <w:rPr>
          <w:rFonts w:cs="Times New Roman"/>
          <w:i w:val="0"/>
          <w:szCs w:val="20"/>
          <w:lang w:val="en-US"/>
        </w:rPr>
        <w:t>recognized</w:t>
      </w:r>
      <w:r w:rsidR="00F429F0" w:rsidRPr="009F337B">
        <w:rPr>
          <w:rFonts w:cs="Times New Roman"/>
          <w:i w:val="0"/>
          <w:szCs w:val="20"/>
          <w:lang w:val="en-US"/>
        </w:rPr>
        <w:t xml:space="preserve"> in</w:t>
      </w:r>
      <w:r w:rsidR="00C4358F" w:rsidRPr="009F337B">
        <w:rPr>
          <w:rFonts w:cs="Times New Roman"/>
          <w:i w:val="0"/>
          <w:szCs w:val="20"/>
          <w:lang w:val="en-US"/>
        </w:rPr>
        <w:t xml:space="preserve"> </w:t>
      </w:r>
      <w:r w:rsidR="00AE5F9E" w:rsidRPr="009F337B">
        <w:rPr>
          <w:rFonts w:cs="Times New Roman"/>
          <w:i w:val="0"/>
          <w:szCs w:val="20"/>
          <w:lang w:val="en-US"/>
        </w:rPr>
        <w:t>Article</w:t>
      </w:r>
      <w:r w:rsidR="00C4358F" w:rsidRPr="009F337B">
        <w:rPr>
          <w:rFonts w:cs="Times New Roman"/>
          <w:i w:val="0"/>
          <w:szCs w:val="20"/>
          <w:lang w:val="en-US"/>
        </w:rPr>
        <w:t xml:space="preserve"> 5</w:t>
      </w:r>
      <w:r w:rsidR="00AE5F9E" w:rsidRPr="009F337B">
        <w:rPr>
          <w:rFonts w:cs="Times New Roman"/>
          <w:i w:val="0"/>
          <w:szCs w:val="20"/>
          <w:lang w:val="en-US"/>
        </w:rPr>
        <w:t xml:space="preserve"> of the Convention</w:t>
      </w:r>
      <w:r w:rsidR="00C4358F" w:rsidRPr="009F337B">
        <w:rPr>
          <w:rFonts w:cs="Times New Roman"/>
          <w:i w:val="0"/>
          <w:szCs w:val="20"/>
          <w:lang w:val="en-US"/>
        </w:rPr>
        <w:t xml:space="preserve">, </w:t>
      </w:r>
      <w:r w:rsidR="000E73AE" w:rsidRPr="009F337B">
        <w:rPr>
          <w:rFonts w:cs="Times New Roman"/>
          <w:i w:val="0"/>
          <w:szCs w:val="20"/>
          <w:lang w:val="en-US"/>
        </w:rPr>
        <w:t>in relation to</w:t>
      </w:r>
      <w:r w:rsidR="00C4358F" w:rsidRPr="009F337B">
        <w:rPr>
          <w:rFonts w:cs="Times New Roman"/>
          <w:i w:val="0"/>
          <w:szCs w:val="20"/>
          <w:lang w:val="en-US"/>
        </w:rPr>
        <w:t xml:space="preserve"> </w:t>
      </w:r>
      <w:r w:rsidR="00AE5F9E" w:rsidRPr="009F337B">
        <w:rPr>
          <w:rFonts w:cs="Times New Roman"/>
          <w:i w:val="0"/>
          <w:szCs w:val="20"/>
          <w:lang w:val="en-US"/>
        </w:rPr>
        <w:t>Article</w:t>
      </w:r>
      <w:r w:rsidR="003C46A3" w:rsidRPr="009F337B">
        <w:rPr>
          <w:rFonts w:cs="Times New Roman"/>
          <w:i w:val="0"/>
          <w:szCs w:val="20"/>
          <w:lang w:val="en-US"/>
        </w:rPr>
        <w:t xml:space="preserve"> 1(1)</w:t>
      </w:r>
      <w:r w:rsidR="00C4358F" w:rsidRPr="009F337B">
        <w:rPr>
          <w:rFonts w:cs="Times New Roman"/>
          <w:i w:val="0"/>
          <w:szCs w:val="20"/>
          <w:lang w:val="en-US"/>
        </w:rPr>
        <w:t xml:space="preserve"> </w:t>
      </w:r>
      <w:r w:rsidR="006D4A79" w:rsidRPr="009F337B">
        <w:rPr>
          <w:rFonts w:cs="Times New Roman"/>
          <w:i w:val="0"/>
          <w:szCs w:val="20"/>
          <w:lang w:val="en-US"/>
        </w:rPr>
        <w:t>of this instrument</w:t>
      </w:r>
      <w:r w:rsidR="00C4358F" w:rsidRPr="009F337B">
        <w:rPr>
          <w:rFonts w:cs="Times New Roman"/>
          <w:i w:val="0"/>
          <w:szCs w:val="20"/>
          <w:lang w:val="en-US"/>
        </w:rPr>
        <w:t xml:space="preserve">, </w:t>
      </w:r>
      <w:r w:rsidR="00F429F0" w:rsidRPr="009F337B">
        <w:rPr>
          <w:rFonts w:cs="Times New Roman"/>
          <w:i w:val="0"/>
          <w:szCs w:val="20"/>
          <w:lang w:val="en-US"/>
        </w:rPr>
        <w:t>to the detriment of the</w:t>
      </w:r>
      <w:r w:rsidR="00C4358F" w:rsidRPr="009F337B">
        <w:rPr>
          <w:rFonts w:cs="Times New Roman"/>
          <w:i w:val="0"/>
          <w:szCs w:val="20"/>
          <w:lang w:val="en-US"/>
        </w:rPr>
        <w:t xml:space="preserve"> </w:t>
      </w:r>
      <w:r w:rsidR="0010522A" w:rsidRPr="009F337B">
        <w:rPr>
          <w:rFonts w:cs="Times New Roman"/>
          <w:i w:val="0"/>
          <w:szCs w:val="20"/>
          <w:lang w:val="en-US"/>
        </w:rPr>
        <w:t>next of kin</w:t>
      </w:r>
      <w:r w:rsidR="00C4358F" w:rsidRPr="009F337B">
        <w:rPr>
          <w:rFonts w:cs="Times New Roman"/>
          <w:i w:val="0"/>
          <w:szCs w:val="20"/>
          <w:lang w:val="en-US"/>
        </w:rPr>
        <w:t xml:space="preserve"> </w:t>
      </w:r>
      <w:r w:rsidR="00F429F0" w:rsidRPr="009F337B">
        <w:rPr>
          <w:rFonts w:cs="Times New Roman"/>
          <w:i w:val="0"/>
          <w:szCs w:val="20"/>
          <w:lang w:val="en-US"/>
        </w:rPr>
        <w:t>and/or the circle of those closest to the victims in this case.</w:t>
      </w:r>
    </w:p>
    <w:p w14:paraId="6DFAADB0" w14:textId="77777777" w:rsidR="008E387F" w:rsidRPr="009F337B" w:rsidRDefault="008E387F" w:rsidP="008E387F">
      <w:pPr>
        <w:pStyle w:val="Estilo1"/>
        <w:tabs>
          <w:tab w:val="left" w:pos="709"/>
          <w:tab w:val="left" w:pos="1134"/>
        </w:tabs>
        <w:spacing w:after="0"/>
        <w:ind w:left="0" w:right="-4" w:firstLine="0"/>
        <w:rPr>
          <w:rFonts w:cs="Times New Roman"/>
          <w:i w:val="0"/>
          <w:szCs w:val="20"/>
          <w:lang w:val="en-US"/>
        </w:rPr>
      </w:pPr>
    </w:p>
    <w:p w14:paraId="45FD9B71" w14:textId="78D3B3D7" w:rsidR="00F63F5C" w:rsidRPr="009F337B" w:rsidRDefault="00F429F0" w:rsidP="00593E37">
      <w:pPr>
        <w:pStyle w:val="Estilo1"/>
        <w:numPr>
          <w:ilvl w:val="0"/>
          <w:numId w:val="1"/>
        </w:numPr>
        <w:tabs>
          <w:tab w:val="left" w:pos="709"/>
          <w:tab w:val="left" w:pos="1134"/>
        </w:tabs>
        <w:spacing w:after="0"/>
        <w:ind w:left="0" w:right="-4" w:firstLine="0"/>
        <w:rPr>
          <w:rFonts w:cs="Times New Roman"/>
          <w:i w:val="0"/>
          <w:szCs w:val="20"/>
          <w:lang w:val="en-US"/>
        </w:rPr>
      </w:pPr>
      <w:r w:rsidRPr="009F337B">
        <w:rPr>
          <w:rFonts w:cs="Times New Roman"/>
          <w:i w:val="0"/>
          <w:szCs w:val="20"/>
          <w:lang w:val="en-US"/>
        </w:rPr>
        <w:t xml:space="preserve">The </w:t>
      </w:r>
      <w:r w:rsidRPr="009F337B">
        <w:rPr>
          <w:rFonts w:cs="Times New Roman"/>
          <w:b/>
          <w:szCs w:val="20"/>
          <w:lang w:val="en-US"/>
        </w:rPr>
        <w:t>State</w:t>
      </w:r>
      <w:r w:rsidRPr="009F337B">
        <w:rPr>
          <w:rFonts w:cs="Times New Roman"/>
          <w:i w:val="0"/>
          <w:szCs w:val="20"/>
          <w:lang w:val="en-US"/>
        </w:rPr>
        <w:t xml:space="preserve"> did not contest the arguments </w:t>
      </w:r>
      <w:r w:rsidR="00AE5F9E" w:rsidRPr="009F337B">
        <w:rPr>
          <w:rFonts w:cs="Times New Roman"/>
          <w:i w:val="0"/>
          <w:szCs w:val="20"/>
          <w:lang w:val="en-US"/>
        </w:rPr>
        <w:t>of the Commission</w:t>
      </w:r>
      <w:r w:rsidR="003C46A3" w:rsidRPr="009F337B">
        <w:rPr>
          <w:rFonts w:cs="Times New Roman"/>
          <w:i w:val="0"/>
          <w:szCs w:val="20"/>
          <w:lang w:val="en-US"/>
        </w:rPr>
        <w:t xml:space="preserve"> and</w:t>
      </w:r>
      <w:r w:rsidR="00CC6A68" w:rsidRPr="009F337B">
        <w:rPr>
          <w:rFonts w:cs="Times New Roman"/>
          <w:i w:val="0"/>
          <w:szCs w:val="20"/>
          <w:lang w:val="en-US"/>
        </w:rPr>
        <w:t xml:space="preserve"> of the </w:t>
      </w:r>
      <w:r w:rsidR="007327F5" w:rsidRPr="009F337B">
        <w:rPr>
          <w:rFonts w:cs="Times New Roman"/>
          <w:i w:val="0"/>
          <w:szCs w:val="20"/>
          <w:lang w:val="en-US"/>
        </w:rPr>
        <w:t>representatives</w:t>
      </w:r>
      <w:r w:rsidR="00C4358F" w:rsidRPr="009F337B">
        <w:rPr>
          <w:rFonts w:cs="Times New Roman"/>
          <w:i w:val="0"/>
          <w:szCs w:val="20"/>
          <w:lang w:val="en-US"/>
        </w:rPr>
        <w:t xml:space="preserve">, </w:t>
      </w:r>
      <w:r w:rsidRPr="009F337B">
        <w:rPr>
          <w:rFonts w:cs="Times New Roman"/>
          <w:i w:val="0"/>
          <w:szCs w:val="20"/>
          <w:lang w:val="en-US"/>
        </w:rPr>
        <w:t xml:space="preserve">because it </w:t>
      </w:r>
      <w:r w:rsidR="00270885">
        <w:rPr>
          <w:rFonts w:cs="Times New Roman"/>
          <w:i w:val="0"/>
          <w:szCs w:val="20"/>
          <w:lang w:val="en-US"/>
        </w:rPr>
        <w:t xml:space="preserve">only </w:t>
      </w:r>
      <w:r w:rsidR="00460428">
        <w:rPr>
          <w:rFonts w:cs="Times New Roman"/>
          <w:i w:val="0"/>
          <w:szCs w:val="20"/>
          <w:lang w:val="en-US"/>
        </w:rPr>
        <w:t>r</w:t>
      </w:r>
      <w:r w:rsidRPr="009F337B">
        <w:rPr>
          <w:rFonts w:cs="Times New Roman"/>
          <w:i w:val="0"/>
          <w:szCs w:val="20"/>
          <w:lang w:val="en-US"/>
        </w:rPr>
        <w:t xml:space="preserve">eferred to the alleged violation of </w:t>
      </w:r>
      <w:r w:rsidR="00AE5F9E" w:rsidRPr="009F337B">
        <w:rPr>
          <w:rFonts w:cs="Times New Roman"/>
          <w:i w:val="0"/>
          <w:szCs w:val="20"/>
          <w:lang w:val="en-US"/>
        </w:rPr>
        <w:t>Article</w:t>
      </w:r>
      <w:r w:rsidR="00C4358F" w:rsidRPr="009F337B">
        <w:rPr>
          <w:rFonts w:cs="Times New Roman"/>
          <w:i w:val="0"/>
          <w:szCs w:val="20"/>
          <w:lang w:val="en-US"/>
        </w:rPr>
        <w:t xml:space="preserve"> 5</w:t>
      </w:r>
      <w:r w:rsidR="00AE5F9E" w:rsidRPr="009F337B">
        <w:rPr>
          <w:rFonts w:cs="Times New Roman"/>
          <w:i w:val="0"/>
          <w:szCs w:val="20"/>
          <w:lang w:val="en-US"/>
        </w:rPr>
        <w:t xml:space="preserve"> of the Convention</w:t>
      </w:r>
      <w:r w:rsidR="00C4358F" w:rsidRPr="009F337B">
        <w:rPr>
          <w:rFonts w:cs="Times New Roman"/>
          <w:i w:val="0"/>
          <w:szCs w:val="20"/>
          <w:lang w:val="en-US"/>
        </w:rPr>
        <w:t xml:space="preserve"> </w:t>
      </w:r>
      <w:r w:rsidR="000E73AE" w:rsidRPr="009F337B">
        <w:rPr>
          <w:rFonts w:cs="Times New Roman"/>
          <w:i w:val="0"/>
          <w:szCs w:val="20"/>
          <w:lang w:val="en-US"/>
        </w:rPr>
        <w:t>in relation to</w:t>
      </w:r>
      <w:r w:rsidRPr="009F337B">
        <w:rPr>
          <w:rFonts w:cs="Times New Roman"/>
          <w:i w:val="0"/>
          <w:szCs w:val="20"/>
          <w:lang w:val="en-US"/>
        </w:rPr>
        <w:t xml:space="preserve"> the effects on the victims in the case, not on the </w:t>
      </w:r>
      <w:r w:rsidR="0010522A" w:rsidRPr="009F337B">
        <w:rPr>
          <w:rFonts w:cs="Times New Roman"/>
          <w:i w:val="0"/>
          <w:szCs w:val="20"/>
          <w:lang w:val="en-US"/>
        </w:rPr>
        <w:t>next of kin</w:t>
      </w:r>
      <w:r w:rsidR="00C4358F" w:rsidRPr="009F337B">
        <w:rPr>
          <w:rFonts w:cs="Times New Roman"/>
          <w:i w:val="0"/>
          <w:szCs w:val="20"/>
          <w:lang w:val="en-US"/>
        </w:rPr>
        <w:t>.</w:t>
      </w:r>
    </w:p>
    <w:p w14:paraId="1F8564DE" w14:textId="77777777" w:rsidR="008E387F" w:rsidRPr="009F337B" w:rsidRDefault="008E387F" w:rsidP="008E387F">
      <w:pPr>
        <w:pStyle w:val="Estilo1"/>
        <w:tabs>
          <w:tab w:val="left" w:pos="709"/>
          <w:tab w:val="left" w:pos="1134"/>
        </w:tabs>
        <w:spacing w:after="0"/>
        <w:ind w:left="0" w:right="-4" w:firstLine="0"/>
        <w:rPr>
          <w:rFonts w:cs="Times New Roman"/>
          <w:i w:val="0"/>
          <w:szCs w:val="20"/>
          <w:lang w:val="en-US"/>
        </w:rPr>
      </w:pPr>
    </w:p>
    <w:p w14:paraId="0CA3114D" w14:textId="4EAC691C" w:rsidR="00C4358F" w:rsidRPr="009F337B" w:rsidRDefault="00473F70" w:rsidP="00E92CA8">
      <w:pPr>
        <w:pStyle w:val="Ttulo2"/>
        <w:spacing w:before="0" w:after="0"/>
        <w:rPr>
          <w:lang w:val="en-US"/>
        </w:rPr>
      </w:pPr>
      <w:bookmarkStart w:id="95" w:name="_Toc527466499"/>
      <w:r w:rsidRPr="009F337B">
        <w:rPr>
          <w:lang w:val="en-US"/>
        </w:rPr>
        <w:t>Considerations</w:t>
      </w:r>
      <w:r w:rsidR="00AE5F9E" w:rsidRPr="009F337B">
        <w:rPr>
          <w:lang w:val="en-US"/>
        </w:rPr>
        <w:t xml:space="preserve"> of the Court</w:t>
      </w:r>
      <w:bookmarkEnd w:id="95"/>
    </w:p>
    <w:p w14:paraId="4D9B1D4D" w14:textId="77777777" w:rsidR="008E387F" w:rsidRPr="009F337B" w:rsidRDefault="008E387F" w:rsidP="008E387F">
      <w:pPr>
        <w:rPr>
          <w:lang w:val="en-US"/>
        </w:rPr>
      </w:pPr>
    </w:p>
    <w:p w14:paraId="09CC183F" w14:textId="51E42F2E" w:rsidR="00C4358F" w:rsidRPr="009F337B" w:rsidRDefault="00AE5F9E" w:rsidP="00593E37">
      <w:pPr>
        <w:pStyle w:val="Estilo1"/>
        <w:numPr>
          <w:ilvl w:val="0"/>
          <w:numId w:val="1"/>
        </w:numPr>
        <w:tabs>
          <w:tab w:val="left" w:pos="709"/>
          <w:tab w:val="left" w:pos="1134"/>
        </w:tabs>
        <w:spacing w:after="0"/>
        <w:ind w:left="0" w:right="-4" w:firstLine="0"/>
        <w:rPr>
          <w:rFonts w:cs="Times New Roman"/>
          <w:i w:val="0"/>
          <w:szCs w:val="20"/>
          <w:lang w:val="en-US"/>
        </w:rPr>
      </w:pPr>
      <w:r w:rsidRPr="009F337B">
        <w:rPr>
          <w:rFonts w:cs="Times New Roman"/>
          <w:i w:val="0"/>
          <w:szCs w:val="20"/>
          <w:lang w:val="en-US"/>
        </w:rPr>
        <w:t>The Court</w:t>
      </w:r>
      <w:r w:rsidR="00C4358F" w:rsidRPr="009F337B">
        <w:rPr>
          <w:rFonts w:cs="Times New Roman"/>
          <w:i w:val="0"/>
          <w:szCs w:val="20"/>
          <w:lang w:val="en-US"/>
        </w:rPr>
        <w:t xml:space="preserve"> ha</w:t>
      </w:r>
      <w:r w:rsidR="0041359C" w:rsidRPr="009F337B">
        <w:rPr>
          <w:rFonts w:cs="Times New Roman"/>
          <w:i w:val="0"/>
          <w:szCs w:val="20"/>
          <w:lang w:val="en-US"/>
        </w:rPr>
        <w:t>s</w:t>
      </w:r>
      <w:r w:rsidR="00C4358F" w:rsidRPr="009F337B">
        <w:rPr>
          <w:rFonts w:cs="Times New Roman"/>
          <w:i w:val="0"/>
          <w:szCs w:val="20"/>
          <w:lang w:val="en-US"/>
        </w:rPr>
        <w:t xml:space="preserve"> consider</w:t>
      </w:r>
      <w:r w:rsidR="0041359C" w:rsidRPr="009F337B">
        <w:rPr>
          <w:rFonts w:cs="Times New Roman"/>
          <w:i w:val="0"/>
          <w:szCs w:val="20"/>
          <w:lang w:val="en-US"/>
        </w:rPr>
        <w:t>ed that</w:t>
      </w:r>
      <w:r w:rsidR="00C4358F" w:rsidRPr="009F337B">
        <w:rPr>
          <w:rFonts w:cs="Times New Roman"/>
          <w:i w:val="0"/>
          <w:szCs w:val="20"/>
          <w:lang w:val="en-US"/>
        </w:rPr>
        <w:t xml:space="preserve"> </w:t>
      </w:r>
      <w:r w:rsidR="0041359C" w:rsidRPr="009F337B">
        <w:rPr>
          <w:rFonts w:cs="Times New Roman"/>
          <w:i w:val="0"/>
          <w:szCs w:val="20"/>
          <w:lang w:val="en-US"/>
        </w:rPr>
        <w:t>the</w:t>
      </w:r>
      <w:r w:rsidR="00C4358F" w:rsidRPr="009F337B">
        <w:rPr>
          <w:rFonts w:cs="Times New Roman"/>
          <w:i w:val="0"/>
          <w:szCs w:val="20"/>
          <w:lang w:val="en-US"/>
        </w:rPr>
        <w:t xml:space="preserve"> </w:t>
      </w:r>
      <w:r w:rsidR="0010522A" w:rsidRPr="009F337B">
        <w:rPr>
          <w:rFonts w:cs="Times New Roman"/>
          <w:i w:val="0"/>
          <w:szCs w:val="20"/>
          <w:lang w:val="en-US"/>
        </w:rPr>
        <w:t>next of kin</w:t>
      </w:r>
      <w:r w:rsidR="0041359C" w:rsidRPr="009F337B">
        <w:rPr>
          <w:rFonts w:cs="Times New Roman"/>
          <w:i w:val="0"/>
          <w:szCs w:val="20"/>
          <w:lang w:val="en-US"/>
        </w:rPr>
        <w:t xml:space="preserve"> of victims of human </w:t>
      </w:r>
      <w:r w:rsidR="007F096F" w:rsidRPr="009F337B">
        <w:rPr>
          <w:rFonts w:cs="Times New Roman"/>
          <w:i w:val="0"/>
          <w:szCs w:val="20"/>
          <w:lang w:val="en-US"/>
        </w:rPr>
        <w:t>r</w:t>
      </w:r>
      <w:r w:rsidR="0041359C" w:rsidRPr="009F337B">
        <w:rPr>
          <w:rFonts w:cs="Times New Roman"/>
          <w:i w:val="0"/>
          <w:szCs w:val="20"/>
          <w:lang w:val="en-US"/>
        </w:rPr>
        <w:t>ights violations may, in turn, be victims.</w:t>
      </w:r>
      <w:r w:rsidR="00C4358F" w:rsidRPr="009F337B">
        <w:rPr>
          <w:rStyle w:val="Refdenotaalpie"/>
          <w:i w:val="0"/>
          <w:lang w:val="en-US"/>
        </w:rPr>
        <w:footnoteReference w:id="222"/>
      </w:r>
      <w:r w:rsidR="0041359C" w:rsidRPr="009F337B">
        <w:rPr>
          <w:rFonts w:cs="Times New Roman"/>
          <w:i w:val="0"/>
          <w:szCs w:val="20"/>
          <w:lang w:val="en-US"/>
        </w:rPr>
        <w:t xml:space="preserve"> The Court has considered that the right to mental and moral </w:t>
      </w:r>
      <w:r w:rsidR="0041359C" w:rsidRPr="009F337B">
        <w:rPr>
          <w:rFonts w:cs="Times New Roman"/>
          <w:i w:val="0"/>
          <w:szCs w:val="20"/>
          <w:lang w:val="en-US"/>
        </w:rPr>
        <w:lastRenderedPageBreak/>
        <w:t xml:space="preserve">integrity of the victims’ next of kin has been violated based on the additional suffering they have </w:t>
      </w:r>
      <w:r w:rsidR="007F096F" w:rsidRPr="009F337B">
        <w:rPr>
          <w:rFonts w:cs="Times New Roman"/>
          <w:i w:val="0"/>
          <w:szCs w:val="20"/>
          <w:lang w:val="en-US"/>
        </w:rPr>
        <w:t>experienced</w:t>
      </w:r>
      <w:r w:rsidR="0041359C" w:rsidRPr="009F337B">
        <w:rPr>
          <w:rFonts w:cs="Times New Roman"/>
          <w:i w:val="0"/>
          <w:szCs w:val="20"/>
          <w:lang w:val="en-US"/>
        </w:rPr>
        <w:t xml:space="preserve"> as a result of the specific circumstances of the violations perpetrated against their loved ones, and owing to the subsequent acts or omissions of the </w:t>
      </w:r>
      <w:r w:rsidR="007F096F" w:rsidRPr="009F337B">
        <w:rPr>
          <w:rFonts w:cs="Times New Roman"/>
          <w:i w:val="0"/>
          <w:szCs w:val="20"/>
          <w:lang w:val="en-US"/>
        </w:rPr>
        <w:t>S</w:t>
      </w:r>
      <w:r w:rsidR="0041359C" w:rsidRPr="009F337B">
        <w:rPr>
          <w:rFonts w:cs="Times New Roman"/>
          <w:i w:val="0"/>
          <w:szCs w:val="20"/>
          <w:lang w:val="en-US"/>
        </w:rPr>
        <w:t>tate authorities in relation to the facts,</w:t>
      </w:r>
      <w:r w:rsidR="00C4358F" w:rsidRPr="009F337B">
        <w:rPr>
          <w:rStyle w:val="Refdenotaalpie"/>
          <w:i w:val="0"/>
          <w:lang w:val="en-US"/>
        </w:rPr>
        <w:footnoteReference w:id="223"/>
      </w:r>
      <w:r w:rsidR="0041359C" w:rsidRPr="009F337B">
        <w:rPr>
          <w:rFonts w:cs="Times New Roman"/>
          <w:i w:val="0"/>
          <w:szCs w:val="20"/>
          <w:lang w:val="en-US"/>
        </w:rPr>
        <w:t xml:space="preserve"> taking into account, among other matters, the steps taken to obtain justice and the existence of close family ties.</w:t>
      </w:r>
      <w:r w:rsidR="00C4358F" w:rsidRPr="009F337B">
        <w:rPr>
          <w:rStyle w:val="Refdenotaalpie"/>
          <w:i w:val="0"/>
          <w:lang w:val="en-US"/>
        </w:rPr>
        <w:footnoteReference w:id="224"/>
      </w:r>
      <w:r w:rsidR="0041359C" w:rsidRPr="009F337B">
        <w:rPr>
          <w:rFonts w:cs="Times New Roman"/>
          <w:i w:val="0"/>
          <w:szCs w:val="20"/>
          <w:lang w:val="en-US"/>
        </w:rPr>
        <w:t xml:space="preserve"> It has also declared the violation of this right based on the suffering </w:t>
      </w:r>
      <w:r w:rsidR="007F096F" w:rsidRPr="009F337B">
        <w:rPr>
          <w:rFonts w:cs="Times New Roman"/>
          <w:i w:val="0"/>
          <w:szCs w:val="20"/>
          <w:lang w:val="en-US"/>
        </w:rPr>
        <w:t>resulting from</w:t>
      </w:r>
      <w:r w:rsidR="0041359C" w:rsidRPr="009F337B">
        <w:rPr>
          <w:rFonts w:cs="Times New Roman"/>
          <w:i w:val="0"/>
          <w:szCs w:val="20"/>
          <w:lang w:val="en-US"/>
        </w:rPr>
        <w:t xml:space="preserve"> the acts perpetrated against their loved ones.</w:t>
      </w:r>
      <w:r w:rsidR="00C4358F" w:rsidRPr="009F337B">
        <w:rPr>
          <w:rStyle w:val="Refdenotaalpie"/>
          <w:i w:val="0"/>
          <w:lang w:val="en-US"/>
        </w:rPr>
        <w:footnoteReference w:id="225"/>
      </w:r>
      <w:r w:rsidR="0041359C" w:rsidRPr="009F337B">
        <w:rPr>
          <w:rFonts w:cs="Times New Roman"/>
          <w:i w:val="0"/>
          <w:szCs w:val="20"/>
          <w:lang w:val="en-US"/>
        </w:rPr>
        <w:t xml:space="preserve"> </w:t>
      </w:r>
      <w:r w:rsidR="007F096F" w:rsidRPr="009F337B">
        <w:rPr>
          <w:rFonts w:cs="Times New Roman"/>
          <w:i w:val="0"/>
          <w:szCs w:val="20"/>
          <w:lang w:val="en-US"/>
        </w:rPr>
        <w:t>Furthermore</w:t>
      </w:r>
      <w:r w:rsidR="0041359C" w:rsidRPr="009F337B">
        <w:rPr>
          <w:rFonts w:cs="Times New Roman"/>
          <w:i w:val="0"/>
          <w:szCs w:val="20"/>
          <w:lang w:val="en-US"/>
        </w:rPr>
        <w:t xml:space="preserve">, the Court has indicated that the State’s contribution to creating or aggravating the situation of vulnerability of a person has a significant impact on the integrity of those around them, especially the close family members who are faced with the uncertainty and insecurity arising from the violation of the rights of their </w:t>
      </w:r>
      <w:r w:rsidR="007F096F" w:rsidRPr="009F337B">
        <w:rPr>
          <w:rFonts w:cs="Times New Roman"/>
          <w:i w:val="0"/>
          <w:szCs w:val="20"/>
          <w:lang w:val="en-US"/>
        </w:rPr>
        <w:t>direct</w:t>
      </w:r>
      <w:r w:rsidR="0041359C" w:rsidRPr="009F337B">
        <w:rPr>
          <w:rFonts w:cs="Times New Roman"/>
          <w:i w:val="0"/>
          <w:szCs w:val="20"/>
          <w:lang w:val="en-US"/>
        </w:rPr>
        <w:t xml:space="preserve"> or close family member.</w:t>
      </w:r>
      <w:r w:rsidR="00C4358F" w:rsidRPr="009F337B">
        <w:rPr>
          <w:rStyle w:val="Refdenotaalpie"/>
          <w:i w:val="0"/>
          <w:lang w:val="en-US"/>
        </w:rPr>
        <w:footnoteReference w:id="226"/>
      </w:r>
    </w:p>
    <w:p w14:paraId="4B5A7C40" w14:textId="77777777" w:rsidR="008E387F" w:rsidRPr="009F337B" w:rsidRDefault="008E387F" w:rsidP="008E387F">
      <w:pPr>
        <w:pStyle w:val="Estilo1"/>
        <w:tabs>
          <w:tab w:val="left" w:pos="709"/>
          <w:tab w:val="left" w:pos="1134"/>
        </w:tabs>
        <w:spacing w:after="0"/>
        <w:ind w:left="0" w:right="-4" w:firstLine="0"/>
        <w:rPr>
          <w:rFonts w:cs="Times New Roman"/>
          <w:i w:val="0"/>
          <w:szCs w:val="20"/>
          <w:lang w:val="en-US"/>
        </w:rPr>
      </w:pPr>
    </w:p>
    <w:p w14:paraId="0AAA2FD6" w14:textId="40BC423E" w:rsidR="00C4358F" w:rsidRPr="009F337B" w:rsidRDefault="0041359C" w:rsidP="00593E37">
      <w:pPr>
        <w:pStyle w:val="Estilo1"/>
        <w:numPr>
          <w:ilvl w:val="0"/>
          <w:numId w:val="1"/>
        </w:numPr>
        <w:tabs>
          <w:tab w:val="left" w:pos="709"/>
          <w:tab w:val="left" w:pos="1134"/>
        </w:tabs>
        <w:spacing w:after="0"/>
        <w:ind w:left="0" w:right="-4" w:firstLine="0"/>
        <w:rPr>
          <w:rFonts w:cs="Times New Roman"/>
          <w:i w:val="0"/>
          <w:szCs w:val="20"/>
          <w:lang w:val="en-US"/>
        </w:rPr>
      </w:pPr>
      <w:r w:rsidRPr="009F337B">
        <w:rPr>
          <w:rFonts w:cs="Times New Roman"/>
          <w:i w:val="0"/>
          <w:szCs w:val="20"/>
          <w:lang w:val="en-US"/>
        </w:rPr>
        <w:t>In this regard</w:t>
      </w:r>
      <w:r w:rsidR="00C4358F" w:rsidRPr="009F337B">
        <w:rPr>
          <w:rFonts w:cs="Times New Roman"/>
          <w:i w:val="0"/>
          <w:szCs w:val="20"/>
          <w:lang w:val="en-US"/>
        </w:rPr>
        <w:t xml:space="preserve">, </w:t>
      </w:r>
      <w:r w:rsidR="00AE5F9E" w:rsidRPr="009F337B">
        <w:rPr>
          <w:rFonts w:cs="Times New Roman"/>
          <w:i w:val="0"/>
          <w:szCs w:val="20"/>
          <w:lang w:val="en-US"/>
        </w:rPr>
        <w:t>the Court</w:t>
      </w:r>
      <w:r w:rsidR="00C4358F" w:rsidRPr="009F337B">
        <w:rPr>
          <w:rFonts w:cs="Times New Roman"/>
          <w:i w:val="0"/>
          <w:szCs w:val="20"/>
          <w:lang w:val="en-US"/>
        </w:rPr>
        <w:t xml:space="preserve"> </w:t>
      </w:r>
      <w:r w:rsidRPr="009F337B">
        <w:rPr>
          <w:rFonts w:cs="Times New Roman"/>
          <w:i w:val="0"/>
          <w:szCs w:val="20"/>
          <w:lang w:val="en-US"/>
        </w:rPr>
        <w:t xml:space="preserve">notes that the evidence reveals that the physical and psychological suffering </w:t>
      </w:r>
      <w:r w:rsidR="007F096F" w:rsidRPr="009F337B">
        <w:rPr>
          <w:rFonts w:cs="Times New Roman"/>
          <w:i w:val="0"/>
          <w:szCs w:val="20"/>
          <w:lang w:val="en-US"/>
        </w:rPr>
        <w:t>experienced</w:t>
      </w:r>
      <w:r w:rsidRPr="009F337B">
        <w:rPr>
          <w:rFonts w:cs="Times New Roman"/>
          <w:i w:val="0"/>
          <w:szCs w:val="20"/>
          <w:lang w:val="en-US"/>
        </w:rPr>
        <w:t xml:space="preserve"> by the presumed victims in this case owing to the absence of medical treatment also affected some of </w:t>
      </w:r>
      <w:r w:rsidR="007F096F" w:rsidRPr="009F337B">
        <w:rPr>
          <w:rFonts w:cs="Times New Roman"/>
          <w:i w:val="0"/>
          <w:szCs w:val="20"/>
          <w:lang w:val="en-US"/>
        </w:rPr>
        <w:t>their</w:t>
      </w:r>
      <w:r w:rsidRPr="009F337B">
        <w:rPr>
          <w:rFonts w:cs="Times New Roman"/>
          <w:i w:val="0"/>
          <w:szCs w:val="20"/>
          <w:lang w:val="en-US"/>
        </w:rPr>
        <w:t xml:space="preserve"> family members, and this was aggravated by the stigmatization suffered by the </w:t>
      </w:r>
      <w:r w:rsidR="0010522A" w:rsidRPr="009F337B">
        <w:rPr>
          <w:rFonts w:cs="Times New Roman"/>
          <w:i w:val="0"/>
          <w:szCs w:val="20"/>
          <w:lang w:val="en-US"/>
        </w:rPr>
        <w:t>next of kin</w:t>
      </w:r>
      <w:r w:rsidR="00C4358F" w:rsidRPr="009F337B">
        <w:rPr>
          <w:rFonts w:cs="Times New Roman"/>
          <w:i w:val="0"/>
          <w:szCs w:val="20"/>
          <w:lang w:val="en-US"/>
        </w:rPr>
        <w:t xml:space="preserve"> </w:t>
      </w:r>
      <w:r w:rsidRPr="009F337B">
        <w:rPr>
          <w:rFonts w:cs="Times New Roman"/>
          <w:i w:val="0"/>
          <w:szCs w:val="20"/>
          <w:lang w:val="en-US"/>
        </w:rPr>
        <w:t>of</w:t>
      </w:r>
      <w:r w:rsidR="00C4358F" w:rsidRPr="009F337B">
        <w:rPr>
          <w:rFonts w:cs="Times New Roman"/>
          <w:i w:val="0"/>
          <w:szCs w:val="20"/>
          <w:lang w:val="en-US"/>
        </w:rPr>
        <w:t xml:space="preserve"> </w:t>
      </w:r>
      <w:r w:rsidR="00080A1E" w:rsidRPr="009F337B">
        <w:rPr>
          <w:rFonts w:cs="Times New Roman"/>
          <w:i w:val="0"/>
          <w:szCs w:val="20"/>
          <w:lang w:val="en-US"/>
        </w:rPr>
        <w:t>people living with HIV</w:t>
      </w:r>
      <w:r w:rsidR="00C4358F" w:rsidRPr="009F337B">
        <w:rPr>
          <w:rFonts w:cs="Times New Roman"/>
          <w:i w:val="0"/>
          <w:szCs w:val="20"/>
          <w:lang w:val="en-US"/>
        </w:rPr>
        <w:t xml:space="preserve">. </w:t>
      </w:r>
      <w:r w:rsidRPr="009F337B">
        <w:rPr>
          <w:rFonts w:cs="Times New Roman"/>
          <w:i w:val="0"/>
          <w:szCs w:val="20"/>
          <w:lang w:val="en-US"/>
        </w:rPr>
        <w:t xml:space="preserve">Specifically, the Court notes that the </w:t>
      </w:r>
      <w:r w:rsidR="0010522A" w:rsidRPr="009F337B">
        <w:rPr>
          <w:rFonts w:cs="Times New Roman"/>
          <w:i w:val="0"/>
          <w:szCs w:val="20"/>
          <w:lang w:val="en-US"/>
        </w:rPr>
        <w:t>next of kin</w:t>
      </w:r>
      <w:r w:rsidR="00C4358F" w:rsidRPr="009F337B">
        <w:rPr>
          <w:rFonts w:cs="Times New Roman"/>
          <w:i w:val="0"/>
          <w:szCs w:val="20"/>
          <w:lang w:val="en-US"/>
        </w:rPr>
        <w:t xml:space="preserve"> ha</w:t>
      </w:r>
      <w:r w:rsidRPr="009F337B">
        <w:rPr>
          <w:rFonts w:cs="Times New Roman"/>
          <w:i w:val="0"/>
          <w:szCs w:val="20"/>
          <w:lang w:val="en-US"/>
        </w:rPr>
        <w:t xml:space="preserve">ve experienced pain, anguish and uncertainty owing to the lack of </w:t>
      </w:r>
      <w:r w:rsidR="007F096F" w:rsidRPr="009F337B">
        <w:rPr>
          <w:rFonts w:cs="Times New Roman"/>
          <w:i w:val="0"/>
          <w:szCs w:val="20"/>
          <w:lang w:val="en-US"/>
        </w:rPr>
        <w:t>opportune</w:t>
      </w:r>
      <w:r w:rsidRPr="009F337B">
        <w:rPr>
          <w:rFonts w:cs="Times New Roman"/>
          <w:i w:val="0"/>
          <w:szCs w:val="20"/>
          <w:lang w:val="en-US"/>
        </w:rPr>
        <w:t xml:space="preserve"> medical care, especially the lack of access to drugs, as well as frustration and helplessness because they did not have the financial resources to provide the</w:t>
      </w:r>
      <w:r w:rsidR="00D97877" w:rsidRPr="009F337B">
        <w:rPr>
          <w:rFonts w:cs="Times New Roman"/>
          <w:i w:val="0"/>
          <w:szCs w:val="20"/>
          <w:lang w:val="en-US"/>
        </w:rPr>
        <w:t>ir next of kin with the</w:t>
      </w:r>
      <w:r w:rsidR="007F096F" w:rsidRPr="009F337B">
        <w:rPr>
          <w:rFonts w:cs="Times New Roman"/>
          <w:i w:val="0"/>
          <w:szCs w:val="20"/>
          <w:lang w:val="en-US"/>
        </w:rPr>
        <w:t xml:space="preserve"> needed</w:t>
      </w:r>
      <w:r w:rsidR="00D97877" w:rsidRPr="009F337B">
        <w:rPr>
          <w:rFonts w:cs="Times New Roman"/>
          <w:i w:val="0"/>
          <w:szCs w:val="20"/>
          <w:lang w:val="en-US"/>
        </w:rPr>
        <w:t xml:space="preserve"> treatment.</w:t>
      </w:r>
      <w:r w:rsidR="00C4358F" w:rsidRPr="009F337B">
        <w:rPr>
          <w:rStyle w:val="Refdenotaalpie"/>
          <w:i w:val="0"/>
          <w:lang w:val="en-US"/>
        </w:rPr>
        <w:footnoteReference w:id="227"/>
      </w:r>
      <w:r w:rsidR="00D97877" w:rsidRPr="009F337B">
        <w:rPr>
          <w:rFonts w:cs="Times New Roman"/>
          <w:i w:val="0"/>
          <w:szCs w:val="20"/>
          <w:lang w:val="en-US"/>
        </w:rPr>
        <w:t xml:space="preserve"> Also, some of them have witnessed the deterioration in the health of their loved ones, and some of them have even had to confront the death of some of them.</w:t>
      </w:r>
      <w:r w:rsidR="00C4358F" w:rsidRPr="009F337B">
        <w:rPr>
          <w:rStyle w:val="Refdenotaalpie"/>
          <w:i w:val="0"/>
          <w:lang w:val="en-US"/>
        </w:rPr>
        <w:footnoteReference w:id="228"/>
      </w:r>
    </w:p>
    <w:p w14:paraId="3B86B8FB" w14:textId="77777777" w:rsidR="008E387F" w:rsidRPr="009F337B" w:rsidRDefault="008E387F" w:rsidP="008E387F">
      <w:pPr>
        <w:pStyle w:val="Estilo1"/>
        <w:tabs>
          <w:tab w:val="left" w:pos="709"/>
          <w:tab w:val="left" w:pos="1134"/>
        </w:tabs>
        <w:spacing w:after="0"/>
        <w:ind w:left="0" w:right="-4" w:firstLine="0"/>
        <w:rPr>
          <w:rFonts w:cs="Times New Roman"/>
          <w:i w:val="0"/>
          <w:szCs w:val="20"/>
          <w:lang w:val="en-US"/>
        </w:rPr>
      </w:pPr>
    </w:p>
    <w:p w14:paraId="342536D0" w14:textId="6AEDC0E6" w:rsidR="00C4358F" w:rsidRPr="009F337B" w:rsidRDefault="008C399E" w:rsidP="00593E37">
      <w:pPr>
        <w:pStyle w:val="Estilo1"/>
        <w:numPr>
          <w:ilvl w:val="0"/>
          <w:numId w:val="1"/>
        </w:numPr>
        <w:tabs>
          <w:tab w:val="left" w:pos="709"/>
          <w:tab w:val="left" w:pos="1134"/>
        </w:tabs>
        <w:spacing w:after="0"/>
        <w:ind w:left="0" w:right="-4" w:firstLine="0"/>
        <w:rPr>
          <w:rFonts w:cs="Times New Roman"/>
          <w:i w:val="0"/>
          <w:szCs w:val="20"/>
          <w:lang w:val="en-US"/>
        </w:rPr>
      </w:pPr>
      <w:r w:rsidRPr="009F337B">
        <w:rPr>
          <w:rFonts w:cs="Times New Roman"/>
          <w:i w:val="0"/>
          <w:szCs w:val="20"/>
          <w:lang w:val="en-US"/>
        </w:rPr>
        <w:t>The Court</w:t>
      </w:r>
      <w:r w:rsidR="00747D88" w:rsidRPr="009F337B">
        <w:rPr>
          <w:rFonts w:cs="Times New Roman"/>
          <w:i w:val="0"/>
          <w:szCs w:val="20"/>
          <w:lang w:val="en-US"/>
        </w:rPr>
        <w:t xml:space="preserve"> </w:t>
      </w:r>
      <w:r w:rsidR="00D97877" w:rsidRPr="009F337B">
        <w:rPr>
          <w:rFonts w:cs="Times New Roman"/>
          <w:i w:val="0"/>
          <w:szCs w:val="20"/>
          <w:lang w:val="en-US"/>
        </w:rPr>
        <w:t>also observes that the lack of medical care also affected the family dynamics of the victims, because some of their family members were obliged to change their working hours,</w:t>
      </w:r>
      <w:r w:rsidR="00C4358F" w:rsidRPr="009F337B">
        <w:rPr>
          <w:rStyle w:val="Refdenotaalpie"/>
          <w:i w:val="0"/>
          <w:lang w:val="en-US"/>
        </w:rPr>
        <w:footnoteReference w:id="229"/>
      </w:r>
      <w:r w:rsidR="00C4358F" w:rsidRPr="009F337B">
        <w:rPr>
          <w:rFonts w:cs="Times New Roman"/>
          <w:i w:val="0"/>
          <w:szCs w:val="20"/>
          <w:lang w:val="en-US"/>
        </w:rPr>
        <w:t xml:space="preserve"> abandon</w:t>
      </w:r>
      <w:r w:rsidR="00D97877" w:rsidRPr="009F337B">
        <w:rPr>
          <w:rFonts w:cs="Times New Roman"/>
          <w:i w:val="0"/>
          <w:szCs w:val="20"/>
          <w:lang w:val="en-US"/>
        </w:rPr>
        <w:t xml:space="preserve"> or suspend their studies and/or migrate to the United </w:t>
      </w:r>
      <w:r w:rsidR="00D97877" w:rsidRPr="009F337B">
        <w:rPr>
          <w:rFonts w:cs="Times New Roman"/>
          <w:i w:val="0"/>
          <w:szCs w:val="20"/>
          <w:lang w:val="en-US"/>
        </w:rPr>
        <w:lastRenderedPageBreak/>
        <w:t>States in order to assume the financial burden</w:t>
      </w:r>
      <w:r w:rsidR="00DF3D37" w:rsidRPr="009F337B">
        <w:rPr>
          <w:rStyle w:val="Refdenotaalpie"/>
          <w:i w:val="0"/>
          <w:lang w:val="en-US"/>
        </w:rPr>
        <w:footnoteReference w:id="230"/>
      </w:r>
      <w:r w:rsidR="003C46A3" w:rsidRPr="009F337B">
        <w:rPr>
          <w:rFonts w:cs="Times New Roman"/>
          <w:i w:val="0"/>
          <w:szCs w:val="20"/>
          <w:lang w:val="en-US"/>
        </w:rPr>
        <w:t xml:space="preserve"> and </w:t>
      </w:r>
      <w:r w:rsidR="00D97877" w:rsidRPr="009F337B">
        <w:rPr>
          <w:rFonts w:cs="Times New Roman"/>
          <w:i w:val="0"/>
          <w:szCs w:val="20"/>
          <w:lang w:val="en-US"/>
        </w:rPr>
        <w:t xml:space="preserve">the </w:t>
      </w:r>
      <w:r w:rsidR="00C4358F" w:rsidRPr="009F337B">
        <w:rPr>
          <w:rFonts w:cs="Times New Roman"/>
          <w:i w:val="0"/>
          <w:szCs w:val="20"/>
          <w:lang w:val="en-US"/>
        </w:rPr>
        <w:t>ma</w:t>
      </w:r>
      <w:r w:rsidR="00D97877" w:rsidRPr="009F337B">
        <w:rPr>
          <w:rFonts w:cs="Times New Roman"/>
          <w:i w:val="0"/>
          <w:szCs w:val="20"/>
          <w:lang w:val="en-US"/>
        </w:rPr>
        <w:t>intenance</w:t>
      </w:r>
      <w:r w:rsidR="00C4358F" w:rsidRPr="009F337B">
        <w:rPr>
          <w:rStyle w:val="Refdenotaalpie"/>
          <w:i w:val="0"/>
          <w:lang w:val="en-US"/>
        </w:rPr>
        <w:footnoteReference w:id="231"/>
      </w:r>
      <w:r w:rsidR="00C4358F" w:rsidRPr="009F337B">
        <w:rPr>
          <w:rFonts w:cs="Times New Roman"/>
          <w:i w:val="0"/>
          <w:szCs w:val="20"/>
          <w:lang w:val="en-US"/>
        </w:rPr>
        <w:t xml:space="preserve"> </w:t>
      </w:r>
      <w:r w:rsidR="00D97877" w:rsidRPr="009F337B">
        <w:rPr>
          <w:rFonts w:cs="Times New Roman"/>
          <w:i w:val="0"/>
          <w:szCs w:val="20"/>
          <w:lang w:val="en-US"/>
        </w:rPr>
        <w:t>of their family member living with HIV, leading to a break-up of the family,</w:t>
      </w:r>
      <w:r w:rsidR="00C4358F" w:rsidRPr="009F337B">
        <w:rPr>
          <w:rStyle w:val="Refdenotaalpie"/>
          <w:i w:val="0"/>
          <w:lang w:val="en-US"/>
        </w:rPr>
        <w:footnoteReference w:id="232"/>
      </w:r>
      <w:r w:rsidR="00D97877" w:rsidRPr="009F337B">
        <w:rPr>
          <w:rFonts w:cs="Times New Roman"/>
          <w:i w:val="0"/>
          <w:szCs w:val="20"/>
          <w:lang w:val="en-US"/>
        </w:rPr>
        <w:t xml:space="preserve"> harm to its finances and adverse effects on the</w:t>
      </w:r>
      <w:r w:rsidR="00A60541" w:rsidRPr="009F337B">
        <w:rPr>
          <w:rFonts w:cs="Times New Roman"/>
          <w:i w:val="0"/>
          <w:szCs w:val="20"/>
          <w:lang w:val="en-US"/>
        </w:rPr>
        <w:t>ir</w:t>
      </w:r>
      <w:r w:rsidR="00D97877" w:rsidRPr="009F337B">
        <w:rPr>
          <w:rFonts w:cs="Times New Roman"/>
          <w:i w:val="0"/>
          <w:szCs w:val="20"/>
          <w:lang w:val="en-US"/>
        </w:rPr>
        <w:t xml:space="preserve"> life project. The Court also underlines the transmission of HIV to L.A.L., which could have been prevented if </w:t>
      </w:r>
      <w:r w:rsidR="00C13A2E" w:rsidRPr="009F337B">
        <w:rPr>
          <w:rFonts w:cs="Times New Roman"/>
          <w:i w:val="0"/>
          <w:szCs w:val="20"/>
          <w:lang w:val="en-US"/>
        </w:rPr>
        <w:t>his</w:t>
      </w:r>
      <w:r w:rsidR="00D97877" w:rsidRPr="009F337B">
        <w:rPr>
          <w:rFonts w:cs="Times New Roman"/>
          <w:i w:val="0"/>
          <w:szCs w:val="20"/>
          <w:lang w:val="en-US"/>
        </w:rPr>
        <w:t xml:space="preserve"> mother had received adequate medical treatment. Likewise, the Court notes the suffering </w:t>
      </w:r>
      <w:r w:rsidR="007F096F" w:rsidRPr="009F337B">
        <w:rPr>
          <w:rFonts w:cs="Times New Roman"/>
          <w:i w:val="0"/>
          <w:szCs w:val="20"/>
          <w:lang w:val="en-US"/>
        </w:rPr>
        <w:t>experienced</w:t>
      </w:r>
      <w:r w:rsidR="00D97877" w:rsidRPr="009F337B">
        <w:rPr>
          <w:rFonts w:cs="Times New Roman"/>
          <w:i w:val="0"/>
          <w:szCs w:val="20"/>
          <w:lang w:val="en-US"/>
        </w:rPr>
        <w:t xml:space="preserve"> by the victims’ next of kin due to the stigmatization of people living with HIV, which created feelings of shame and fear,</w:t>
      </w:r>
      <w:r w:rsidR="00C4358F" w:rsidRPr="009F337B">
        <w:rPr>
          <w:rStyle w:val="Refdenotaalpie"/>
          <w:i w:val="0"/>
          <w:lang w:val="en-US"/>
        </w:rPr>
        <w:footnoteReference w:id="233"/>
      </w:r>
      <w:r w:rsidR="00D97877" w:rsidRPr="009F337B">
        <w:rPr>
          <w:rFonts w:cs="Times New Roman"/>
          <w:i w:val="0"/>
          <w:szCs w:val="20"/>
          <w:lang w:val="en-US"/>
        </w:rPr>
        <w:t xml:space="preserve"> together with exclusion from their family circle and loss of their employment.</w:t>
      </w:r>
      <w:r w:rsidR="005C5949" w:rsidRPr="009F337B">
        <w:rPr>
          <w:rStyle w:val="Refdenotaalpie"/>
          <w:i w:val="0"/>
          <w:lang w:val="en-US"/>
        </w:rPr>
        <w:footnoteReference w:id="234"/>
      </w:r>
      <w:r w:rsidR="00D97877" w:rsidRPr="009F337B">
        <w:rPr>
          <w:rFonts w:cs="Times New Roman"/>
          <w:i w:val="0"/>
          <w:szCs w:val="20"/>
          <w:lang w:val="en-US"/>
        </w:rPr>
        <w:t xml:space="preserve"> In this regard, the Court reiterates that </w:t>
      </w:r>
      <w:r w:rsidR="00A51F3B" w:rsidRPr="009F337B">
        <w:rPr>
          <w:rFonts w:cs="Times New Roman"/>
          <w:i w:val="0"/>
          <w:szCs w:val="20"/>
          <w:lang w:val="en-US"/>
        </w:rPr>
        <w:t>the right to health</w:t>
      </w:r>
      <w:r w:rsidR="00C4358F" w:rsidRPr="009F337B">
        <w:rPr>
          <w:rFonts w:cs="Times New Roman"/>
          <w:i w:val="0"/>
          <w:szCs w:val="20"/>
          <w:lang w:val="en-US"/>
        </w:rPr>
        <w:t xml:space="preserve"> </w:t>
      </w:r>
      <w:r w:rsidR="00D97877" w:rsidRPr="009F337B">
        <w:rPr>
          <w:rFonts w:cs="Times New Roman"/>
          <w:i w:val="0"/>
          <w:szCs w:val="20"/>
          <w:lang w:val="en-US"/>
        </w:rPr>
        <w:t>of</w:t>
      </w:r>
      <w:r w:rsidR="00C4358F" w:rsidRPr="009F337B">
        <w:rPr>
          <w:rFonts w:cs="Times New Roman"/>
          <w:i w:val="0"/>
          <w:szCs w:val="20"/>
          <w:lang w:val="en-US"/>
        </w:rPr>
        <w:t xml:space="preserve"> </w:t>
      </w:r>
      <w:r w:rsidR="00080A1E" w:rsidRPr="009F337B">
        <w:rPr>
          <w:rFonts w:cs="Times New Roman"/>
          <w:i w:val="0"/>
          <w:szCs w:val="20"/>
          <w:lang w:val="en-US"/>
        </w:rPr>
        <w:t>people living with HIV</w:t>
      </w:r>
      <w:r w:rsidR="00C4358F" w:rsidRPr="009F337B">
        <w:rPr>
          <w:rFonts w:cs="Times New Roman"/>
          <w:i w:val="0"/>
          <w:szCs w:val="20"/>
          <w:lang w:val="en-US"/>
        </w:rPr>
        <w:t xml:space="preserve"> inclu</w:t>
      </w:r>
      <w:r w:rsidR="00D97877" w:rsidRPr="009F337B">
        <w:rPr>
          <w:rFonts w:cs="Times New Roman"/>
          <w:i w:val="0"/>
          <w:szCs w:val="20"/>
          <w:lang w:val="en-US"/>
        </w:rPr>
        <w:t xml:space="preserve">des interdisciplinary medical care, to which their next of kin should also have access to help them deal with these feelings, and this did not happen in the instant case. </w:t>
      </w:r>
    </w:p>
    <w:p w14:paraId="742BDDD4" w14:textId="77777777" w:rsidR="00DF3D37" w:rsidRPr="009F337B" w:rsidRDefault="00DF3D37" w:rsidP="00DF3D37">
      <w:pPr>
        <w:pStyle w:val="Estilo1"/>
        <w:tabs>
          <w:tab w:val="left" w:pos="709"/>
          <w:tab w:val="left" w:pos="1134"/>
        </w:tabs>
        <w:spacing w:after="0"/>
        <w:ind w:left="0" w:right="-4" w:firstLine="0"/>
        <w:rPr>
          <w:rFonts w:cs="Times New Roman"/>
          <w:i w:val="0"/>
          <w:szCs w:val="20"/>
          <w:lang w:val="en-US"/>
        </w:rPr>
      </w:pPr>
    </w:p>
    <w:p w14:paraId="4CD8234B" w14:textId="3A871CCC" w:rsidR="00F6076B" w:rsidRPr="009F337B" w:rsidRDefault="00D97877" w:rsidP="00593E37">
      <w:pPr>
        <w:pStyle w:val="Estilo1"/>
        <w:numPr>
          <w:ilvl w:val="0"/>
          <w:numId w:val="1"/>
        </w:numPr>
        <w:tabs>
          <w:tab w:val="left" w:pos="709"/>
          <w:tab w:val="left" w:pos="1134"/>
        </w:tabs>
        <w:spacing w:after="0"/>
        <w:ind w:left="0" w:right="-4" w:firstLine="0"/>
        <w:rPr>
          <w:rFonts w:cs="Times New Roman"/>
          <w:i w:val="0"/>
          <w:szCs w:val="20"/>
          <w:lang w:val="en-US"/>
        </w:rPr>
      </w:pPr>
      <w:r w:rsidRPr="009F337B">
        <w:rPr>
          <w:rFonts w:cs="Times New Roman"/>
          <w:i w:val="0"/>
          <w:szCs w:val="20"/>
          <w:lang w:val="en-US"/>
        </w:rPr>
        <w:t xml:space="preserve">Regarding the </w:t>
      </w:r>
      <w:r w:rsidR="00F307A2" w:rsidRPr="009F337B">
        <w:rPr>
          <w:rFonts w:cs="Times New Roman"/>
          <w:i w:val="0"/>
          <w:szCs w:val="20"/>
          <w:lang w:val="en-US"/>
        </w:rPr>
        <w:t xml:space="preserve">suffering </w:t>
      </w:r>
      <w:r w:rsidR="007F096F" w:rsidRPr="009F337B">
        <w:rPr>
          <w:rFonts w:cs="Times New Roman"/>
          <w:i w:val="0"/>
          <w:szCs w:val="20"/>
          <w:lang w:val="en-US"/>
        </w:rPr>
        <w:t>experienced</w:t>
      </w:r>
      <w:r w:rsidR="00F307A2" w:rsidRPr="009F337B">
        <w:rPr>
          <w:rFonts w:cs="Times New Roman"/>
          <w:i w:val="0"/>
          <w:szCs w:val="20"/>
          <w:lang w:val="en-US"/>
        </w:rPr>
        <w:t xml:space="preserve"> by the</w:t>
      </w:r>
      <w:r w:rsidR="00C4358F" w:rsidRPr="009F337B">
        <w:rPr>
          <w:rFonts w:cs="Times New Roman"/>
          <w:i w:val="0"/>
          <w:szCs w:val="20"/>
          <w:lang w:val="en-US"/>
        </w:rPr>
        <w:t xml:space="preserve"> </w:t>
      </w:r>
      <w:r w:rsidR="0010522A" w:rsidRPr="009F337B">
        <w:rPr>
          <w:rFonts w:cs="Times New Roman"/>
          <w:i w:val="0"/>
          <w:szCs w:val="20"/>
          <w:lang w:val="en-US"/>
        </w:rPr>
        <w:t>next of kin</w:t>
      </w:r>
      <w:r w:rsidR="00C4358F" w:rsidRPr="009F337B">
        <w:rPr>
          <w:rFonts w:cs="Times New Roman"/>
          <w:i w:val="0"/>
          <w:szCs w:val="20"/>
          <w:lang w:val="en-US"/>
        </w:rPr>
        <w:t xml:space="preserve"> </w:t>
      </w:r>
      <w:r w:rsidR="00F307A2" w:rsidRPr="009F337B">
        <w:rPr>
          <w:rFonts w:cs="Times New Roman"/>
          <w:i w:val="0"/>
          <w:szCs w:val="20"/>
          <w:lang w:val="en-US"/>
        </w:rPr>
        <w:t>of</w:t>
      </w:r>
      <w:r w:rsidR="00C4358F" w:rsidRPr="009F337B">
        <w:rPr>
          <w:rFonts w:cs="Times New Roman"/>
          <w:i w:val="0"/>
          <w:szCs w:val="20"/>
          <w:lang w:val="en-US"/>
        </w:rPr>
        <w:t xml:space="preserve"> </w:t>
      </w:r>
      <w:r w:rsidR="00080A1E" w:rsidRPr="009F337B">
        <w:rPr>
          <w:rFonts w:cs="Times New Roman"/>
          <w:i w:val="0"/>
          <w:szCs w:val="20"/>
          <w:lang w:val="en-US"/>
        </w:rPr>
        <w:t>people living with HIV</w:t>
      </w:r>
      <w:r w:rsidR="00C4358F" w:rsidRPr="009F337B">
        <w:rPr>
          <w:rFonts w:cs="Times New Roman"/>
          <w:i w:val="0"/>
          <w:szCs w:val="20"/>
          <w:lang w:val="en-US"/>
        </w:rPr>
        <w:t xml:space="preserve">, </w:t>
      </w:r>
      <w:r w:rsidR="00A60541" w:rsidRPr="009F337B">
        <w:rPr>
          <w:rFonts w:cs="Times New Roman"/>
          <w:i w:val="0"/>
          <w:szCs w:val="20"/>
          <w:lang w:val="en-US"/>
        </w:rPr>
        <w:t xml:space="preserve">it can be inferred </w:t>
      </w:r>
      <w:r w:rsidR="00F307A2" w:rsidRPr="009F337B">
        <w:rPr>
          <w:rFonts w:cs="Times New Roman"/>
          <w:i w:val="0"/>
          <w:szCs w:val="20"/>
          <w:lang w:val="en-US"/>
        </w:rPr>
        <w:t>from the expert opinion of</w:t>
      </w:r>
      <w:r w:rsidR="00C4358F" w:rsidRPr="009F337B">
        <w:rPr>
          <w:rFonts w:cs="Times New Roman"/>
          <w:i w:val="0"/>
          <w:szCs w:val="20"/>
          <w:lang w:val="en-US"/>
        </w:rPr>
        <w:t xml:space="preserve"> Olga Alicia Paz</w:t>
      </w:r>
      <w:r w:rsidR="00BA7D89" w:rsidRPr="009F337B">
        <w:rPr>
          <w:rFonts w:cs="Times New Roman"/>
          <w:i w:val="0"/>
          <w:szCs w:val="20"/>
          <w:lang w:val="en-US"/>
        </w:rPr>
        <w:t xml:space="preserve"> Bailey</w:t>
      </w:r>
      <w:r w:rsidR="00C4358F" w:rsidRPr="009F337B">
        <w:rPr>
          <w:rFonts w:cs="Times New Roman"/>
          <w:i w:val="0"/>
          <w:szCs w:val="20"/>
          <w:lang w:val="en-US"/>
        </w:rPr>
        <w:t xml:space="preserve"> </w:t>
      </w:r>
      <w:r w:rsidR="00F307A2" w:rsidRPr="009F337B">
        <w:rPr>
          <w:rFonts w:cs="Times New Roman"/>
          <w:i w:val="0"/>
          <w:szCs w:val="20"/>
          <w:lang w:val="en-US"/>
        </w:rPr>
        <w:t xml:space="preserve">that the </w:t>
      </w:r>
      <w:r w:rsidR="00A60541" w:rsidRPr="009F337B">
        <w:rPr>
          <w:rFonts w:cs="Times New Roman"/>
          <w:i w:val="0"/>
          <w:szCs w:val="20"/>
          <w:lang w:val="en-US"/>
        </w:rPr>
        <w:t>diseases</w:t>
      </w:r>
      <w:r w:rsidR="00F307A2" w:rsidRPr="009F337B">
        <w:rPr>
          <w:rFonts w:cs="Times New Roman"/>
          <w:i w:val="0"/>
          <w:szCs w:val="20"/>
          <w:lang w:val="en-US"/>
        </w:rPr>
        <w:t xml:space="preserve"> suffered by people living with HIV transcend the individual sphere. Thus, the members of the family may also suffer </w:t>
      </w:r>
      <w:r w:rsidR="00460428">
        <w:rPr>
          <w:rFonts w:cs="Times New Roman"/>
          <w:i w:val="0"/>
          <w:szCs w:val="20"/>
          <w:lang w:val="en-US"/>
        </w:rPr>
        <w:t>adverse</w:t>
      </w:r>
      <w:r w:rsidR="00F307A2" w:rsidRPr="009F337B">
        <w:rPr>
          <w:rFonts w:cs="Times New Roman"/>
          <w:i w:val="0"/>
          <w:szCs w:val="20"/>
          <w:lang w:val="en-US"/>
        </w:rPr>
        <w:t xml:space="preserve"> effects that materialize in situations in which children have to assume the role of </w:t>
      </w:r>
      <w:r w:rsidR="00A60541" w:rsidRPr="009F337B">
        <w:rPr>
          <w:rFonts w:cs="Times New Roman"/>
          <w:i w:val="0"/>
          <w:szCs w:val="20"/>
          <w:lang w:val="en-US"/>
        </w:rPr>
        <w:t xml:space="preserve">their parents’ </w:t>
      </w:r>
      <w:proofErr w:type="spellStart"/>
      <w:r w:rsidR="00F307A2" w:rsidRPr="009F337B">
        <w:rPr>
          <w:rFonts w:cs="Times New Roman"/>
          <w:i w:val="0"/>
          <w:szCs w:val="20"/>
          <w:lang w:val="en-US"/>
        </w:rPr>
        <w:t>carers</w:t>
      </w:r>
      <w:proofErr w:type="spellEnd"/>
      <w:r w:rsidR="00F307A2" w:rsidRPr="009F337B">
        <w:rPr>
          <w:rFonts w:cs="Times New Roman"/>
          <w:i w:val="0"/>
          <w:szCs w:val="20"/>
          <w:lang w:val="en-US"/>
        </w:rPr>
        <w:t xml:space="preserve"> or providers; grandparents take on the role of mothers or fathers, an</w:t>
      </w:r>
      <w:r w:rsidR="00460428">
        <w:rPr>
          <w:rFonts w:cs="Times New Roman"/>
          <w:i w:val="0"/>
          <w:szCs w:val="20"/>
          <w:lang w:val="en-US"/>
        </w:rPr>
        <w:t>d</w:t>
      </w:r>
      <w:r w:rsidR="00F307A2" w:rsidRPr="009F337B">
        <w:rPr>
          <w:rFonts w:cs="Times New Roman"/>
          <w:i w:val="0"/>
          <w:szCs w:val="20"/>
          <w:lang w:val="en-US"/>
        </w:rPr>
        <w:t xml:space="preserve"> the personal life projects of the members of a family are altered. And these consequences may be attributed to the State insofar as, due to its failure to comply with the obligation to </w:t>
      </w:r>
      <w:r w:rsidR="00A60541" w:rsidRPr="009F337B">
        <w:rPr>
          <w:rFonts w:cs="Times New Roman"/>
          <w:i w:val="0"/>
          <w:szCs w:val="20"/>
          <w:lang w:val="en-US"/>
        </w:rPr>
        <w:t>ensure</w:t>
      </w:r>
      <w:r w:rsidR="00F307A2" w:rsidRPr="009F337B">
        <w:rPr>
          <w:rFonts w:cs="Times New Roman"/>
          <w:i w:val="0"/>
          <w:szCs w:val="20"/>
          <w:lang w:val="en-US"/>
        </w:rPr>
        <w:t xml:space="preserve"> the right to health, the capabilities of </w:t>
      </w:r>
      <w:r w:rsidR="00080A1E" w:rsidRPr="009F337B">
        <w:rPr>
          <w:rFonts w:cs="Times New Roman"/>
          <w:i w:val="0"/>
          <w:szCs w:val="20"/>
          <w:lang w:val="en-US"/>
        </w:rPr>
        <w:t>people living with HIV</w:t>
      </w:r>
      <w:r w:rsidR="00C4358F" w:rsidRPr="009F337B">
        <w:rPr>
          <w:rFonts w:cs="Times New Roman"/>
          <w:i w:val="0"/>
          <w:szCs w:val="20"/>
          <w:lang w:val="en-US"/>
        </w:rPr>
        <w:t xml:space="preserve"> </w:t>
      </w:r>
      <w:r w:rsidR="00F307A2" w:rsidRPr="009F337B">
        <w:rPr>
          <w:rFonts w:cs="Times New Roman"/>
          <w:i w:val="0"/>
          <w:szCs w:val="20"/>
          <w:lang w:val="en-US"/>
        </w:rPr>
        <w:t>are affected and also the lives of</w:t>
      </w:r>
      <w:r w:rsidR="00C4358F" w:rsidRPr="009F337B">
        <w:rPr>
          <w:rFonts w:cs="Times New Roman"/>
          <w:i w:val="0"/>
          <w:szCs w:val="20"/>
          <w:lang w:val="en-US"/>
        </w:rPr>
        <w:t xml:space="preserve"> </w:t>
      </w:r>
      <w:r w:rsidR="00BB0DF2" w:rsidRPr="009F337B">
        <w:rPr>
          <w:rFonts w:cs="Times New Roman"/>
          <w:i w:val="0"/>
          <w:szCs w:val="20"/>
          <w:lang w:val="en-US"/>
        </w:rPr>
        <w:t>their next of kin</w:t>
      </w:r>
      <w:r w:rsidR="00C4358F" w:rsidRPr="009F337B">
        <w:rPr>
          <w:rFonts w:cs="Times New Roman"/>
          <w:i w:val="0"/>
          <w:szCs w:val="20"/>
          <w:lang w:val="en-US"/>
        </w:rPr>
        <w:t>.</w:t>
      </w:r>
    </w:p>
    <w:p w14:paraId="042DF5F0" w14:textId="77777777" w:rsidR="008E387F" w:rsidRPr="009F337B" w:rsidRDefault="008E387F" w:rsidP="008E387F">
      <w:pPr>
        <w:pStyle w:val="Estilo1"/>
        <w:tabs>
          <w:tab w:val="left" w:pos="709"/>
          <w:tab w:val="left" w:pos="1134"/>
        </w:tabs>
        <w:spacing w:after="0"/>
        <w:ind w:left="0" w:right="-4" w:firstLine="0"/>
        <w:rPr>
          <w:rFonts w:cs="Times New Roman"/>
          <w:i w:val="0"/>
          <w:szCs w:val="20"/>
          <w:lang w:val="en-US"/>
        </w:rPr>
      </w:pPr>
    </w:p>
    <w:p w14:paraId="58CB85CB" w14:textId="5E56D71D" w:rsidR="00F6076B" w:rsidRPr="009F337B" w:rsidRDefault="00F307A2" w:rsidP="00593E37">
      <w:pPr>
        <w:pStyle w:val="Estilo1"/>
        <w:numPr>
          <w:ilvl w:val="0"/>
          <w:numId w:val="1"/>
        </w:numPr>
        <w:tabs>
          <w:tab w:val="left" w:pos="709"/>
          <w:tab w:val="left" w:pos="1134"/>
        </w:tabs>
        <w:spacing w:after="0"/>
        <w:ind w:left="0" w:right="-4" w:firstLine="0"/>
        <w:rPr>
          <w:rFonts w:cs="Times New Roman"/>
          <w:i w:val="0"/>
          <w:szCs w:val="20"/>
          <w:lang w:val="en-US"/>
        </w:rPr>
      </w:pPr>
      <w:r w:rsidRPr="009F337B">
        <w:rPr>
          <w:i w:val="0"/>
          <w:lang w:val="en-US"/>
        </w:rPr>
        <w:t>Both</w:t>
      </w:r>
      <w:r w:rsidR="00F6076B" w:rsidRPr="009F337B">
        <w:rPr>
          <w:i w:val="0"/>
          <w:lang w:val="en-US"/>
        </w:rPr>
        <w:t xml:space="preserve"> </w:t>
      </w:r>
      <w:r w:rsidR="00AE5F9E" w:rsidRPr="009F337B">
        <w:rPr>
          <w:i w:val="0"/>
          <w:lang w:val="en-US"/>
        </w:rPr>
        <w:t>the Commission</w:t>
      </w:r>
      <w:r w:rsidR="00F6076B" w:rsidRPr="009F337B">
        <w:rPr>
          <w:i w:val="0"/>
          <w:lang w:val="en-US"/>
        </w:rPr>
        <w:t xml:space="preserve"> </w:t>
      </w:r>
      <w:r w:rsidRPr="009F337B">
        <w:rPr>
          <w:i w:val="0"/>
          <w:lang w:val="en-US"/>
        </w:rPr>
        <w:t>and</w:t>
      </w:r>
      <w:r w:rsidR="00F6076B" w:rsidRPr="009F337B">
        <w:rPr>
          <w:i w:val="0"/>
          <w:lang w:val="en-US"/>
        </w:rPr>
        <w:t xml:space="preserve"> </w:t>
      </w:r>
      <w:r w:rsidR="007327F5" w:rsidRPr="009F337B">
        <w:rPr>
          <w:i w:val="0"/>
          <w:lang w:val="en-US"/>
        </w:rPr>
        <w:t>the representatives</w:t>
      </w:r>
      <w:r w:rsidR="00F6076B" w:rsidRPr="009F337B">
        <w:rPr>
          <w:i w:val="0"/>
          <w:lang w:val="en-US"/>
        </w:rPr>
        <w:t xml:space="preserve"> </w:t>
      </w:r>
      <w:r w:rsidRPr="009F337B">
        <w:rPr>
          <w:i w:val="0"/>
          <w:lang w:val="en-US"/>
        </w:rPr>
        <w:t xml:space="preserve">argued that the stigma that traditionally accompanies </w:t>
      </w:r>
      <w:r w:rsidR="00CA11F6" w:rsidRPr="009F337B">
        <w:rPr>
          <w:i w:val="0"/>
          <w:lang w:val="en-US"/>
        </w:rPr>
        <w:t>HIV/AIDS</w:t>
      </w:r>
      <w:r w:rsidR="00F6076B" w:rsidRPr="009F337B">
        <w:rPr>
          <w:i w:val="0"/>
          <w:lang w:val="en-US"/>
        </w:rPr>
        <w:t xml:space="preserve"> af</w:t>
      </w:r>
      <w:r w:rsidRPr="009F337B">
        <w:rPr>
          <w:i w:val="0"/>
          <w:lang w:val="en-US"/>
        </w:rPr>
        <w:t xml:space="preserve">fects not only the next of kin but also those who form part of the closest circle, and therefore they should also be considered victims. The State did not submit arguments in this regard. The Court has recognized that someone who is not a direct family member, or who does not have a legal relationship, may be considered a victim of violations of their </w:t>
      </w:r>
      <w:r w:rsidR="003C46A3" w:rsidRPr="009F337B">
        <w:rPr>
          <w:i w:val="0"/>
          <w:lang w:val="en-US"/>
        </w:rPr>
        <w:t>personal integrity</w:t>
      </w:r>
      <w:r w:rsidR="00F6076B" w:rsidRPr="009F337B">
        <w:rPr>
          <w:i w:val="0"/>
          <w:lang w:val="en-US"/>
        </w:rPr>
        <w:t xml:space="preserve"> </w:t>
      </w:r>
      <w:r w:rsidRPr="009F337B">
        <w:rPr>
          <w:i w:val="0"/>
          <w:lang w:val="en-US"/>
        </w:rPr>
        <w:t>owing to the suffering and pain that the human rights violations have caused their loved ones.</w:t>
      </w:r>
      <w:r w:rsidR="00F6076B" w:rsidRPr="009F337B">
        <w:rPr>
          <w:rStyle w:val="Refdenotaalpie"/>
          <w:i w:val="0"/>
          <w:lang w:val="en-US"/>
        </w:rPr>
        <w:footnoteReference w:id="235"/>
      </w:r>
      <w:r w:rsidRPr="009F337B">
        <w:rPr>
          <w:i w:val="0"/>
          <w:lang w:val="en-US"/>
        </w:rPr>
        <w:t xml:space="preserve"> In addition, the Court notes that, usually, it is the parents and close friends </w:t>
      </w:r>
      <w:r w:rsidR="005E0727" w:rsidRPr="009F337B">
        <w:rPr>
          <w:i w:val="0"/>
          <w:lang w:val="en-US"/>
        </w:rPr>
        <w:t xml:space="preserve">who provide most support for the care of people </w:t>
      </w:r>
      <w:r w:rsidR="005E0727" w:rsidRPr="009F337B">
        <w:rPr>
          <w:i w:val="0"/>
          <w:lang w:val="en-US"/>
        </w:rPr>
        <w:lastRenderedPageBreak/>
        <w:t xml:space="preserve">living with HIV, which is also essential for their physical </w:t>
      </w:r>
      <w:r w:rsidR="00A60541" w:rsidRPr="009F337B">
        <w:rPr>
          <w:i w:val="0"/>
          <w:lang w:val="en-US"/>
        </w:rPr>
        <w:t xml:space="preserve">and mental </w:t>
      </w:r>
      <w:r w:rsidR="005E0727" w:rsidRPr="009F337B">
        <w:rPr>
          <w:i w:val="0"/>
          <w:lang w:val="en-US"/>
        </w:rPr>
        <w:t>well-being.</w:t>
      </w:r>
      <w:r w:rsidR="00F6076B" w:rsidRPr="009F337B">
        <w:rPr>
          <w:rStyle w:val="Refdenotaalpie"/>
          <w:i w:val="0"/>
          <w:lang w:val="en-US"/>
        </w:rPr>
        <w:footnoteReference w:id="236"/>
      </w:r>
      <w:r w:rsidR="005E0727" w:rsidRPr="009F337B">
        <w:rPr>
          <w:i w:val="0"/>
          <w:lang w:val="en-US"/>
        </w:rPr>
        <w:t xml:space="preserve"> In this regard, the Court considers that, in this case, those close friends who have accompanied </w:t>
      </w:r>
      <w:r w:rsidR="00A00EE5" w:rsidRPr="009F337B">
        <w:rPr>
          <w:i w:val="0"/>
          <w:lang w:val="en-US"/>
        </w:rPr>
        <w:t>the presumed</w:t>
      </w:r>
      <w:r w:rsidR="003C46A3" w:rsidRPr="009F337B">
        <w:rPr>
          <w:i w:val="0"/>
          <w:lang w:val="en-US"/>
        </w:rPr>
        <w:t xml:space="preserve"> victims</w:t>
      </w:r>
      <w:r w:rsidR="00EE1B7D" w:rsidRPr="009F337B">
        <w:rPr>
          <w:i w:val="0"/>
          <w:lang w:val="en-US"/>
        </w:rPr>
        <w:t>,</w:t>
      </w:r>
      <w:r w:rsidR="003C46A3" w:rsidRPr="009F337B">
        <w:rPr>
          <w:i w:val="0"/>
          <w:lang w:val="en-US"/>
        </w:rPr>
        <w:t xml:space="preserve"> and </w:t>
      </w:r>
      <w:r w:rsidR="005E0727" w:rsidRPr="009F337B">
        <w:rPr>
          <w:i w:val="0"/>
          <w:lang w:val="en-US"/>
        </w:rPr>
        <w:t>regarding whom it has been proved that they suffered owing to the violations committed against their loved ones</w:t>
      </w:r>
      <w:r w:rsidR="00A60541" w:rsidRPr="009F337B">
        <w:rPr>
          <w:i w:val="0"/>
          <w:lang w:val="en-US"/>
        </w:rPr>
        <w:t>,</w:t>
      </w:r>
      <w:r w:rsidR="005E0727" w:rsidRPr="009F337B">
        <w:rPr>
          <w:i w:val="0"/>
          <w:lang w:val="en-US"/>
        </w:rPr>
        <w:t xml:space="preserve"> may be considered victims. </w:t>
      </w:r>
    </w:p>
    <w:p w14:paraId="730CDA65" w14:textId="77777777" w:rsidR="008E387F" w:rsidRPr="009F337B" w:rsidRDefault="008E387F" w:rsidP="008E387F">
      <w:pPr>
        <w:pStyle w:val="Estilo1"/>
        <w:tabs>
          <w:tab w:val="left" w:pos="709"/>
          <w:tab w:val="left" w:pos="1134"/>
        </w:tabs>
        <w:spacing w:after="0"/>
        <w:ind w:left="0" w:right="-4" w:firstLine="0"/>
        <w:rPr>
          <w:rFonts w:cs="Times New Roman"/>
          <w:i w:val="0"/>
          <w:szCs w:val="20"/>
          <w:lang w:val="en-US"/>
        </w:rPr>
      </w:pPr>
    </w:p>
    <w:p w14:paraId="32DCE6E8" w14:textId="1AD482EB" w:rsidR="00C4358F" w:rsidRPr="009F337B" w:rsidRDefault="005E0727" w:rsidP="00593E37">
      <w:pPr>
        <w:pStyle w:val="Estilo1"/>
        <w:numPr>
          <w:ilvl w:val="0"/>
          <w:numId w:val="1"/>
        </w:numPr>
        <w:tabs>
          <w:tab w:val="left" w:pos="709"/>
          <w:tab w:val="left" w:pos="1134"/>
        </w:tabs>
        <w:spacing w:after="0"/>
        <w:ind w:left="0" w:right="-4" w:firstLine="0"/>
        <w:rPr>
          <w:rFonts w:cs="Times New Roman"/>
          <w:i w:val="0"/>
          <w:szCs w:val="20"/>
          <w:lang w:val="en-US"/>
        </w:rPr>
      </w:pPr>
      <w:r w:rsidRPr="009F337B">
        <w:rPr>
          <w:i w:val="0"/>
          <w:lang w:val="en-US"/>
        </w:rPr>
        <w:t>In this case</w:t>
      </w:r>
      <w:r w:rsidR="00F6076B" w:rsidRPr="009F337B">
        <w:rPr>
          <w:i w:val="0"/>
          <w:lang w:val="en-US"/>
        </w:rPr>
        <w:t xml:space="preserve">, </w:t>
      </w:r>
      <w:r w:rsidR="00AE5F9E" w:rsidRPr="009F337B">
        <w:rPr>
          <w:i w:val="0"/>
          <w:lang w:val="en-US"/>
        </w:rPr>
        <w:t>the Court</w:t>
      </w:r>
      <w:r w:rsidR="00F6076B" w:rsidRPr="009F337B">
        <w:rPr>
          <w:i w:val="0"/>
          <w:lang w:val="en-US"/>
        </w:rPr>
        <w:t xml:space="preserve"> </w:t>
      </w:r>
      <w:r w:rsidRPr="009F337B">
        <w:rPr>
          <w:i w:val="0"/>
          <w:lang w:val="en-US"/>
        </w:rPr>
        <w:t>notes that</w:t>
      </w:r>
      <w:r w:rsidR="00F6076B" w:rsidRPr="009F337B">
        <w:rPr>
          <w:i w:val="0"/>
          <w:lang w:val="en-US"/>
        </w:rPr>
        <w:t xml:space="preserve"> Luz Imelda Lucas de León, </w:t>
      </w:r>
      <w:r w:rsidRPr="009F337B">
        <w:rPr>
          <w:i w:val="0"/>
          <w:lang w:val="en-US"/>
        </w:rPr>
        <w:t>who</w:t>
      </w:r>
      <w:r w:rsidR="00F6076B" w:rsidRPr="009F337B">
        <w:rPr>
          <w:i w:val="0"/>
          <w:lang w:val="en-US"/>
        </w:rPr>
        <w:t xml:space="preserve"> </w:t>
      </w:r>
      <w:r w:rsidR="00AE5F9E" w:rsidRPr="009F337B">
        <w:rPr>
          <w:i w:val="0"/>
          <w:lang w:val="en-US"/>
        </w:rPr>
        <w:t>the Commission</w:t>
      </w:r>
      <w:r w:rsidRPr="009F337B">
        <w:rPr>
          <w:i w:val="0"/>
          <w:lang w:val="en-US"/>
        </w:rPr>
        <w:t xml:space="preserve"> named as a </w:t>
      </w:r>
      <w:r w:rsidR="0010522A" w:rsidRPr="009F337B">
        <w:rPr>
          <w:i w:val="0"/>
          <w:lang w:val="en-US"/>
        </w:rPr>
        <w:t>friend</w:t>
      </w:r>
      <w:r w:rsidR="00F6076B" w:rsidRPr="009F337B">
        <w:rPr>
          <w:i w:val="0"/>
          <w:lang w:val="en-US"/>
        </w:rPr>
        <w:t xml:space="preserve"> </w:t>
      </w:r>
      <w:r w:rsidRPr="009F337B">
        <w:rPr>
          <w:i w:val="0"/>
          <w:lang w:val="en-US"/>
        </w:rPr>
        <w:t>of</w:t>
      </w:r>
      <w:r w:rsidR="00F6076B" w:rsidRPr="009F337B">
        <w:rPr>
          <w:i w:val="0"/>
          <w:lang w:val="en-US"/>
        </w:rPr>
        <w:t xml:space="preserve"> Rita </w:t>
      </w:r>
      <w:proofErr w:type="spellStart"/>
      <w:r w:rsidR="00F6076B" w:rsidRPr="009F337B">
        <w:rPr>
          <w:i w:val="0"/>
          <w:lang w:val="en-US"/>
        </w:rPr>
        <w:t>Dubón</w:t>
      </w:r>
      <w:proofErr w:type="spellEnd"/>
      <w:r w:rsidR="00F6076B" w:rsidRPr="009F337B">
        <w:rPr>
          <w:i w:val="0"/>
          <w:lang w:val="en-US"/>
        </w:rPr>
        <w:t xml:space="preserve"> Orozco, </w:t>
      </w:r>
      <w:r w:rsidRPr="009F337B">
        <w:rPr>
          <w:i w:val="0"/>
          <w:lang w:val="en-US"/>
        </w:rPr>
        <w:t>accompanied</w:t>
      </w:r>
      <w:r w:rsidR="00F6076B" w:rsidRPr="009F337B">
        <w:rPr>
          <w:i w:val="0"/>
          <w:lang w:val="en-US"/>
        </w:rPr>
        <w:t xml:space="preserve"> </w:t>
      </w:r>
      <w:r w:rsidR="007F1AEB" w:rsidRPr="009F337B">
        <w:rPr>
          <w:i w:val="0"/>
          <w:lang w:val="en-US"/>
        </w:rPr>
        <w:t>Mrs.</w:t>
      </w:r>
      <w:r w:rsidR="00F6076B" w:rsidRPr="009F337B">
        <w:rPr>
          <w:i w:val="0"/>
          <w:lang w:val="en-US"/>
        </w:rPr>
        <w:t xml:space="preserve"> </w:t>
      </w:r>
      <w:proofErr w:type="spellStart"/>
      <w:r w:rsidR="00F6076B" w:rsidRPr="009F337B">
        <w:rPr>
          <w:i w:val="0"/>
          <w:lang w:val="en-US"/>
        </w:rPr>
        <w:t>Dubón</w:t>
      </w:r>
      <w:proofErr w:type="spellEnd"/>
      <w:r w:rsidR="00F6076B" w:rsidRPr="009F337B">
        <w:rPr>
          <w:i w:val="0"/>
          <w:lang w:val="en-US"/>
        </w:rPr>
        <w:t xml:space="preserve"> </w:t>
      </w:r>
      <w:r w:rsidRPr="009F337B">
        <w:rPr>
          <w:i w:val="0"/>
          <w:lang w:val="en-US"/>
        </w:rPr>
        <w:t xml:space="preserve">on different occasions during her illness up until she died. In particular, the Court notes </w:t>
      </w:r>
      <w:r w:rsidR="007F1AEB" w:rsidRPr="009F337B">
        <w:rPr>
          <w:i w:val="0"/>
          <w:lang w:val="en-US"/>
        </w:rPr>
        <w:t>Mrs.</w:t>
      </w:r>
      <w:r w:rsidR="00F6076B" w:rsidRPr="009F337B">
        <w:rPr>
          <w:i w:val="0"/>
          <w:lang w:val="en-US"/>
        </w:rPr>
        <w:t xml:space="preserve"> Lucas de León</w:t>
      </w:r>
      <w:r w:rsidRPr="009F337B">
        <w:rPr>
          <w:i w:val="0"/>
          <w:lang w:val="en-US"/>
        </w:rPr>
        <w:t>’s suffering</w:t>
      </w:r>
      <w:r w:rsidR="00F6076B" w:rsidRPr="009F337B">
        <w:rPr>
          <w:i w:val="0"/>
          <w:lang w:val="en-US"/>
        </w:rPr>
        <w:t xml:space="preserve"> </w:t>
      </w:r>
      <w:r w:rsidRPr="009F337B">
        <w:rPr>
          <w:i w:val="0"/>
          <w:lang w:val="en-US"/>
        </w:rPr>
        <w:t xml:space="preserve">owing to the stigma and discrimination experienced by </w:t>
      </w:r>
      <w:r w:rsidR="007F1AEB" w:rsidRPr="009F337B">
        <w:rPr>
          <w:i w:val="0"/>
          <w:lang w:val="en-US"/>
        </w:rPr>
        <w:t>Mrs.</w:t>
      </w:r>
      <w:r w:rsidR="00F6076B" w:rsidRPr="009F337B">
        <w:rPr>
          <w:i w:val="0"/>
          <w:lang w:val="en-US"/>
        </w:rPr>
        <w:t xml:space="preserve"> </w:t>
      </w:r>
      <w:proofErr w:type="spellStart"/>
      <w:r w:rsidR="00F6076B" w:rsidRPr="009F337B">
        <w:rPr>
          <w:i w:val="0"/>
          <w:lang w:val="en-US"/>
        </w:rPr>
        <w:t>Dubón</w:t>
      </w:r>
      <w:proofErr w:type="spellEnd"/>
      <w:r w:rsidR="003C46A3" w:rsidRPr="009F337B">
        <w:rPr>
          <w:i w:val="0"/>
          <w:lang w:val="en-US"/>
        </w:rPr>
        <w:t xml:space="preserve"> and </w:t>
      </w:r>
      <w:r w:rsidRPr="009F337B">
        <w:rPr>
          <w:i w:val="0"/>
          <w:lang w:val="en-US"/>
        </w:rPr>
        <w:t xml:space="preserve">the effects </w:t>
      </w:r>
      <w:r w:rsidR="00A60541" w:rsidRPr="009F337B">
        <w:rPr>
          <w:i w:val="0"/>
          <w:lang w:val="en-US"/>
        </w:rPr>
        <w:t>of</w:t>
      </w:r>
      <w:r w:rsidRPr="009F337B">
        <w:rPr>
          <w:i w:val="0"/>
          <w:lang w:val="en-US"/>
        </w:rPr>
        <w:t xml:space="preserve"> the lack of drugs and comprehensive medical care</w:t>
      </w:r>
      <w:r w:rsidR="00A60541" w:rsidRPr="009F337B">
        <w:rPr>
          <w:i w:val="0"/>
          <w:lang w:val="en-US"/>
        </w:rPr>
        <w:t xml:space="preserve"> on the latter’s health</w:t>
      </w:r>
      <w:r w:rsidRPr="009F337B">
        <w:rPr>
          <w:i w:val="0"/>
          <w:lang w:val="en-US"/>
        </w:rPr>
        <w:t xml:space="preserve">. The omissions of the State </w:t>
      </w:r>
      <w:r w:rsidR="00A60541" w:rsidRPr="009F337B">
        <w:rPr>
          <w:i w:val="0"/>
          <w:lang w:val="en-US"/>
        </w:rPr>
        <w:t>were</w:t>
      </w:r>
      <w:r w:rsidRPr="009F337B">
        <w:rPr>
          <w:i w:val="0"/>
          <w:lang w:val="en-US"/>
        </w:rPr>
        <w:t xml:space="preserve"> the cause of the </w:t>
      </w:r>
      <w:r w:rsidR="00A60541" w:rsidRPr="009F337B">
        <w:rPr>
          <w:i w:val="0"/>
          <w:lang w:val="en-US"/>
        </w:rPr>
        <w:t>negative</w:t>
      </w:r>
      <w:r w:rsidRPr="009F337B">
        <w:rPr>
          <w:i w:val="0"/>
          <w:lang w:val="en-US"/>
        </w:rPr>
        <w:t xml:space="preserve"> effects suffered by Mrs. </w:t>
      </w:r>
      <w:proofErr w:type="spellStart"/>
      <w:r w:rsidRPr="009F337B">
        <w:rPr>
          <w:i w:val="0"/>
          <w:lang w:val="en-US"/>
        </w:rPr>
        <w:t>Dubón</w:t>
      </w:r>
      <w:proofErr w:type="spellEnd"/>
      <w:r w:rsidRPr="009F337B">
        <w:rPr>
          <w:i w:val="0"/>
          <w:lang w:val="en-US"/>
        </w:rPr>
        <w:t>, and the Court therefore concludes that the State is responsible for violati</w:t>
      </w:r>
      <w:r w:rsidR="00A60541" w:rsidRPr="009F337B">
        <w:rPr>
          <w:i w:val="0"/>
          <w:lang w:val="en-US"/>
        </w:rPr>
        <w:t>ng</w:t>
      </w:r>
      <w:r w:rsidRPr="009F337B">
        <w:rPr>
          <w:i w:val="0"/>
          <w:lang w:val="en-US"/>
        </w:rPr>
        <w:t xml:space="preserve"> the </w:t>
      </w:r>
      <w:r w:rsidR="003C46A3" w:rsidRPr="009F337B">
        <w:rPr>
          <w:i w:val="0"/>
          <w:lang w:val="en-US"/>
        </w:rPr>
        <w:t>personal integrity</w:t>
      </w:r>
      <w:r w:rsidR="008E387F" w:rsidRPr="009F337B">
        <w:rPr>
          <w:i w:val="0"/>
          <w:lang w:val="en-US"/>
        </w:rPr>
        <w:t xml:space="preserve"> </w:t>
      </w:r>
      <w:r w:rsidRPr="009F337B">
        <w:rPr>
          <w:i w:val="0"/>
          <w:lang w:val="en-US"/>
        </w:rPr>
        <w:t>of</w:t>
      </w:r>
      <w:r w:rsidR="008E387F" w:rsidRPr="009F337B">
        <w:rPr>
          <w:i w:val="0"/>
          <w:lang w:val="en-US"/>
        </w:rPr>
        <w:t xml:space="preserve"> </w:t>
      </w:r>
      <w:r w:rsidR="007F1AEB" w:rsidRPr="009F337B">
        <w:rPr>
          <w:i w:val="0"/>
          <w:lang w:val="en-US"/>
        </w:rPr>
        <w:t>Mrs.</w:t>
      </w:r>
      <w:r w:rsidR="008E387F" w:rsidRPr="009F337B">
        <w:rPr>
          <w:i w:val="0"/>
          <w:lang w:val="en-US"/>
        </w:rPr>
        <w:t xml:space="preserve"> Lucas de León.</w:t>
      </w:r>
      <w:r w:rsidR="00597B09" w:rsidRPr="009F337B">
        <w:rPr>
          <w:rFonts w:cs="Times New Roman"/>
          <w:i w:val="0"/>
          <w:szCs w:val="20"/>
          <w:lang w:val="en-US"/>
        </w:rPr>
        <w:t xml:space="preserve"> </w:t>
      </w:r>
      <w:r w:rsidRPr="009F337B">
        <w:rPr>
          <w:i w:val="0"/>
          <w:lang w:val="en-US"/>
        </w:rPr>
        <w:t xml:space="preserve">Furthermore, regarding the </w:t>
      </w:r>
      <w:r w:rsidR="0010522A" w:rsidRPr="009F337B">
        <w:rPr>
          <w:i w:val="0"/>
          <w:lang w:val="en-US"/>
        </w:rPr>
        <w:t>next of kin</w:t>
      </w:r>
      <w:r w:rsidR="00F6076B" w:rsidRPr="009F337B">
        <w:rPr>
          <w:i w:val="0"/>
          <w:lang w:val="en-US"/>
        </w:rPr>
        <w:t xml:space="preserve"> </w:t>
      </w:r>
      <w:r w:rsidRPr="009F337B">
        <w:rPr>
          <w:i w:val="0"/>
          <w:lang w:val="en-US"/>
        </w:rPr>
        <w:t>who have already been declared victims in this case, the Court notes that the effects they may have suffered have been subsumed in the analysis of the right to</w:t>
      </w:r>
      <w:r w:rsidR="00F6076B" w:rsidRPr="009F337B">
        <w:rPr>
          <w:i w:val="0"/>
          <w:lang w:val="en-US"/>
        </w:rPr>
        <w:t xml:space="preserve"> </w:t>
      </w:r>
      <w:r w:rsidR="003C46A3" w:rsidRPr="009F337B">
        <w:rPr>
          <w:i w:val="0"/>
          <w:lang w:val="en-US"/>
        </w:rPr>
        <w:t>personal integrity</w:t>
      </w:r>
      <w:r w:rsidRPr="009F337B">
        <w:rPr>
          <w:i w:val="0"/>
          <w:lang w:val="en-US"/>
        </w:rPr>
        <w:t>; consequently, it does not find it pertinent to rule on them.</w:t>
      </w:r>
    </w:p>
    <w:p w14:paraId="723CF807" w14:textId="77777777" w:rsidR="008E387F" w:rsidRPr="009F337B" w:rsidRDefault="008E387F" w:rsidP="008E387F">
      <w:pPr>
        <w:pStyle w:val="Estilo1"/>
        <w:tabs>
          <w:tab w:val="left" w:pos="709"/>
          <w:tab w:val="left" w:pos="1134"/>
        </w:tabs>
        <w:spacing w:after="0"/>
        <w:ind w:left="0" w:right="-4" w:firstLine="0"/>
        <w:rPr>
          <w:rFonts w:cs="Times New Roman"/>
          <w:i w:val="0"/>
          <w:szCs w:val="20"/>
          <w:lang w:val="en-US"/>
        </w:rPr>
      </w:pPr>
    </w:p>
    <w:p w14:paraId="2B587B36" w14:textId="13CF8862" w:rsidR="00C4358F" w:rsidRPr="009F337B" w:rsidRDefault="005E0727" w:rsidP="00593E37">
      <w:pPr>
        <w:pStyle w:val="Estilo1"/>
        <w:numPr>
          <w:ilvl w:val="0"/>
          <w:numId w:val="1"/>
        </w:numPr>
        <w:tabs>
          <w:tab w:val="left" w:pos="709"/>
          <w:tab w:val="left" w:pos="1134"/>
        </w:tabs>
        <w:spacing w:after="0"/>
        <w:ind w:left="0" w:right="-4" w:firstLine="0"/>
        <w:rPr>
          <w:rFonts w:cs="Times New Roman"/>
          <w:i w:val="0"/>
          <w:szCs w:val="20"/>
          <w:lang w:val="en-US"/>
        </w:rPr>
      </w:pPr>
      <w:r w:rsidRPr="009F337B">
        <w:rPr>
          <w:rFonts w:cs="Times New Roman"/>
          <w:i w:val="0"/>
          <w:szCs w:val="20"/>
          <w:lang w:val="en-US"/>
        </w:rPr>
        <w:t xml:space="preserve">Consequently, taking into consideration the circumstances of this case and that the State has not contested the arguments and evidence presented by </w:t>
      </w:r>
      <w:r w:rsidR="00AE5F9E" w:rsidRPr="009F337B">
        <w:rPr>
          <w:rFonts w:cs="Times New Roman"/>
          <w:i w:val="0"/>
          <w:szCs w:val="20"/>
          <w:lang w:val="en-US"/>
        </w:rPr>
        <w:t>the Commission</w:t>
      </w:r>
      <w:r w:rsidR="003C46A3" w:rsidRPr="009F337B">
        <w:rPr>
          <w:rFonts w:cs="Times New Roman"/>
          <w:i w:val="0"/>
          <w:szCs w:val="20"/>
          <w:lang w:val="en-US"/>
        </w:rPr>
        <w:t xml:space="preserve"> and </w:t>
      </w:r>
      <w:r w:rsidR="007327F5" w:rsidRPr="009F337B">
        <w:rPr>
          <w:rFonts w:cs="Times New Roman"/>
          <w:i w:val="0"/>
          <w:szCs w:val="20"/>
          <w:lang w:val="en-US"/>
        </w:rPr>
        <w:t>the representatives</w:t>
      </w:r>
      <w:r w:rsidR="00C4358F" w:rsidRPr="009F337B">
        <w:rPr>
          <w:rFonts w:cs="Times New Roman"/>
          <w:i w:val="0"/>
          <w:szCs w:val="20"/>
          <w:lang w:val="en-US"/>
        </w:rPr>
        <w:t xml:space="preserve"> </w:t>
      </w:r>
      <w:r w:rsidRPr="009F337B">
        <w:rPr>
          <w:rFonts w:cs="Times New Roman"/>
          <w:i w:val="0"/>
          <w:szCs w:val="20"/>
          <w:lang w:val="en-US"/>
        </w:rPr>
        <w:t xml:space="preserve">in relation to the </w:t>
      </w:r>
      <w:r w:rsidR="00255817" w:rsidRPr="009F337B">
        <w:rPr>
          <w:rFonts w:cs="Times New Roman"/>
          <w:i w:val="0"/>
          <w:szCs w:val="20"/>
          <w:lang w:val="en-US"/>
        </w:rPr>
        <w:t xml:space="preserve">effects suffered by the victims’ </w:t>
      </w:r>
      <w:r w:rsidR="0010522A" w:rsidRPr="009F337B">
        <w:rPr>
          <w:rFonts w:cs="Times New Roman"/>
          <w:i w:val="0"/>
          <w:szCs w:val="20"/>
          <w:lang w:val="en-US"/>
        </w:rPr>
        <w:t>next of kin</w:t>
      </w:r>
      <w:r w:rsidR="00C4358F" w:rsidRPr="009F337B">
        <w:rPr>
          <w:rFonts w:cs="Times New Roman"/>
          <w:i w:val="0"/>
          <w:szCs w:val="20"/>
          <w:lang w:val="en-US"/>
        </w:rPr>
        <w:t xml:space="preserve">, </w:t>
      </w:r>
      <w:r w:rsidR="00AE5F9E" w:rsidRPr="009F337B">
        <w:rPr>
          <w:rFonts w:cs="Times New Roman"/>
          <w:i w:val="0"/>
          <w:szCs w:val="20"/>
          <w:lang w:val="en-US"/>
        </w:rPr>
        <w:t>the Court</w:t>
      </w:r>
      <w:r w:rsidR="00C4358F" w:rsidRPr="009F337B">
        <w:rPr>
          <w:rFonts w:cs="Times New Roman"/>
          <w:i w:val="0"/>
          <w:szCs w:val="20"/>
          <w:lang w:val="en-US"/>
        </w:rPr>
        <w:t xml:space="preserve"> conclu</w:t>
      </w:r>
      <w:r w:rsidR="00255817" w:rsidRPr="009F337B">
        <w:rPr>
          <w:rFonts w:cs="Times New Roman"/>
          <w:i w:val="0"/>
          <w:szCs w:val="20"/>
          <w:lang w:val="en-US"/>
        </w:rPr>
        <w:t xml:space="preserve">des that </w:t>
      </w:r>
      <w:r w:rsidR="003C46A3" w:rsidRPr="009F337B">
        <w:rPr>
          <w:rFonts w:cs="Times New Roman"/>
          <w:i w:val="0"/>
          <w:szCs w:val="20"/>
          <w:lang w:val="en-US"/>
        </w:rPr>
        <w:t>the State</w:t>
      </w:r>
      <w:r w:rsidR="00C4358F" w:rsidRPr="009F337B">
        <w:rPr>
          <w:rFonts w:cs="Times New Roman"/>
          <w:i w:val="0"/>
          <w:szCs w:val="20"/>
          <w:lang w:val="en-US"/>
        </w:rPr>
        <w:t xml:space="preserve"> </w:t>
      </w:r>
      <w:r w:rsidR="00255817" w:rsidRPr="009F337B">
        <w:rPr>
          <w:rFonts w:cs="Times New Roman"/>
          <w:i w:val="0"/>
          <w:szCs w:val="20"/>
          <w:lang w:val="en-US"/>
        </w:rPr>
        <w:t>i</w:t>
      </w:r>
      <w:r w:rsidR="00C4358F" w:rsidRPr="009F337B">
        <w:rPr>
          <w:rFonts w:cs="Times New Roman"/>
          <w:i w:val="0"/>
          <w:szCs w:val="20"/>
          <w:lang w:val="en-US"/>
        </w:rPr>
        <w:t>s respons</w:t>
      </w:r>
      <w:r w:rsidR="00255817" w:rsidRPr="009F337B">
        <w:rPr>
          <w:rFonts w:cs="Times New Roman"/>
          <w:i w:val="0"/>
          <w:szCs w:val="20"/>
          <w:lang w:val="en-US"/>
        </w:rPr>
        <w:t>i</w:t>
      </w:r>
      <w:r w:rsidR="00C4358F" w:rsidRPr="009F337B">
        <w:rPr>
          <w:rFonts w:cs="Times New Roman"/>
          <w:i w:val="0"/>
          <w:szCs w:val="20"/>
          <w:lang w:val="en-US"/>
        </w:rPr>
        <w:t xml:space="preserve">ble </w:t>
      </w:r>
      <w:r w:rsidR="00255817" w:rsidRPr="009F337B">
        <w:rPr>
          <w:rFonts w:cs="Times New Roman"/>
          <w:i w:val="0"/>
          <w:szCs w:val="20"/>
          <w:lang w:val="en-US"/>
        </w:rPr>
        <w:t>for the violation of</w:t>
      </w:r>
      <w:r w:rsidR="00C4358F" w:rsidRPr="009F337B">
        <w:rPr>
          <w:rFonts w:cs="Times New Roman"/>
          <w:i w:val="0"/>
          <w:szCs w:val="20"/>
          <w:lang w:val="en-US"/>
        </w:rPr>
        <w:t xml:space="preserve"> </w:t>
      </w:r>
      <w:r w:rsidR="00AE5F9E" w:rsidRPr="009F337B">
        <w:rPr>
          <w:rFonts w:cs="Times New Roman"/>
          <w:i w:val="0"/>
          <w:szCs w:val="20"/>
          <w:lang w:val="en-US"/>
        </w:rPr>
        <w:t>Article</w:t>
      </w:r>
      <w:r w:rsidR="003C46A3" w:rsidRPr="009F337B">
        <w:rPr>
          <w:rFonts w:cs="Times New Roman"/>
          <w:i w:val="0"/>
          <w:szCs w:val="20"/>
          <w:lang w:val="en-US"/>
        </w:rPr>
        <w:t xml:space="preserve"> 5(1)</w:t>
      </w:r>
      <w:r w:rsidR="00AE5F9E" w:rsidRPr="009F337B">
        <w:rPr>
          <w:rFonts w:cs="Times New Roman"/>
          <w:i w:val="0"/>
          <w:szCs w:val="20"/>
          <w:lang w:val="en-US"/>
        </w:rPr>
        <w:t xml:space="preserve"> of the American Convention</w:t>
      </w:r>
      <w:r w:rsidR="00C4358F" w:rsidRPr="009F337B">
        <w:rPr>
          <w:rFonts w:cs="Times New Roman"/>
          <w:i w:val="0"/>
          <w:szCs w:val="20"/>
          <w:lang w:val="en-US"/>
        </w:rPr>
        <w:t xml:space="preserve"> </w:t>
      </w:r>
      <w:r w:rsidR="00255817" w:rsidRPr="009F337B">
        <w:rPr>
          <w:rFonts w:cs="Times New Roman"/>
          <w:i w:val="0"/>
          <w:szCs w:val="20"/>
          <w:lang w:val="en-US"/>
        </w:rPr>
        <w:t>in relation to</w:t>
      </w:r>
      <w:r w:rsidR="00C4358F" w:rsidRPr="009F337B">
        <w:rPr>
          <w:rFonts w:cs="Times New Roman"/>
          <w:i w:val="0"/>
          <w:szCs w:val="20"/>
          <w:lang w:val="en-US"/>
        </w:rPr>
        <w:t xml:space="preserve"> </w:t>
      </w:r>
      <w:r w:rsidR="00AE5F9E" w:rsidRPr="009F337B">
        <w:rPr>
          <w:rFonts w:cs="Times New Roman"/>
          <w:i w:val="0"/>
          <w:szCs w:val="20"/>
          <w:lang w:val="en-US"/>
        </w:rPr>
        <w:t>Article</w:t>
      </w:r>
      <w:r w:rsidR="003C46A3" w:rsidRPr="009F337B">
        <w:rPr>
          <w:rFonts w:cs="Times New Roman"/>
          <w:i w:val="0"/>
          <w:szCs w:val="20"/>
          <w:lang w:val="en-US"/>
        </w:rPr>
        <w:t xml:space="preserve"> 1(1)</w:t>
      </w:r>
      <w:r w:rsidR="00C4358F" w:rsidRPr="009F337B">
        <w:rPr>
          <w:rFonts w:cs="Times New Roman"/>
          <w:i w:val="0"/>
          <w:szCs w:val="20"/>
          <w:lang w:val="en-US"/>
        </w:rPr>
        <w:t xml:space="preserve"> </w:t>
      </w:r>
      <w:r w:rsidR="00255817" w:rsidRPr="009F337B">
        <w:rPr>
          <w:rFonts w:cs="Times New Roman"/>
          <w:i w:val="0"/>
          <w:szCs w:val="20"/>
          <w:lang w:val="en-US"/>
        </w:rPr>
        <w:t>to the detriment of the victims’</w:t>
      </w:r>
      <w:r w:rsidR="00C4358F" w:rsidRPr="009F337B">
        <w:rPr>
          <w:rFonts w:cs="Times New Roman"/>
          <w:i w:val="0"/>
          <w:szCs w:val="20"/>
          <w:lang w:val="en-US"/>
        </w:rPr>
        <w:t xml:space="preserve"> </w:t>
      </w:r>
      <w:r w:rsidR="0010522A" w:rsidRPr="009F337B">
        <w:rPr>
          <w:rFonts w:cs="Times New Roman"/>
          <w:i w:val="0"/>
          <w:szCs w:val="20"/>
          <w:lang w:val="en-US"/>
        </w:rPr>
        <w:t>next of kin</w:t>
      </w:r>
      <w:r w:rsidR="00C4358F" w:rsidRPr="009F337B">
        <w:rPr>
          <w:rFonts w:cs="Times New Roman"/>
          <w:i w:val="0"/>
          <w:szCs w:val="20"/>
          <w:lang w:val="en-US"/>
        </w:rPr>
        <w:t xml:space="preserve"> </w:t>
      </w:r>
      <w:r w:rsidR="00255817" w:rsidRPr="009F337B">
        <w:rPr>
          <w:rFonts w:cs="Times New Roman"/>
          <w:i w:val="0"/>
          <w:szCs w:val="20"/>
          <w:lang w:val="en-US"/>
        </w:rPr>
        <w:t>mentioned in Annex 2 to this judgment.</w:t>
      </w:r>
    </w:p>
    <w:p w14:paraId="7F71EF4C" w14:textId="77777777" w:rsidR="0061727E" w:rsidRPr="009F337B" w:rsidRDefault="0061727E" w:rsidP="0061727E">
      <w:pPr>
        <w:pStyle w:val="Estilo1"/>
        <w:tabs>
          <w:tab w:val="left" w:pos="709"/>
          <w:tab w:val="left" w:pos="1134"/>
        </w:tabs>
        <w:spacing w:after="0"/>
        <w:ind w:left="0" w:right="-4" w:firstLine="0"/>
        <w:rPr>
          <w:rFonts w:cs="Times New Roman"/>
          <w:i w:val="0"/>
          <w:szCs w:val="20"/>
          <w:lang w:val="en-US"/>
        </w:rPr>
      </w:pPr>
    </w:p>
    <w:p w14:paraId="2CFE433B" w14:textId="11375672" w:rsidR="006F704E" w:rsidRPr="009F337B" w:rsidRDefault="00A2328E" w:rsidP="0061727E">
      <w:pPr>
        <w:pStyle w:val="Ttulo1"/>
        <w:spacing w:before="0" w:after="0"/>
        <w:rPr>
          <w:lang w:val="en-US"/>
        </w:rPr>
      </w:pPr>
      <w:bookmarkStart w:id="96" w:name="_Toc442082558"/>
      <w:bookmarkStart w:id="97" w:name="_Toc486693409"/>
      <w:bookmarkStart w:id="98" w:name="_Toc486842829"/>
      <w:bookmarkStart w:id="99" w:name="_Toc486842963"/>
      <w:bookmarkStart w:id="100" w:name="_Toc508792671"/>
      <w:bookmarkStart w:id="101" w:name="_Toc510690638"/>
      <w:bookmarkStart w:id="102" w:name="_Toc527466500"/>
      <w:r w:rsidRPr="009F337B">
        <w:rPr>
          <w:lang w:val="en-US"/>
        </w:rPr>
        <w:t>IX</w:t>
      </w:r>
      <w:r w:rsidR="00F12B1C" w:rsidRPr="009F337B">
        <w:rPr>
          <w:lang w:val="en-US"/>
        </w:rPr>
        <w:t>.</w:t>
      </w:r>
      <w:r w:rsidR="006F704E" w:rsidRPr="009F337B">
        <w:rPr>
          <w:lang w:val="en-US"/>
        </w:rPr>
        <w:br/>
        <w:t>REPARA</w:t>
      </w:r>
      <w:bookmarkStart w:id="103" w:name="_Toc442082559"/>
      <w:bookmarkEnd w:id="96"/>
      <w:r w:rsidR="0010522A" w:rsidRPr="009F337B">
        <w:rPr>
          <w:lang w:val="en-US"/>
        </w:rPr>
        <w:t>TIONS</w:t>
      </w:r>
      <w:r w:rsidR="006F704E" w:rsidRPr="009F337B">
        <w:rPr>
          <w:lang w:val="en-US"/>
        </w:rPr>
        <w:br/>
        <w:t>(</w:t>
      </w:r>
      <w:r w:rsidR="00F63F5C" w:rsidRPr="009F337B">
        <w:rPr>
          <w:lang w:val="en-US"/>
        </w:rPr>
        <w:t>AP</w:t>
      </w:r>
      <w:r w:rsidR="0010522A" w:rsidRPr="009F337B">
        <w:rPr>
          <w:lang w:val="en-US"/>
        </w:rPr>
        <w:t xml:space="preserve">PLICATION OF </w:t>
      </w:r>
      <w:r w:rsidR="00AE5F9E" w:rsidRPr="009F337B">
        <w:rPr>
          <w:lang w:val="en-US"/>
        </w:rPr>
        <w:t>ARTICLE</w:t>
      </w:r>
      <w:r w:rsidR="00F63F5C" w:rsidRPr="009F337B">
        <w:rPr>
          <w:lang w:val="en-US"/>
        </w:rPr>
        <w:t xml:space="preserve"> </w:t>
      </w:r>
      <w:r w:rsidR="00AE5F9E" w:rsidRPr="009F337B">
        <w:rPr>
          <w:lang w:val="en-US"/>
        </w:rPr>
        <w:t>63(1) of the AMERICAN CONVENTION</w:t>
      </w:r>
      <w:r w:rsidR="006F704E" w:rsidRPr="009F337B">
        <w:rPr>
          <w:lang w:val="en-US"/>
        </w:rPr>
        <w:t>)</w:t>
      </w:r>
      <w:bookmarkEnd w:id="97"/>
      <w:bookmarkEnd w:id="98"/>
      <w:bookmarkEnd w:id="99"/>
      <w:bookmarkEnd w:id="100"/>
      <w:bookmarkEnd w:id="101"/>
      <w:bookmarkEnd w:id="102"/>
      <w:bookmarkEnd w:id="103"/>
    </w:p>
    <w:p w14:paraId="5E1CDD6C" w14:textId="77777777" w:rsidR="0061727E" w:rsidRPr="009F337B" w:rsidRDefault="0061727E" w:rsidP="0061727E">
      <w:pPr>
        <w:rPr>
          <w:lang w:val="en-US" w:eastAsia="es-ES"/>
        </w:rPr>
      </w:pPr>
    </w:p>
    <w:p w14:paraId="3165F564" w14:textId="4489E604" w:rsidR="006F704E" w:rsidRPr="009F337B" w:rsidRDefault="004D0E35" w:rsidP="00593E37">
      <w:pPr>
        <w:numPr>
          <w:ilvl w:val="0"/>
          <w:numId w:val="1"/>
        </w:numPr>
        <w:tabs>
          <w:tab w:val="left" w:pos="709"/>
        </w:tabs>
        <w:ind w:left="0" w:firstLine="0"/>
        <w:rPr>
          <w:rFonts w:cs="Vrinda"/>
          <w:lang w:val="en-US" w:bidi="en-US"/>
        </w:rPr>
      </w:pPr>
      <w:bookmarkStart w:id="104" w:name="_Toc434937759"/>
      <w:bookmarkStart w:id="105" w:name="_Toc464482622"/>
      <w:bookmarkStart w:id="106" w:name="_Toc486693410"/>
      <w:bookmarkStart w:id="107" w:name="_Toc486842830"/>
      <w:bookmarkStart w:id="108" w:name="_Toc486842964"/>
      <w:bookmarkStart w:id="109" w:name="_Toc508792672"/>
      <w:bookmarkStart w:id="110" w:name="_Toc510690639"/>
      <w:r w:rsidRPr="009F337B">
        <w:rPr>
          <w:rFonts w:cs="Vrinda"/>
          <w:lang w:val="en-US" w:bidi="en-US"/>
        </w:rPr>
        <w:t>Based on the provisions of</w:t>
      </w:r>
      <w:r w:rsidR="006F704E" w:rsidRPr="009F337B">
        <w:rPr>
          <w:rFonts w:cs="Vrinda"/>
          <w:lang w:val="en-US" w:bidi="en-US"/>
        </w:rPr>
        <w:t xml:space="preserve"> </w:t>
      </w:r>
      <w:r w:rsidR="00AE5F9E" w:rsidRPr="009F337B">
        <w:rPr>
          <w:rFonts w:cs="Vrinda"/>
          <w:lang w:val="en-US" w:bidi="en-US"/>
        </w:rPr>
        <w:t>Article</w:t>
      </w:r>
      <w:r w:rsidR="006F704E" w:rsidRPr="009F337B">
        <w:rPr>
          <w:rFonts w:cs="Vrinda"/>
          <w:lang w:val="en-US" w:bidi="en-US"/>
        </w:rPr>
        <w:t xml:space="preserve"> </w:t>
      </w:r>
      <w:r w:rsidR="00AE5F9E" w:rsidRPr="009F337B">
        <w:rPr>
          <w:rFonts w:cs="Vrinda"/>
          <w:lang w:val="en-US" w:bidi="en-US"/>
        </w:rPr>
        <w:t>63(1) of the American Convention</w:t>
      </w:r>
      <w:r w:rsidRPr="009F337B">
        <w:rPr>
          <w:rFonts w:cs="Vrinda"/>
          <w:lang w:val="en-US" w:bidi="en-US"/>
        </w:rPr>
        <w:t>,</w:t>
      </w:r>
      <w:r w:rsidR="006F704E" w:rsidRPr="009F337B">
        <w:rPr>
          <w:rFonts w:cs="Vrinda"/>
          <w:caps/>
          <w:vertAlign w:val="superscript"/>
          <w:lang w:val="en-US"/>
        </w:rPr>
        <w:footnoteReference w:id="237"/>
      </w:r>
      <w:r w:rsidR="006F704E" w:rsidRPr="009F337B">
        <w:rPr>
          <w:rFonts w:cs="Vrinda"/>
          <w:lang w:val="en-US" w:bidi="en-US"/>
        </w:rPr>
        <w:t xml:space="preserve"> </w:t>
      </w:r>
      <w:r w:rsidR="00AE5F9E" w:rsidRPr="009F337B">
        <w:rPr>
          <w:rFonts w:cs="Vrinda"/>
          <w:lang w:val="en-US" w:bidi="en-US"/>
        </w:rPr>
        <w:t>the Court</w:t>
      </w:r>
      <w:r w:rsidR="006F704E" w:rsidRPr="009F337B">
        <w:rPr>
          <w:rFonts w:cs="Vrinda"/>
          <w:lang w:val="en-US" w:bidi="en-US"/>
        </w:rPr>
        <w:t xml:space="preserve"> ha</w:t>
      </w:r>
      <w:r w:rsidRPr="009F337B">
        <w:rPr>
          <w:rFonts w:cs="Vrinda"/>
          <w:lang w:val="en-US" w:bidi="en-US"/>
        </w:rPr>
        <w:t>s indicated that any violation of an international obligation that has produced harm entails the obligation to make adequate redress,</w:t>
      </w:r>
      <w:r w:rsidR="00BA707C" w:rsidRPr="009F337B">
        <w:rPr>
          <w:rFonts w:cs="Vrinda"/>
          <w:vertAlign w:val="superscript"/>
          <w:lang w:val="en-US" w:bidi="en-US"/>
        </w:rPr>
        <w:footnoteReference w:id="238"/>
      </w:r>
      <w:r w:rsidR="003C46A3" w:rsidRPr="009F337B">
        <w:rPr>
          <w:rFonts w:cs="Vrinda"/>
          <w:lang w:val="en-US" w:bidi="en-US"/>
        </w:rPr>
        <w:t xml:space="preserve"> and </w:t>
      </w:r>
      <w:r w:rsidRPr="009F337B">
        <w:rPr>
          <w:rFonts w:cs="Vrinda"/>
          <w:lang w:val="en-US" w:bidi="en-US"/>
        </w:rPr>
        <w:t>that this provision reflects a customary norm that constitutes one of the fundamental principles of contemporary international law on State responsibility.</w:t>
      </w:r>
      <w:r w:rsidR="006F704E" w:rsidRPr="009F337B">
        <w:rPr>
          <w:rFonts w:cs="Vrinda"/>
          <w:vertAlign w:val="superscript"/>
          <w:lang w:val="en-US" w:bidi="en-US"/>
        </w:rPr>
        <w:footnoteReference w:id="239"/>
      </w:r>
    </w:p>
    <w:p w14:paraId="2A73A4AC" w14:textId="77777777" w:rsidR="0061727E" w:rsidRPr="009F337B" w:rsidRDefault="0061727E" w:rsidP="0061727E">
      <w:pPr>
        <w:tabs>
          <w:tab w:val="left" w:pos="709"/>
        </w:tabs>
        <w:rPr>
          <w:rFonts w:cs="Vrinda"/>
          <w:lang w:val="en-US" w:bidi="en-US"/>
        </w:rPr>
      </w:pPr>
    </w:p>
    <w:p w14:paraId="2F83D7B1" w14:textId="3871BFEA" w:rsidR="006F704E" w:rsidRPr="009F337B" w:rsidRDefault="00331044" w:rsidP="00593E37">
      <w:pPr>
        <w:numPr>
          <w:ilvl w:val="0"/>
          <w:numId w:val="1"/>
        </w:numPr>
        <w:tabs>
          <w:tab w:val="left" w:pos="709"/>
        </w:tabs>
        <w:ind w:left="0" w:firstLine="0"/>
        <w:rPr>
          <w:rFonts w:cs="Vrinda"/>
          <w:lang w:val="en-US" w:bidi="en-US"/>
        </w:rPr>
      </w:pPr>
      <w:r w:rsidRPr="009F337B">
        <w:rPr>
          <w:rFonts w:cs="Vrinda"/>
          <w:lang w:val="en-US" w:bidi="en-US"/>
        </w:rPr>
        <w:t>The reparation</w:t>
      </w:r>
      <w:r w:rsidR="006F704E" w:rsidRPr="009F337B">
        <w:rPr>
          <w:rFonts w:cs="Vrinda"/>
          <w:lang w:val="en-US" w:bidi="en-US"/>
        </w:rPr>
        <w:t xml:space="preserve"> </w:t>
      </w:r>
      <w:r w:rsidRPr="009F337B">
        <w:rPr>
          <w:rFonts w:cs="Vrinda"/>
          <w:lang w:val="en-US"/>
        </w:rPr>
        <w:t>of the harm caused by the violation of an international obligation requires, whenever possible, full</w:t>
      </w:r>
      <w:r w:rsidR="00837BC9" w:rsidRPr="009F337B">
        <w:rPr>
          <w:rFonts w:cs="Vrinda"/>
          <w:lang w:val="en-US"/>
        </w:rPr>
        <w:t xml:space="preserve"> restitution</w:t>
      </w:r>
      <w:r w:rsidR="006F704E" w:rsidRPr="009F337B">
        <w:rPr>
          <w:rFonts w:cs="Vrinda"/>
          <w:lang w:val="en-US"/>
        </w:rPr>
        <w:t xml:space="preserve"> (</w:t>
      </w:r>
      <w:r w:rsidR="006F704E" w:rsidRPr="009F337B">
        <w:rPr>
          <w:rFonts w:cs="Vrinda"/>
          <w:i/>
          <w:lang w:val="en-US"/>
        </w:rPr>
        <w:t>restitutio in integrum</w:t>
      </w:r>
      <w:r w:rsidR="006F704E" w:rsidRPr="009F337B">
        <w:rPr>
          <w:rFonts w:cs="Vrinda"/>
          <w:lang w:val="en-US"/>
        </w:rPr>
        <w:t xml:space="preserve">), </w:t>
      </w:r>
      <w:r w:rsidRPr="009F337B">
        <w:rPr>
          <w:rFonts w:cs="Vrinda"/>
          <w:lang w:val="en-US"/>
        </w:rPr>
        <w:t>which consistis in the restoration of the previous situation</w:t>
      </w:r>
      <w:r w:rsidR="00837BC9" w:rsidRPr="009F337B">
        <w:rPr>
          <w:rFonts w:cs="Vrinda"/>
          <w:lang w:val="en-US"/>
        </w:rPr>
        <w:t xml:space="preserve">. If this is not feasible, whih occurs in most cases of human rights violations, the Court will determine measures to ensure the rights that have </w:t>
      </w:r>
      <w:r w:rsidR="00837BC9" w:rsidRPr="009F337B">
        <w:rPr>
          <w:rFonts w:cs="Vrinda"/>
          <w:lang w:val="en-US"/>
        </w:rPr>
        <w:lastRenderedPageBreak/>
        <w:t>been infringed and to redress the consequences of the violations that have occurred.</w:t>
      </w:r>
      <w:r w:rsidR="006F704E" w:rsidRPr="009F337B">
        <w:rPr>
          <w:rStyle w:val="Refdenotaalpie"/>
          <w:rFonts w:cs="Vrinda"/>
          <w:lang w:val="en-US"/>
        </w:rPr>
        <w:footnoteReference w:id="240"/>
      </w:r>
      <w:r w:rsidR="006F704E" w:rsidRPr="009F337B">
        <w:rPr>
          <w:rFonts w:cs="Vrinda"/>
          <w:lang w:val="en-US"/>
        </w:rPr>
        <w:t xml:space="preserve"> </w:t>
      </w:r>
      <w:r w:rsidR="00837BC9" w:rsidRPr="009F337B">
        <w:rPr>
          <w:rFonts w:cs="Vrinda"/>
          <w:lang w:val="en-US"/>
        </w:rPr>
        <w:t>Therefore, the Court has found it necessary to grant diverse measures of reparation in order to repair the harm fully, so that in addition to pecuniary compensation, measures of restitution, rehabilitation and satisfaction and also guarantees of non-repetion have special relevance for the harm caused.</w:t>
      </w:r>
      <w:r w:rsidR="006F704E" w:rsidRPr="009F337B">
        <w:rPr>
          <w:rStyle w:val="Refdenotaalpie"/>
          <w:lang w:val="en-US"/>
        </w:rPr>
        <w:footnoteReference w:id="241"/>
      </w:r>
    </w:p>
    <w:p w14:paraId="3EF39A50" w14:textId="77777777" w:rsidR="0061727E" w:rsidRPr="009F337B" w:rsidRDefault="0061727E" w:rsidP="0061727E">
      <w:pPr>
        <w:tabs>
          <w:tab w:val="left" w:pos="709"/>
        </w:tabs>
        <w:rPr>
          <w:rFonts w:cs="Vrinda"/>
          <w:lang w:val="en-US" w:bidi="en-US"/>
        </w:rPr>
      </w:pPr>
    </w:p>
    <w:p w14:paraId="6FF67D63" w14:textId="349993BA" w:rsidR="006F704E" w:rsidRPr="009F337B" w:rsidRDefault="00837BC9" w:rsidP="00593E37">
      <w:pPr>
        <w:numPr>
          <w:ilvl w:val="0"/>
          <w:numId w:val="1"/>
        </w:numPr>
        <w:tabs>
          <w:tab w:val="left" w:pos="709"/>
        </w:tabs>
        <w:ind w:left="0" w:firstLine="0"/>
        <w:rPr>
          <w:rFonts w:cs="Vrinda"/>
          <w:lang w:val="en-US" w:bidi="en-US"/>
        </w:rPr>
      </w:pPr>
      <w:r w:rsidRPr="009F337B">
        <w:rPr>
          <w:rFonts w:cs="Vrinda"/>
          <w:lang w:val="en-US" w:bidi="en-US"/>
        </w:rPr>
        <w:t xml:space="preserve">The Court has established that reparations should have a causal nexus </w:t>
      </w:r>
      <w:r w:rsidR="00820E6A" w:rsidRPr="009F337B">
        <w:rPr>
          <w:rFonts w:cs="Vrinda"/>
          <w:lang w:val="en-US" w:bidi="en-US"/>
        </w:rPr>
        <w:t>to</w:t>
      </w:r>
      <w:r w:rsidRPr="009F337B">
        <w:rPr>
          <w:rFonts w:cs="Vrinda"/>
          <w:lang w:val="en-US" w:bidi="en-US"/>
        </w:rPr>
        <w:t xml:space="preserve"> the facts of the case, the violations declared, the harm proved, and the measures requrested to redress the respective harm. Therefore, the Court must analyze whether these elements are present in order to rule appropriately and in accordance with law.</w:t>
      </w:r>
      <w:r w:rsidR="006F704E" w:rsidRPr="009F337B">
        <w:rPr>
          <w:rFonts w:cs="Vrinda"/>
          <w:vertAlign w:val="superscript"/>
          <w:lang w:val="en-US" w:bidi="en-US"/>
        </w:rPr>
        <w:footnoteReference w:id="242"/>
      </w:r>
    </w:p>
    <w:p w14:paraId="71C19987" w14:textId="77777777" w:rsidR="0061727E" w:rsidRPr="009F337B" w:rsidRDefault="0061727E" w:rsidP="0061727E">
      <w:pPr>
        <w:tabs>
          <w:tab w:val="left" w:pos="709"/>
        </w:tabs>
        <w:rPr>
          <w:rFonts w:cs="Vrinda"/>
          <w:lang w:val="en-US" w:bidi="en-US"/>
        </w:rPr>
      </w:pPr>
    </w:p>
    <w:p w14:paraId="5E3521DE" w14:textId="4D58245E" w:rsidR="006F704E" w:rsidRPr="009F337B" w:rsidRDefault="00837BC9" w:rsidP="00593E37">
      <w:pPr>
        <w:numPr>
          <w:ilvl w:val="0"/>
          <w:numId w:val="1"/>
        </w:numPr>
        <w:tabs>
          <w:tab w:val="left" w:pos="709"/>
        </w:tabs>
        <w:ind w:left="0" w:firstLine="0"/>
        <w:rPr>
          <w:rFonts w:cs="Vrinda"/>
          <w:lang w:val="en-US" w:bidi="en-US"/>
        </w:rPr>
      </w:pPr>
      <w:r w:rsidRPr="009F337B">
        <w:rPr>
          <w:rFonts w:cs="Vrinda"/>
          <w:lang w:val="en-US"/>
        </w:rPr>
        <w:t xml:space="preserve">Based on the violations declared in the preceding chapters, the Court will proceed to examine the claims presented by </w:t>
      </w:r>
      <w:r w:rsidR="00AE5F9E" w:rsidRPr="009F337B">
        <w:rPr>
          <w:lang w:val="en-US"/>
        </w:rPr>
        <w:t>the Commission</w:t>
      </w:r>
      <w:r w:rsidR="003C46A3" w:rsidRPr="009F337B">
        <w:rPr>
          <w:lang w:val="en-US"/>
        </w:rPr>
        <w:t xml:space="preserve"> and </w:t>
      </w:r>
      <w:r w:rsidR="007327F5" w:rsidRPr="009F337B">
        <w:rPr>
          <w:lang w:val="en-US"/>
        </w:rPr>
        <w:t>the representatives</w:t>
      </w:r>
      <w:r w:rsidR="006F704E" w:rsidRPr="009F337B">
        <w:rPr>
          <w:lang w:val="en-US"/>
        </w:rPr>
        <w:t xml:space="preserve">, </w:t>
      </w:r>
      <w:r w:rsidRPr="009F337B">
        <w:rPr>
          <w:lang w:val="en-US"/>
        </w:rPr>
        <w:t>together with the</w:t>
      </w:r>
      <w:r w:rsidR="006F704E" w:rsidRPr="009F337B">
        <w:rPr>
          <w:lang w:val="en-US"/>
        </w:rPr>
        <w:t xml:space="preserve"> arguments</w:t>
      </w:r>
      <w:r w:rsidR="003C46A3" w:rsidRPr="009F337B">
        <w:rPr>
          <w:lang w:val="en-US"/>
        </w:rPr>
        <w:t xml:space="preserve"> of the State</w:t>
      </w:r>
      <w:r w:rsidR="006F704E" w:rsidRPr="009F337B">
        <w:rPr>
          <w:lang w:val="en-US"/>
        </w:rPr>
        <w:t xml:space="preserve">, </w:t>
      </w:r>
      <w:r w:rsidRPr="009F337B">
        <w:rPr>
          <w:lang w:val="en-US"/>
        </w:rPr>
        <w:t xml:space="preserve">in light of the criteria established in its case law concerning the nature and scope of the obligation to make reparation, in order </w:t>
      </w:r>
      <w:r w:rsidR="00820E6A" w:rsidRPr="009F337B">
        <w:rPr>
          <w:lang w:val="en-US"/>
        </w:rPr>
        <w:t xml:space="preserve">to </w:t>
      </w:r>
      <w:r w:rsidRPr="009F337B">
        <w:rPr>
          <w:lang w:val="en-US"/>
        </w:rPr>
        <w:t>establish the measures aimed at re</w:t>
      </w:r>
      <w:r w:rsidR="00820E6A" w:rsidRPr="009F337B">
        <w:rPr>
          <w:lang w:val="en-US"/>
        </w:rPr>
        <w:t>dressing</w:t>
      </w:r>
      <w:r w:rsidRPr="009F337B">
        <w:rPr>
          <w:lang w:val="en-US"/>
        </w:rPr>
        <w:t xml:space="preserve"> the harm caused to the victims.</w:t>
      </w:r>
      <w:r w:rsidR="006F704E" w:rsidRPr="009F337B">
        <w:rPr>
          <w:rStyle w:val="Refdenotaalpie"/>
          <w:lang w:val="en-US"/>
        </w:rPr>
        <w:footnoteReference w:id="243"/>
      </w:r>
    </w:p>
    <w:p w14:paraId="4CD175FF" w14:textId="77777777" w:rsidR="0061727E" w:rsidRPr="009F337B" w:rsidRDefault="0061727E" w:rsidP="0061727E">
      <w:pPr>
        <w:tabs>
          <w:tab w:val="left" w:pos="709"/>
        </w:tabs>
        <w:rPr>
          <w:rFonts w:cs="Vrinda"/>
          <w:lang w:val="en-US" w:bidi="en-US"/>
        </w:rPr>
      </w:pPr>
    </w:p>
    <w:p w14:paraId="376138DC" w14:textId="2FF63428" w:rsidR="006F704E" w:rsidRPr="009F337B" w:rsidRDefault="00837BC9" w:rsidP="00593E37">
      <w:pPr>
        <w:numPr>
          <w:ilvl w:val="0"/>
          <w:numId w:val="1"/>
        </w:numPr>
        <w:tabs>
          <w:tab w:val="left" w:pos="709"/>
        </w:tabs>
        <w:ind w:left="0" w:firstLine="0"/>
        <w:rPr>
          <w:rFonts w:cs="Vrinda"/>
          <w:lang w:val="en-US" w:bidi="en-US"/>
        </w:rPr>
      </w:pPr>
      <w:r w:rsidRPr="009F337B">
        <w:rPr>
          <w:lang w:val="en-US"/>
        </w:rPr>
        <w:t>International case law and, in particular, that of the Court, has established repeatedly that the judgment constitutes</w:t>
      </w:r>
      <w:r w:rsidR="00820E6A" w:rsidRPr="009F337B">
        <w:rPr>
          <w:lang w:val="en-US"/>
        </w:rPr>
        <w:t>, in</w:t>
      </w:r>
      <w:r w:rsidRPr="009F337B">
        <w:rPr>
          <w:lang w:val="en-US"/>
        </w:rPr>
        <w:t xml:space="preserve"> itself</w:t>
      </w:r>
      <w:r w:rsidR="00820E6A" w:rsidRPr="009F337B">
        <w:rPr>
          <w:lang w:val="en-US"/>
        </w:rPr>
        <w:t>,</w:t>
      </w:r>
      <w:r w:rsidRPr="009F337B">
        <w:rPr>
          <w:lang w:val="en-US"/>
        </w:rPr>
        <w:t xml:space="preserve"> a form of reparation.</w:t>
      </w:r>
      <w:r w:rsidR="006F704E" w:rsidRPr="009F337B">
        <w:rPr>
          <w:rStyle w:val="Refdenotaalpie"/>
          <w:lang w:val="en-US"/>
        </w:rPr>
        <w:footnoteReference w:id="244"/>
      </w:r>
      <w:r w:rsidRPr="009F337B">
        <w:rPr>
          <w:lang w:val="en-US"/>
        </w:rPr>
        <w:t xml:space="preserve"> Nevertheless, considering the circumstances of this case and the suffering that the violations commtted caused to the victims, the Court finds it pertinent to establish other measures</w:t>
      </w:r>
      <w:r w:rsidR="006F704E" w:rsidRPr="009F337B">
        <w:rPr>
          <w:lang w:val="en-US"/>
        </w:rPr>
        <w:t>.</w:t>
      </w:r>
    </w:p>
    <w:p w14:paraId="509A1390" w14:textId="77777777" w:rsidR="0061727E" w:rsidRPr="009F337B" w:rsidRDefault="0061727E" w:rsidP="0061727E">
      <w:pPr>
        <w:tabs>
          <w:tab w:val="left" w:pos="709"/>
        </w:tabs>
        <w:rPr>
          <w:rFonts w:cs="Vrinda"/>
          <w:lang w:val="en-US" w:bidi="en-US"/>
        </w:rPr>
      </w:pPr>
    </w:p>
    <w:p w14:paraId="1229EEBA" w14:textId="117DD35B" w:rsidR="0061727E" w:rsidRPr="009F337B" w:rsidRDefault="00640C52" w:rsidP="00593E37">
      <w:pPr>
        <w:pStyle w:val="Ttulo2"/>
        <w:numPr>
          <w:ilvl w:val="0"/>
          <w:numId w:val="13"/>
        </w:numPr>
        <w:spacing w:before="0" w:after="0"/>
        <w:rPr>
          <w:lang w:val="en-US"/>
        </w:rPr>
      </w:pPr>
      <w:r w:rsidRPr="009F337B">
        <w:rPr>
          <w:lang w:val="en-US"/>
        </w:rPr>
        <w:t>Injured party</w:t>
      </w:r>
      <w:bookmarkEnd w:id="104"/>
      <w:bookmarkEnd w:id="105"/>
      <w:bookmarkEnd w:id="106"/>
      <w:bookmarkEnd w:id="107"/>
      <w:bookmarkEnd w:id="108"/>
      <w:bookmarkEnd w:id="109"/>
      <w:bookmarkEnd w:id="110"/>
    </w:p>
    <w:p w14:paraId="3B187031" w14:textId="77777777" w:rsidR="0061727E" w:rsidRPr="009F337B" w:rsidRDefault="0061727E" w:rsidP="0061727E">
      <w:pPr>
        <w:rPr>
          <w:lang w:val="en-US"/>
        </w:rPr>
      </w:pPr>
    </w:p>
    <w:p w14:paraId="51739028" w14:textId="6A65A212" w:rsidR="006F704E" w:rsidRPr="009F337B" w:rsidRDefault="008C399E" w:rsidP="00593E37">
      <w:pPr>
        <w:numPr>
          <w:ilvl w:val="0"/>
          <w:numId w:val="1"/>
        </w:numPr>
        <w:tabs>
          <w:tab w:val="left" w:pos="709"/>
        </w:tabs>
        <w:ind w:left="0" w:firstLine="0"/>
        <w:rPr>
          <w:lang w:val="en-US"/>
        </w:rPr>
      </w:pPr>
      <w:bookmarkStart w:id="111" w:name="_Toc520238581"/>
      <w:r w:rsidRPr="009F337B">
        <w:rPr>
          <w:lang w:val="en-US"/>
        </w:rPr>
        <w:t>The Court</w:t>
      </w:r>
      <w:r w:rsidR="006F704E" w:rsidRPr="009F337B">
        <w:rPr>
          <w:lang w:val="en-US"/>
        </w:rPr>
        <w:t xml:space="preserve"> consider</w:t>
      </w:r>
      <w:r w:rsidR="00837BC9" w:rsidRPr="009F337B">
        <w:rPr>
          <w:lang w:val="en-US"/>
        </w:rPr>
        <w:t>s th</w:t>
      </w:r>
      <w:r w:rsidR="00820E6A" w:rsidRPr="009F337B">
        <w:rPr>
          <w:lang w:val="en-US"/>
        </w:rPr>
        <w:t>at</w:t>
      </w:r>
      <w:r w:rsidR="006F704E" w:rsidRPr="009F337B">
        <w:rPr>
          <w:lang w:val="en-US"/>
        </w:rPr>
        <w:t xml:space="preserve"> </w:t>
      </w:r>
      <w:r w:rsidR="00837BC9" w:rsidRPr="009F337B">
        <w:rPr>
          <w:lang w:val="en-US"/>
        </w:rPr>
        <w:t>“</w:t>
      </w:r>
      <w:r w:rsidR="00640C52" w:rsidRPr="009F337B">
        <w:rPr>
          <w:lang w:val="en-US"/>
        </w:rPr>
        <w:t>injured party</w:t>
      </w:r>
      <w:r w:rsidR="006F704E" w:rsidRPr="009F337B">
        <w:rPr>
          <w:lang w:val="en-US"/>
        </w:rPr>
        <w:t>,</w:t>
      </w:r>
      <w:r w:rsidR="00837BC9" w:rsidRPr="009F337B">
        <w:rPr>
          <w:lang w:val="en-US"/>
        </w:rPr>
        <w:t>”</w:t>
      </w:r>
      <w:r w:rsidR="006F704E" w:rsidRPr="009F337B">
        <w:rPr>
          <w:lang w:val="en-US"/>
        </w:rPr>
        <w:t xml:space="preserve"> </w:t>
      </w:r>
      <w:r w:rsidR="00837BC9" w:rsidRPr="009F337B">
        <w:rPr>
          <w:lang w:val="en-US"/>
        </w:rPr>
        <w:t>in the terms</w:t>
      </w:r>
      <w:r w:rsidR="006F704E" w:rsidRPr="009F337B">
        <w:rPr>
          <w:lang w:val="en-US"/>
        </w:rPr>
        <w:t xml:space="preserve"> </w:t>
      </w:r>
      <w:r w:rsidR="003C46A3" w:rsidRPr="009F337B">
        <w:rPr>
          <w:lang w:val="en-US"/>
        </w:rPr>
        <w:t>of Article</w:t>
      </w:r>
      <w:r w:rsidR="006F704E" w:rsidRPr="009F337B">
        <w:rPr>
          <w:lang w:val="en-US"/>
        </w:rPr>
        <w:t xml:space="preserve"> </w:t>
      </w:r>
      <w:r w:rsidR="00AE5F9E" w:rsidRPr="009F337B">
        <w:rPr>
          <w:lang w:val="en-US"/>
        </w:rPr>
        <w:t>63(1) of the American Convention</w:t>
      </w:r>
      <w:r w:rsidR="006F704E" w:rsidRPr="009F337B">
        <w:rPr>
          <w:lang w:val="en-US"/>
        </w:rPr>
        <w:t xml:space="preserve">, </w:t>
      </w:r>
      <w:r w:rsidR="00837BC9" w:rsidRPr="009F337B">
        <w:rPr>
          <w:lang w:val="en-US"/>
        </w:rPr>
        <w:t>refers to those who have been declared victims of the violation of any right recognized therein.</w:t>
      </w:r>
      <w:r w:rsidR="006F704E" w:rsidRPr="009F337B">
        <w:rPr>
          <w:szCs w:val="20"/>
          <w:vertAlign w:val="superscript"/>
          <w:lang w:val="en-US"/>
        </w:rPr>
        <w:footnoteReference w:id="245"/>
      </w:r>
      <w:r w:rsidR="00837BC9" w:rsidRPr="009F337B">
        <w:rPr>
          <w:lang w:val="en-US"/>
        </w:rPr>
        <w:t xml:space="preserve"> Therefore, the Court considers that the victims and their next of kin are the</w:t>
      </w:r>
      <w:r w:rsidR="006F704E" w:rsidRPr="009F337B">
        <w:rPr>
          <w:lang w:val="en-US"/>
        </w:rPr>
        <w:t xml:space="preserve"> “</w:t>
      </w:r>
      <w:r w:rsidR="00640C52" w:rsidRPr="009F337B">
        <w:rPr>
          <w:lang w:val="en-US"/>
        </w:rPr>
        <w:t>injured party</w:t>
      </w:r>
      <w:r w:rsidR="006F704E" w:rsidRPr="009F337B">
        <w:rPr>
          <w:lang w:val="en-US"/>
        </w:rPr>
        <w:t>”</w:t>
      </w:r>
      <w:r w:rsidR="006F704E" w:rsidRPr="009F337B">
        <w:rPr>
          <w:vertAlign w:val="superscript"/>
          <w:lang w:val="en-US"/>
        </w:rPr>
        <w:footnoteReference w:id="246"/>
      </w:r>
      <w:r w:rsidR="00837BC9" w:rsidRPr="009F337B">
        <w:rPr>
          <w:lang w:val="en-US"/>
        </w:rPr>
        <w:t xml:space="preserve"> and, in their capacity </w:t>
      </w:r>
      <w:r w:rsidR="00820E6A" w:rsidRPr="009F337B">
        <w:rPr>
          <w:lang w:val="en-US"/>
        </w:rPr>
        <w:t>as</w:t>
      </w:r>
      <w:r w:rsidR="00837BC9" w:rsidRPr="009F337B">
        <w:rPr>
          <w:lang w:val="en-US"/>
        </w:rPr>
        <w:t xml:space="preserve"> victims of the violations declared in this judgement</w:t>
      </w:r>
      <w:r w:rsidR="00820E6A" w:rsidRPr="009F337B">
        <w:rPr>
          <w:lang w:val="en-US"/>
        </w:rPr>
        <w:t xml:space="preserve">, they </w:t>
      </w:r>
      <w:r w:rsidR="00837BC9" w:rsidRPr="009F337B">
        <w:rPr>
          <w:lang w:val="en-US"/>
        </w:rPr>
        <w:t>will be considered the beneficiaries of the reparations ordered by the Court.</w:t>
      </w:r>
      <w:r w:rsidR="006F704E" w:rsidRPr="009F337B">
        <w:rPr>
          <w:lang w:val="en-US"/>
        </w:rPr>
        <w:t xml:space="preserve"> </w:t>
      </w:r>
      <w:bookmarkEnd w:id="111"/>
    </w:p>
    <w:p w14:paraId="740A9462" w14:textId="77777777" w:rsidR="0061727E" w:rsidRPr="009F337B" w:rsidRDefault="0061727E" w:rsidP="0061727E">
      <w:pPr>
        <w:tabs>
          <w:tab w:val="left" w:pos="709"/>
        </w:tabs>
        <w:rPr>
          <w:lang w:val="en-US"/>
        </w:rPr>
      </w:pPr>
    </w:p>
    <w:p w14:paraId="0E98192B" w14:textId="384B7391" w:rsidR="0061727E" w:rsidRPr="009F337B" w:rsidRDefault="00FA59D3" w:rsidP="0061727E">
      <w:pPr>
        <w:pStyle w:val="Ttulo2"/>
        <w:spacing w:before="0" w:after="0"/>
        <w:rPr>
          <w:lang w:val="en-US"/>
        </w:rPr>
      </w:pPr>
      <w:bookmarkStart w:id="112" w:name="_Toc486693413"/>
      <w:bookmarkStart w:id="113" w:name="_Toc486842833"/>
      <w:bookmarkStart w:id="114" w:name="_Toc486842967"/>
      <w:bookmarkStart w:id="115" w:name="_Toc508792674"/>
      <w:bookmarkStart w:id="116" w:name="_Toc510690640"/>
      <w:r w:rsidRPr="009F337B">
        <w:rPr>
          <w:lang w:val="en-US"/>
        </w:rPr>
        <w:t>Measures of rehabilitation and satisfaction and guarantees of non-repetition</w:t>
      </w:r>
    </w:p>
    <w:p w14:paraId="31474154" w14:textId="77777777" w:rsidR="0061727E" w:rsidRPr="009F337B" w:rsidRDefault="0061727E" w:rsidP="0061727E">
      <w:pPr>
        <w:rPr>
          <w:lang w:val="en-US"/>
        </w:rPr>
      </w:pPr>
    </w:p>
    <w:bookmarkEnd w:id="112"/>
    <w:bookmarkEnd w:id="113"/>
    <w:bookmarkEnd w:id="114"/>
    <w:bookmarkEnd w:id="115"/>
    <w:bookmarkEnd w:id="116"/>
    <w:p w14:paraId="7514D364" w14:textId="715F5ABE" w:rsidR="006F704E" w:rsidRPr="009F337B" w:rsidRDefault="00E841F7" w:rsidP="00E841F7">
      <w:pPr>
        <w:pStyle w:val="Estilo1"/>
        <w:tabs>
          <w:tab w:val="left" w:pos="709"/>
          <w:tab w:val="left" w:pos="1134"/>
        </w:tabs>
        <w:spacing w:after="0"/>
        <w:ind w:left="0" w:right="-4" w:firstLine="0"/>
        <w:rPr>
          <w:rFonts w:eastAsia="Times" w:cs="Arial"/>
          <w:b/>
          <w:szCs w:val="20"/>
          <w:lang w:val="en-US"/>
        </w:rPr>
      </w:pPr>
      <w:r w:rsidRPr="009F337B">
        <w:rPr>
          <w:rFonts w:eastAsia="Times" w:cs="Arial"/>
          <w:b/>
          <w:szCs w:val="20"/>
          <w:lang w:val="en-US"/>
        </w:rPr>
        <w:lastRenderedPageBreak/>
        <w:tab/>
      </w:r>
      <w:r w:rsidRPr="009F337B">
        <w:rPr>
          <w:rFonts w:eastAsia="Times" w:cs="Arial"/>
          <w:b/>
          <w:szCs w:val="20"/>
          <w:lang w:val="en-US"/>
        </w:rPr>
        <w:tab/>
      </w:r>
      <w:r w:rsidR="006F704E" w:rsidRPr="009F337B">
        <w:rPr>
          <w:rFonts w:eastAsia="Times" w:cs="Arial"/>
          <w:b/>
          <w:szCs w:val="20"/>
          <w:lang w:val="en-US"/>
        </w:rPr>
        <w:t>B.1</w:t>
      </w:r>
      <w:r w:rsidR="00F63F5C" w:rsidRPr="009F337B">
        <w:rPr>
          <w:rFonts w:eastAsia="Times" w:cs="Arial"/>
          <w:b/>
          <w:szCs w:val="20"/>
          <w:lang w:val="en-US"/>
        </w:rPr>
        <w:t>.</w:t>
      </w:r>
      <w:r w:rsidR="006F704E" w:rsidRPr="009F337B">
        <w:rPr>
          <w:rFonts w:eastAsia="Times" w:cs="Arial"/>
          <w:b/>
          <w:szCs w:val="20"/>
          <w:lang w:val="en-US"/>
        </w:rPr>
        <w:t xml:space="preserve"> </w:t>
      </w:r>
      <w:r w:rsidR="00FA59D3" w:rsidRPr="009F337B">
        <w:rPr>
          <w:rFonts w:eastAsia="Times" w:cs="Arial"/>
          <w:b/>
          <w:szCs w:val="20"/>
          <w:lang w:val="en-US"/>
        </w:rPr>
        <w:t>Measures of rehabilitation</w:t>
      </w:r>
    </w:p>
    <w:p w14:paraId="26DC0863" w14:textId="77777777" w:rsidR="0088325B" w:rsidRPr="009F337B" w:rsidRDefault="0088325B" w:rsidP="0061727E">
      <w:pPr>
        <w:rPr>
          <w:lang w:val="en-US"/>
        </w:rPr>
      </w:pPr>
    </w:p>
    <w:p w14:paraId="565B8426" w14:textId="2D84AE1E" w:rsidR="006F704E" w:rsidRPr="009F337B" w:rsidRDefault="00E841F7" w:rsidP="0061727E">
      <w:pPr>
        <w:rPr>
          <w:rFonts w:cs="Vrinda"/>
          <w:b/>
          <w:i/>
          <w:lang w:val="en-US"/>
        </w:rPr>
      </w:pPr>
      <w:r w:rsidRPr="009F337B">
        <w:rPr>
          <w:rFonts w:cs="Vrinda"/>
          <w:i/>
          <w:lang w:val="en-US"/>
        </w:rPr>
        <w:tab/>
      </w:r>
      <w:r w:rsidRPr="009F337B">
        <w:rPr>
          <w:rFonts w:cs="Vrinda"/>
          <w:i/>
          <w:lang w:val="en-US"/>
        </w:rPr>
        <w:tab/>
      </w:r>
      <w:r w:rsidRPr="009F337B">
        <w:rPr>
          <w:rFonts w:cs="Vrinda"/>
          <w:i/>
          <w:lang w:val="en-US"/>
        </w:rPr>
        <w:tab/>
      </w:r>
      <w:r w:rsidR="006F704E" w:rsidRPr="009F337B">
        <w:rPr>
          <w:rFonts w:cs="Vrinda"/>
          <w:b/>
          <w:i/>
          <w:lang w:val="en-US"/>
        </w:rPr>
        <w:t xml:space="preserve">B.1.1. </w:t>
      </w:r>
      <w:r w:rsidR="0027465E" w:rsidRPr="009F337B">
        <w:rPr>
          <w:rFonts w:cs="Vrinda"/>
          <w:b/>
          <w:i/>
          <w:lang w:val="en-US"/>
        </w:rPr>
        <w:t>Arguments of the Commission and the parties</w:t>
      </w:r>
    </w:p>
    <w:p w14:paraId="49DE7D99" w14:textId="77777777" w:rsidR="0061727E" w:rsidRPr="009F337B" w:rsidRDefault="0061727E" w:rsidP="0061727E">
      <w:pPr>
        <w:rPr>
          <w:rFonts w:cs="Vrinda"/>
          <w:lang w:val="en-US"/>
        </w:rPr>
      </w:pPr>
    </w:p>
    <w:p w14:paraId="3EFFEB01" w14:textId="247C9589" w:rsidR="00FA59D3" w:rsidRPr="009F337B" w:rsidRDefault="00AE5F9E" w:rsidP="00593E37">
      <w:pPr>
        <w:numPr>
          <w:ilvl w:val="0"/>
          <w:numId w:val="1"/>
        </w:numPr>
        <w:tabs>
          <w:tab w:val="left" w:pos="709"/>
          <w:tab w:val="left" w:pos="1134"/>
        </w:tabs>
        <w:ind w:left="0" w:right="-4" w:firstLine="0"/>
        <w:rPr>
          <w:rFonts w:cs="Vrinda"/>
          <w:lang w:val="en-US"/>
        </w:rPr>
      </w:pPr>
      <w:r w:rsidRPr="009F337B">
        <w:rPr>
          <w:rFonts w:cs="Vrinda"/>
          <w:lang w:val="en-US"/>
        </w:rPr>
        <w:t xml:space="preserve">The </w:t>
      </w:r>
      <w:r w:rsidRPr="009F337B">
        <w:rPr>
          <w:rFonts w:cs="Vrinda"/>
          <w:b/>
          <w:i/>
          <w:lang w:val="en-US"/>
        </w:rPr>
        <w:t>Commission</w:t>
      </w:r>
      <w:r w:rsidR="006F704E" w:rsidRPr="009F337B">
        <w:rPr>
          <w:rFonts w:eastAsia="Arial" w:cs="Vrinda"/>
          <w:lang w:val="en-US"/>
        </w:rPr>
        <w:t xml:space="preserve"> </w:t>
      </w:r>
      <w:r w:rsidR="00FA59D3" w:rsidRPr="009F337B">
        <w:rPr>
          <w:rFonts w:cs="Vrinda"/>
          <w:lang w:val="en-US"/>
        </w:rPr>
        <w:t>asked that</w:t>
      </w:r>
      <w:r w:rsidR="006F704E" w:rsidRPr="009F337B">
        <w:rPr>
          <w:rFonts w:cs="Vrinda"/>
          <w:lang w:val="en-US"/>
        </w:rPr>
        <w:t xml:space="preserve"> </w:t>
      </w:r>
      <w:r w:rsidR="003C46A3" w:rsidRPr="009F337B">
        <w:rPr>
          <w:rFonts w:cs="Vrinda"/>
          <w:lang w:val="en-US"/>
        </w:rPr>
        <w:t>the State</w:t>
      </w:r>
      <w:r w:rsidR="00FA59D3" w:rsidRPr="009F337B">
        <w:rPr>
          <w:rFonts w:cs="Vrinda"/>
          <w:lang w:val="en-US"/>
        </w:rPr>
        <w:t xml:space="preserve"> make full reparation to the surviving victims</w:t>
      </w:r>
      <w:r w:rsidR="00820E6A" w:rsidRPr="009F337B">
        <w:rPr>
          <w:rFonts w:cs="Vrinda"/>
          <w:lang w:val="en-US"/>
        </w:rPr>
        <w:t>,</w:t>
      </w:r>
      <w:r w:rsidR="00FA59D3" w:rsidRPr="009F337B">
        <w:rPr>
          <w:rFonts w:cs="Vrinda"/>
          <w:lang w:val="en-US"/>
        </w:rPr>
        <w:t xml:space="preserve"> and to the next of kin and loved ones of all the victims, by i</w:t>
      </w:r>
      <w:r w:rsidR="00FA59D3" w:rsidRPr="009F337B">
        <w:rPr>
          <w:rFonts w:cs="BookAntiqua"/>
          <w:szCs w:val="20"/>
          <w:lang w:val="en-US"/>
        </w:rPr>
        <w:t>mmediately adopting the necessary measures to ensure that they received comprehensive medical treatment, in keeping with international standards, including, among other requirements: (i) conducting complete diagnoses and periodic follow-up tests; (ii) ensuring the permanent and uninterrupted provision of the</w:t>
      </w:r>
      <w:r w:rsidR="00820E6A" w:rsidRPr="009F337B">
        <w:rPr>
          <w:rFonts w:cs="BookAntiqua"/>
          <w:szCs w:val="20"/>
          <w:lang w:val="en-US"/>
        </w:rPr>
        <w:t xml:space="preserve"> required</w:t>
      </w:r>
      <w:r w:rsidR="00FA59D3" w:rsidRPr="009F337B">
        <w:rPr>
          <w:rFonts w:cs="BookAntiqua"/>
          <w:szCs w:val="20"/>
          <w:lang w:val="en-US"/>
        </w:rPr>
        <w:t xml:space="preserve"> antiretroviral drugs and any other</w:t>
      </w:r>
      <w:r w:rsidR="00820E6A" w:rsidRPr="009F337B">
        <w:rPr>
          <w:rFonts w:cs="BookAntiqua"/>
          <w:szCs w:val="20"/>
          <w:lang w:val="en-US"/>
        </w:rPr>
        <w:t>s</w:t>
      </w:r>
      <w:r w:rsidR="00FA59D3" w:rsidRPr="009F337B">
        <w:rPr>
          <w:rFonts w:cs="BookAntiqua"/>
          <w:szCs w:val="20"/>
          <w:lang w:val="en-US"/>
        </w:rPr>
        <w:t xml:space="preserve"> they may need arising from their specific health s</w:t>
      </w:r>
      <w:r w:rsidR="00460428">
        <w:rPr>
          <w:rFonts w:cs="BookAntiqua"/>
          <w:szCs w:val="20"/>
          <w:lang w:val="en-US"/>
        </w:rPr>
        <w:t>ituation</w:t>
      </w:r>
      <w:r w:rsidR="00FA59D3" w:rsidRPr="009F337B">
        <w:rPr>
          <w:rFonts w:cs="BookAntiqua"/>
          <w:szCs w:val="20"/>
          <w:lang w:val="en-US"/>
        </w:rPr>
        <w:t xml:space="preserve">; (iii) </w:t>
      </w:r>
      <w:r w:rsidR="007D58D0" w:rsidRPr="009F337B">
        <w:rPr>
          <w:rFonts w:cs="BookAntiqua"/>
          <w:szCs w:val="20"/>
          <w:lang w:val="en-US"/>
        </w:rPr>
        <w:t>mental health care for the victims who so wish, and (iv) the differentiated care required by</w:t>
      </w:r>
      <w:r w:rsidR="007D58D0" w:rsidRPr="009F337B">
        <w:rPr>
          <w:rFonts w:cs="Vrinda"/>
          <w:lang w:val="en-US"/>
        </w:rPr>
        <w:t xml:space="preserve"> t</w:t>
      </w:r>
      <w:r w:rsidR="00FA59D3" w:rsidRPr="009F337B">
        <w:rPr>
          <w:rFonts w:cs="BookAntiqua"/>
          <w:szCs w:val="20"/>
          <w:lang w:val="en-US"/>
        </w:rPr>
        <w:t xml:space="preserve">he women victims in this case, with special consideration </w:t>
      </w:r>
      <w:r w:rsidR="007D58D0" w:rsidRPr="009F337B">
        <w:rPr>
          <w:rFonts w:cs="BookAntiqua"/>
          <w:szCs w:val="20"/>
          <w:lang w:val="en-US"/>
        </w:rPr>
        <w:t>for</w:t>
      </w:r>
      <w:r w:rsidR="00FA59D3" w:rsidRPr="009F337B">
        <w:rPr>
          <w:rFonts w:cs="BookAntiqua"/>
          <w:szCs w:val="20"/>
          <w:lang w:val="en-US"/>
        </w:rPr>
        <w:t xml:space="preserve"> their reproductive capacity. </w:t>
      </w:r>
      <w:r w:rsidR="007D58D0" w:rsidRPr="009F337B">
        <w:rPr>
          <w:rFonts w:cs="BookAntiqua"/>
          <w:szCs w:val="20"/>
          <w:lang w:val="en-US"/>
        </w:rPr>
        <w:t>In this regard, the Commission reiterated the importance that t</w:t>
      </w:r>
      <w:r w:rsidR="00FA59D3" w:rsidRPr="009F337B">
        <w:rPr>
          <w:rFonts w:cs="BookAntiqua"/>
          <w:szCs w:val="20"/>
          <w:lang w:val="en-US"/>
        </w:rPr>
        <w:t xml:space="preserve">he State ensure that the victims do not </w:t>
      </w:r>
      <w:r w:rsidR="007D58D0" w:rsidRPr="009F337B">
        <w:rPr>
          <w:rFonts w:cs="BookAntiqua"/>
          <w:szCs w:val="20"/>
          <w:lang w:val="en-US"/>
        </w:rPr>
        <w:t>face</w:t>
      </w:r>
      <w:r w:rsidR="00FA59D3" w:rsidRPr="009F337B">
        <w:rPr>
          <w:rFonts w:cs="BookAntiqua"/>
          <w:szCs w:val="20"/>
          <w:lang w:val="en-US"/>
        </w:rPr>
        <w:t xml:space="preserve"> obstacles to accessibility or of any other nature, in order to obtain comprehensive treatment as provided for in this recommendation.</w:t>
      </w:r>
    </w:p>
    <w:p w14:paraId="4FC0DC39" w14:textId="77777777" w:rsidR="0061727E" w:rsidRPr="009F337B" w:rsidRDefault="0061727E" w:rsidP="0061727E">
      <w:pPr>
        <w:tabs>
          <w:tab w:val="left" w:pos="709"/>
          <w:tab w:val="left" w:pos="1134"/>
        </w:tabs>
        <w:ind w:right="-4"/>
        <w:rPr>
          <w:rFonts w:cs="Vrinda"/>
          <w:lang w:val="en-US"/>
        </w:rPr>
      </w:pPr>
    </w:p>
    <w:p w14:paraId="73C247EB" w14:textId="399ED045" w:rsidR="007D58D0" w:rsidRPr="009F337B" w:rsidRDefault="007327F5" w:rsidP="00593E37">
      <w:pPr>
        <w:numPr>
          <w:ilvl w:val="0"/>
          <w:numId w:val="1"/>
        </w:numPr>
        <w:tabs>
          <w:tab w:val="left" w:pos="709"/>
          <w:tab w:val="left" w:pos="1134"/>
        </w:tabs>
        <w:ind w:left="0" w:right="-4" w:firstLine="0"/>
        <w:rPr>
          <w:rFonts w:cs="Vrinda"/>
          <w:lang w:val="en-US"/>
        </w:rPr>
      </w:pPr>
      <w:r w:rsidRPr="009F337B">
        <w:rPr>
          <w:rFonts w:cs="Vrinda"/>
          <w:lang w:val="en-US"/>
        </w:rPr>
        <w:t xml:space="preserve">The </w:t>
      </w:r>
      <w:r w:rsidRPr="009F337B">
        <w:rPr>
          <w:rFonts w:cs="Vrinda"/>
          <w:b/>
          <w:i/>
          <w:lang w:val="en-US"/>
        </w:rPr>
        <w:t>representatives</w:t>
      </w:r>
      <w:r w:rsidR="006F704E" w:rsidRPr="009F337B">
        <w:rPr>
          <w:rFonts w:eastAsia="Arial" w:cs="Vrinda"/>
          <w:color w:val="262626"/>
          <w:lang w:val="en-US"/>
        </w:rPr>
        <w:t xml:space="preserve"> </w:t>
      </w:r>
      <w:r w:rsidR="007D58D0" w:rsidRPr="009F337B">
        <w:rPr>
          <w:rFonts w:eastAsia="Arial" w:cs="Vrinda"/>
          <w:color w:val="262626"/>
          <w:lang w:val="en-US"/>
        </w:rPr>
        <w:t xml:space="preserve">asked the Court to order the State to guarantee comprehensive and accessible medical care for the surviving victims. Accordingly, they asked that Guatemala adopt the necessary measures to provide comprehensive medical care </w:t>
      </w:r>
      <w:r w:rsidR="00820E6A" w:rsidRPr="009F337B">
        <w:rPr>
          <w:rFonts w:eastAsia="Arial" w:cs="Vrinda"/>
          <w:color w:val="262626"/>
          <w:lang w:val="en-US"/>
        </w:rPr>
        <w:t>for</w:t>
      </w:r>
      <w:r w:rsidR="007D58D0" w:rsidRPr="009F337B">
        <w:rPr>
          <w:rFonts w:eastAsia="Arial" w:cs="Vrinda"/>
          <w:color w:val="262626"/>
          <w:lang w:val="en-US"/>
        </w:rPr>
        <w:t xml:space="preserve"> any medical condition, together with any other action needed to re</w:t>
      </w:r>
      <w:r w:rsidR="00820E6A" w:rsidRPr="009F337B">
        <w:rPr>
          <w:rFonts w:eastAsia="Arial" w:cs="Vrinda"/>
          <w:color w:val="262626"/>
          <w:lang w:val="en-US"/>
        </w:rPr>
        <w:t>medy</w:t>
      </w:r>
      <w:r w:rsidR="007D58D0" w:rsidRPr="009F337B">
        <w:rPr>
          <w:rFonts w:eastAsia="Arial" w:cs="Vrinda"/>
          <w:color w:val="262626"/>
          <w:lang w:val="en-US"/>
        </w:rPr>
        <w:t xml:space="preserve"> the harm caused to the victims, which should include the elements of prevention, treatment, care and support that they require. </w:t>
      </w:r>
      <w:r w:rsidR="007D58D0" w:rsidRPr="009F337B">
        <w:rPr>
          <w:rFonts w:eastAsia="Arial" w:cs="Vrinda"/>
          <w:lang w:val="en-US"/>
        </w:rPr>
        <w:t xml:space="preserve">The representatives asked that the State be ordered to </w:t>
      </w:r>
      <w:r w:rsidR="00820E6A" w:rsidRPr="009F337B">
        <w:rPr>
          <w:rFonts w:eastAsia="Arial" w:cs="Vrinda"/>
          <w:lang w:val="en-US"/>
        </w:rPr>
        <w:t>ensure</w:t>
      </w:r>
      <w:r w:rsidR="007D58D0" w:rsidRPr="009F337B">
        <w:rPr>
          <w:rFonts w:eastAsia="Arial" w:cs="Vrinda"/>
          <w:lang w:val="en-US"/>
        </w:rPr>
        <w:t>, immediately, promptly, adequately, effectively, permanently and free of charge, through it</w:t>
      </w:r>
      <w:r w:rsidR="00820E6A" w:rsidRPr="009F337B">
        <w:rPr>
          <w:rFonts w:eastAsia="Arial" w:cs="Vrinda"/>
          <w:lang w:val="en-US"/>
        </w:rPr>
        <w:t>s</w:t>
      </w:r>
      <w:r w:rsidR="007D58D0" w:rsidRPr="009F337B">
        <w:rPr>
          <w:rFonts w:eastAsia="Arial" w:cs="Vrinda"/>
          <w:lang w:val="en-US"/>
        </w:rPr>
        <w:t xml:space="preserve"> public health </w:t>
      </w:r>
      <w:r w:rsidR="00FB0216" w:rsidRPr="009F337B">
        <w:rPr>
          <w:rFonts w:eastAsia="Arial" w:cs="Vrinda"/>
          <w:lang w:val="en-US"/>
        </w:rPr>
        <w:t>facilities</w:t>
      </w:r>
      <w:r w:rsidR="00820E6A" w:rsidRPr="009F337B">
        <w:rPr>
          <w:rFonts w:eastAsia="Arial" w:cs="Vrinda"/>
          <w:lang w:val="en-US"/>
        </w:rPr>
        <w:t>,</w:t>
      </w:r>
      <w:r w:rsidR="007D58D0" w:rsidRPr="009F337B">
        <w:rPr>
          <w:rFonts w:eastAsia="Arial" w:cs="Vrinda"/>
          <w:lang w:val="en-US"/>
        </w:rPr>
        <w:t xml:space="preserve"> the medical, psychological or psychiatric treatment required by the surviving victims in this case, which should include the free supply of </w:t>
      </w:r>
      <w:r w:rsidR="007D58D0" w:rsidRPr="009F337B">
        <w:rPr>
          <w:rFonts w:cs="Vrinda"/>
          <w:lang w:val="en-US"/>
        </w:rPr>
        <w:t>antiretroviral drugs, a</w:t>
      </w:r>
      <w:r w:rsidR="00820E6A" w:rsidRPr="009F337B">
        <w:rPr>
          <w:rFonts w:cs="Vrinda"/>
          <w:lang w:val="en-US"/>
        </w:rPr>
        <w:t>s well as</w:t>
      </w:r>
      <w:r w:rsidR="007D58D0" w:rsidRPr="009F337B">
        <w:rPr>
          <w:rFonts w:cs="Vrinda"/>
          <w:lang w:val="en-US"/>
        </w:rPr>
        <w:t xml:space="preserve"> those necessary for the treatment of </w:t>
      </w:r>
      <w:r w:rsidR="00820E6A" w:rsidRPr="009F337B">
        <w:rPr>
          <w:rFonts w:cs="Vrinda"/>
          <w:lang w:val="en-US"/>
        </w:rPr>
        <w:t xml:space="preserve">HIV-related </w:t>
      </w:r>
      <w:r w:rsidR="0081563D" w:rsidRPr="009F337B">
        <w:rPr>
          <w:rFonts w:cs="Vrinda"/>
          <w:lang w:val="en-US"/>
        </w:rPr>
        <w:t>opportunistic diseases</w:t>
      </w:r>
      <w:r w:rsidR="003C46A3" w:rsidRPr="009F337B">
        <w:rPr>
          <w:rFonts w:cs="Vrinda"/>
          <w:lang w:val="en-US"/>
        </w:rPr>
        <w:t xml:space="preserve"> and </w:t>
      </w:r>
      <w:r w:rsidR="007D58D0" w:rsidRPr="009F337B">
        <w:rPr>
          <w:rFonts w:cs="Vrinda"/>
          <w:lang w:val="en-US"/>
        </w:rPr>
        <w:t>infections.</w:t>
      </w:r>
      <w:r w:rsidR="006F704E" w:rsidRPr="009F337B">
        <w:rPr>
          <w:rStyle w:val="Refdenotaalpie"/>
          <w:rFonts w:cs="Vrinda"/>
          <w:lang w:val="en-US"/>
        </w:rPr>
        <w:footnoteReference w:id="247"/>
      </w:r>
      <w:r w:rsidR="007D58D0" w:rsidRPr="009F337B">
        <w:rPr>
          <w:rFonts w:cs="Vrinda"/>
          <w:lang w:val="en-US"/>
        </w:rPr>
        <w:t xml:space="preserve"> They also asked that the medical care be provided, insofar as possible, in the center nearest to their place of residence, and that the State assume</w:t>
      </w:r>
      <w:r w:rsidR="00820E6A" w:rsidRPr="009F337B">
        <w:rPr>
          <w:rFonts w:cs="Vrinda"/>
          <w:lang w:val="en-US"/>
        </w:rPr>
        <w:t xml:space="preserve"> the expenses of food and</w:t>
      </w:r>
      <w:r w:rsidR="007D58D0" w:rsidRPr="009F337B">
        <w:rPr>
          <w:rFonts w:cs="Vrinda"/>
          <w:lang w:val="en-US"/>
        </w:rPr>
        <w:t xml:space="preserve"> transport</w:t>
      </w:r>
      <w:r w:rsidR="00820E6A" w:rsidRPr="009F337B">
        <w:rPr>
          <w:rFonts w:cs="Vrinda"/>
          <w:lang w:val="en-US"/>
        </w:rPr>
        <w:t xml:space="preserve"> </w:t>
      </w:r>
      <w:r w:rsidR="007D58D0" w:rsidRPr="009F337B">
        <w:rPr>
          <w:rFonts w:cs="Vrinda"/>
          <w:lang w:val="en-US"/>
        </w:rPr>
        <w:t>so that the victims may attend the Comprehensive Care Units, without this causing them additional expenses. In this regard, the</w:t>
      </w:r>
      <w:r w:rsidR="00820E6A" w:rsidRPr="009F337B">
        <w:rPr>
          <w:rFonts w:cs="Vrinda"/>
          <w:lang w:val="en-US"/>
        </w:rPr>
        <w:t xml:space="preserve"> representatives</w:t>
      </w:r>
      <w:r w:rsidR="007D58D0" w:rsidRPr="009F337B">
        <w:rPr>
          <w:rFonts w:cs="Vrinda"/>
          <w:lang w:val="en-US"/>
        </w:rPr>
        <w:t xml:space="preserve"> underlined that, when it </w:t>
      </w:r>
      <w:r w:rsidR="00820E6A" w:rsidRPr="009F337B">
        <w:rPr>
          <w:rFonts w:cs="Vrinda"/>
          <w:lang w:val="en-US"/>
        </w:rPr>
        <w:t>might</w:t>
      </w:r>
      <w:r w:rsidR="007D58D0" w:rsidRPr="009F337B">
        <w:rPr>
          <w:rFonts w:cs="Vrinda"/>
          <w:lang w:val="en-US"/>
        </w:rPr>
        <w:t xml:space="preserve"> be necessary to resort to care in private clinics, the State must assume the necessary expenses. They also asked that the State guarantee good quality </w:t>
      </w:r>
      <w:r w:rsidR="00460428">
        <w:rPr>
          <w:rFonts w:cs="Vrinda"/>
          <w:lang w:val="en-US"/>
        </w:rPr>
        <w:t>nutrition</w:t>
      </w:r>
      <w:r w:rsidR="007D58D0" w:rsidRPr="009F337B">
        <w:rPr>
          <w:rFonts w:cs="Vrinda"/>
          <w:lang w:val="en-US"/>
        </w:rPr>
        <w:t xml:space="preserve"> and </w:t>
      </w:r>
      <w:r w:rsidR="009D587B" w:rsidRPr="009F337B">
        <w:rPr>
          <w:rFonts w:cs="Vrinda"/>
          <w:lang w:val="en-US"/>
        </w:rPr>
        <w:t xml:space="preserve">psychological, spiritual and </w:t>
      </w:r>
      <w:r w:rsidR="007D58D0" w:rsidRPr="009F337B">
        <w:rPr>
          <w:rFonts w:cs="Vrinda"/>
          <w:lang w:val="en-US"/>
        </w:rPr>
        <w:t>social support to all the victims</w:t>
      </w:r>
      <w:r w:rsidR="009D587B" w:rsidRPr="009F337B">
        <w:rPr>
          <w:rFonts w:cs="Vrinda"/>
          <w:lang w:val="en-US"/>
        </w:rPr>
        <w:t xml:space="preserve">, as well as gender-based family, community and </w:t>
      </w:r>
      <w:r w:rsidR="00F93469" w:rsidRPr="009F337B">
        <w:rPr>
          <w:rFonts w:cs="Vrinda"/>
          <w:lang w:val="en-US"/>
        </w:rPr>
        <w:t>home-based care</w:t>
      </w:r>
      <w:r w:rsidR="009D587B" w:rsidRPr="009F337B">
        <w:rPr>
          <w:rFonts w:cs="Vrinda"/>
          <w:lang w:val="en-US"/>
        </w:rPr>
        <w:t>.</w:t>
      </w:r>
    </w:p>
    <w:p w14:paraId="703CA388" w14:textId="77777777" w:rsidR="0061727E" w:rsidRPr="009F337B" w:rsidRDefault="0061727E" w:rsidP="0061727E">
      <w:pPr>
        <w:tabs>
          <w:tab w:val="left" w:pos="709"/>
          <w:tab w:val="left" w:pos="1134"/>
        </w:tabs>
        <w:ind w:right="-4"/>
        <w:rPr>
          <w:rFonts w:cs="Vrinda"/>
          <w:lang w:val="en-US"/>
        </w:rPr>
      </w:pPr>
    </w:p>
    <w:p w14:paraId="52D34DAC" w14:textId="013BA6E3" w:rsidR="006F704E" w:rsidRPr="009F337B" w:rsidRDefault="007327F5" w:rsidP="00593E37">
      <w:pPr>
        <w:numPr>
          <w:ilvl w:val="0"/>
          <w:numId w:val="1"/>
        </w:numPr>
        <w:tabs>
          <w:tab w:val="left" w:pos="709"/>
          <w:tab w:val="left" w:pos="1134"/>
        </w:tabs>
        <w:ind w:left="0" w:right="-4" w:firstLine="0"/>
        <w:rPr>
          <w:rFonts w:cs="Vrinda"/>
          <w:lang w:val="en-US"/>
        </w:rPr>
      </w:pPr>
      <w:r w:rsidRPr="009F337B">
        <w:rPr>
          <w:rFonts w:eastAsia="Arial" w:cs="Vrinda"/>
          <w:lang w:val="en-US"/>
        </w:rPr>
        <w:t>The representatives</w:t>
      </w:r>
      <w:r w:rsidR="006F704E" w:rsidRPr="009F337B">
        <w:rPr>
          <w:rFonts w:eastAsia="Arial" w:cs="Vrinda"/>
          <w:lang w:val="en-US"/>
        </w:rPr>
        <w:t xml:space="preserve"> </w:t>
      </w:r>
      <w:r w:rsidR="009D587B" w:rsidRPr="009F337B">
        <w:rPr>
          <w:rFonts w:eastAsia="Arial" w:cs="Vrinda"/>
          <w:lang w:val="en-US"/>
        </w:rPr>
        <w:t xml:space="preserve">also considered that the State should provide condoms, lubricants, sterile injection equipment, antiretroviral drugs and the necessary treatment to prevent </w:t>
      </w:r>
      <w:r w:rsidR="00820E6A" w:rsidRPr="009F337B">
        <w:rPr>
          <w:rFonts w:eastAsia="Arial" w:cs="Vrinda"/>
          <w:lang w:val="en-US"/>
        </w:rPr>
        <w:t>vertical</w:t>
      </w:r>
      <w:r w:rsidR="009D587B" w:rsidRPr="009F337B">
        <w:rPr>
          <w:rFonts w:eastAsia="Arial" w:cs="Vrinda"/>
          <w:lang w:val="en-US"/>
        </w:rPr>
        <w:t xml:space="preserve"> transmission permanently and free of charge</w:t>
      </w:r>
      <w:r w:rsidR="006F704E" w:rsidRPr="009F337B">
        <w:rPr>
          <w:rFonts w:eastAsia="Arial" w:cs="Vrinda"/>
          <w:lang w:val="en-US"/>
        </w:rPr>
        <w:t>. A</w:t>
      </w:r>
      <w:r w:rsidR="009D587B" w:rsidRPr="009F337B">
        <w:rPr>
          <w:rFonts w:eastAsia="Arial" w:cs="Vrinda"/>
          <w:lang w:val="en-US"/>
        </w:rPr>
        <w:t xml:space="preserve">dded to this, they asked that the comprehensive care be culturally appropriate for the victims in this case; in particular, for those who speak an indigenous language. Lastly, in this regard, they argued that, in view of the effets of </w:t>
      </w:r>
      <w:r w:rsidR="006F704E" w:rsidRPr="009F337B">
        <w:rPr>
          <w:rFonts w:eastAsia="Arial" w:cs="Vrinda"/>
          <w:lang w:val="en-US"/>
        </w:rPr>
        <w:t>lipod</w:t>
      </w:r>
      <w:r w:rsidR="009D587B" w:rsidRPr="009F337B">
        <w:rPr>
          <w:rFonts w:eastAsia="Arial" w:cs="Vrinda"/>
          <w:lang w:val="en-US"/>
        </w:rPr>
        <w:t>y</w:t>
      </w:r>
      <w:r w:rsidR="006F704E" w:rsidRPr="009F337B">
        <w:rPr>
          <w:rFonts w:eastAsia="Arial" w:cs="Vrinda"/>
          <w:lang w:val="en-US"/>
        </w:rPr>
        <w:t>stro</w:t>
      </w:r>
      <w:r w:rsidR="009D587B" w:rsidRPr="009F337B">
        <w:rPr>
          <w:rFonts w:eastAsia="Arial" w:cs="Vrinda"/>
          <w:lang w:val="en-US"/>
        </w:rPr>
        <w:t>phy on the integrity of the individual, the State should provide immediately the necessary care to treat this illness for all the victims suffering from it, including the surgery required, within no more than six mo</w:t>
      </w:r>
      <w:r w:rsidR="00675762" w:rsidRPr="009F337B">
        <w:rPr>
          <w:rFonts w:eastAsia="Arial" w:cs="Vrinda"/>
          <w:lang w:val="en-US"/>
        </w:rPr>
        <w:t>n</w:t>
      </w:r>
      <w:r w:rsidR="009D587B" w:rsidRPr="009F337B">
        <w:rPr>
          <w:rFonts w:eastAsia="Arial" w:cs="Vrinda"/>
          <w:lang w:val="en-US"/>
        </w:rPr>
        <w:t>ths of delivery of the judgment.</w:t>
      </w:r>
    </w:p>
    <w:p w14:paraId="5BC8920B" w14:textId="77777777" w:rsidR="0061727E" w:rsidRPr="009F337B" w:rsidRDefault="0061727E" w:rsidP="0061727E">
      <w:pPr>
        <w:tabs>
          <w:tab w:val="left" w:pos="709"/>
          <w:tab w:val="left" w:pos="1134"/>
        </w:tabs>
        <w:ind w:right="-4"/>
        <w:rPr>
          <w:rFonts w:cs="Vrinda"/>
          <w:lang w:val="en-US"/>
        </w:rPr>
      </w:pPr>
    </w:p>
    <w:p w14:paraId="0F57AF22" w14:textId="1CA637F4" w:rsidR="006F704E" w:rsidRPr="009F337B" w:rsidRDefault="00975DD0" w:rsidP="00593E37">
      <w:pPr>
        <w:numPr>
          <w:ilvl w:val="0"/>
          <w:numId w:val="1"/>
        </w:numPr>
        <w:tabs>
          <w:tab w:val="left" w:pos="709"/>
          <w:tab w:val="left" w:pos="1134"/>
        </w:tabs>
        <w:ind w:left="0" w:right="-4" w:firstLine="0"/>
        <w:rPr>
          <w:rFonts w:cs="Vrinda"/>
          <w:lang w:val="en-US"/>
        </w:rPr>
      </w:pPr>
      <w:r w:rsidRPr="009F337B">
        <w:rPr>
          <w:rFonts w:cs="Vrinda"/>
          <w:lang w:val="en-US"/>
        </w:rPr>
        <w:t>Second</w:t>
      </w:r>
      <w:r w:rsidR="006F704E" w:rsidRPr="009F337B">
        <w:rPr>
          <w:rFonts w:cs="Vrinda"/>
          <w:lang w:val="en-US"/>
        </w:rPr>
        <w:t xml:space="preserve">, </w:t>
      </w:r>
      <w:r w:rsidR="007327F5" w:rsidRPr="009F337B">
        <w:rPr>
          <w:rFonts w:cs="Vrinda"/>
          <w:lang w:val="en-US"/>
        </w:rPr>
        <w:t>the representatives</w:t>
      </w:r>
      <w:r w:rsidR="006F704E" w:rsidRPr="009F337B">
        <w:rPr>
          <w:rFonts w:cs="Vrinda"/>
          <w:lang w:val="en-US"/>
        </w:rPr>
        <w:t xml:space="preserve"> </w:t>
      </w:r>
      <w:r w:rsidRPr="009F337B">
        <w:rPr>
          <w:rFonts w:cs="Vrinda"/>
          <w:lang w:val="en-US"/>
        </w:rPr>
        <w:t>asked the Court to req</w:t>
      </w:r>
      <w:r w:rsidR="00675762" w:rsidRPr="009F337B">
        <w:rPr>
          <w:rFonts w:cs="Vrinda"/>
          <w:lang w:val="en-US"/>
        </w:rPr>
        <w:t>u</w:t>
      </w:r>
      <w:r w:rsidRPr="009F337B">
        <w:rPr>
          <w:rFonts w:cs="Vrinda"/>
          <w:lang w:val="en-US"/>
        </w:rPr>
        <w:t xml:space="preserve">ire the State to guarantee psychological and medical care to the </w:t>
      </w:r>
      <w:r w:rsidR="00675762" w:rsidRPr="009F337B">
        <w:rPr>
          <w:rFonts w:cs="Vrinda"/>
          <w:lang w:val="en-US"/>
        </w:rPr>
        <w:t xml:space="preserve">surviving </w:t>
      </w:r>
      <w:r w:rsidRPr="009F337B">
        <w:rPr>
          <w:rFonts w:cs="Vrinda"/>
          <w:lang w:val="en-US"/>
        </w:rPr>
        <w:t xml:space="preserve">next of kin of the victims who </w:t>
      </w:r>
      <w:r w:rsidR="00675762" w:rsidRPr="009F337B">
        <w:rPr>
          <w:rFonts w:cs="Vrinda"/>
          <w:lang w:val="en-US"/>
        </w:rPr>
        <w:t>a</w:t>
      </w:r>
      <w:r w:rsidRPr="009F337B">
        <w:rPr>
          <w:rFonts w:cs="Vrinda"/>
          <w:lang w:val="en-US"/>
        </w:rPr>
        <w:t xml:space="preserve">re deceased. They requested that the State provide adequate care for the physical and psychological </w:t>
      </w:r>
      <w:r w:rsidRPr="009F337B">
        <w:rPr>
          <w:rFonts w:cs="Vrinda"/>
          <w:lang w:val="en-US"/>
        </w:rPr>
        <w:lastRenderedPageBreak/>
        <w:t xml:space="preserve">conditions suffered by the next of kin of the victims, which should be provided by reliable and qualified personnel and that </w:t>
      </w:r>
      <w:r w:rsidR="00675762" w:rsidRPr="009F337B">
        <w:rPr>
          <w:rFonts w:cs="Vrinda"/>
          <w:lang w:val="en-US"/>
        </w:rPr>
        <w:t>it</w:t>
      </w:r>
      <w:r w:rsidRPr="009F337B">
        <w:rPr>
          <w:rFonts w:cs="Vrinda"/>
          <w:lang w:val="en-US"/>
        </w:rPr>
        <w:t xml:space="preserve"> cover all the expenses arising from </w:t>
      </w:r>
      <w:r w:rsidR="00675762" w:rsidRPr="009F337B">
        <w:rPr>
          <w:rFonts w:cs="Vrinda"/>
          <w:lang w:val="en-US"/>
        </w:rPr>
        <w:t>such</w:t>
      </w:r>
      <w:r w:rsidRPr="009F337B">
        <w:rPr>
          <w:rFonts w:cs="Vrinda"/>
          <w:lang w:val="en-US"/>
        </w:rPr>
        <w:t xml:space="preserve"> treatment, including transport and other needs that could arise. In particular, they stressed the importance of the State providing the medical and psycological treatment required by the next of kin who are declared victims immediately and free of charge through its specialized health care institutions</w:t>
      </w:r>
      <w:r w:rsidR="0021198A" w:rsidRPr="009F337B">
        <w:rPr>
          <w:rFonts w:eastAsia="Arial" w:cs="Vrinda"/>
          <w:lang w:val="en-US"/>
        </w:rPr>
        <w:t>.</w:t>
      </w:r>
    </w:p>
    <w:p w14:paraId="6AE901F6" w14:textId="77777777" w:rsidR="0061727E" w:rsidRPr="009F337B" w:rsidRDefault="0061727E" w:rsidP="0061727E">
      <w:pPr>
        <w:tabs>
          <w:tab w:val="left" w:pos="709"/>
          <w:tab w:val="left" w:pos="1134"/>
        </w:tabs>
        <w:ind w:right="-4"/>
        <w:rPr>
          <w:rFonts w:cs="Vrinda"/>
          <w:lang w:val="en-US"/>
        </w:rPr>
      </w:pPr>
    </w:p>
    <w:p w14:paraId="67C1C569" w14:textId="23DF8843" w:rsidR="00F63F5C" w:rsidRPr="009F337B" w:rsidRDefault="00975DD0" w:rsidP="00593E37">
      <w:pPr>
        <w:numPr>
          <w:ilvl w:val="0"/>
          <w:numId w:val="1"/>
        </w:numPr>
        <w:tabs>
          <w:tab w:val="left" w:pos="709"/>
          <w:tab w:val="left" w:pos="1134"/>
        </w:tabs>
        <w:ind w:left="0" w:right="-4" w:firstLine="0"/>
        <w:rPr>
          <w:rFonts w:cs="Vrinda"/>
          <w:lang w:val="en-US"/>
        </w:rPr>
      </w:pPr>
      <w:r w:rsidRPr="009F337B">
        <w:rPr>
          <w:rFonts w:cs="Vrinda"/>
          <w:lang w:val="en-US"/>
        </w:rPr>
        <w:t>In this regard</w:t>
      </w:r>
      <w:r w:rsidR="006F704E" w:rsidRPr="009F337B">
        <w:rPr>
          <w:rFonts w:cs="Vrinda"/>
          <w:lang w:val="en-US"/>
        </w:rPr>
        <w:t xml:space="preserve">, </w:t>
      </w:r>
      <w:r w:rsidR="003C46A3" w:rsidRPr="009F337B">
        <w:rPr>
          <w:rFonts w:cs="Vrinda"/>
          <w:lang w:val="en-US"/>
        </w:rPr>
        <w:t xml:space="preserve">the </w:t>
      </w:r>
      <w:r w:rsidR="003C46A3" w:rsidRPr="009F337B">
        <w:rPr>
          <w:rFonts w:cs="Vrinda"/>
          <w:b/>
          <w:i/>
          <w:lang w:val="en-US"/>
        </w:rPr>
        <w:t>State</w:t>
      </w:r>
      <w:r w:rsidR="006F704E" w:rsidRPr="009F337B">
        <w:rPr>
          <w:rFonts w:cs="Vrinda"/>
          <w:lang w:val="en-US"/>
        </w:rPr>
        <w:t xml:space="preserve"> </w:t>
      </w:r>
      <w:r w:rsidRPr="009F337B">
        <w:rPr>
          <w:rFonts w:cs="Vrinda"/>
          <w:lang w:val="en-US"/>
        </w:rPr>
        <w:t xml:space="preserve">indicated that, if the Court decided that it was internationally responsible for failing to ensure any of the rights recognized in the Convention, it should take into account that, with the exception of reparation for pecuniary and non-pecuniary damage, it had already </w:t>
      </w:r>
      <w:r w:rsidR="00675762" w:rsidRPr="009F337B">
        <w:rPr>
          <w:rFonts w:cs="Vrinda"/>
          <w:lang w:val="en-US"/>
        </w:rPr>
        <w:t>taken</w:t>
      </w:r>
      <w:r w:rsidRPr="009F337B">
        <w:rPr>
          <w:rFonts w:cs="Vrinda"/>
          <w:lang w:val="en-US"/>
        </w:rPr>
        <w:t xml:space="preserve"> the necessary measures to </w:t>
      </w:r>
      <w:r w:rsidR="00460428">
        <w:rPr>
          <w:rFonts w:cs="Vrinda"/>
          <w:lang w:val="en-US"/>
        </w:rPr>
        <w:t>i</w:t>
      </w:r>
      <w:r w:rsidR="00675762" w:rsidRPr="009F337B">
        <w:rPr>
          <w:rFonts w:cs="Vrinda"/>
          <w:lang w:val="en-US"/>
        </w:rPr>
        <w:t xml:space="preserve">nsure </w:t>
      </w:r>
      <w:r w:rsidRPr="009F337B">
        <w:rPr>
          <w:rFonts w:cs="Vrinda"/>
          <w:lang w:val="en-US"/>
        </w:rPr>
        <w:t>all the surviving victims in this case, as well as all the other people</w:t>
      </w:r>
      <w:r w:rsidR="00675762" w:rsidRPr="009F337B">
        <w:rPr>
          <w:rFonts w:cs="Vrinda"/>
          <w:lang w:val="en-US"/>
        </w:rPr>
        <w:t xml:space="preserve"> who are</w:t>
      </w:r>
      <w:r w:rsidRPr="009F337B">
        <w:rPr>
          <w:rFonts w:cs="Vrinda"/>
          <w:lang w:val="en-US"/>
        </w:rPr>
        <w:t xml:space="preserve"> infected </w:t>
      </w:r>
      <w:r w:rsidR="00675762" w:rsidRPr="009F337B">
        <w:rPr>
          <w:rFonts w:cs="Vrinda"/>
          <w:lang w:val="en-US"/>
        </w:rPr>
        <w:t xml:space="preserve">and </w:t>
      </w:r>
      <w:r w:rsidRPr="009F337B">
        <w:rPr>
          <w:rFonts w:cs="Vrinda"/>
          <w:lang w:val="en-US"/>
        </w:rPr>
        <w:t xml:space="preserve">who live in </w:t>
      </w:r>
      <w:r w:rsidR="00675762" w:rsidRPr="009F337B">
        <w:rPr>
          <w:rFonts w:cs="Vrinda"/>
          <w:lang w:val="en-US"/>
        </w:rPr>
        <w:t>Guatemala</w:t>
      </w:r>
      <w:r w:rsidRPr="009F337B">
        <w:rPr>
          <w:rFonts w:cs="Vrinda"/>
          <w:lang w:val="en-US"/>
        </w:rPr>
        <w:t xml:space="preserve">. In addition, the State indicated that, regarding the reparation requested by the representatives </w:t>
      </w:r>
      <w:r w:rsidR="00675762" w:rsidRPr="009F337B">
        <w:rPr>
          <w:rFonts w:cs="Vrinda"/>
          <w:lang w:val="en-US"/>
        </w:rPr>
        <w:t>for</w:t>
      </w:r>
      <w:r w:rsidRPr="009F337B">
        <w:rPr>
          <w:rFonts w:cs="Vrinda"/>
          <w:lang w:val="en-US"/>
        </w:rPr>
        <w:t xml:space="preserve"> the possible harm caused by the alleged violation of </w:t>
      </w:r>
      <w:r w:rsidRPr="009F337B">
        <w:rPr>
          <w:rFonts w:eastAsia="Times New Roman" w:cs="Vrinda"/>
          <w:lang w:val="en-US"/>
        </w:rPr>
        <w:t>Article 19 of the Convention,</w:t>
      </w:r>
      <w:r w:rsidR="00A5196A" w:rsidRPr="009F337B">
        <w:rPr>
          <w:rFonts w:eastAsia="Times New Roman" w:cs="Vrinda"/>
          <w:lang w:val="en-US"/>
        </w:rPr>
        <w:t xml:space="preserve"> it was unable to refer to this, because the legal grounds included in the representatives’ b</w:t>
      </w:r>
      <w:r w:rsidR="00934388" w:rsidRPr="009F337B">
        <w:rPr>
          <w:rFonts w:eastAsia="Times New Roman" w:cs="Vrinda"/>
          <w:lang w:val="en-US"/>
        </w:rPr>
        <w:t>rief with motions, pleadings</w:t>
      </w:r>
      <w:r w:rsidR="003C46A3" w:rsidRPr="009F337B">
        <w:rPr>
          <w:rFonts w:eastAsia="Times New Roman" w:cs="Vrinda"/>
          <w:lang w:val="en-US"/>
        </w:rPr>
        <w:t xml:space="preserve"> </w:t>
      </w:r>
      <w:r w:rsidR="007327F5" w:rsidRPr="009F337B">
        <w:rPr>
          <w:rFonts w:eastAsia="Times New Roman" w:cs="Vrinda"/>
          <w:lang w:val="en-US"/>
        </w:rPr>
        <w:t>and evidence</w:t>
      </w:r>
      <w:r w:rsidR="00CC6A68" w:rsidRPr="009F337B">
        <w:rPr>
          <w:rFonts w:eastAsia="Times New Roman" w:cs="Vrinda"/>
          <w:lang w:val="en-US"/>
        </w:rPr>
        <w:t xml:space="preserve"> </w:t>
      </w:r>
      <w:r w:rsidR="00A5196A" w:rsidRPr="009F337B">
        <w:rPr>
          <w:rFonts w:eastAsia="Times New Roman" w:cs="Vrinda"/>
          <w:lang w:val="en-US"/>
        </w:rPr>
        <w:t xml:space="preserve">did not include arguments on this point. The State therefore asked the Court to find that this request </w:t>
      </w:r>
      <w:r w:rsidR="00675762" w:rsidRPr="009F337B">
        <w:rPr>
          <w:rFonts w:eastAsia="Times New Roman" w:cs="Vrinda"/>
          <w:lang w:val="en-US"/>
        </w:rPr>
        <w:t xml:space="preserve">for reparation </w:t>
      </w:r>
      <w:r w:rsidR="00A5196A" w:rsidRPr="009F337B">
        <w:rPr>
          <w:rFonts w:eastAsia="Times New Roman" w:cs="Vrinda"/>
          <w:lang w:val="en-US"/>
        </w:rPr>
        <w:t>had not been submitted.</w:t>
      </w:r>
    </w:p>
    <w:p w14:paraId="41AA059B" w14:textId="77777777" w:rsidR="0061727E" w:rsidRPr="009F337B" w:rsidRDefault="0061727E" w:rsidP="0061727E">
      <w:pPr>
        <w:tabs>
          <w:tab w:val="left" w:pos="709"/>
          <w:tab w:val="left" w:pos="1134"/>
        </w:tabs>
        <w:ind w:right="-4"/>
        <w:rPr>
          <w:rFonts w:cs="Vrinda"/>
          <w:lang w:val="en-US"/>
        </w:rPr>
      </w:pPr>
    </w:p>
    <w:p w14:paraId="7DE9867F" w14:textId="5F544177" w:rsidR="006F704E" w:rsidRPr="009F337B" w:rsidRDefault="00E841F7" w:rsidP="00E841F7">
      <w:pPr>
        <w:rPr>
          <w:rFonts w:cs="Vrinda"/>
          <w:b/>
          <w:i/>
          <w:lang w:val="en-US"/>
        </w:rPr>
      </w:pPr>
      <w:r w:rsidRPr="009F337B">
        <w:rPr>
          <w:rFonts w:cs="Vrinda"/>
          <w:lang w:val="en-US"/>
        </w:rPr>
        <w:tab/>
      </w:r>
      <w:r w:rsidRPr="009F337B">
        <w:rPr>
          <w:rFonts w:cs="Vrinda"/>
          <w:lang w:val="en-US"/>
        </w:rPr>
        <w:tab/>
      </w:r>
      <w:r w:rsidRPr="009F337B">
        <w:rPr>
          <w:rFonts w:cs="Vrinda"/>
          <w:lang w:val="en-US"/>
        </w:rPr>
        <w:tab/>
      </w:r>
      <w:r w:rsidR="006F704E" w:rsidRPr="009F337B">
        <w:rPr>
          <w:rFonts w:cs="Vrinda"/>
          <w:b/>
          <w:i/>
          <w:lang w:val="en-US"/>
        </w:rPr>
        <w:t xml:space="preserve">B.1.2. </w:t>
      </w:r>
      <w:r w:rsidR="00473F70" w:rsidRPr="009F337B">
        <w:rPr>
          <w:rFonts w:cs="Vrinda"/>
          <w:b/>
          <w:i/>
          <w:lang w:val="en-US"/>
        </w:rPr>
        <w:t>Considerations</w:t>
      </w:r>
      <w:r w:rsidR="00AE5F9E" w:rsidRPr="009F337B">
        <w:rPr>
          <w:rFonts w:cs="Vrinda"/>
          <w:b/>
          <w:i/>
          <w:lang w:val="en-US"/>
        </w:rPr>
        <w:t xml:space="preserve"> of the Court</w:t>
      </w:r>
    </w:p>
    <w:p w14:paraId="65209819" w14:textId="77777777" w:rsidR="0061727E" w:rsidRPr="009F337B" w:rsidRDefault="0061727E" w:rsidP="0061727E">
      <w:pPr>
        <w:tabs>
          <w:tab w:val="left" w:pos="709"/>
          <w:tab w:val="left" w:pos="1134"/>
        </w:tabs>
        <w:ind w:right="-4"/>
        <w:rPr>
          <w:rFonts w:cs="Vrinda"/>
          <w:lang w:val="en-US"/>
        </w:rPr>
      </w:pPr>
    </w:p>
    <w:p w14:paraId="36214582" w14:textId="724FFBC4" w:rsidR="00CA5745" w:rsidRPr="009F337B" w:rsidRDefault="00A5196A" w:rsidP="00593E37">
      <w:pPr>
        <w:numPr>
          <w:ilvl w:val="0"/>
          <w:numId w:val="1"/>
        </w:numPr>
        <w:tabs>
          <w:tab w:val="left" w:pos="709"/>
          <w:tab w:val="left" w:pos="1134"/>
        </w:tabs>
        <w:ind w:left="0" w:right="-4" w:firstLine="0"/>
        <w:rPr>
          <w:rFonts w:cs="Vrinda"/>
          <w:lang w:val="en-US"/>
        </w:rPr>
      </w:pPr>
      <w:r w:rsidRPr="009F337B">
        <w:rPr>
          <w:rFonts w:cs="Vrinda"/>
          <w:lang w:val="en-US"/>
        </w:rPr>
        <w:t>In this judgment,</w:t>
      </w:r>
      <w:r w:rsidR="006F704E" w:rsidRPr="009F337B">
        <w:rPr>
          <w:rFonts w:cs="Vrinda"/>
          <w:lang w:val="en-US"/>
        </w:rPr>
        <w:t xml:space="preserve"> </w:t>
      </w:r>
      <w:r w:rsidR="00AE5F9E" w:rsidRPr="009F337B">
        <w:rPr>
          <w:rFonts w:cs="Vrinda"/>
          <w:lang w:val="en-US"/>
        </w:rPr>
        <w:t>the Court</w:t>
      </w:r>
      <w:r w:rsidR="006F704E" w:rsidRPr="009F337B">
        <w:rPr>
          <w:rFonts w:cs="Vrinda"/>
          <w:lang w:val="en-US"/>
        </w:rPr>
        <w:t xml:space="preserve"> </w:t>
      </w:r>
      <w:r w:rsidRPr="009F337B">
        <w:rPr>
          <w:rFonts w:cs="Vrinda"/>
          <w:lang w:val="en-US"/>
        </w:rPr>
        <w:t xml:space="preserve">has declared that the State is responsible for the violation of the obligation to ensure </w:t>
      </w:r>
      <w:r w:rsidR="00371ADF" w:rsidRPr="009F337B">
        <w:rPr>
          <w:rFonts w:cs="Vrinda"/>
          <w:lang w:val="en-US"/>
        </w:rPr>
        <w:t xml:space="preserve">the </w:t>
      </w:r>
      <w:r w:rsidR="00A51F3B" w:rsidRPr="009F337B">
        <w:rPr>
          <w:rFonts w:cs="Vrinda"/>
          <w:lang w:val="en-US"/>
        </w:rPr>
        <w:t>right to health</w:t>
      </w:r>
      <w:r w:rsidR="006F704E" w:rsidRPr="009F337B">
        <w:rPr>
          <w:rFonts w:cs="Vrinda"/>
          <w:lang w:val="en-US"/>
        </w:rPr>
        <w:t xml:space="preserve"> </w:t>
      </w:r>
      <w:r w:rsidRPr="009F337B">
        <w:rPr>
          <w:rFonts w:cs="Vrinda"/>
          <w:lang w:val="en-US"/>
        </w:rPr>
        <w:t xml:space="preserve">owing to the State’s omissions concerning the medical treatment of the 49 victims in the case, and for violating the </w:t>
      </w:r>
      <w:r w:rsidR="003C46A3" w:rsidRPr="009F337B">
        <w:rPr>
          <w:rFonts w:cs="Vrinda"/>
          <w:lang w:val="en-US"/>
        </w:rPr>
        <w:t>personal integrity</w:t>
      </w:r>
      <w:r w:rsidR="0014430A" w:rsidRPr="009F337B">
        <w:rPr>
          <w:rFonts w:cs="Vrinda"/>
          <w:lang w:val="en-US"/>
        </w:rPr>
        <w:t xml:space="preserve"> </w:t>
      </w:r>
      <w:r w:rsidRPr="009F337B">
        <w:rPr>
          <w:rFonts w:cs="Vrinda"/>
          <w:lang w:val="en-US"/>
        </w:rPr>
        <w:t>of</w:t>
      </w:r>
      <w:r w:rsidR="0014430A" w:rsidRPr="009F337B">
        <w:rPr>
          <w:rFonts w:cs="Vrinda"/>
          <w:lang w:val="en-US"/>
        </w:rPr>
        <w:t xml:space="preserve"> </w:t>
      </w:r>
      <w:r w:rsidR="00E3701B" w:rsidRPr="009F337B">
        <w:rPr>
          <w:rFonts w:cs="Vrinda"/>
          <w:lang w:val="en-US"/>
        </w:rPr>
        <w:t>46</w:t>
      </w:r>
      <w:r w:rsidR="0014430A" w:rsidRPr="009F337B">
        <w:rPr>
          <w:rFonts w:cs="Vrinda"/>
          <w:lang w:val="en-US"/>
        </w:rPr>
        <w:t xml:space="preserve"> v</w:t>
      </w:r>
      <w:r w:rsidRPr="009F337B">
        <w:rPr>
          <w:rFonts w:cs="Vrinda"/>
          <w:lang w:val="en-US"/>
        </w:rPr>
        <w:t xml:space="preserve">ictims </w:t>
      </w:r>
      <w:r w:rsidR="003C46A3" w:rsidRPr="009F337B">
        <w:rPr>
          <w:rFonts w:cs="Vrinda"/>
          <w:lang w:val="en-US"/>
        </w:rPr>
        <w:t xml:space="preserve">and </w:t>
      </w:r>
      <w:r w:rsidR="00C81E82" w:rsidRPr="009F337B">
        <w:rPr>
          <w:rFonts w:cs="Vrinda"/>
          <w:lang w:val="en-US"/>
        </w:rPr>
        <w:t>63</w:t>
      </w:r>
      <w:r w:rsidR="0021198A" w:rsidRPr="009F337B">
        <w:rPr>
          <w:rFonts w:cs="Vrinda"/>
          <w:lang w:val="en-US"/>
        </w:rPr>
        <w:t xml:space="preserve"> </w:t>
      </w:r>
      <w:r w:rsidRPr="009F337B">
        <w:rPr>
          <w:rFonts w:cs="Vrinda"/>
          <w:lang w:val="en-US"/>
        </w:rPr>
        <w:t>of</w:t>
      </w:r>
      <w:r w:rsidR="0021198A" w:rsidRPr="009F337B">
        <w:rPr>
          <w:rFonts w:cs="Vrinda"/>
          <w:lang w:val="en-US"/>
        </w:rPr>
        <w:t xml:space="preserve"> </w:t>
      </w:r>
      <w:r w:rsidR="00BB0DF2" w:rsidRPr="009F337B">
        <w:rPr>
          <w:rFonts w:cs="Vrinda"/>
          <w:lang w:val="en-US"/>
        </w:rPr>
        <w:t>their next of kin</w:t>
      </w:r>
      <w:r w:rsidR="006F704E" w:rsidRPr="009F337B">
        <w:rPr>
          <w:rFonts w:cs="Vrinda"/>
          <w:lang w:val="en-US"/>
        </w:rPr>
        <w:t xml:space="preserve">. </w:t>
      </w:r>
      <w:r w:rsidRPr="009F337B">
        <w:rPr>
          <w:rFonts w:cs="Vrinda"/>
          <w:lang w:val="en-US"/>
        </w:rPr>
        <w:t xml:space="preserve">Consequently, the Court finds </w:t>
      </w:r>
      <w:r w:rsidR="00675762" w:rsidRPr="009F337B">
        <w:rPr>
          <w:rFonts w:cs="Vrinda"/>
          <w:lang w:val="en-US"/>
        </w:rPr>
        <w:t>it</w:t>
      </w:r>
      <w:r w:rsidRPr="009F337B">
        <w:rPr>
          <w:rFonts w:cs="Vrinda"/>
          <w:lang w:val="en-US"/>
        </w:rPr>
        <w:t xml:space="preserve"> necessary to establish a measure of reparation that provides adequate medical care in keeping with the standards set out in this judgment. </w:t>
      </w:r>
    </w:p>
    <w:p w14:paraId="1A58B884" w14:textId="77777777" w:rsidR="0061727E" w:rsidRPr="009F337B" w:rsidRDefault="0061727E" w:rsidP="0061727E">
      <w:pPr>
        <w:tabs>
          <w:tab w:val="left" w:pos="709"/>
          <w:tab w:val="left" w:pos="1134"/>
        </w:tabs>
        <w:ind w:right="-4"/>
        <w:rPr>
          <w:rFonts w:cs="Vrinda"/>
          <w:lang w:val="en-US"/>
        </w:rPr>
      </w:pPr>
    </w:p>
    <w:p w14:paraId="71D6A026" w14:textId="6168BD3E" w:rsidR="006F704E" w:rsidRPr="009F337B" w:rsidRDefault="00A5196A" w:rsidP="00593E37">
      <w:pPr>
        <w:numPr>
          <w:ilvl w:val="0"/>
          <w:numId w:val="1"/>
        </w:numPr>
        <w:tabs>
          <w:tab w:val="left" w:pos="709"/>
          <w:tab w:val="left" w:pos="1134"/>
        </w:tabs>
        <w:ind w:left="0" w:right="-4" w:firstLine="0"/>
        <w:rPr>
          <w:rFonts w:cs="Vrinda"/>
          <w:lang w:val="en-US"/>
        </w:rPr>
      </w:pPr>
      <w:r w:rsidRPr="009F337B">
        <w:rPr>
          <w:rFonts w:cs="Vrinda"/>
          <w:lang w:val="en-US"/>
        </w:rPr>
        <w:t xml:space="preserve">Accordingly, the Court establishes the obligation of the State to provide, free of charge, and immediately, promptly, adequately and effectively through its specialized public health institutions or specialized health personnel, medical and psychological or psychiatric treatment to the direct victims of violations </w:t>
      </w:r>
      <w:r w:rsidR="00D25D56" w:rsidRPr="009F337B">
        <w:rPr>
          <w:rFonts w:cs="Vrinda"/>
          <w:lang w:val="en-US"/>
        </w:rPr>
        <w:t>of</w:t>
      </w:r>
      <w:r w:rsidRPr="009F337B">
        <w:rPr>
          <w:rFonts w:cs="Vrinda"/>
          <w:lang w:val="en-US"/>
        </w:rPr>
        <w:t xml:space="preserve"> the right to health and to personal integrity. This treatment must include the following: (i) the free supply</w:t>
      </w:r>
      <w:r w:rsidR="00D25D56" w:rsidRPr="009F337B">
        <w:rPr>
          <w:rFonts w:cs="Vrinda"/>
          <w:lang w:val="en-US"/>
        </w:rPr>
        <w:t>,</w:t>
      </w:r>
      <w:r w:rsidRPr="009F337B">
        <w:rPr>
          <w:rFonts w:cs="Vrinda"/>
          <w:lang w:val="en-US"/>
        </w:rPr>
        <w:t xml:space="preserve"> </w:t>
      </w:r>
      <w:r w:rsidR="00D25D56" w:rsidRPr="009F337B">
        <w:rPr>
          <w:rFonts w:cs="Vrinda"/>
          <w:lang w:val="en-US"/>
        </w:rPr>
        <w:t xml:space="preserve">for life, </w:t>
      </w:r>
      <w:r w:rsidRPr="009F337B">
        <w:rPr>
          <w:rFonts w:cs="Vrinda"/>
          <w:lang w:val="en-US"/>
        </w:rPr>
        <w:t>of the drugs they may eventually require, both those necessary to combat HIV, and those require</w:t>
      </w:r>
      <w:r w:rsidR="00D25D56" w:rsidRPr="009F337B">
        <w:rPr>
          <w:rFonts w:cs="Vrinda"/>
          <w:lang w:val="en-US"/>
        </w:rPr>
        <w:t>d</w:t>
      </w:r>
      <w:r w:rsidRPr="009F337B">
        <w:rPr>
          <w:rFonts w:cs="Vrinda"/>
          <w:lang w:val="en-US"/>
        </w:rPr>
        <w:t xml:space="preserve"> to combat</w:t>
      </w:r>
      <w:r w:rsidR="002300F1" w:rsidRPr="009F337B">
        <w:rPr>
          <w:rFonts w:cs="Vrinda"/>
          <w:lang w:val="en-US"/>
        </w:rPr>
        <w:t xml:space="preserve"> </w:t>
      </w:r>
      <w:r w:rsidR="0081563D" w:rsidRPr="009F337B">
        <w:rPr>
          <w:rFonts w:cs="Vrinda"/>
          <w:lang w:val="en-US"/>
        </w:rPr>
        <w:t>opportunistic diseases</w:t>
      </w:r>
      <w:r w:rsidR="00A6314B" w:rsidRPr="009F337B">
        <w:rPr>
          <w:rFonts w:cs="Vrinda"/>
          <w:lang w:val="en-US"/>
        </w:rPr>
        <w:t xml:space="preserve"> </w:t>
      </w:r>
      <w:r w:rsidR="00A6314B" w:rsidRPr="009F337B">
        <w:rPr>
          <w:szCs w:val="20"/>
          <w:lang w:val="en-US"/>
        </w:rPr>
        <w:t>(</w:t>
      </w:r>
      <w:r w:rsidR="00A6314B" w:rsidRPr="009F337B">
        <w:rPr>
          <w:i/>
          <w:szCs w:val="20"/>
          <w:lang w:val="en-US"/>
        </w:rPr>
        <w:t>supra</w:t>
      </w:r>
      <w:r w:rsidR="00A6314B" w:rsidRPr="009F337B">
        <w:rPr>
          <w:szCs w:val="20"/>
          <w:lang w:val="en-US"/>
        </w:rPr>
        <w:t xml:space="preserve"> </w:t>
      </w:r>
      <w:r w:rsidR="00C60B17" w:rsidRPr="009F337B">
        <w:rPr>
          <w:szCs w:val="20"/>
          <w:lang w:val="en-US"/>
        </w:rPr>
        <w:t>para.</w:t>
      </w:r>
      <w:r w:rsidR="00B55AD7" w:rsidRPr="009F337B">
        <w:rPr>
          <w:szCs w:val="20"/>
          <w:lang w:val="en-US"/>
        </w:rPr>
        <w:t xml:space="preserve"> 110</w:t>
      </w:r>
      <w:r w:rsidR="00A6314B" w:rsidRPr="009F337B">
        <w:rPr>
          <w:szCs w:val="20"/>
          <w:lang w:val="en-US"/>
        </w:rPr>
        <w:t>)</w:t>
      </w:r>
      <w:r w:rsidRPr="009F337B">
        <w:rPr>
          <w:rFonts w:cs="Vrinda"/>
          <w:lang w:val="en-US"/>
        </w:rPr>
        <w:t>;</w:t>
      </w:r>
      <w:r w:rsidR="00CA5745" w:rsidRPr="009F337B">
        <w:rPr>
          <w:rFonts w:cs="Vrinda"/>
          <w:lang w:val="en-US"/>
        </w:rPr>
        <w:t xml:space="preserve"> </w:t>
      </w:r>
      <w:r w:rsidRPr="009F337B">
        <w:rPr>
          <w:rFonts w:cs="Vrinda"/>
          <w:lang w:val="en-US"/>
        </w:rPr>
        <w:t>(</w:t>
      </w:r>
      <w:r w:rsidR="00CA5745" w:rsidRPr="009F337B">
        <w:rPr>
          <w:rFonts w:cs="Vrinda"/>
          <w:lang w:val="en-US"/>
        </w:rPr>
        <w:t xml:space="preserve">ii) </w:t>
      </w:r>
      <w:r w:rsidRPr="009F337B">
        <w:rPr>
          <w:rFonts w:cs="Vrinda"/>
          <w:lang w:val="en-US"/>
        </w:rPr>
        <w:t xml:space="preserve">diagnostic tests for treating HIV and for the diagnosis and treatment of other diseases that may </w:t>
      </w:r>
      <w:r w:rsidR="00D25D56" w:rsidRPr="009F337B">
        <w:rPr>
          <w:rFonts w:cs="Vrinda"/>
          <w:lang w:val="en-US"/>
        </w:rPr>
        <w:t>occur</w:t>
      </w:r>
      <w:r w:rsidRPr="009F337B">
        <w:rPr>
          <w:rFonts w:cs="Vrinda"/>
          <w:lang w:val="en-US"/>
        </w:rPr>
        <w:t xml:space="preserve"> </w:t>
      </w:r>
      <w:r w:rsidR="00A6314B" w:rsidRPr="009F337B">
        <w:rPr>
          <w:szCs w:val="20"/>
          <w:lang w:val="en-US"/>
        </w:rPr>
        <w:t>(</w:t>
      </w:r>
      <w:r w:rsidR="00A6314B" w:rsidRPr="009F337B">
        <w:rPr>
          <w:i/>
          <w:szCs w:val="20"/>
          <w:lang w:val="en-US"/>
        </w:rPr>
        <w:t>supra</w:t>
      </w:r>
      <w:r w:rsidR="00A6314B" w:rsidRPr="009F337B">
        <w:rPr>
          <w:szCs w:val="20"/>
          <w:lang w:val="en-US"/>
        </w:rPr>
        <w:t xml:space="preserve"> </w:t>
      </w:r>
      <w:r w:rsidR="00C60B17" w:rsidRPr="009F337B">
        <w:rPr>
          <w:szCs w:val="20"/>
          <w:lang w:val="en-US"/>
        </w:rPr>
        <w:t>para.</w:t>
      </w:r>
      <w:r w:rsidR="00B55AD7" w:rsidRPr="009F337B">
        <w:rPr>
          <w:szCs w:val="20"/>
          <w:lang w:val="en-US"/>
        </w:rPr>
        <w:t xml:space="preserve"> 111</w:t>
      </w:r>
      <w:r w:rsidR="00A6314B" w:rsidRPr="009F337B">
        <w:rPr>
          <w:szCs w:val="20"/>
          <w:lang w:val="en-US"/>
        </w:rPr>
        <w:t>)</w:t>
      </w:r>
      <w:r w:rsidRPr="009F337B">
        <w:rPr>
          <w:rFonts w:cs="Vrinda"/>
          <w:lang w:val="en-US"/>
        </w:rPr>
        <w:t>;</w:t>
      </w:r>
      <w:r w:rsidR="009A6C3A" w:rsidRPr="009F337B">
        <w:rPr>
          <w:rFonts w:cs="Vrinda"/>
          <w:lang w:val="en-US"/>
        </w:rPr>
        <w:t xml:space="preserve"> </w:t>
      </w:r>
      <w:r w:rsidRPr="009F337B">
        <w:rPr>
          <w:rFonts w:cs="Vrinda"/>
          <w:lang w:val="en-US"/>
        </w:rPr>
        <w:t>(</w:t>
      </w:r>
      <w:r w:rsidR="009A6C3A" w:rsidRPr="009F337B">
        <w:rPr>
          <w:rFonts w:cs="Vrinda"/>
          <w:lang w:val="en-US"/>
        </w:rPr>
        <w:t xml:space="preserve">iii) </w:t>
      </w:r>
      <w:r w:rsidRPr="009F337B">
        <w:rPr>
          <w:rFonts w:cs="Vrinda"/>
          <w:lang w:val="en-US"/>
        </w:rPr>
        <w:t xml:space="preserve">social support, including </w:t>
      </w:r>
      <w:r w:rsidR="00D85A4D" w:rsidRPr="009F337B">
        <w:rPr>
          <w:rFonts w:cs="Vrinda"/>
          <w:lang w:val="en-US"/>
        </w:rPr>
        <w:t xml:space="preserve">providing the </w:t>
      </w:r>
      <w:r w:rsidR="00D25D56" w:rsidRPr="009F337B">
        <w:rPr>
          <w:rFonts w:cs="Vrinda"/>
          <w:lang w:val="en-US"/>
        </w:rPr>
        <w:t xml:space="preserve">food </w:t>
      </w:r>
      <w:r w:rsidR="00D85A4D" w:rsidRPr="009F337B">
        <w:rPr>
          <w:rFonts w:cs="Vrinda"/>
          <w:lang w:val="en-US"/>
        </w:rPr>
        <w:t xml:space="preserve">required for the treatment, emotional support, psycho-social counseling, and nutritional support </w:t>
      </w:r>
      <w:r w:rsidR="00A6314B" w:rsidRPr="009F337B">
        <w:rPr>
          <w:szCs w:val="20"/>
          <w:lang w:val="en-US"/>
        </w:rPr>
        <w:t>(</w:t>
      </w:r>
      <w:r w:rsidR="00A6314B" w:rsidRPr="009F337B">
        <w:rPr>
          <w:i/>
          <w:szCs w:val="20"/>
          <w:lang w:val="en-US"/>
        </w:rPr>
        <w:t>supra</w:t>
      </w:r>
      <w:r w:rsidR="00A6314B" w:rsidRPr="009F337B">
        <w:rPr>
          <w:szCs w:val="20"/>
          <w:lang w:val="en-US"/>
        </w:rPr>
        <w:t xml:space="preserve"> </w:t>
      </w:r>
      <w:r w:rsidR="00C60B17" w:rsidRPr="009F337B">
        <w:rPr>
          <w:szCs w:val="20"/>
          <w:lang w:val="en-US"/>
        </w:rPr>
        <w:t>para.</w:t>
      </w:r>
      <w:r w:rsidR="00B55AD7" w:rsidRPr="009F337B">
        <w:rPr>
          <w:szCs w:val="20"/>
          <w:lang w:val="en-US"/>
        </w:rPr>
        <w:t xml:space="preserve"> 112</w:t>
      </w:r>
      <w:r w:rsidR="00A6314B" w:rsidRPr="009F337B">
        <w:rPr>
          <w:szCs w:val="20"/>
          <w:lang w:val="en-US"/>
        </w:rPr>
        <w:t>)</w:t>
      </w:r>
      <w:r w:rsidR="00462F6A" w:rsidRPr="009F337B">
        <w:rPr>
          <w:rFonts w:cs="Vrinda"/>
          <w:lang w:val="en-US"/>
        </w:rPr>
        <w:t>,</w:t>
      </w:r>
      <w:r w:rsidR="003C46A3" w:rsidRPr="009F337B">
        <w:rPr>
          <w:rFonts w:cs="Vrinda"/>
          <w:lang w:val="en-US"/>
        </w:rPr>
        <w:t xml:space="preserve"> and </w:t>
      </w:r>
      <w:r w:rsidR="00D85A4D" w:rsidRPr="009F337B">
        <w:rPr>
          <w:rFonts w:cs="Vrinda"/>
          <w:lang w:val="en-US"/>
        </w:rPr>
        <w:t>(</w:t>
      </w:r>
      <w:r w:rsidR="00E06E1D" w:rsidRPr="009F337B">
        <w:rPr>
          <w:rFonts w:cs="Vrinda"/>
          <w:lang w:val="en-US"/>
        </w:rPr>
        <w:t xml:space="preserve">iv) </w:t>
      </w:r>
      <w:r w:rsidR="00D85A4D" w:rsidRPr="009F337B">
        <w:rPr>
          <w:rFonts w:cs="Vrinda"/>
          <w:lang w:val="en-US"/>
        </w:rPr>
        <w:t>condoms, lubricants, sterile injection equipment and technologies for the prevention of</w:t>
      </w:r>
      <w:r w:rsidR="00A6314B" w:rsidRPr="009F337B">
        <w:rPr>
          <w:szCs w:val="20"/>
          <w:lang w:val="en-US"/>
        </w:rPr>
        <w:t xml:space="preserve"> </w:t>
      </w:r>
      <w:r w:rsidR="00CA11F6" w:rsidRPr="009F337B">
        <w:rPr>
          <w:szCs w:val="20"/>
          <w:lang w:val="en-US"/>
        </w:rPr>
        <w:t>HIV</w:t>
      </w:r>
      <w:r w:rsidR="00A6314B" w:rsidRPr="009F337B">
        <w:rPr>
          <w:szCs w:val="20"/>
          <w:lang w:val="en-US"/>
        </w:rPr>
        <w:t xml:space="preserve"> (</w:t>
      </w:r>
      <w:r w:rsidR="00A6314B" w:rsidRPr="009F337B">
        <w:rPr>
          <w:i/>
          <w:szCs w:val="20"/>
          <w:lang w:val="en-US"/>
        </w:rPr>
        <w:t>supra</w:t>
      </w:r>
      <w:r w:rsidR="00A6314B" w:rsidRPr="009F337B">
        <w:rPr>
          <w:szCs w:val="20"/>
          <w:lang w:val="en-US"/>
        </w:rPr>
        <w:t xml:space="preserve"> </w:t>
      </w:r>
      <w:r w:rsidR="00C60B17" w:rsidRPr="009F337B">
        <w:rPr>
          <w:szCs w:val="20"/>
          <w:lang w:val="en-US"/>
        </w:rPr>
        <w:t>para.</w:t>
      </w:r>
      <w:r w:rsidR="00B55AD7" w:rsidRPr="009F337B">
        <w:rPr>
          <w:szCs w:val="20"/>
          <w:lang w:val="en-US"/>
        </w:rPr>
        <w:t>113</w:t>
      </w:r>
      <w:r w:rsidR="00A6314B" w:rsidRPr="009F337B">
        <w:rPr>
          <w:szCs w:val="20"/>
          <w:lang w:val="en-US"/>
        </w:rPr>
        <w:t>)</w:t>
      </w:r>
      <w:r w:rsidR="009A6C3A" w:rsidRPr="009F337B">
        <w:rPr>
          <w:rFonts w:cs="Vrinda"/>
          <w:lang w:val="en-US"/>
        </w:rPr>
        <w:t xml:space="preserve">. </w:t>
      </w:r>
      <w:r w:rsidR="00D85A4D" w:rsidRPr="009F337B">
        <w:rPr>
          <w:rFonts w:cs="Vrinda"/>
          <w:lang w:val="en-US"/>
        </w:rPr>
        <w:t xml:space="preserve">If the State does not have these inputs, it must have recourse to private institutions or specialized institutions of civil society. In addition, the State must provide immediate medical care to the victims who suffer from </w:t>
      </w:r>
      <w:r w:rsidR="00D85A4D" w:rsidRPr="009F337B">
        <w:rPr>
          <w:bCs/>
          <w:lang w:val="en-US"/>
        </w:rPr>
        <w:t>lipodystrophy</w:t>
      </w:r>
      <w:r w:rsidR="00D85A4D" w:rsidRPr="009F337B">
        <w:rPr>
          <w:rFonts w:cs="Vrinda"/>
          <w:lang w:val="en-US"/>
        </w:rPr>
        <w:t>, including the surgery required to treat this condition.</w:t>
      </w:r>
    </w:p>
    <w:p w14:paraId="43C612F7" w14:textId="77777777" w:rsidR="0061727E" w:rsidRPr="009F337B" w:rsidRDefault="0061727E" w:rsidP="0061727E">
      <w:pPr>
        <w:tabs>
          <w:tab w:val="left" w:pos="709"/>
          <w:tab w:val="left" w:pos="1134"/>
        </w:tabs>
        <w:ind w:right="-4"/>
        <w:rPr>
          <w:rFonts w:cs="Vrinda"/>
          <w:lang w:val="en-US"/>
        </w:rPr>
      </w:pPr>
    </w:p>
    <w:p w14:paraId="7B2ADE78" w14:textId="24098E5F" w:rsidR="009A6C3A" w:rsidRPr="009F337B" w:rsidRDefault="00D85A4D" w:rsidP="00593E37">
      <w:pPr>
        <w:numPr>
          <w:ilvl w:val="0"/>
          <w:numId w:val="1"/>
        </w:numPr>
        <w:tabs>
          <w:tab w:val="left" w:pos="709"/>
          <w:tab w:val="left" w:pos="1134"/>
        </w:tabs>
        <w:ind w:left="0" w:right="-4" w:firstLine="0"/>
        <w:rPr>
          <w:rFonts w:cs="Vrinda"/>
          <w:lang w:val="en-US"/>
        </w:rPr>
      </w:pPr>
      <w:r w:rsidRPr="009F337B">
        <w:rPr>
          <w:rFonts w:cs="Vrinda"/>
          <w:lang w:val="en-US"/>
        </w:rPr>
        <w:t>Furthermore, in this j</w:t>
      </w:r>
      <w:r w:rsidR="00D25D56" w:rsidRPr="009F337B">
        <w:rPr>
          <w:rFonts w:cs="Vrinda"/>
          <w:lang w:val="en-US"/>
        </w:rPr>
        <w:t>ud</w:t>
      </w:r>
      <w:r w:rsidRPr="009F337B">
        <w:rPr>
          <w:rFonts w:cs="Vrinda"/>
          <w:lang w:val="en-US"/>
        </w:rPr>
        <w:t xml:space="preserve">gment, the Court </w:t>
      </w:r>
      <w:r w:rsidR="00D25D56" w:rsidRPr="009F337B">
        <w:rPr>
          <w:rFonts w:cs="Vrinda"/>
          <w:lang w:val="en-US"/>
        </w:rPr>
        <w:t xml:space="preserve">has </w:t>
      </w:r>
      <w:r w:rsidRPr="009F337B">
        <w:rPr>
          <w:rFonts w:cs="Vrinda"/>
          <w:lang w:val="en-US"/>
        </w:rPr>
        <w:t xml:space="preserve">declared that the State failed to comply with its obligation to ensure </w:t>
      </w:r>
      <w:r w:rsidR="00371ADF" w:rsidRPr="009F337B">
        <w:rPr>
          <w:rFonts w:cs="Vrinda"/>
          <w:lang w:val="en-US"/>
        </w:rPr>
        <w:t xml:space="preserve">the </w:t>
      </w:r>
      <w:r w:rsidR="00A51F3B" w:rsidRPr="009F337B">
        <w:rPr>
          <w:rFonts w:cs="Vrinda"/>
          <w:lang w:val="en-US"/>
        </w:rPr>
        <w:t>right to health</w:t>
      </w:r>
      <w:r w:rsidR="009A6C3A" w:rsidRPr="009F337B">
        <w:rPr>
          <w:rFonts w:cs="Vrinda"/>
          <w:lang w:val="en-US"/>
        </w:rPr>
        <w:t xml:space="preserve"> </w:t>
      </w:r>
      <w:r w:rsidRPr="009F337B">
        <w:rPr>
          <w:rFonts w:cs="Vrinda"/>
          <w:lang w:val="en-US"/>
        </w:rPr>
        <w:t>of</w:t>
      </w:r>
      <w:r w:rsidR="006F704E" w:rsidRPr="009F337B">
        <w:rPr>
          <w:rFonts w:cs="Vrinda"/>
          <w:lang w:val="en-US"/>
        </w:rPr>
        <w:t xml:space="preserve"> </w:t>
      </w:r>
      <w:r w:rsidR="0021198A" w:rsidRPr="009F337B">
        <w:rPr>
          <w:rFonts w:cs="Vrinda"/>
          <w:lang w:val="en-US"/>
        </w:rPr>
        <w:t>Corina Dianet</w:t>
      </w:r>
      <w:r w:rsidR="00C563BD" w:rsidRPr="009F337B">
        <w:rPr>
          <w:rFonts w:cs="Vrinda"/>
          <w:lang w:val="en-US"/>
        </w:rPr>
        <w:t>h Robledo</w:t>
      </w:r>
      <w:r w:rsidR="002300F1" w:rsidRPr="009F337B">
        <w:rPr>
          <w:rFonts w:cs="Vrinda"/>
          <w:lang w:val="en-US"/>
        </w:rPr>
        <w:t xml:space="preserve"> Alvarado, Dora Marina Martínez Sofoifa,</w:t>
      </w:r>
      <w:r w:rsidR="001F1DDA" w:rsidRPr="009F337B">
        <w:rPr>
          <w:rFonts w:cs="Vrinda"/>
          <w:lang w:val="en-US"/>
        </w:rPr>
        <w:t xml:space="preserve"> Zoila Marina Pérez</w:t>
      </w:r>
      <w:r w:rsidR="00C563BD" w:rsidRPr="009F337B">
        <w:rPr>
          <w:rFonts w:cs="Vrinda"/>
          <w:lang w:val="en-US"/>
        </w:rPr>
        <w:t xml:space="preserve"> Ruíz</w:t>
      </w:r>
      <w:r w:rsidR="001F1DDA" w:rsidRPr="009F337B">
        <w:rPr>
          <w:rFonts w:cs="Vrinda"/>
          <w:lang w:val="en-US"/>
        </w:rPr>
        <w:t>,</w:t>
      </w:r>
      <w:r w:rsidR="00C563BD" w:rsidRPr="009F337B">
        <w:rPr>
          <w:rFonts w:cs="Vrinda"/>
          <w:lang w:val="en-US"/>
        </w:rPr>
        <w:t xml:space="preserve"> Francisco Sop Quiej</w:t>
      </w:r>
      <w:r w:rsidR="003C46A3" w:rsidRPr="009F337B">
        <w:rPr>
          <w:rFonts w:cs="Vrinda"/>
          <w:lang w:val="en-US"/>
        </w:rPr>
        <w:t xml:space="preserve"> and </w:t>
      </w:r>
      <w:r w:rsidR="00C563BD" w:rsidRPr="009F337B">
        <w:rPr>
          <w:rFonts w:cs="Vrinda"/>
          <w:lang w:val="en-US"/>
        </w:rPr>
        <w:t>Miguel Lucas Vaí</w:t>
      </w:r>
      <w:r w:rsidR="002300F1" w:rsidRPr="009F337B">
        <w:rPr>
          <w:rFonts w:cs="Vrinda"/>
          <w:lang w:val="en-US"/>
        </w:rPr>
        <w:t xml:space="preserve">l </w:t>
      </w:r>
      <w:r w:rsidRPr="009F337B">
        <w:rPr>
          <w:rFonts w:cs="Vrinda"/>
          <w:lang w:val="en-US"/>
        </w:rPr>
        <w:t xml:space="preserve">because it did not adopt positive measures to provide them with access to health </w:t>
      </w:r>
      <w:r w:rsidR="00D25D56" w:rsidRPr="009F337B">
        <w:rPr>
          <w:rFonts w:cs="Vrinda"/>
          <w:lang w:val="en-US"/>
        </w:rPr>
        <w:t xml:space="preserve">care </w:t>
      </w:r>
      <w:r w:rsidRPr="009F337B">
        <w:rPr>
          <w:rFonts w:cs="Vrinda"/>
          <w:lang w:val="en-US"/>
        </w:rPr>
        <w:t>centers. Consequently, the Court finds it opportune to order that the medical treatament be provided in the medical center nearest to the place of residence of the victims in this case for the time necessary. The State must assume</w:t>
      </w:r>
      <w:r w:rsidR="00D25D56" w:rsidRPr="009F337B">
        <w:rPr>
          <w:rFonts w:cs="Vrinda"/>
          <w:lang w:val="en-US"/>
        </w:rPr>
        <w:t xml:space="preserve"> their </w:t>
      </w:r>
      <w:r w:rsidRPr="009F337B">
        <w:rPr>
          <w:rFonts w:cs="Vrinda"/>
          <w:lang w:val="en-US"/>
        </w:rPr>
        <w:t xml:space="preserve">food and transport </w:t>
      </w:r>
      <w:r w:rsidR="00D25D56" w:rsidRPr="009F337B">
        <w:rPr>
          <w:rFonts w:cs="Vrinda"/>
          <w:lang w:val="en-US"/>
        </w:rPr>
        <w:t>expenses on</w:t>
      </w:r>
      <w:r w:rsidRPr="009F337B">
        <w:rPr>
          <w:rFonts w:cs="Vrinda"/>
          <w:lang w:val="en-US"/>
        </w:rPr>
        <w:t xml:space="preserve"> the day</w:t>
      </w:r>
      <w:r w:rsidR="00D25D56" w:rsidRPr="009F337B">
        <w:rPr>
          <w:rFonts w:cs="Vrinda"/>
          <w:lang w:val="en-US"/>
        </w:rPr>
        <w:t xml:space="preserve"> </w:t>
      </w:r>
      <w:r w:rsidRPr="009F337B">
        <w:rPr>
          <w:rFonts w:cs="Vrinda"/>
          <w:lang w:val="en-US"/>
        </w:rPr>
        <w:t>they attend the medical center.</w:t>
      </w:r>
    </w:p>
    <w:p w14:paraId="0468FB9E" w14:textId="77777777" w:rsidR="0061727E" w:rsidRPr="009F337B" w:rsidRDefault="0061727E" w:rsidP="0061727E">
      <w:pPr>
        <w:tabs>
          <w:tab w:val="left" w:pos="709"/>
          <w:tab w:val="left" w:pos="1134"/>
        </w:tabs>
        <w:ind w:right="-4"/>
        <w:rPr>
          <w:rFonts w:cs="Vrinda"/>
          <w:lang w:val="en-US"/>
        </w:rPr>
      </w:pPr>
    </w:p>
    <w:p w14:paraId="6D69DCE1" w14:textId="71B478C6" w:rsidR="00D85A4D" w:rsidRPr="009F337B" w:rsidRDefault="00D85A4D" w:rsidP="00593E37">
      <w:pPr>
        <w:numPr>
          <w:ilvl w:val="0"/>
          <w:numId w:val="1"/>
        </w:numPr>
        <w:tabs>
          <w:tab w:val="left" w:pos="709"/>
          <w:tab w:val="left" w:pos="1134"/>
        </w:tabs>
        <w:ind w:left="0" w:right="-4" w:firstLine="0"/>
        <w:rPr>
          <w:rFonts w:cs="Vrinda"/>
          <w:szCs w:val="20"/>
          <w:lang w:val="en-US"/>
        </w:rPr>
      </w:pPr>
      <w:r w:rsidRPr="009F337B">
        <w:rPr>
          <w:rFonts w:cs="Vrinda"/>
          <w:szCs w:val="20"/>
          <w:lang w:val="en-US"/>
        </w:rPr>
        <w:lastRenderedPageBreak/>
        <w:t>Additionally</w:t>
      </w:r>
      <w:r w:rsidR="006F704E" w:rsidRPr="009F337B">
        <w:rPr>
          <w:rFonts w:cs="Vrinda"/>
          <w:szCs w:val="20"/>
          <w:lang w:val="en-US"/>
        </w:rPr>
        <w:t xml:space="preserve">, </w:t>
      </w:r>
      <w:r w:rsidR="00AE5F9E" w:rsidRPr="009F337B">
        <w:rPr>
          <w:rFonts w:cs="Vrinda"/>
          <w:szCs w:val="20"/>
          <w:lang w:val="en-US"/>
        </w:rPr>
        <w:t>the Court</w:t>
      </w:r>
      <w:r w:rsidR="006F704E" w:rsidRPr="009F337B">
        <w:rPr>
          <w:rFonts w:cs="Vrinda"/>
          <w:szCs w:val="20"/>
          <w:lang w:val="en-US"/>
        </w:rPr>
        <w:t xml:space="preserve"> observ</w:t>
      </w:r>
      <w:r w:rsidRPr="009F337B">
        <w:rPr>
          <w:rFonts w:cs="Vrinda"/>
          <w:szCs w:val="20"/>
          <w:lang w:val="en-US"/>
        </w:rPr>
        <w:t>es that, in this judgment, it dec</w:t>
      </w:r>
      <w:r w:rsidR="00D25D56" w:rsidRPr="009F337B">
        <w:rPr>
          <w:rFonts w:cs="Vrinda"/>
          <w:szCs w:val="20"/>
          <w:lang w:val="en-US"/>
        </w:rPr>
        <w:t>la</w:t>
      </w:r>
      <w:r w:rsidRPr="009F337B">
        <w:rPr>
          <w:rFonts w:cs="Vrinda"/>
          <w:szCs w:val="20"/>
          <w:lang w:val="en-US"/>
        </w:rPr>
        <w:t>red that the right to</w:t>
      </w:r>
      <w:r w:rsidR="006F704E" w:rsidRPr="009F337B">
        <w:rPr>
          <w:rFonts w:cs="Vrinda"/>
          <w:szCs w:val="20"/>
          <w:lang w:val="en-US"/>
        </w:rPr>
        <w:t xml:space="preserve"> </w:t>
      </w:r>
      <w:r w:rsidR="003C46A3" w:rsidRPr="009F337B">
        <w:rPr>
          <w:rFonts w:cs="Vrinda"/>
          <w:szCs w:val="20"/>
          <w:lang w:val="en-US"/>
        </w:rPr>
        <w:t>personal integrity</w:t>
      </w:r>
      <w:r w:rsidR="006F704E" w:rsidRPr="009F337B">
        <w:rPr>
          <w:rFonts w:cs="Vrinda"/>
          <w:szCs w:val="20"/>
          <w:lang w:val="en-US"/>
        </w:rPr>
        <w:t xml:space="preserve"> </w:t>
      </w:r>
      <w:r w:rsidRPr="009F337B">
        <w:rPr>
          <w:rFonts w:cs="Vrinda"/>
          <w:szCs w:val="20"/>
          <w:lang w:val="en-US"/>
        </w:rPr>
        <w:t>of</w:t>
      </w:r>
      <w:r w:rsidR="006F704E" w:rsidRPr="009F337B">
        <w:rPr>
          <w:rFonts w:cs="Vrinda"/>
          <w:szCs w:val="20"/>
          <w:lang w:val="en-US"/>
        </w:rPr>
        <w:t xml:space="preserve"> </w:t>
      </w:r>
      <w:r w:rsidR="00C81E82" w:rsidRPr="009F337B">
        <w:rPr>
          <w:rFonts w:cs="Vrinda"/>
          <w:szCs w:val="20"/>
          <w:lang w:val="en-US"/>
        </w:rPr>
        <w:t>63</w:t>
      </w:r>
      <w:r w:rsidR="0014430A" w:rsidRPr="009F337B">
        <w:rPr>
          <w:rFonts w:cs="Vrinda"/>
          <w:szCs w:val="20"/>
          <w:lang w:val="en-US"/>
        </w:rPr>
        <w:t xml:space="preserve"> </w:t>
      </w:r>
      <w:r w:rsidRPr="009F337B">
        <w:rPr>
          <w:rFonts w:cs="Vrinda"/>
          <w:szCs w:val="20"/>
          <w:lang w:val="en-US"/>
        </w:rPr>
        <w:t xml:space="preserve">of the victims’ </w:t>
      </w:r>
      <w:r w:rsidR="0010522A" w:rsidRPr="009F337B">
        <w:rPr>
          <w:rFonts w:cs="Vrinda"/>
          <w:szCs w:val="20"/>
          <w:lang w:val="en-US"/>
        </w:rPr>
        <w:t>next of kin</w:t>
      </w:r>
      <w:r w:rsidR="0014430A" w:rsidRPr="009F337B">
        <w:rPr>
          <w:rFonts w:cs="Vrinda"/>
          <w:szCs w:val="20"/>
          <w:lang w:val="en-US"/>
        </w:rPr>
        <w:t xml:space="preserve"> </w:t>
      </w:r>
      <w:r w:rsidRPr="009F337B">
        <w:rPr>
          <w:rFonts w:cs="Vrinda"/>
          <w:szCs w:val="20"/>
          <w:lang w:val="en-US"/>
        </w:rPr>
        <w:t>had been violated owing to the</w:t>
      </w:r>
      <w:r w:rsidR="00D25D56" w:rsidRPr="009F337B">
        <w:rPr>
          <w:rFonts w:cs="Vrinda"/>
          <w:szCs w:val="20"/>
          <w:lang w:val="en-US"/>
        </w:rPr>
        <w:t>ir</w:t>
      </w:r>
      <w:r w:rsidRPr="009F337B">
        <w:rPr>
          <w:rFonts w:cs="Vrinda"/>
          <w:szCs w:val="20"/>
          <w:lang w:val="en-US"/>
        </w:rPr>
        <w:t xml:space="preserve"> feelings of pain, anguish and uncertainty </w:t>
      </w:r>
      <w:r w:rsidR="00D25D56" w:rsidRPr="009F337B">
        <w:rPr>
          <w:rFonts w:cs="Vrinda"/>
          <w:szCs w:val="20"/>
          <w:lang w:val="en-US"/>
        </w:rPr>
        <w:t>as a result of</w:t>
      </w:r>
      <w:r w:rsidRPr="009F337B">
        <w:rPr>
          <w:rFonts w:cs="Vrinda"/>
          <w:szCs w:val="20"/>
          <w:lang w:val="en-US"/>
        </w:rPr>
        <w:t xml:space="preserve"> the lack of opportune medical care for </w:t>
      </w:r>
      <w:r w:rsidR="00BB0DF2" w:rsidRPr="009F337B">
        <w:rPr>
          <w:rFonts w:cs="Vrinda"/>
          <w:szCs w:val="20"/>
          <w:lang w:val="en-US"/>
        </w:rPr>
        <w:t>their next of kin</w:t>
      </w:r>
      <w:r w:rsidR="00D8593C" w:rsidRPr="009F337B">
        <w:rPr>
          <w:rFonts w:cs="Vrinda"/>
          <w:szCs w:val="20"/>
          <w:lang w:val="en-US"/>
        </w:rPr>
        <w:t xml:space="preserve"> (</w:t>
      </w:r>
      <w:r w:rsidR="00D8593C" w:rsidRPr="009F337B">
        <w:rPr>
          <w:rFonts w:cs="Vrinda"/>
          <w:i/>
          <w:szCs w:val="20"/>
          <w:lang w:val="en-US"/>
        </w:rPr>
        <w:t>supra</w:t>
      </w:r>
      <w:r w:rsidR="00D8593C" w:rsidRPr="009F337B">
        <w:rPr>
          <w:rFonts w:cs="Vrinda"/>
          <w:szCs w:val="20"/>
          <w:lang w:val="en-US"/>
        </w:rPr>
        <w:t xml:space="preserve"> </w:t>
      </w:r>
      <w:r w:rsidR="00C60B17" w:rsidRPr="009F337B">
        <w:rPr>
          <w:rFonts w:cs="Vrinda"/>
          <w:szCs w:val="20"/>
          <w:lang w:val="en-US"/>
        </w:rPr>
        <w:t>para.</w:t>
      </w:r>
      <w:r w:rsidRPr="009F337B">
        <w:rPr>
          <w:rFonts w:cs="Vrinda"/>
          <w:szCs w:val="20"/>
          <w:lang w:val="en-US"/>
        </w:rPr>
        <w:t xml:space="preserve"> </w:t>
      </w:r>
      <w:r w:rsidR="00462F6A" w:rsidRPr="009F337B">
        <w:rPr>
          <w:rFonts w:cs="Vrinda"/>
          <w:szCs w:val="20"/>
          <w:lang w:val="en-US"/>
        </w:rPr>
        <w:t>192</w:t>
      </w:r>
      <w:r w:rsidR="00D8593C" w:rsidRPr="009F337B">
        <w:rPr>
          <w:rFonts w:cs="Vrinda"/>
          <w:szCs w:val="20"/>
          <w:lang w:val="en-US"/>
        </w:rPr>
        <w:t>)</w:t>
      </w:r>
      <w:r w:rsidR="00E06E1D" w:rsidRPr="009F337B">
        <w:rPr>
          <w:rFonts w:cs="Vrinda"/>
          <w:szCs w:val="20"/>
          <w:lang w:val="en-US"/>
        </w:rPr>
        <w:t>.</w:t>
      </w:r>
      <w:r w:rsidR="006F704E" w:rsidRPr="009F337B">
        <w:rPr>
          <w:rFonts w:cs="Vrinda"/>
          <w:szCs w:val="20"/>
          <w:lang w:val="en-US"/>
        </w:rPr>
        <w:t xml:space="preserve"> </w:t>
      </w:r>
      <w:r w:rsidRPr="009F337B">
        <w:rPr>
          <w:rFonts w:cs="Vrinda"/>
          <w:szCs w:val="20"/>
          <w:lang w:val="en-US"/>
        </w:rPr>
        <w:t>Consequently</w:t>
      </w:r>
      <w:r w:rsidR="006F704E" w:rsidRPr="009F337B">
        <w:rPr>
          <w:rFonts w:cs="Vrinda"/>
          <w:szCs w:val="20"/>
          <w:lang w:val="en-US"/>
        </w:rPr>
        <w:t xml:space="preserve">, </w:t>
      </w:r>
      <w:r w:rsidR="008C399E" w:rsidRPr="009F337B">
        <w:rPr>
          <w:szCs w:val="20"/>
          <w:lang w:val="en-US"/>
        </w:rPr>
        <w:t>the Court</w:t>
      </w:r>
      <w:r w:rsidR="00D8593C" w:rsidRPr="009F337B">
        <w:rPr>
          <w:szCs w:val="20"/>
          <w:lang w:val="en-US"/>
        </w:rPr>
        <w:t xml:space="preserve"> </w:t>
      </w:r>
      <w:r w:rsidRPr="009F337B">
        <w:rPr>
          <w:szCs w:val="20"/>
          <w:lang w:val="en-US"/>
        </w:rPr>
        <w:t>establishes the State’s obligation to provide, free of charge and immediately, adequately, comprehensively and effectively, through its specialized health institutions</w:t>
      </w:r>
      <w:r w:rsidR="00A341D4" w:rsidRPr="009F337B">
        <w:rPr>
          <w:szCs w:val="20"/>
          <w:lang w:val="en-US"/>
        </w:rPr>
        <w:t>, psychological or psychiatric treatment for the victims’ next of kin who request this, following their informed consent, and including the free supply of any medication they may eventually require, taking into consideration the needs of each of them. Also, the respective treatments must be provided, insofar as possible, in the centers nearest to their places of residence for all the time necessary. The victims who request this measure of reparation, or their legal representatives, have six months from notification of this judgment to advise the State of their intention to receive psychological or psychiatric care.</w:t>
      </w:r>
    </w:p>
    <w:p w14:paraId="22D61046" w14:textId="77777777" w:rsidR="0061727E" w:rsidRPr="009F337B" w:rsidRDefault="0061727E" w:rsidP="0061727E">
      <w:pPr>
        <w:tabs>
          <w:tab w:val="left" w:pos="709"/>
          <w:tab w:val="left" w:pos="1134"/>
        </w:tabs>
        <w:ind w:right="-4"/>
        <w:rPr>
          <w:rFonts w:cs="Vrinda"/>
          <w:szCs w:val="20"/>
          <w:lang w:val="en-US"/>
        </w:rPr>
      </w:pPr>
    </w:p>
    <w:p w14:paraId="16FF0BE9" w14:textId="3446FDDF" w:rsidR="00A341D4" w:rsidRPr="009F337B" w:rsidRDefault="00AE5F9E" w:rsidP="00593E37">
      <w:pPr>
        <w:numPr>
          <w:ilvl w:val="0"/>
          <w:numId w:val="1"/>
        </w:numPr>
        <w:tabs>
          <w:tab w:val="left" w:pos="709"/>
          <w:tab w:val="left" w:pos="1134"/>
        </w:tabs>
        <w:ind w:left="0" w:right="-4" w:firstLine="0"/>
        <w:rPr>
          <w:rFonts w:cs="Vrinda"/>
          <w:lang w:val="en-US"/>
        </w:rPr>
      </w:pPr>
      <w:r w:rsidRPr="009F337B">
        <w:rPr>
          <w:rFonts w:cs="Vrinda"/>
          <w:lang w:val="en-US"/>
        </w:rPr>
        <w:t>The Court</w:t>
      </w:r>
      <w:r w:rsidR="00DF7907" w:rsidRPr="009F337B">
        <w:rPr>
          <w:rFonts w:cs="Vrinda"/>
          <w:lang w:val="en-US"/>
        </w:rPr>
        <w:t xml:space="preserve"> rec</w:t>
      </w:r>
      <w:r w:rsidR="00A341D4" w:rsidRPr="009F337B">
        <w:rPr>
          <w:rFonts w:cs="Vrinda"/>
          <w:lang w:val="en-US"/>
        </w:rPr>
        <w:t xml:space="preserve">alls the need for the State to act with special promptness to comply with the measures ordered in the preceding paragraphs, because the preservation of the health, personal integrity and life of the victims in this case depends on compliance with them. The State must </w:t>
      </w:r>
      <w:r w:rsidR="00D25D56" w:rsidRPr="009F337B">
        <w:rPr>
          <w:rFonts w:cs="Vrinda"/>
          <w:lang w:val="en-US"/>
        </w:rPr>
        <w:t>confirm</w:t>
      </w:r>
      <w:r w:rsidR="00A341D4" w:rsidRPr="009F337B">
        <w:rPr>
          <w:rFonts w:cs="Vrinda"/>
          <w:lang w:val="en-US"/>
        </w:rPr>
        <w:t xml:space="preserve"> to the Court that it is complying with the measures indicated in the preceding paragraphs on a permanent basis.</w:t>
      </w:r>
    </w:p>
    <w:p w14:paraId="7E689989" w14:textId="77777777" w:rsidR="0061727E" w:rsidRPr="009F337B" w:rsidRDefault="0061727E" w:rsidP="0061727E">
      <w:pPr>
        <w:tabs>
          <w:tab w:val="left" w:pos="709"/>
          <w:tab w:val="left" w:pos="1134"/>
        </w:tabs>
        <w:ind w:right="-4"/>
        <w:rPr>
          <w:rFonts w:cs="Vrinda"/>
          <w:lang w:val="en-US"/>
        </w:rPr>
      </w:pPr>
    </w:p>
    <w:p w14:paraId="18922912" w14:textId="10D775FF" w:rsidR="00F63F5C" w:rsidRPr="009F337B" w:rsidRDefault="00E841F7" w:rsidP="00E841F7">
      <w:pPr>
        <w:pStyle w:val="Estilo1"/>
        <w:tabs>
          <w:tab w:val="left" w:pos="709"/>
          <w:tab w:val="left" w:pos="1134"/>
        </w:tabs>
        <w:spacing w:after="0"/>
        <w:ind w:left="0" w:right="-4" w:firstLine="0"/>
        <w:rPr>
          <w:rFonts w:eastAsia="Times" w:cs="Arial"/>
          <w:b/>
          <w:szCs w:val="20"/>
          <w:lang w:val="en-US"/>
        </w:rPr>
      </w:pPr>
      <w:r w:rsidRPr="009F337B">
        <w:rPr>
          <w:rFonts w:eastAsia="Times" w:cs="Arial"/>
          <w:b/>
          <w:szCs w:val="20"/>
          <w:lang w:val="en-US"/>
        </w:rPr>
        <w:tab/>
      </w:r>
      <w:r w:rsidRPr="009F337B">
        <w:rPr>
          <w:rFonts w:eastAsia="Times" w:cs="Arial"/>
          <w:b/>
          <w:szCs w:val="20"/>
          <w:lang w:val="en-US"/>
        </w:rPr>
        <w:tab/>
      </w:r>
      <w:r w:rsidR="006F704E" w:rsidRPr="009F337B">
        <w:rPr>
          <w:rFonts w:eastAsia="Times" w:cs="Arial"/>
          <w:b/>
          <w:szCs w:val="20"/>
          <w:lang w:val="en-US"/>
        </w:rPr>
        <w:t xml:space="preserve">B.2 </w:t>
      </w:r>
      <w:r w:rsidR="00A341D4" w:rsidRPr="009F337B">
        <w:rPr>
          <w:rFonts w:eastAsia="Times" w:cs="Arial"/>
          <w:b/>
          <w:szCs w:val="20"/>
          <w:lang w:val="en-US"/>
        </w:rPr>
        <w:t>Measures of satisfaction</w:t>
      </w:r>
    </w:p>
    <w:p w14:paraId="6966D89E" w14:textId="77777777" w:rsidR="0061727E" w:rsidRPr="009F337B" w:rsidRDefault="0061727E" w:rsidP="0061727E">
      <w:pPr>
        <w:rPr>
          <w:rFonts w:cs="Vrinda"/>
          <w:lang w:val="en-US"/>
        </w:rPr>
      </w:pPr>
      <w:bookmarkStart w:id="117" w:name="_Toc520238585"/>
    </w:p>
    <w:p w14:paraId="77B9CC1A" w14:textId="5F511AFF" w:rsidR="006F704E" w:rsidRPr="009F337B" w:rsidRDefault="00E841F7" w:rsidP="0061727E">
      <w:pPr>
        <w:rPr>
          <w:rFonts w:cs="Vrinda"/>
          <w:b/>
          <w:i/>
          <w:szCs w:val="20"/>
          <w:lang w:val="en-US"/>
        </w:rPr>
      </w:pPr>
      <w:r w:rsidRPr="009F337B">
        <w:rPr>
          <w:rFonts w:cs="Vrinda"/>
          <w:b/>
          <w:i/>
          <w:lang w:val="en-US"/>
        </w:rPr>
        <w:tab/>
      </w:r>
      <w:r w:rsidRPr="009F337B">
        <w:rPr>
          <w:rFonts w:cs="Vrinda"/>
          <w:b/>
          <w:i/>
          <w:lang w:val="en-US"/>
        </w:rPr>
        <w:tab/>
      </w:r>
      <w:r w:rsidRPr="009F337B">
        <w:rPr>
          <w:rFonts w:cs="Vrinda"/>
          <w:b/>
          <w:i/>
          <w:lang w:val="en-US"/>
        </w:rPr>
        <w:tab/>
      </w:r>
      <w:r w:rsidR="00F63F5C" w:rsidRPr="009F337B">
        <w:rPr>
          <w:rFonts w:cs="Vrinda"/>
          <w:b/>
          <w:i/>
          <w:lang w:val="en-US"/>
        </w:rPr>
        <w:t xml:space="preserve">B.2.1. </w:t>
      </w:r>
      <w:r w:rsidR="00A341D4" w:rsidRPr="009F337B">
        <w:rPr>
          <w:rFonts w:cs="Vrinda"/>
          <w:b/>
          <w:i/>
          <w:szCs w:val="20"/>
          <w:lang w:val="en-US"/>
        </w:rPr>
        <w:t>Public act to acknowledge international responsibility</w:t>
      </w:r>
      <w:bookmarkEnd w:id="117"/>
    </w:p>
    <w:p w14:paraId="484DF403" w14:textId="77777777" w:rsidR="0088325B" w:rsidRPr="009F337B" w:rsidRDefault="0088325B" w:rsidP="0061727E">
      <w:pPr>
        <w:rPr>
          <w:rFonts w:cs="Vrinda"/>
          <w:szCs w:val="20"/>
          <w:lang w:val="en-US"/>
        </w:rPr>
      </w:pPr>
    </w:p>
    <w:p w14:paraId="428A8CF3" w14:textId="25549374" w:rsidR="00F63F5C" w:rsidRPr="009F337B" w:rsidRDefault="00E841F7" w:rsidP="0061727E">
      <w:pPr>
        <w:rPr>
          <w:rFonts w:cs="Vrinda"/>
          <w:b/>
          <w:i/>
          <w:lang w:val="en-US"/>
        </w:rPr>
      </w:pPr>
      <w:bookmarkStart w:id="118" w:name="_Toc520238586"/>
      <w:r w:rsidRPr="009F337B">
        <w:rPr>
          <w:rFonts w:cs="Vrinda"/>
          <w:b/>
          <w:i/>
          <w:lang w:val="en-US"/>
        </w:rPr>
        <w:tab/>
      </w:r>
      <w:r w:rsidRPr="009F337B">
        <w:rPr>
          <w:rFonts w:cs="Vrinda"/>
          <w:b/>
          <w:i/>
          <w:lang w:val="en-US"/>
        </w:rPr>
        <w:tab/>
      </w:r>
      <w:r w:rsidRPr="009F337B">
        <w:rPr>
          <w:rFonts w:cs="Vrinda"/>
          <w:b/>
          <w:i/>
          <w:lang w:val="en-US"/>
        </w:rPr>
        <w:tab/>
      </w:r>
      <w:r w:rsidR="00F63F5C" w:rsidRPr="009F337B">
        <w:rPr>
          <w:rFonts w:cs="Vrinda"/>
          <w:b/>
          <w:i/>
          <w:lang w:val="en-US"/>
        </w:rPr>
        <w:t>B.2.1</w:t>
      </w:r>
      <w:r w:rsidR="0033428E" w:rsidRPr="009F337B">
        <w:rPr>
          <w:rFonts w:cs="Vrinda"/>
          <w:b/>
          <w:i/>
          <w:lang w:val="en-US"/>
        </w:rPr>
        <w:t>.1.</w:t>
      </w:r>
      <w:r w:rsidR="00F63F5C" w:rsidRPr="009F337B">
        <w:rPr>
          <w:rFonts w:cs="Vrinda"/>
          <w:b/>
          <w:i/>
          <w:lang w:val="en-US"/>
        </w:rPr>
        <w:t xml:space="preserve"> Argumentos</w:t>
      </w:r>
      <w:r w:rsidR="00AE5F9E" w:rsidRPr="009F337B">
        <w:rPr>
          <w:rFonts w:cs="Vrinda"/>
          <w:b/>
          <w:i/>
          <w:lang w:val="en-US"/>
        </w:rPr>
        <w:t xml:space="preserve"> of the Commission</w:t>
      </w:r>
      <w:r w:rsidR="003C46A3" w:rsidRPr="009F337B">
        <w:rPr>
          <w:rFonts w:cs="Vrinda"/>
          <w:b/>
          <w:i/>
          <w:lang w:val="en-US"/>
        </w:rPr>
        <w:t xml:space="preserve"> and </w:t>
      </w:r>
      <w:bookmarkEnd w:id="118"/>
      <w:r w:rsidR="00A341D4" w:rsidRPr="009F337B">
        <w:rPr>
          <w:rFonts w:cs="Vrinda"/>
          <w:b/>
          <w:i/>
          <w:lang w:val="en-US"/>
        </w:rPr>
        <w:t>of the parties</w:t>
      </w:r>
    </w:p>
    <w:p w14:paraId="15B95111" w14:textId="77777777" w:rsidR="0061727E" w:rsidRPr="009F337B" w:rsidRDefault="0061727E" w:rsidP="0061727E">
      <w:pPr>
        <w:rPr>
          <w:rFonts w:cs="Vrinda"/>
          <w:lang w:val="en-US"/>
        </w:rPr>
      </w:pPr>
    </w:p>
    <w:p w14:paraId="7FB92539" w14:textId="333BF33A" w:rsidR="00A341D4" w:rsidRPr="009F337B" w:rsidRDefault="007327F5" w:rsidP="00593E37">
      <w:pPr>
        <w:numPr>
          <w:ilvl w:val="0"/>
          <w:numId w:val="1"/>
        </w:numPr>
        <w:tabs>
          <w:tab w:val="left" w:pos="709"/>
          <w:tab w:val="left" w:pos="1134"/>
        </w:tabs>
        <w:ind w:left="0" w:right="-4" w:firstLine="0"/>
        <w:rPr>
          <w:rFonts w:cs="Vrinda"/>
          <w:lang w:val="en-US"/>
        </w:rPr>
      </w:pPr>
      <w:r w:rsidRPr="009F337B">
        <w:rPr>
          <w:rFonts w:eastAsia="Arial" w:cs="Vrinda"/>
          <w:lang w:val="en-US"/>
        </w:rPr>
        <w:t xml:space="preserve">The </w:t>
      </w:r>
      <w:r w:rsidRPr="009F337B">
        <w:rPr>
          <w:rFonts w:eastAsia="Arial" w:cs="Vrinda"/>
          <w:b/>
          <w:i/>
          <w:lang w:val="en-US"/>
        </w:rPr>
        <w:t>representatives</w:t>
      </w:r>
      <w:r w:rsidR="006F704E" w:rsidRPr="009F337B">
        <w:rPr>
          <w:rFonts w:eastAsia="Arial" w:cs="Vrinda"/>
          <w:lang w:val="en-US"/>
        </w:rPr>
        <w:t xml:space="preserve"> </w:t>
      </w:r>
      <w:r w:rsidR="00A341D4" w:rsidRPr="009F337B">
        <w:rPr>
          <w:rFonts w:eastAsia="Arial" w:cs="Vrinda"/>
          <w:lang w:val="en-US"/>
        </w:rPr>
        <w:t>asked</w:t>
      </w:r>
      <w:r w:rsidR="006F704E" w:rsidRPr="009F337B">
        <w:rPr>
          <w:rFonts w:eastAsia="Arial" w:cs="Vrinda"/>
          <w:lang w:val="en-US"/>
        </w:rPr>
        <w:t xml:space="preserve"> </w:t>
      </w:r>
      <w:r w:rsidR="00AE5F9E" w:rsidRPr="009F337B">
        <w:rPr>
          <w:rFonts w:eastAsia="Arial" w:cs="Vrinda"/>
          <w:lang w:val="en-US"/>
        </w:rPr>
        <w:t>the Court</w:t>
      </w:r>
      <w:r w:rsidR="006F704E" w:rsidRPr="009F337B">
        <w:rPr>
          <w:rFonts w:eastAsia="Arial" w:cs="Vrinda"/>
          <w:lang w:val="en-US"/>
        </w:rPr>
        <w:t xml:space="preserve"> </w:t>
      </w:r>
      <w:r w:rsidR="00A341D4" w:rsidRPr="009F337B">
        <w:rPr>
          <w:rFonts w:eastAsia="Arial" w:cs="Vrinda"/>
          <w:lang w:val="en-US"/>
        </w:rPr>
        <w:t>to order</w:t>
      </w:r>
      <w:r w:rsidR="006F704E" w:rsidRPr="009F337B">
        <w:rPr>
          <w:rFonts w:eastAsia="Arial" w:cs="Vrinda"/>
          <w:lang w:val="en-US"/>
        </w:rPr>
        <w:t xml:space="preserve"> Guatemala </w:t>
      </w:r>
      <w:r w:rsidR="00A341D4" w:rsidRPr="009F337B">
        <w:rPr>
          <w:rFonts w:eastAsia="Arial" w:cs="Vrinda"/>
          <w:lang w:val="en-US"/>
        </w:rPr>
        <w:t xml:space="preserve">to organize a public act at which the State would acknowledge its international responsibility for the human rights violations for which it had been sentenced, and at which it would make a public apology to make amends to the victims. In particular, the representatives asked that the most senior State authorities attend the act. Lastly, they asked that, </w:t>
      </w:r>
      <w:r w:rsidR="00AA3632" w:rsidRPr="009F337B">
        <w:rPr>
          <w:rFonts w:eastAsia="Arial" w:cs="Vrinda"/>
          <w:lang w:val="en-US"/>
        </w:rPr>
        <w:t>in order to</w:t>
      </w:r>
      <w:r w:rsidR="00A341D4" w:rsidRPr="009F337B">
        <w:rPr>
          <w:rFonts w:eastAsia="Arial" w:cs="Vrinda"/>
          <w:lang w:val="en-US"/>
        </w:rPr>
        <w:t xml:space="preserve"> organiz</w:t>
      </w:r>
      <w:r w:rsidR="00AA3632" w:rsidRPr="009F337B">
        <w:rPr>
          <w:rFonts w:eastAsia="Arial" w:cs="Vrinda"/>
          <w:lang w:val="en-US"/>
        </w:rPr>
        <w:t>e</w:t>
      </w:r>
      <w:r w:rsidR="00A341D4" w:rsidRPr="009F337B">
        <w:rPr>
          <w:rFonts w:eastAsia="Arial" w:cs="Vrinda"/>
          <w:lang w:val="en-US"/>
        </w:rPr>
        <w:t xml:space="preserve"> such an act, the State</w:t>
      </w:r>
      <w:r w:rsidR="00AA3632" w:rsidRPr="009F337B">
        <w:rPr>
          <w:rFonts w:eastAsia="Arial" w:cs="Vrinda"/>
          <w:lang w:val="en-US"/>
        </w:rPr>
        <w:t xml:space="preserve"> should be required to</w:t>
      </w:r>
      <w:r w:rsidR="00A341D4" w:rsidRPr="009F337B">
        <w:rPr>
          <w:rFonts w:eastAsia="Arial" w:cs="Vrinda"/>
          <w:lang w:val="en-US"/>
        </w:rPr>
        <w:t xml:space="preserve"> reach an agreement with the victims or their representatives regarding its characteristics, and that the Court order that the event be broadcast by radio and television. Neither the </w:t>
      </w:r>
      <w:r w:rsidR="00A341D4" w:rsidRPr="009F337B">
        <w:rPr>
          <w:rFonts w:eastAsia="Arial" w:cs="Vrinda"/>
          <w:b/>
          <w:i/>
          <w:lang w:val="en-US"/>
        </w:rPr>
        <w:t>State</w:t>
      </w:r>
      <w:r w:rsidR="00A341D4" w:rsidRPr="009F337B">
        <w:rPr>
          <w:rFonts w:eastAsia="Arial" w:cs="Vrinda"/>
          <w:lang w:val="en-US"/>
        </w:rPr>
        <w:t xml:space="preserve"> </w:t>
      </w:r>
      <w:r w:rsidR="00AA3632" w:rsidRPr="009F337B">
        <w:rPr>
          <w:rFonts w:eastAsia="Arial" w:cs="Vrinda"/>
          <w:lang w:val="en-US"/>
        </w:rPr>
        <w:t>n</w:t>
      </w:r>
      <w:r w:rsidR="00A341D4" w:rsidRPr="009F337B">
        <w:rPr>
          <w:rFonts w:eastAsia="Arial" w:cs="Vrinda"/>
          <w:lang w:val="en-US"/>
        </w:rPr>
        <w:t xml:space="preserve">or the </w:t>
      </w:r>
      <w:r w:rsidR="00A341D4" w:rsidRPr="009F337B">
        <w:rPr>
          <w:rFonts w:eastAsia="Arial" w:cs="Vrinda"/>
          <w:b/>
          <w:i/>
          <w:lang w:val="en-US"/>
        </w:rPr>
        <w:t>Commission</w:t>
      </w:r>
      <w:r w:rsidR="00A341D4" w:rsidRPr="009F337B">
        <w:rPr>
          <w:rFonts w:eastAsia="Arial" w:cs="Vrinda"/>
          <w:lang w:val="en-US"/>
        </w:rPr>
        <w:t xml:space="preserve"> referred to this request.</w:t>
      </w:r>
    </w:p>
    <w:p w14:paraId="56A0B42F" w14:textId="77777777" w:rsidR="00F12B1C" w:rsidRPr="009F337B" w:rsidRDefault="00F63F5C" w:rsidP="0061727E">
      <w:pPr>
        <w:rPr>
          <w:rFonts w:cs="Vrinda"/>
          <w:b/>
          <w:i/>
          <w:lang w:val="en-US"/>
        </w:rPr>
      </w:pPr>
      <w:r w:rsidRPr="009F337B">
        <w:rPr>
          <w:rFonts w:cs="Vrinda"/>
          <w:b/>
          <w:i/>
          <w:lang w:val="en-US"/>
        </w:rPr>
        <w:tab/>
      </w:r>
    </w:p>
    <w:p w14:paraId="7DD6D3A9" w14:textId="11EE0236" w:rsidR="00F63F5C" w:rsidRPr="009F337B" w:rsidRDefault="00E841F7" w:rsidP="0061727E">
      <w:pPr>
        <w:rPr>
          <w:rFonts w:cs="Vrinda"/>
          <w:lang w:val="en-US"/>
        </w:rPr>
      </w:pPr>
      <w:r w:rsidRPr="009F337B">
        <w:rPr>
          <w:rFonts w:cs="Vrinda"/>
          <w:b/>
          <w:i/>
          <w:lang w:val="en-US"/>
        </w:rPr>
        <w:tab/>
      </w:r>
      <w:r w:rsidRPr="009F337B">
        <w:rPr>
          <w:rFonts w:cs="Vrinda"/>
          <w:b/>
          <w:i/>
          <w:lang w:val="en-US"/>
        </w:rPr>
        <w:tab/>
      </w:r>
      <w:r w:rsidRPr="009F337B">
        <w:rPr>
          <w:rFonts w:cs="Vrinda"/>
          <w:b/>
          <w:i/>
          <w:lang w:val="en-US"/>
        </w:rPr>
        <w:tab/>
      </w:r>
      <w:r w:rsidR="00F63F5C" w:rsidRPr="009F337B">
        <w:rPr>
          <w:rFonts w:cs="Vrinda"/>
          <w:b/>
          <w:i/>
          <w:lang w:val="en-US"/>
        </w:rPr>
        <w:t>B.2.1.2</w:t>
      </w:r>
      <w:r w:rsidR="00F12B1C" w:rsidRPr="009F337B">
        <w:rPr>
          <w:rFonts w:cs="Vrinda"/>
          <w:b/>
          <w:i/>
          <w:lang w:val="en-US"/>
        </w:rPr>
        <w:t>.</w:t>
      </w:r>
      <w:r w:rsidR="00F63F5C" w:rsidRPr="009F337B">
        <w:rPr>
          <w:rFonts w:cs="Vrinda"/>
          <w:b/>
          <w:i/>
          <w:lang w:val="en-US"/>
        </w:rPr>
        <w:t xml:space="preserve"> </w:t>
      </w:r>
      <w:r w:rsidR="00473F70" w:rsidRPr="009F337B">
        <w:rPr>
          <w:rFonts w:cs="Vrinda"/>
          <w:b/>
          <w:i/>
          <w:lang w:val="en-US"/>
        </w:rPr>
        <w:t>Considerations</w:t>
      </w:r>
      <w:r w:rsidR="00AE5F9E" w:rsidRPr="009F337B">
        <w:rPr>
          <w:rFonts w:cs="Vrinda"/>
          <w:b/>
          <w:i/>
          <w:lang w:val="en-US"/>
        </w:rPr>
        <w:t xml:space="preserve"> of the Court</w:t>
      </w:r>
    </w:p>
    <w:p w14:paraId="58075C05" w14:textId="77777777" w:rsidR="009F0CB9" w:rsidRPr="009F337B" w:rsidRDefault="009F0CB9" w:rsidP="0061727E">
      <w:pPr>
        <w:rPr>
          <w:rFonts w:eastAsia="Calibri" w:cs="Times New Roman"/>
          <w:lang w:val="en-US"/>
        </w:rPr>
      </w:pPr>
    </w:p>
    <w:p w14:paraId="0550D538" w14:textId="6052244F" w:rsidR="009F0CB9" w:rsidRPr="009F337B" w:rsidRDefault="00AE5F9E" w:rsidP="00593E37">
      <w:pPr>
        <w:numPr>
          <w:ilvl w:val="0"/>
          <w:numId w:val="1"/>
        </w:numPr>
        <w:tabs>
          <w:tab w:val="left" w:pos="709"/>
          <w:tab w:val="left" w:pos="1134"/>
        </w:tabs>
        <w:ind w:left="0" w:right="-4" w:firstLine="0"/>
        <w:rPr>
          <w:rFonts w:eastAsia="Calibri" w:cs="Times New Roman"/>
          <w:lang w:val="en-US"/>
        </w:rPr>
      </w:pPr>
      <w:r w:rsidRPr="009F337B">
        <w:rPr>
          <w:rFonts w:eastAsia="Calibri" w:cs="Times New Roman"/>
          <w:lang w:val="en-US"/>
        </w:rPr>
        <w:t>The Court</w:t>
      </w:r>
      <w:r w:rsidR="009F0CB9" w:rsidRPr="009F337B">
        <w:rPr>
          <w:rFonts w:eastAsia="Calibri" w:cs="Times New Roman"/>
          <w:lang w:val="en-US"/>
        </w:rPr>
        <w:t xml:space="preserve"> </w:t>
      </w:r>
      <w:r w:rsidR="00A341D4" w:rsidRPr="009F337B">
        <w:rPr>
          <w:rFonts w:eastAsia="Calibri" w:cs="Times New Roman"/>
          <w:lang w:val="en-US"/>
        </w:rPr>
        <w:t xml:space="preserve">finds it necessary that the State organize a public act to acknowledge its international responsibility for the facts of this case to make amends to the victims. During this act it must refer to the human rights violations declared in this judgment. Also, the act must take place </w:t>
      </w:r>
      <w:r w:rsidR="00AA3632" w:rsidRPr="009F337B">
        <w:rPr>
          <w:rFonts w:eastAsia="Calibri" w:cs="Times New Roman"/>
          <w:lang w:val="en-US"/>
        </w:rPr>
        <w:t>during</w:t>
      </w:r>
      <w:r w:rsidR="00A341D4" w:rsidRPr="009F337B">
        <w:rPr>
          <w:rFonts w:eastAsia="Calibri" w:cs="Times New Roman"/>
          <w:lang w:val="en-US"/>
        </w:rPr>
        <w:t xml:space="preserve"> a public ceremony in the presence of senior State offic</w:t>
      </w:r>
      <w:r w:rsidR="00AA3632" w:rsidRPr="009F337B">
        <w:rPr>
          <w:rFonts w:eastAsia="Calibri" w:cs="Times New Roman"/>
          <w:lang w:val="en-US"/>
        </w:rPr>
        <w:t>ial</w:t>
      </w:r>
      <w:r w:rsidR="00A341D4" w:rsidRPr="009F337B">
        <w:rPr>
          <w:rFonts w:eastAsia="Calibri" w:cs="Times New Roman"/>
          <w:lang w:val="en-US"/>
        </w:rPr>
        <w:t>s and the victims. The State and the victims and/or their representatives must reach ageement on the method of complying with th</w:t>
      </w:r>
      <w:r w:rsidR="00AA3632" w:rsidRPr="009F337B">
        <w:rPr>
          <w:rFonts w:eastAsia="Calibri" w:cs="Times New Roman"/>
          <w:lang w:val="en-US"/>
        </w:rPr>
        <w:t>is</w:t>
      </w:r>
      <w:r w:rsidR="00A341D4" w:rsidRPr="009F337B">
        <w:rPr>
          <w:rFonts w:eastAsia="Calibri" w:cs="Times New Roman"/>
          <w:lang w:val="en-US"/>
        </w:rPr>
        <w:t xml:space="preserve"> public act, as well as on its characteistics, such as the date and place.</w:t>
      </w:r>
      <w:r w:rsidR="009F0CB9" w:rsidRPr="009F337B">
        <w:rPr>
          <w:rFonts w:eastAsia="Calibri" w:cs="Times New Roman"/>
          <w:szCs w:val="20"/>
          <w:vertAlign w:val="superscript"/>
          <w:lang w:val="en-US"/>
        </w:rPr>
        <w:footnoteReference w:id="248"/>
      </w:r>
    </w:p>
    <w:p w14:paraId="66E7328A" w14:textId="77777777" w:rsidR="00E841F7" w:rsidRPr="009F337B" w:rsidRDefault="00E841F7" w:rsidP="0061727E">
      <w:pPr>
        <w:ind w:left="720"/>
        <w:rPr>
          <w:rFonts w:eastAsia="Calibri" w:cs="Times New Roman"/>
          <w:lang w:val="en-US"/>
        </w:rPr>
      </w:pPr>
    </w:p>
    <w:p w14:paraId="1F904926" w14:textId="2239AE29" w:rsidR="009F0CB9" w:rsidRPr="009F337B" w:rsidRDefault="00E841F7" w:rsidP="00E841F7">
      <w:pPr>
        <w:rPr>
          <w:rFonts w:cs="Vrinda"/>
          <w:b/>
          <w:i/>
          <w:lang w:val="en-US"/>
        </w:rPr>
      </w:pPr>
      <w:r w:rsidRPr="009F337B">
        <w:rPr>
          <w:rFonts w:cs="Vrinda"/>
          <w:b/>
          <w:i/>
          <w:lang w:val="en-US"/>
        </w:rPr>
        <w:tab/>
      </w:r>
      <w:r w:rsidRPr="009F337B">
        <w:rPr>
          <w:rFonts w:cs="Vrinda"/>
          <w:b/>
          <w:i/>
          <w:lang w:val="en-US"/>
        </w:rPr>
        <w:tab/>
      </w:r>
      <w:r w:rsidRPr="009F337B">
        <w:rPr>
          <w:rFonts w:cs="Vrinda"/>
          <w:b/>
          <w:i/>
          <w:lang w:val="en-US"/>
        </w:rPr>
        <w:tab/>
      </w:r>
      <w:r w:rsidR="009F0CB9" w:rsidRPr="009F337B">
        <w:rPr>
          <w:rFonts w:cs="Vrinda"/>
          <w:b/>
          <w:i/>
          <w:lang w:val="en-US"/>
        </w:rPr>
        <w:t>B.2.2. Publica</w:t>
      </w:r>
      <w:r w:rsidR="00A341D4" w:rsidRPr="009F337B">
        <w:rPr>
          <w:rFonts w:cs="Vrinda"/>
          <w:b/>
          <w:i/>
          <w:lang w:val="en-US"/>
        </w:rPr>
        <w:t>tion and dissemination of the judgment</w:t>
      </w:r>
    </w:p>
    <w:p w14:paraId="329A90EE" w14:textId="77777777" w:rsidR="00E841F7" w:rsidRPr="009F337B" w:rsidRDefault="00E841F7" w:rsidP="00E841F7">
      <w:pPr>
        <w:rPr>
          <w:rFonts w:cs="Vrinda"/>
          <w:b/>
          <w:i/>
          <w:lang w:val="en-US"/>
        </w:rPr>
      </w:pPr>
    </w:p>
    <w:p w14:paraId="2E4B5775" w14:textId="02ADC382" w:rsidR="00E841F7" w:rsidRPr="009F337B" w:rsidRDefault="00E841F7" w:rsidP="00E841F7">
      <w:pPr>
        <w:rPr>
          <w:rFonts w:cs="Vrinda"/>
          <w:b/>
          <w:i/>
          <w:lang w:val="en-US"/>
        </w:rPr>
      </w:pPr>
      <w:r w:rsidRPr="009F337B">
        <w:rPr>
          <w:rFonts w:cs="Vrinda"/>
          <w:b/>
          <w:i/>
          <w:lang w:val="en-US"/>
        </w:rPr>
        <w:tab/>
      </w:r>
      <w:r w:rsidRPr="009F337B">
        <w:rPr>
          <w:rFonts w:cs="Vrinda"/>
          <w:b/>
          <w:i/>
          <w:lang w:val="en-US"/>
        </w:rPr>
        <w:tab/>
      </w:r>
      <w:r w:rsidRPr="009F337B">
        <w:rPr>
          <w:rFonts w:cs="Vrinda"/>
          <w:b/>
          <w:i/>
          <w:lang w:val="en-US"/>
        </w:rPr>
        <w:tab/>
        <w:t>B.2.2.1. Argumentos</w:t>
      </w:r>
      <w:r w:rsidR="00AE5F9E" w:rsidRPr="009F337B">
        <w:rPr>
          <w:rFonts w:cs="Vrinda"/>
          <w:b/>
          <w:i/>
          <w:lang w:val="en-US"/>
        </w:rPr>
        <w:t xml:space="preserve"> of the Commission</w:t>
      </w:r>
      <w:r w:rsidR="003C46A3" w:rsidRPr="009F337B">
        <w:rPr>
          <w:rFonts w:cs="Vrinda"/>
          <w:b/>
          <w:i/>
          <w:lang w:val="en-US"/>
        </w:rPr>
        <w:t xml:space="preserve"> and </w:t>
      </w:r>
      <w:r w:rsidR="00A341D4" w:rsidRPr="009F337B">
        <w:rPr>
          <w:rFonts w:cs="Vrinda"/>
          <w:b/>
          <w:i/>
          <w:lang w:val="en-US"/>
        </w:rPr>
        <w:t>of the parties</w:t>
      </w:r>
    </w:p>
    <w:p w14:paraId="5A0B9620" w14:textId="77777777" w:rsidR="0061727E" w:rsidRPr="009F337B" w:rsidRDefault="0061727E" w:rsidP="0061727E">
      <w:pPr>
        <w:rPr>
          <w:rFonts w:eastAsia="Calibri" w:cs="Times New Roman"/>
          <w:lang w:val="en-US"/>
        </w:rPr>
      </w:pPr>
    </w:p>
    <w:p w14:paraId="430BBE90" w14:textId="18DE4980" w:rsidR="00921E13" w:rsidRPr="009F337B" w:rsidRDefault="007327F5" w:rsidP="00593E37">
      <w:pPr>
        <w:numPr>
          <w:ilvl w:val="0"/>
          <w:numId w:val="1"/>
        </w:numPr>
        <w:tabs>
          <w:tab w:val="left" w:pos="709"/>
          <w:tab w:val="left" w:pos="1134"/>
        </w:tabs>
        <w:ind w:left="0" w:right="-4" w:firstLine="0"/>
        <w:rPr>
          <w:rFonts w:cs="Vrinda"/>
          <w:b/>
          <w:lang w:val="en-US"/>
        </w:rPr>
      </w:pPr>
      <w:r w:rsidRPr="009F337B">
        <w:rPr>
          <w:rFonts w:eastAsia="Arial" w:cs="Vrinda"/>
          <w:lang w:val="en-US"/>
        </w:rPr>
        <w:lastRenderedPageBreak/>
        <w:t xml:space="preserve">The </w:t>
      </w:r>
      <w:r w:rsidRPr="009F337B">
        <w:rPr>
          <w:rFonts w:eastAsia="Arial" w:cs="Vrinda"/>
          <w:b/>
          <w:i/>
          <w:lang w:val="en-US"/>
        </w:rPr>
        <w:t>representatives</w:t>
      </w:r>
      <w:r w:rsidR="009F0CB9" w:rsidRPr="009F337B">
        <w:rPr>
          <w:rFonts w:eastAsia="Arial" w:cs="Vrinda"/>
          <w:lang w:val="en-US"/>
        </w:rPr>
        <w:t xml:space="preserve"> </w:t>
      </w:r>
      <w:r w:rsidR="00921E13" w:rsidRPr="009F337B">
        <w:rPr>
          <w:rFonts w:eastAsia="Arial" w:cs="Vrinda"/>
          <w:lang w:val="en-US"/>
        </w:rPr>
        <w:t>asked that the State publish, at least, the sections on the context and summary of the proven facts, together with the operative paragraphs of the judgment, in the official gazette and in at least two national newspapers. They also asked that this publication be made on the website</w:t>
      </w:r>
      <w:r w:rsidR="00AA3632" w:rsidRPr="009F337B">
        <w:rPr>
          <w:rFonts w:eastAsia="Arial" w:cs="Vrinda"/>
          <w:lang w:val="en-US"/>
        </w:rPr>
        <w:t>s</w:t>
      </w:r>
      <w:r w:rsidR="00921E13" w:rsidRPr="009F337B">
        <w:rPr>
          <w:rFonts w:eastAsia="Arial" w:cs="Vrinda"/>
          <w:lang w:val="en-US"/>
        </w:rPr>
        <w:t xml:space="preserve"> of the Ministry of Public Health and Social Assistance</w:t>
      </w:r>
      <w:r w:rsidR="00AA3632" w:rsidRPr="009F337B">
        <w:rPr>
          <w:rFonts w:eastAsia="Arial" w:cs="Vrinda"/>
          <w:lang w:val="en-US"/>
        </w:rPr>
        <w:t xml:space="preserve"> and of</w:t>
      </w:r>
      <w:r w:rsidR="00921E13" w:rsidRPr="009F337B">
        <w:rPr>
          <w:rFonts w:eastAsia="Arial" w:cs="Vrinda"/>
          <w:lang w:val="en-US"/>
        </w:rPr>
        <w:t xml:space="preserve"> the IGSS, and in the different Comprehensive Care Units (UAI), and </w:t>
      </w:r>
      <w:r w:rsidR="00AA3632" w:rsidRPr="009F337B">
        <w:rPr>
          <w:rFonts w:eastAsia="Arial" w:cs="Vrinda"/>
          <w:lang w:val="en-US"/>
        </w:rPr>
        <w:t>maintained</w:t>
      </w:r>
      <w:r w:rsidR="00921E13" w:rsidRPr="009F337B">
        <w:rPr>
          <w:rFonts w:eastAsia="Arial" w:cs="Vrinda"/>
          <w:lang w:val="en-US"/>
        </w:rPr>
        <w:t xml:space="preserve"> until the judgment had been </w:t>
      </w:r>
      <w:r w:rsidR="00AA3632" w:rsidRPr="009F337B">
        <w:rPr>
          <w:rFonts w:eastAsia="Arial" w:cs="Vrinda"/>
          <w:lang w:val="en-US"/>
        </w:rPr>
        <w:t xml:space="preserve">fully </w:t>
      </w:r>
      <w:r w:rsidR="00921E13" w:rsidRPr="009F337B">
        <w:rPr>
          <w:rFonts w:eastAsia="Arial" w:cs="Vrinda"/>
          <w:lang w:val="en-US"/>
        </w:rPr>
        <w:t>executed. The representatives also argued that, owing to the stigmatization associated with HIV/AIDS, prior to publication, the State must consult the victims regarding whether they wished their name to be included in this publication</w:t>
      </w:r>
      <w:r w:rsidR="007B0A74" w:rsidRPr="009F337B">
        <w:rPr>
          <w:rFonts w:eastAsia="Arial" w:cs="Vrinda"/>
          <w:lang w:val="en-US"/>
        </w:rPr>
        <w:t xml:space="preserve"> or if, to the contrary, they would like it to be excluded. Neither the </w:t>
      </w:r>
      <w:r w:rsidR="007B0A74" w:rsidRPr="009F337B">
        <w:rPr>
          <w:rFonts w:eastAsia="Arial" w:cs="Vrinda"/>
          <w:b/>
          <w:i/>
          <w:lang w:val="en-US"/>
        </w:rPr>
        <w:t xml:space="preserve">State </w:t>
      </w:r>
      <w:r w:rsidR="00AA3632" w:rsidRPr="009F337B">
        <w:rPr>
          <w:rFonts w:eastAsia="Arial" w:cs="Vrinda"/>
          <w:lang w:val="en-US"/>
        </w:rPr>
        <w:t>n</w:t>
      </w:r>
      <w:r w:rsidR="007B0A74" w:rsidRPr="009F337B">
        <w:rPr>
          <w:rFonts w:eastAsia="Arial" w:cs="Vrinda"/>
          <w:lang w:val="en-US"/>
        </w:rPr>
        <w:t>or the</w:t>
      </w:r>
      <w:r w:rsidR="007B0A74" w:rsidRPr="009F337B">
        <w:rPr>
          <w:rFonts w:eastAsia="Arial" w:cs="Vrinda"/>
          <w:b/>
          <w:i/>
          <w:lang w:val="en-US"/>
        </w:rPr>
        <w:t xml:space="preserve"> Commission </w:t>
      </w:r>
      <w:r w:rsidR="007B0A74" w:rsidRPr="009F337B">
        <w:rPr>
          <w:rFonts w:eastAsia="Arial" w:cs="Vrinda"/>
          <w:lang w:val="en-US"/>
        </w:rPr>
        <w:t>referred to this request.</w:t>
      </w:r>
    </w:p>
    <w:p w14:paraId="00036BC7" w14:textId="77777777" w:rsidR="0061727E" w:rsidRPr="009F337B" w:rsidRDefault="0061727E" w:rsidP="0061727E">
      <w:pPr>
        <w:tabs>
          <w:tab w:val="left" w:pos="709"/>
          <w:tab w:val="left" w:pos="1134"/>
        </w:tabs>
        <w:ind w:right="-4"/>
        <w:rPr>
          <w:rFonts w:cs="Vrinda"/>
          <w:b/>
          <w:lang w:val="en-US"/>
        </w:rPr>
      </w:pPr>
    </w:p>
    <w:p w14:paraId="1039731E" w14:textId="517B76FE" w:rsidR="009F0CB9" w:rsidRPr="009F337B" w:rsidRDefault="00E841F7" w:rsidP="00E841F7">
      <w:pPr>
        <w:rPr>
          <w:rFonts w:cs="Vrinda"/>
          <w:b/>
          <w:i/>
          <w:lang w:val="en-US"/>
        </w:rPr>
      </w:pPr>
      <w:r w:rsidRPr="009F337B">
        <w:rPr>
          <w:rFonts w:cs="Vrinda"/>
          <w:b/>
          <w:i/>
          <w:lang w:val="en-US"/>
        </w:rPr>
        <w:tab/>
      </w:r>
      <w:r w:rsidRPr="009F337B">
        <w:rPr>
          <w:rFonts w:cs="Vrinda"/>
          <w:b/>
          <w:i/>
          <w:lang w:val="en-US"/>
        </w:rPr>
        <w:tab/>
      </w:r>
      <w:r w:rsidRPr="009F337B">
        <w:rPr>
          <w:rFonts w:cs="Vrinda"/>
          <w:b/>
          <w:i/>
          <w:lang w:val="en-US"/>
        </w:rPr>
        <w:tab/>
      </w:r>
      <w:r w:rsidR="009F0CB9" w:rsidRPr="009F337B">
        <w:rPr>
          <w:rFonts w:cs="Vrinda"/>
          <w:b/>
          <w:i/>
          <w:lang w:val="en-US"/>
        </w:rPr>
        <w:t>B.2.</w:t>
      </w:r>
      <w:r w:rsidRPr="009F337B">
        <w:rPr>
          <w:rFonts w:cs="Vrinda"/>
          <w:b/>
          <w:i/>
          <w:lang w:val="en-US"/>
        </w:rPr>
        <w:t>2</w:t>
      </w:r>
      <w:r w:rsidR="009F0CB9" w:rsidRPr="009F337B">
        <w:rPr>
          <w:rFonts w:cs="Vrinda"/>
          <w:b/>
          <w:i/>
          <w:lang w:val="en-US"/>
        </w:rPr>
        <w:t xml:space="preserve">.2. </w:t>
      </w:r>
      <w:r w:rsidR="00473F70" w:rsidRPr="009F337B">
        <w:rPr>
          <w:rFonts w:cs="Vrinda"/>
          <w:b/>
          <w:i/>
          <w:lang w:val="en-US"/>
        </w:rPr>
        <w:t>Considerations</w:t>
      </w:r>
      <w:r w:rsidR="00AE5F9E" w:rsidRPr="009F337B">
        <w:rPr>
          <w:rFonts w:cs="Vrinda"/>
          <w:b/>
          <w:i/>
          <w:lang w:val="en-US"/>
        </w:rPr>
        <w:t xml:space="preserve"> of the Court</w:t>
      </w:r>
    </w:p>
    <w:p w14:paraId="51DDF180" w14:textId="77777777" w:rsidR="0061727E" w:rsidRPr="009F337B" w:rsidRDefault="0061727E" w:rsidP="0061727E">
      <w:pPr>
        <w:tabs>
          <w:tab w:val="left" w:pos="709"/>
          <w:tab w:val="left" w:pos="1134"/>
        </w:tabs>
        <w:ind w:right="-4"/>
        <w:rPr>
          <w:rFonts w:cs="Vrinda"/>
          <w:lang w:val="en-US"/>
        </w:rPr>
      </w:pPr>
    </w:p>
    <w:p w14:paraId="16D62B9C" w14:textId="4D83C2C8" w:rsidR="006F704E" w:rsidRPr="009F337B" w:rsidRDefault="007B0A74" w:rsidP="00593E37">
      <w:pPr>
        <w:numPr>
          <w:ilvl w:val="0"/>
          <w:numId w:val="1"/>
        </w:numPr>
        <w:tabs>
          <w:tab w:val="left" w:pos="709"/>
          <w:tab w:val="left" w:pos="1134"/>
        </w:tabs>
        <w:ind w:left="0" w:right="-4" w:firstLine="0"/>
        <w:rPr>
          <w:rFonts w:cs="Vrinda"/>
          <w:lang w:val="en-US"/>
        </w:rPr>
      </w:pPr>
      <w:r w:rsidRPr="009F337B">
        <w:rPr>
          <w:rFonts w:eastAsia="Arial" w:cs="Vrinda"/>
          <w:lang w:val="en-US"/>
        </w:rPr>
        <w:t>International case law has established that the judgment constitutes</w:t>
      </w:r>
      <w:r w:rsidR="00AA3632" w:rsidRPr="009F337B">
        <w:rPr>
          <w:rFonts w:eastAsia="Arial" w:cs="Vrinda"/>
          <w:lang w:val="en-US"/>
        </w:rPr>
        <w:t>,</w:t>
      </w:r>
      <w:r w:rsidR="006F704E" w:rsidRPr="009F337B">
        <w:rPr>
          <w:rFonts w:eastAsia="Arial" w:cs="Vrinda"/>
          <w:lang w:val="en-US"/>
        </w:rPr>
        <w:t xml:space="preserve"> </w:t>
      </w:r>
      <w:r w:rsidR="006F704E" w:rsidRPr="009F337B">
        <w:rPr>
          <w:rFonts w:eastAsia="Arial" w:cs="Vrinda"/>
          <w:i/>
          <w:lang w:val="en-US"/>
        </w:rPr>
        <w:t>per se</w:t>
      </w:r>
      <w:r w:rsidR="00AA3632" w:rsidRPr="009F337B">
        <w:rPr>
          <w:rFonts w:eastAsia="Arial" w:cs="Vrinda"/>
          <w:i/>
          <w:lang w:val="en-US"/>
        </w:rPr>
        <w:t>,</w:t>
      </w:r>
      <w:r w:rsidR="006F704E" w:rsidRPr="009F337B">
        <w:rPr>
          <w:rFonts w:eastAsia="Arial" w:cs="Vrinda"/>
          <w:lang w:val="en-US"/>
        </w:rPr>
        <w:t xml:space="preserve"> </w:t>
      </w:r>
      <w:r w:rsidRPr="009F337B">
        <w:rPr>
          <w:rFonts w:eastAsia="Arial" w:cs="Vrinda"/>
          <w:lang w:val="en-US"/>
        </w:rPr>
        <w:t>a form of reparation.</w:t>
      </w:r>
      <w:r w:rsidR="006F704E" w:rsidRPr="009F337B">
        <w:rPr>
          <w:rStyle w:val="Refdenotaalpie"/>
          <w:rFonts w:eastAsia="Arial" w:cs="Vrinda"/>
          <w:lang w:val="en-US"/>
        </w:rPr>
        <w:footnoteReference w:id="249"/>
      </w:r>
      <w:r w:rsidRPr="009F337B">
        <w:rPr>
          <w:rFonts w:eastAsia="Arial" w:cs="Vrinda"/>
          <w:lang w:val="en-US"/>
        </w:rPr>
        <w:t xml:space="preserve"> Nevertheless, the Court finds it pertinent to order, as it has in other cases,</w:t>
      </w:r>
      <w:r w:rsidR="006F704E" w:rsidRPr="009F337B">
        <w:rPr>
          <w:vertAlign w:val="superscript"/>
          <w:lang w:val="en-US"/>
        </w:rPr>
        <w:footnoteReference w:id="250"/>
      </w:r>
      <w:r w:rsidRPr="009F337B">
        <w:rPr>
          <w:lang w:val="en-US"/>
        </w:rPr>
        <w:t xml:space="preserve"> that the State</w:t>
      </w:r>
      <w:r w:rsidR="00AA3632" w:rsidRPr="009F337B">
        <w:rPr>
          <w:lang w:val="en-US"/>
        </w:rPr>
        <w:t xml:space="preserve"> make the following publications</w:t>
      </w:r>
      <w:r w:rsidRPr="009F337B">
        <w:rPr>
          <w:lang w:val="en-US"/>
        </w:rPr>
        <w:t xml:space="preserve"> within six months of notification of this judgment: (</w:t>
      </w:r>
      <w:r w:rsidR="0061727E" w:rsidRPr="009F337B">
        <w:rPr>
          <w:lang w:val="en-US"/>
        </w:rPr>
        <w:t>i</w:t>
      </w:r>
      <w:r w:rsidR="006F704E" w:rsidRPr="009F337B">
        <w:rPr>
          <w:lang w:val="en-US"/>
        </w:rPr>
        <w:t xml:space="preserve">) </w:t>
      </w:r>
      <w:r w:rsidRPr="009F337B">
        <w:rPr>
          <w:lang w:val="en-US"/>
        </w:rPr>
        <w:t>the official summary of the judgment prepared by the Court, once, in the official gazette and in a national newspaper with widespread circulation, in an appropriate and legible letter size, and (ii) this judgment in its entirety, available for at least one year on the official website</w:t>
      </w:r>
      <w:r w:rsidR="00AA3632" w:rsidRPr="009F337B">
        <w:rPr>
          <w:lang w:val="en-US"/>
        </w:rPr>
        <w:t>s</w:t>
      </w:r>
      <w:r w:rsidRPr="009F337B">
        <w:rPr>
          <w:lang w:val="en-US"/>
        </w:rPr>
        <w:t xml:space="preserve"> of the </w:t>
      </w:r>
      <w:r w:rsidR="005E44D9" w:rsidRPr="009F337B">
        <w:rPr>
          <w:lang w:val="en-US"/>
        </w:rPr>
        <w:t>Ministry of Public Health</w:t>
      </w:r>
      <w:r w:rsidR="003C46A3" w:rsidRPr="009F337B">
        <w:rPr>
          <w:lang w:val="en-US"/>
        </w:rPr>
        <w:t xml:space="preserve"> and </w:t>
      </w:r>
      <w:r w:rsidRPr="009F337B">
        <w:rPr>
          <w:lang w:val="en-US"/>
        </w:rPr>
        <w:t>of the</w:t>
      </w:r>
      <w:r w:rsidR="006F704E" w:rsidRPr="009F337B">
        <w:rPr>
          <w:lang w:val="en-US"/>
        </w:rPr>
        <w:t xml:space="preserve"> </w:t>
      </w:r>
      <w:r w:rsidR="005E44D9" w:rsidRPr="009F337B">
        <w:rPr>
          <w:lang w:val="en-US"/>
        </w:rPr>
        <w:t>Guatemalan Social Security Institute</w:t>
      </w:r>
      <w:r w:rsidR="006F704E" w:rsidRPr="009F337B">
        <w:rPr>
          <w:lang w:val="en-US"/>
        </w:rPr>
        <w:t xml:space="preserve">, </w:t>
      </w:r>
      <w:r w:rsidRPr="009F337B">
        <w:rPr>
          <w:lang w:val="en-US"/>
        </w:rPr>
        <w:t>in a way that the public can access from the home page of these websites.</w:t>
      </w:r>
      <w:bookmarkStart w:id="119" w:name="_Ref512872803"/>
    </w:p>
    <w:p w14:paraId="3B5DDA4B" w14:textId="77777777" w:rsidR="0061727E" w:rsidRPr="009F337B" w:rsidRDefault="0061727E" w:rsidP="0061727E">
      <w:pPr>
        <w:tabs>
          <w:tab w:val="left" w:pos="709"/>
          <w:tab w:val="left" w:pos="1134"/>
        </w:tabs>
        <w:ind w:right="-4"/>
        <w:rPr>
          <w:rFonts w:cs="Vrinda"/>
          <w:lang w:val="en-US"/>
        </w:rPr>
      </w:pPr>
    </w:p>
    <w:p w14:paraId="6E750521" w14:textId="5E874B03" w:rsidR="00BE50E7" w:rsidRPr="009F337B" w:rsidRDefault="007B0A74" w:rsidP="00593E37">
      <w:pPr>
        <w:numPr>
          <w:ilvl w:val="0"/>
          <w:numId w:val="1"/>
        </w:numPr>
        <w:tabs>
          <w:tab w:val="left" w:pos="709"/>
          <w:tab w:val="left" w:pos="1134"/>
        </w:tabs>
        <w:ind w:left="0" w:right="-4" w:firstLine="0"/>
        <w:rPr>
          <w:rFonts w:cs="Vrinda"/>
          <w:lang w:val="en-US"/>
        </w:rPr>
      </w:pPr>
      <w:r w:rsidRPr="009F337B">
        <w:rPr>
          <w:lang w:val="en-US"/>
        </w:rPr>
        <w:t>The victims must advise, within three months of notification of this judgment, whether they wish their names to be included in the publications indicated in the preceding paragraph. The State must advise the Court immediately when it has made each of the publications ordered, regardless of the one year time frame for presenting its first report ordered in the operative paragraphs of this judgment</w:t>
      </w:r>
      <w:bookmarkEnd w:id="119"/>
      <w:r w:rsidR="00306FCD" w:rsidRPr="009F337B">
        <w:rPr>
          <w:lang w:val="en-US"/>
        </w:rPr>
        <w:t>.</w:t>
      </w:r>
    </w:p>
    <w:p w14:paraId="2017F9E7" w14:textId="77777777" w:rsidR="0061727E" w:rsidRPr="009F337B" w:rsidRDefault="0061727E" w:rsidP="0061727E">
      <w:pPr>
        <w:tabs>
          <w:tab w:val="left" w:pos="709"/>
          <w:tab w:val="left" w:pos="1134"/>
        </w:tabs>
        <w:ind w:right="-4"/>
        <w:rPr>
          <w:rFonts w:cs="Vrinda"/>
          <w:lang w:val="en-US"/>
        </w:rPr>
      </w:pPr>
    </w:p>
    <w:p w14:paraId="61DA9EB7" w14:textId="2D2FD4C1" w:rsidR="0061727E" w:rsidRPr="009F337B" w:rsidRDefault="00E841F7" w:rsidP="00E841F7">
      <w:pPr>
        <w:rPr>
          <w:rFonts w:cs="Vrinda"/>
          <w:b/>
          <w:i/>
          <w:lang w:val="en-US"/>
        </w:rPr>
      </w:pPr>
      <w:r w:rsidRPr="009F337B">
        <w:rPr>
          <w:rFonts w:cs="Vrinda"/>
          <w:b/>
          <w:i/>
          <w:lang w:val="en-US"/>
        </w:rPr>
        <w:tab/>
      </w:r>
      <w:r w:rsidRPr="009F337B">
        <w:rPr>
          <w:rFonts w:cs="Vrinda"/>
          <w:b/>
          <w:i/>
          <w:lang w:val="en-US"/>
        </w:rPr>
        <w:tab/>
      </w:r>
      <w:r w:rsidRPr="009F337B">
        <w:rPr>
          <w:rFonts w:cs="Vrinda"/>
          <w:b/>
          <w:i/>
          <w:lang w:val="en-US"/>
        </w:rPr>
        <w:tab/>
      </w:r>
      <w:r w:rsidR="009F5859" w:rsidRPr="009F337B">
        <w:rPr>
          <w:rFonts w:cs="Vrinda"/>
          <w:b/>
          <w:i/>
          <w:lang w:val="en-US"/>
        </w:rPr>
        <w:t xml:space="preserve">B.2.3. </w:t>
      </w:r>
      <w:r w:rsidR="007B0A74" w:rsidRPr="009F337B">
        <w:rPr>
          <w:rFonts w:cs="Vrinda"/>
          <w:b/>
          <w:i/>
          <w:lang w:val="en-US"/>
        </w:rPr>
        <w:t>Scholarships</w:t>
      </w:r>
    </w:p>
    <w:p w14:paraId="69993BE1" w14:textId="77777777" w:rsidR="0061727E" w:rsidRPr="009F337B" w:rsidRDefault="0061727E" w:rsidP="0061727E">
      <w:pPr>
        <w:tabs>
          <w:tab w:val="left" w:pos="709"/>
          <w:tab w:val="left" w:pos="1134"/>
        </w:tabs>
        <w:ind w:right="-4"/>
        <w:rPr>
          <w:lang w:val="en-US"/>
        </w:rPr>
      </w:pPr>
    </w:p>
    <w:p w14:paraId="3B83D91F" w14:textId="46545372" w:rsidR="009F5859" w:rsidRPr="009F337B" w:rsidRDefault="00E841F7" w:rsidP="00E841F7">
      <w:pPr>
        <w:rPr>
          <w:rFonts w:cs="Vrinda"/>
          <w:b/>
          <w:i/>
          <w:lang w:val="en-US"/>
        </w:rPr>
      </w:pPr>
      <w:r w:rsidRPr="009F337B">
        <w:rPr>
          <w:rFonts w:cs="Vrinda"/>
          <w:b/>
          <w:i/>
          <w:lang w:val="en-US"/>
        </w:rPr>
        <w:tab/>
      </w:r>
      <w:r w:rsidRPr="009F337B">
        <w:rPr>
          <w:rFonts w:cs="Vrinda"/>
          <w:b/>
          <w:i/>
          <w:lang w:val="en-US"/>
        </w:rPr>
        <w:tab/>
      </w:r>
      <w:r w:rsidRPr="009F337B">
        <w:rPr>
          <w:rFonts w:cs="Vrinda"/>
          <w:b/>
          <w:i/>
          <w:lang w:val="en-US"/>
        </w:rPr>
        <w:tab/>
      </w:r>
      <w:r w:rsidR="009F5859" w:rsidRPr="009F337B">
        <w:rPr>
          <w:rFonts w:cs="Vrinda"/>
          <w:b/>
          <w:i/>
          <w:lang w:val="en-US"/>
        </w:rPr>
        <w:t>B.2.3.1. Argumentos</w:t>
      </w:r>
      <w:r w:rsidR="00AE5F9E" w:rsidRPr="009F337B">
        <w:rPr>
          <w:rFonts w:cs="Vrinda"/>
          <w:b/>
          <w:i/>
          <w:lang w:val="en-US"/>
        </w:rPr>
        <w:t xml:space="preserve"> of the Commission</w:t>
      </w:r>
      <w:r w:rsidR="003C46A3" w:rsidRPr="009F337B">
        <w:rPr>
          <w:rFonts w:cs="Vrinda"/>
          <w:b/>
          <w:i/>
          <w:lang w:val="en-US"/>
        </w:rPr>
        <w:t xml:space="preserve"> and </w:t>
      </w:r>
      <w:r w:rsidR="007B0A74" w:rsidRPr="009F337B">
        <w:rPr>
          <w:rFonts w:cs="Vrinda"/>
          <w:b/>
          <w:i/>
          <w:lang w:val="en-US"/>
        </w:rPr>
        <w:t>of the parties</w:t>
      </w:r>
    </w:p>
    <w:p w14:paraId="7B81A0F2" w14:textId="77777777" w:rsidR="0061727E" w:rsidRPr="009F337B" w:rsidRDefault="0061727E" w:rsidP="0061727E">
      <w:pPr>
        <w:tabs>
          <w:tab w:val="left" w:pos="709"/>
          <w:tab w:val="left" w:pos="1134"/>
        </w:tabs>
        <w:ind w:right="-4"/>
        <w:rPr>
          <w:lang w:val="en-US"/>
        </w:rPr>
      </w:pPr>
    </w:p>
    <w:p w14:paraId="7F65591E" w14:textId="07715419" w:rsidR="009F5859" w:rsidRPr="009F337B" w:rsidRDefault="007327F5" w:rsidP="00593E37">
      <w:pPr>
        <w:numPr>
          <w:ilvl w:val="0"/>
          <w:numId w:val="1"/>
        </w:numPr>
        <w:tabs>
          <w:tab w:val="left" w:pos="709"/>
          <w:tab w:val="left" w:pos="1134"/>
        </w:tabs>
        <w:ind w:left="0" w:right="-4" w:firstLine="0"/>
        <w:rPr>
          <w:rFonts w:cs="Vrinda"/>
          <w:noProof w:val="0"/>
          <w:lang w:val="en-US"/>
        </w:rPr>
      </w:pPr>
      <w:r w:rsidRPr="009F337B">
        <w:rPr>
          <w:rFonts w:cs="Vrinda"/>
          <w:lang w:val="en-US"/>
        </w:rPr>
        <w:t xml:space="preserve">The </w:t>
      </w:r>
      <w:r w:rsidRPr="009F337B">
        <w:rPr>
          <w:rFonts w:cs="Vrinda"/>
          <w:b/>
          <w:i/>
          <w:lang w:val="en-US"/>
        </w:rPr>
        <w:t>representatives</w:t>
      </w:r>
      <w:r w:rsidR="009F5859" w:rsidRPr="009F337B">
        <w:rPr>
          <w:rFonts w:cs="Vrinda"/>
          <w:b/>
          <w:i/>
          <w:lang w:val="en-US"/>
        </w:rPr>
        <w:t xml:space="preserve"> </w:t>
      </w:r>
      <w:r w:rsidR="007B0A74" w:rsidRPr="009F337B">
        <w:rPr>
          <w:rFonts w:cs="Vrinda"/>
          <w:lang w:val="en-US"/>
        </w:rPr>
        <w:t>asked</w:t>
      </w:r>
      <w:r w:rsidR="009F5859" w:rsidRPr="009F337B">
        <w:rPr>
          <w:rFonts w:cs="Vrinda"/>
          <w:lang w:val="en-US"/>
        </w:rPr>
        <w:t xml:space="preserve"> </w:t>
      </w:r>
      <w:r w:rsidR="00AE5F9E" w:rsidRPr="009F337B">
        <w:rPr>
          <w:rFonts w:cs="Vrinda"/>
          <w:lang w:val="en-US"/>
        </w:rPr>
        <w:t>the Court</w:t>
      </w:r>
      <w:r w:rsidR="009F5859" w:rsidRPr="009F337B">
        <w:rPr>
          <w:rFonts w:cs="Vrinda"/>
          <w:lang w:val="en-US"/>
        </w:rPr>
        <w:t xml:space="preserve"> </w:t>
      </w:r>
      <w:r w:rsidR="007B0A74" w:rsidRPr="009F337B">
        <w:rPr>
          <w:rFonts w:cs="Vrinda"/>
          <w:lang w:val="en-US"/>
        </w:rPr>
        <w:t>to order the State to grant a scholarship to the victims who so wish, which should cover all the expenses until they have completed their studies. Neither</w:t>
      </w:r>
      <w:r w:rsidR="009F5859" w:rsidRPr="009F337B">
        <w:rPr>
          <w:rFonts w:eastAsia="Arial" w:cs="Vrinda"/>
          <w:lang w:val="en-US"/>
        </w:rPr>
        <w:t xml:space="preserve"> </w:t>
      </w:r>
      <w:r w:rsidR="003C46A3" w:rsidRPr="009F337B">
        <w:rPr>
          <w:rFonts w:eastAsia="Arial" w:cs="Vrinda"/>
          <w:lang w:val="en-US"/>
        </w:rPr>
        <w:t xml:space="preserve">the </w:t>
      </w:r>
      <w:r w:rsidR="003C46A3" w:rsidRPr="009F337B">
        <w:rPr>
          <w:rFonts w:eastAsia="Arial" w:cs="Vrinda"/>
          <w:b/>
          <w:i/>
          <w:lang w:val="en-US"/>
        </w:rPr>
        <w:t>State</w:t>
      </w:r>
      <w:r w:rsidR="009F5859" w:rsidRPr="009F337B">
        <w:rPr>
          <w:rFonts w:eastAsia="Arial" w:cs="Vrinda"/>
          <w:b/>
          <w:i/>
          <w:lang w:val="en-US"/>
        </w:rPr>
        <w:t xml:space="preserve"> </w:t>
      </w:r>
      <w:r w:rsidR="009F5859" w:rsidRPr="009F337B">
        <w:rPr>
          <w:rFonts w:eastAsia="Arial" w:cs="Vrinda"/>
          <w:lang w:val="en-US"/>
        </w:rPr>
        <w:t>n</w:t>
      </w:r>
      <w:r w:rsidR="007B0A74" w:rsidRPr="009F337B">
        <w:rPr>
          <w:rFonts w:eastAsia="Arial" w:cs="Vrinda"/>
          <w:lang w:val="en-US"/>
        </w:rPr>
        <w:t>or</w:t>
      </w:r>
      <w:r w:rsidR="009F5859" w:rsidRPr="009F337B">
        <w:rPr>
          <w:rFonts w:eastAsia="Arial" w:cs="Vrinda"/>
          <w:lang w:val="en-US"/>
        </w:rPr>
        <w:t xml:space="preserve"> </w:t>
      </w:r>
      <w:r w:rsidR="00AE5F9E" w:rsidRPr="009F337B">
        <w:rPr>
          <w:rFonts w:eastAsia="Arial" w:cs="Vrinda"/>
          <w:lang w:val="en-US"/>
        </w:rPr>
        <w:t>the</w:t>
      </w:r>
      <w:r w:rsidR="00AE5F9E" w:rsidRPr="009F337B">
        <w:rPr>
          <w:rFonts w:eastAsia="Arial" w:cs="Vrinda"/>
          <w:b/>
          <w:i/>
          <w:lang w:val="en-US"/>
        </w:rPr>
        <w:t xml:space="preserve"> Commission</w:t>
      </w:r>
      <w:r w:rsidR="009F5859" w:rsidRPr="009F337B">
        <w:rPr>
          <w:rFonts w:eastAsia="Arial" w:cs="Vrinda"/>
          <w:lang w:val="en-US"/>
        </w:rPr>
        <w:t xml:space="preserve"> </w:t>
      </w:r>
      <w:r w:rsidR="007B0A74" w:rsidRPr="009F337B">
        <w:rPr>
          <w:rFonts w:eastAsia="Arial" w:cs="Vrinda"/>
          <w:lang w:val="en-US"/>
        </w:rPr>
        <w:t>referred to this request</w:t>
      </w:r>
      <w:r w:rsidR="009F5859" w:rsidRPr="009F337B">
        <w:rPr>
          <w:rFonts w:eastAsia="Arial" w:cs="Vrinda"/>
          <w:lang w:val="en-US"/>
        </w:rPr>
        <w:t>.</w:t>
      </w:r>
    </w:p>
    <w:p w14:paraId="575BE0F5" w14:textId="77777777" w:rsidR="0061727E" w:rsidRPr="009F337B" w:rsidRDefault="0061727E" w:rsidP="0061727E">
      <w:pPr>
        <w:tabs>
          <w:tab w:val="left" w:pos="709"/>
          <w:tab w:val="left" w:pos="1134"/>
        </w:tabs>
        <w:ind w:right="-4"/>
        <w:rPr>
          <w:rFonts w:cs="Vrinda"/>
          <w:noProof w:val="0"/>
          <w:lang w:val="en-US"/>
        </w:rPr>
      </w:pPr>
    </w:p>
    <w:p w14:paraId="7B04F09E" w14:textId="37483BF7" w:rsidR="0061727E" w:rsidRPr="009F337B" w:rsidRDefault="00E841F7" w:rsidP="00E841F7">
      <w:pPr>
        <w:rPr>
          <w:rFonts w:cs="Vrinda"/>
          <w:b/>
          <w:i/>
          <w:lang w:val="en-US"/>
        </w:rPr>
      </w:pPr>
      <w:r w:rsidRPr="009F337B">
        <w:rPr>
          <w:rFonts w:cs="Vrinda"/>
          <w:b/>
          <w:i/>
          <w:lang w:val="en-US"/>
        </w:rPr>
        <w:tab/>
      </w:r>
      <w:r w:rsidRPr="009F337B">
        <w:rPr>
          <w:rFonts w:cs="Vrinda"/>
          <w:b/>
          <w:i/>
          <w:lang w:val="en-US"/>
        </w:rPr>
        <w:tab/>
      </w:r>
      <w:r w:rsidRPr="009F337B">
        <w:rPr>
          <w:rFonts w:cs="Vrinda"/>
          <w:b/>
          <w:i/>
          <w:lang w:val="en-US"/>
        </w:rPr>
        <w:tab/>
      </w:r>
      <w:r w:rsidR="009F5859" w:rsidRPr="009F337B">
        <w:rPr>
          <w:rFonts w:cs="Vrinda"/>
          <w:b/>
          <w:i/>
          <w:lang w:val="en-US"/>
        </w:rPr>
        <w:t xml:space="preserve">B.2.3.2. </w:t>
      </w:r>
      <w:r w:rsidR="00473F70" w:rsidRPr="009F337B">
        <w:rPr>
          <w:rFonts w:cs="Vrinda"/>
          <w:b/>
          <w:i/>
          <w:lang w:val="en-US"/>
        </w:rPr>
        <w:t>Considerations</w:t>
      </w:r>
      <w:r w:rsidR="00AE5F9E" w:rsidRPr="009F337B">
        <w:rPr>
          <w:rFonts w:cs="Vrinda"/>
          <w:b/>
          <w:i/>
          <w:lang w:val="en-US"/>
        </w:rPr>
        <w:t xml:space="preserve"> of the Court</w:t>
      </w:r>
    </w:p>
    <w:p w14:paraId="48FE2D15" w14:textId="77777777" w:rsidR="0061727E" w:rsidRPr="009F337B" w:rsidRDefault="0061727E" w:rsidP="0061727E">
      <w:pPr>
        <w:tabs>
          <w:tab w:val="left" w:pos="709"/>
          <w:tab w:val="left" w:pos="1134"/>
        </w:tabs>
        <w:ind w:right="-4"/>
        <w:rPr>
          <w:lang w:val="en-US"/>
        </w:rPr>
      </w:pPr>
    </w:p>
    <w:p w14:paraId="308A8067" w14:textId="4F87E733" w:rsidR="00A90E65" w:rsidRPr="009F337B" w:rsidRDefault="00AE5F9E" w:rsidP="00593E37">
      <w:pPr>
        <w:numPr>
          <w:ilvl w:val="0"/>
          <w:numId w:val="1"/>
        </w:numPr>
        <w:tabs>
          <w:tab w:val="left" w:pos="709"/>
          <w:tab w:val="left" w:pos="1134"/>
        </w:tabs>
        <w:ind w:left="0" w:right="-4" w:firstLine="0"/>
        <w:rPr>
          <w:rFonts w:cs="Vrinda"/>
          <w:lang w:val="en-US"/>
        </w:rPr>
      </w:pPr>
      <w:r w:rsidRPr="009F337B">
        <w:rPr>
          <w:rFonts w:cs="Vrinda"/>
          <w:lang w:val="en-US"/>
        </w:rPr>
        <w:t>The Court</w:t>
      </w:r>
      <w:r w:rsidR="00BE50E7" w:rsidRPr="009F337B">
        <w:rPr>
          <w:rFonts w:cs="Vrinda"/>
          <w:lang w:val="en-US"/>
        </w:rPr>
        <w:t xml:space="preserve"> ha</w:t>
      </w:r>
      <w:r w:rsidR="00351EDB" w:rsidRPr="009F337B">
        <w:rPr>
          <w:rFonts w:cs="Vrinda"/>
          <w:lang w:val="en-US"/>
        </w:rPr>
        <w:t>s considered it appropriate to order as a measure of satisfaction that the State grant scholarships in public establishments to those victims whose personal development</w:t>
      </w:r>
      <w:r w:rsidR="00BE50E7" w:rsidRPr="009F337B">
        <w:rPr>
          <w:rFonts w:cs="Vrinda"/>
          <w:lang w:val="en-US"/>
        </w:rPr>
        <w:t xml:space="preserve"> </w:t>
      </w:r>
      <w:r w:rsidR="00351EDB" w:rsidRPr="009F337B">
        <w:rPr>
          <w:rFonts w:cs="Vrinda"/>
          <w:lang w:val="en-US"/>
        </w:rPr>
        <w:t>has suffered as a result of human rights violations.</w:t>
      </w:r>
      <w:r w:rsidR="00A16156" w:rsidRPr="009F337B">
        <w:rPr>
          <w:rStyle w:val="Refdenotaalpie"/>
          <w:lang w:val="en-US"/>
        </w:rPr>
        <w:footnoteReference w:id="251"/>
      </w:r>
      <w:r w:rsidR="00351EDB" w:rsidRPr="009F337B">
        <w:rPr>
          <w:rFonts w:cs="Vrinda"/>
          <w:lang w:val="en-US"/>
        </w:rPr>
        <w:t xml:space="preserve"> Based on the financial situation of the victims and their next of kin, the Court finds it opportune to or</w:t>
      </w:r>
      <w:r w:rsidR="00AA3632" w:rsidRPr="009F337B">
        <w:rPr>
          <w:rFonts w:cs="Vrinda"/>
          <w:lang w:val="en-US"/>
        </w:rPr>
        <w:t>d</w:t>
      </w:r>
      <w:r w:rsidR="00351EDB" w:rsidRPr="009F337B">
        <w:rPr>
          <w:rFonts w:cs="Vrinda"/>
          <w:lang w:val="en-US"/>
        </w:rPr>
        <w:t xml:space="preserve">er the State </w:t>
      </w:r>
      <w:r w:rsidR="00351EDB" w:rsidRPr="009F337B">
        <w:rPr>
          <w:rFonts w:cs="Vrinda"/>
          <w:lang w:val="en-US"/>
        </w:rPr>
        <w:lastRenderedPageBreak/>
        <w:t>to grant scholar</w:t>
      </w:r>
      <w:r w:rsidR="00A90E65" w:rsidRPr="009F337B">
        <w:rPr>
          <w:rFonts w:cs="Vrinda"/>
          <w:lang w:val="en-US"/>
        </w:rPr>
        <w:t>ships for university studies in public education establishments in Guatemala to the daughters and sons of the direct victims who request this. These scholarships should also cover the payment of the material required to carry out these studies. The victims must advise whether they wish to access these scholarships within three monts of notification of this judgment. This measure must be complied with within one year of notific</w:t>
      </w:r>
      <w:r w:rsidR="00AA3632" w:rsidRPr="009F337B">
        <w:rPr>
          <w:rFonts w:cs="Vrinda"/>
          <w:lang w:val="en-US"/>
        </w:rPr>
        <w:t>a</w:t>
      </w:r>
      <w:r w:rsidR="00A90E65" w:rsidRPr="009F337B">
        <w:rPr>
          <w:rFonts w:cs="Vrinda"/>
          <w:lang w:val="en-US"/>
        </w:rPr>
        <w:t>tion of th</w:t>
      </w:r>
      <w:r w:rsidR="00AA3632" w:rsidRPr="009F337B">
        <w:rPr>
          <w:rFonts w:cs="Vrinda"/>
          <w:lang w:val="en-US"/>
        </w:rPr>
        <w:t>e</w:t>
      </w:r>
      <w:r w:rsidR="00A90E65" w:rsidRPr="009F337B">
        <w:rPr>
          <w:rFonts w:cs="Vrinda"/>
          <w:lang w:val="en-US"/>
        </w:rPr>
        <w:t xml:space="preserve"> judgment.</w:t>
      </w:r>
    </w:p>
    <w:p w14:paraId="11855B77" w14:textId="77777777" w:rsidR="00E841F7" w:rsidRPr="009F337B" w:rsidRDefault="00E841F7" w:rsidP="0061727E">
      <w:pPr>
        <w:pStyle w:val="Ttulo3"/>
        <w:spacing w:before="0"/>
        <w:ind w:left="0" w:firstLine="720"/>
        <w:rPr>
          <w:rFonts w:eastAsia="Batang" w:cs="Vrinda"/>
          <w:b w:val="0"/>
          <w:i w:val="0"/>
          <w:noProof/>
          <w:szCs w:val="24"/>
          <w:lang w:val="en-US"/>
        </w:rPr>
      </w:pPr>
      <w:bookmarkStart w:id="120" w:name="_Toc497737921"/>
    </w:p>
    <w:p w14:paraId="099327B9" w14:textId="1A1E60C2" w:rsidR="006F704E" w:rsidRPr="009F337B" w:rsidRDefault="00E841F7" w:rsidP="00E841F7">
      <w:pPr>
        <w:pStyle w:val="Estilo1"/>
        <w:tabs>
          <w:tab w:val="left" w:pos="709"/>
          <w:tab w:val="left" w:pos="1134"/>
        </w:tabs>
        <w:spacing w:after="0"/>
        <w:ind w:left="0" w:right="-4" w:firstLine="0"/>
        <w:rPr>
          <w:rFonts w:eastAsia="Times" w:cs="Arial"/>
          <w:b/>
          <w:szCs w:val="20"/>
          <w:lang w:val="en-US"/>
        </w:rPr>
      </w:pPr>
      <w:r w:rsidRPr="009F337B">
        <w:rPr>
          <w:rFonts w:eastAsia="Times" w:cs="Arial"/>
          <w:b/>
          <w:szCs w:val="20"/>
          <w:lang w:val="en-US"/>
        </w:rPr>
        <w:tab/>
      </w:r>
      <w:r w:rsidRPr="009F337B">
        <w:rPr>
          <w:rFonts w:eastAsia="Times" w:cs="Arial"/>
          <w:b/>
          <w:szCs w:val="20"/>
          <w:lang w:val="en-US"/>
        </w:rPr>
        <w:tab/>
      </w:r>
      <w:r w:rsidR="006F704E" w:rsidRPr="009F337B">
        <w:rPr>
          <w:rFonts w:eastAsia="Times" w:cs="Arial"/>
          <w:b/>
          <w:szCs w:val="20"/>
          <w:lang w:val="en-US"/>
        </w:rPr>
        <w:t>B.3</w:t>
      </w:r>
      <w:r w:rsidR="00F63F5C" w:rsidRPr="009F337B">
        <w:rPr>
          <w:rFonts w:eastAsia="Times" w:cs="Arial"/>
          <w:b/>
          <w:szCs w:val="20"/>
          <w:lang w:val="en-US"/>
        </w:rPr>
        <w:t>.</w:t>
      </w:r>
      <w:r w:rsidR="006F704E" w:rsidRPr="009F337B">
        <w:rPr>
          <w:rFonts w:eastAsia="Times" w:cs="Arial"/>
          <w:b/>
          <w:szCs w:val="20"/>
          <w:lang w:val="en-US"/>
        </w:rPr>
        <w:t xml:space="preserve"> </w:t>
      </w:r>
      <w:bookmarkEnd w:id="120"/>
      <w:r w:rsidR="00A90E65" w:rsidRPr="009F337B">
        <w:rPr>
          <w:rFonts w:eastAsia="Times" w:cs="Arial"/>
          <w:b/>
          <w:szCs w:val="20"/>
          <w:lang w:val="en-US"/>
        </w:rPr>
        <w:t>Guarantees of non-repetition</w:t>
      </w:r>
    </w:p>
    <w:p w14:paraId="427559F1" w14:textId="77777777" w:rsidR="00F12B1C" w:rsidRPr="009F337B" w:rsidRDefault="00F12B1C" w:rsidP="0061727E">
      <w:pPr>
        <w:rPr>
          <w:rFonts w:eastAsiaTheme="minorHAnsi" w:cs="Vrinda"/>
          <w:lang w:val="en-US"/>
        </w:rPr>
      </w:pPr>
      <w:bookmarkStart w:id="121" w:name="_Toc520238588"/>
    </w:p>
    <w:p w14:paraId="467212D4" w14:textId="03434736" w:rsidR="00F63F5C" w:rsidRPr="009F337B" w:rsidRDefault="00E841F7" w:rsidP="0061727E">
      <w:pPr>
        <w:rPr>
          <w:rFonts w:eastAsiaTheme="minorHAnsi" w:cs="Vrinda"/>
          <w:b/>
          <w:i/>
          <w:lang w:val="en-US"/>
        </w:rPr>
      </w:pPr>
      <w:r w:rsidRPr="009F337B">
        <w:rPr>
          <w:rFonts w:eastAsiaTheme="minorHAnsi" w:cs="Vrinda"/>
          <w:b/>
          <w:i/>
          <w:lang w:val="en-US"/>
        </w:rPr>
        <w:tab/>
      </w:r>
      <w:r w:rsidRPr="009F337B">
        <w:rPr>
          <w:rFonts w:eastAsiaTheme="minorHAnsi" w:cs="Vrinda"/>
          <w:b/>
          <w:i/>
          <w:lang w:val="en-US"/>
        </w:rPr>
        <w:tab/>
      </w:r>
      <w:r w:rsidRPr="009F337B">
        <w:rPr>
          <w:rFonts w:eastAsiaTheme="minorHAnsi" w:cs="Vrinda"/>
          <w:b/>
          <w:i/>
          <w:lang w:val="en-US"/>
        </w:rPr>
        <w:tab/>
      </w:r>
      <w:r w:rsidR="00F63F5C" w:rsidRPr="009F337B">
        <w:rPr>
          <w:rFonts w:eastAsiaTheme="minorHAnsi" w:cs="Vrinda"/>
          <w:b/>
          <w:i/>
          <w:lang w:val="en-US"/>
        </w:rPr>
        <w:t xml:space="preserve">B.3.1. </w:t>
      </w:r>
      <w:r w:rsidR="0027465E" w:rsidRPr="009F337B">
        <w:rPr>
          <w:rFonts w:eastAsiaTheme="minorHAnsi" w:cs="Vrinda"/>
          <w:b/>
          <w:i/>
          <w:lang w:val="en-US"/>
        </w:rPr>
        <w:t>Arguments of the Commission and the parties</w:t>
      </w:r>
      <w:bookmarkEnd w:id="121"/>
    </w:p>
    <w:p w14:paraId="68F64C72" w14:textId="77777777" w:rsidR="0061727E" w:rsidRPr="009F337B" w:rsidRDefault="0061727E" w:rsidP="0061727E">
      <w:pPr>
        <w:rPr>
          <w:rFonts w:eastAsiaTheme="minorHAnsi" w:cs="Vrinda"/>
          <w:lang w:val="en-US"/>
        </w:rPr>
      </w:pPr>
    </w:p>
    <w:p w14:paraId="5107CEDE" w14:textId="3ED45090" w:rsidR="00A90E65" w:rsidRPr="009F337B" w:rsidRDefault="00AE5F9E" w:rsidP="00593E37">
      <w:pPr>
        <w:numPr>
          <w:ilvl w:val="0"/>
          <w:numId w:val="1"/>
        </w:numPr>
        <w:tabs>
          <w:tab w:val="left" w:pos="709"/>
          <w:tab w:val="left" w:pos="1134"/>
        </w:tabs>
        <w:ind w:left="0" w:right="-4" w:firstLine="0"/>
        <w:rPr>
          <w:rFonts w:cs="Vrinda"/>
          <w:noProof w:val="0"/>
          <w:lang w:val="en-US"/>
        </w:rPr>
      </w:pPr>
      <w:r w:rsidRPr="009F337B">
        <w:rPr>
          <w:rFonts w:cs="Vrinda"/>
          <w:lang w:val="en-US"/>
        </w:rPr>
        <w:t xml:space="preserve">The </w:t>
      </w:r>
      <w:r w:rsidRPr="009F337B">
        <w:rPr>
          <w:rFonts w:cs="Vrinda"/>
          <w:b/>
          <w:i/>
          <w:lang w:val="en-US"/>
        </w:rPr>
        <w:t>Commission</w:t>
      </w:r>
      <w:r w:rsidR="006F704E" w:rsidRPr="009F337B">
        <w:rPr>
          <w:rFonts w:cs="Vrinda"/>
          <w:lang w:val="en-US"/>
        </w:rPr>
        <w:t xml:space="preserve"> </w:t>
      </w:r>
      <w:r w:rsidR="00A90E65" w:rsidRPr="009F337B">
        <w:rPr>
          <w:rFonts w:cs="Vrinda"/>
          <w:lang w:val="en-US"/>
        </w:rPr>
        <w:t>asked</w:t>
      </w:r>
      <w:r w:rsidR="006F704E" w:rsidRPr="009F337B">
        <w:rPr>
          <w:rFonts w:cs="Vrinda"/>
          <w:lang w:val="en-US"/>
        </w:rPr>
        <w:t xml:space="preserve"> </w:t>
      </w:r>
      <w:r w:rsidRPr="009F337B">
        <w:rPr>
          <w:rFonts w:cs="Vrinda"/>
          <w:lang w:val="en-US"/>
        </w:rPr>
        <w:t>the Court</w:t>
      </w:r>
      <w:r w:rsidR="006F704E" w:rsidRPr="009F337B">
        <w:rPr>
          <w:rFonts w:cs="Vrinda"/>
          <w:lang w:val="en-US"/>
        </w:rPr>
        <w:t xml:space="preserve"> </w:t>
      </w:r>
      <w:r w:rsidR="00A90E65" w:rsidRPr="009F337B">
        <w:rPr>
          <w:rFonts w:cs="Vrinda"/>
          <w:lang w:val="en-US"/>
        </w:rPr>
        <w:t>to order the State</w:t>
      </w:r>
      <w:r w:rsidR="006F704E" w:rsidRPr="009F337B">
        <w:rPr>
          <w:rFonts w:cs="Vrinda"/>
          <w:lang w:val="en-US"/>
        </w:rPr>
        <w:t xml:space="preserve">: </w:t>
      </w:r>
      <w:r w:rsidR="00A90E65" w:rsidRPr="009F337B">
        <w:rPr>
          <w:rFonts w:cs="Vrinda"/>
          <w:lang w:val="en-US"/>
        </w:rPr>
        <w:t>(</w:t>
      </w:r>
      <w:r w:rsidR="006F704E" w:rsidRPr="009F337B">
        <w:rPr>
          <w:rFonts w:cs="Vrinda"/>
          <w:lang w:val="en-US"/>
        </w:rPr>
        <w:t>i)</w:t>
      </w:r>
      <w:r w:rsidR="00A90E65" w:rsidRPr="009F337B">
        <w:rPr>
          <w:rFonts w:cs="BookAntiqua"/>
          <w:szCs w:val="20"/>
          <w:lang w:val="en-US"/>
        </w:rPr>
        <w:t xml:space="preserve"> </w:t>
      </w:r>
      <w:r w:rsidR="00AA3632" w:rsidRPr="009F337B">
        <w:rPr>
          <w:rFonts w:cs="BookAntiqua"/>
          <w:szCs w:val="20"/>
          <w:lang w:val="en-US"/>
        </w:rPr>
        <w:t xml:space="preserve">to </w:t>
      </w:r>
      <w:r w:rsidR="00A90E65" w:rsidRPr="009F337B">
        <w:rPr>
          <w:rFonts w:cs="BookAntiqua"/>
          <w:szCs w:val="20"/>
          <w:lang w:val="en-US"/>
        </w:rPr>
        <w:t>provide free, comprehensive and uninterrupted health care and treatment to people living with HIV/AIDS who are unable to afford it; (</w:t>
      </w:r>
      <w:r w:rsidR="00A90E65" w:rsidRPr="009F337B">
        <w:rPr>
          <w:szCs w:val="20"/>
          <w:lang w:val="en-US"/>
        </w:rPr>
        <w:t>ii)</w:t>
      </w:r>
      <w:r w:rsidR="00AA3632" w:rsidRPr="009F337B">
        <w:rPr>
          <w:szCs w:val="20"/>
          <w:lang w:val="en-US"/>
        </w:rPr>
        <w:t xml:space="preserve"> to</w:t>
      </w:r>
      <w:r w:rsidR="00A90E65" w:rsidRPr="009F337B">
        <w:rPr>
          <w:szCs w:val="20"/>
          <w:lang w:val="en-US"/>
        </w:rPr>
        <w:t xml:space="preserve"> implement genuine and effective mechanisms of supervision and periodic monitoring of public hospitals to ensure that comprehensive health care is being provided to people with HIV/AIDS, who cannot afford it, and (</w:t>
      </w:r>
      <w:r w:rsidR="00A90E65" w:rsidRPr="009F337B">
        <w:rPr>
          <w:rFonts w:cs="BookAntiqua"/>
          <w:szCs w:val="20"/>
          <w:lang w:val="en-US"/>
        </w:rPr>
        <w:t xml:space="preserve">iii) </w:t>
      </w:r>
      <w:r w:rsidR="00556333" w:rsidRPr="009F337B">
        <w:rPr>
          <w:rFonts w:cs="BookAntiqua"/>
          <w:szCs w:val="20"/>
          <w:lang w:val="en-US"/>
        </w:rPr>
        <w:t xml:space="preserve">to </w:t>
      </w:r>
      <w:r w:rsidR="00A90E65" w:rsidRPr="009F337B">
        <w:rPr>
          <w:rFonts w:cs="BookAntiqua"/>
          <w:szCs w:val="20"/>
          <w:lang w:val="en-US"/>
        </w:rPr>
        <w:t xml:space="preserve">implement training programs for public hospital staff to ensure that they perform their duties in a way that is compatible with internationally recognized standards and those described in the Merits Report. </w:t>
      </w:r>
    </w:p>
    <w:p w14:paraId="40024603" w14:textId="77777777" w:rsidR="0061727E" w:rsidRPr="009F337B" w:rsidRDefault="0061727E" w:rsidP="0061727E">
      <w:pPr>
        <w:tabs>
          <w:tab w:val="left" w:pos="709"/>
          <w:tab w:val="left" w:pos="1134"/>
        </w:tabs>
        <w:ind w:right="-4"/>
        <w:rPr>
          <w:rFonts w:cs="Vrinda"/>
          <w:noProof w:val="0"/>
          <w:lang w:val="en-US"/>
        </w:rPr>
      </w:pPr>
    </w:p>
    <w:p w14:paraId="4D0EF157" w14:textId="2B2C03AF" w:rsidR="00A90E65" w:rsidRPr="009F337B" w:rsidRDefault="00A90E65" w:rsidP="00593E37">
      <w:pPr>
        <w:numPr>
          <w:ilvl w:val="0"/>
          <w:numId w:val="1"/>
        </w:numPr>
        <w:tabs>
          <w:tab w:val="left" w:pos="709"/>
          <w:tab w:val="left" w:pos="1134"/>
        </w:tabs>
        <w:ind w:left="0" w:right="-4" w:firstLine="0"/>
        <w:rPr>
          <w:rFonts w:eastAsia="Arial" w:cs="Vrinda"/>
          <w:b/>
          <w:i/>
          <w:lang w:val="en-US"/>
        </w:rPr>
      </w:pPr>
      <w:r w:rsidRPr="009F337B">
        <w:rPr>
          <w:rFonts w:cs="Vrinda"/>
          <w:lang w:val="en-US"/>
        </w:rPr>
        <w:t>Meanwhile</w:t>
      </w:r>
      <w:r w:rsidR="006F704E" w:rsidRPr="009F337B">
        <w:rPr>
          <w:rFonts w:cs="Vrinda"/>
          <w:lang w:val="en-US"/>
        </w:rPr>
        <w:t xml:space="preserve">, </w:t>
      </w:r>
      <w:r w:rsidR="007327F5" w:rsidRPr="009F337B">
        <w:rPr>
          <w:rFonts w:cs="Vrinda"/>
          <w:lang w:val="en-US"/>
        </w:rPr>
        <w:t xml:space="preserve">the </w:t>
      </w:r>
      <w:r w:rsidR="007327F5" w:rsidRPr="009F337B">
        <w:rPr>
          <w:rFonts w:cs="Vrinda"/>
          <w:b/>
          <w:i/>
          <w:lang w:val="en-US"/>
        </w:rPr>
        <w:t>representatives</w:t>
      </w:r>
      <w:r w:rsidR="006F704E" w:rsidRPr="009F337B">
        <w:rPr>
          <w:rFonts w:cs="Vrinda"/>
          <w:lang w:val="en-US"/>
        </w:rPr>
        <w:t xml:space="preserve"> </w:t>
      </w:r>
      <w:r w:rsidRPr="009F337B">
        <w:rPr>
          <w:rFonts w:cs="Vrinda"/>
          <w:lang w:val="en-US"/>
        </w:rPr>
        <w:t xml:space="preserve">asked the Court to order the State, first, to take measures to ensure adequate and comprehensive care to </w:t>
      </w:r>
      <w:r w:rsidR="00080A1E" w:rsidRPr="009F337B">
        <w:rPr>
          <w:rFonts w:cs="Vrinda"/>
          <w:lang w:val="en-US"/>
        </w:rPr>
        <w:t>people living with HIV</w:t>
      </w:r>
      <w:r w:rsidR="008E2262" w:rsidRPr="009F337B">
        <w:rPr>
          <w:rFonts w:cs="Vrinda"/>
          <w:lang w:val="en-US"/>
        </w:rPr>
        <w:t xml:space="preserve"> in Guatemala</w:t>
      </w:r>
      <w:r w:rsidR="006F704E" w:rsidRPr="009F337B">
        <w:rPr>
          <w:rFonts w:cs="Vrinda"/>
          <w:lang w:val="en-US"/>
        </w:rPr>
        <w:t xml:space="preserve">. </w:t>
      </w:r>
      <w:r w:rsidRPr="009F337B">
        <w:rPr>
          <w:rFonts w:cs="Vrinda"/>
          <w:lang w:val="en-US"/>
        </w:rPr>
        <w:t>Such measures</w:t>
      </w:r>
      <w:r w:rsidR="00556333" w:rsidRPr="009F337B">
        <w:rPr>
          <w:rFonts w:cs="Vrinda"/>
          <w:lang w:val="en-US"/>
        </w:rPr>
        <w:t xml:space="preserve"> should</w:t>
      </w:r>
      <w:r w:rsidRPr="009F337B">
        <w:rPr>
          <w:rFonts w:cs="Vrinda"/>
          <w:lang w:val="en-US"/>
        </w:rPr>
        <w:t xml:space="preserve"> include</w:t>
      </w:r>
      <w:r w:rsidR="000D4FDD" w:rsidRPr="009F337B">
        <w:rPr>
          <w:rFonts w:cs="Vrinda"/>
          <w:lang w:val="en-US"/>
        </w:rPr>
        <w:t xml:space="preserve">: </w:t>
      </w:r>
      <w:r w:rsidRPr="009F337B">
        <w:rPr>
          <w:rFonts w:cs="Vrinda"/>
          <w:lang w:val="en-US"/>
        </w:rPr>
        <w:t>(</w:t>
      </w:r>
      <w:r w:rsidR="006F704E" w:rsidRPr="009F337B">
        <w:rPr>
          <w:rFonts w:cs="Vrinda"/>
          <w:lang w:val="en-US"/>
        </w:rPr>
        <w:t>i)</w:t>
      </w:r>
      <w:r w:rsidRPr="009F337B">
        <w:rPr>
          <w:rFonts w:cs="Vrinda"/>
          <w:lang w:val="en-US"/>
        </w:rPr>
        <w:t xml:space="preserve"> the creation of a database and consolidated information system o</w:t>
      </w:r>
      <w:r w:rsidR="00556333" w:rsidRPr="009F337B">
        <w:rPr>
          <w:rFonts w:cs="Vrinda"/>
          <w:lang w:val="en-US"/>
        </w:rPr>
        <w:t>n</w:t>
      </w:r>
      <w:r w:rsidRPr="009F337B">
        <w:rPr>
          <w:rFonts w:cs="Vrinda"/>
          <w:lang w:val="en-US"/>
        </w:rPr>
        <w:t xml:space="preserve"> the HIV epidemic; (ii) diag</w:t>
      </w:r>
      <w:r w:rsidR="00556333" w:rsidRPr="009F337B">
        <w:rPr>
          <w:rFonts w:cs="Vrinda"/>
          <w:lang w:val="en-US"/>
        </w:rPr>
        <w:t>n</w:t>
      </w:r>
      <w:r w:rsidRPr="009F337B">
        <w:rPr>
          <w:rFonts w:cs="Vrinda"/>
          <w:lang w:val="en-US"/>
        </w:rPr>
        <w:t xml:space="preserve">osis of the legal and administrative barriers that prevent </w:t>
      </w:r>
      <w:r w:rsidR="00556333" w:rsidRPr="009F337B">
        <w:rPr>
          <w:rFonts w:cs="Vrinda"/>
          <w:lang w:val="en-US"/>
        </w:rPr>
        <w:t>a</w:t>
      </w:r>
      <w:r w:rsidRPr="009F337B">
        <w:rPr>
          <w:rFonts w:cs="Vrinda"/>
          <w:lang w:val="en-US"/>
        </w:rPr>
        <w:t xml:space="preserve"> permanent supply of antiretroviral drugs, </w:t>
      </w:r>
      <w:r w:rsidR="00632639" w:rsidRPr="009F337B">
        <w:rPr>
          <w:rFonts w:cs="Vrinda"/>
          <w:lang w:val="en-US"/>
        </w:rPr>
        <w:t>and the adoption of measures based on this diagnosis, and (iii) reinforcement of the Comprehensive Care Units so that the right to health can be ensured in an effective manner</w:t>
      </w:r>
      <w:r w:rsidR="00556333" w:rsidRPr="009F337B">
        <w:rPr>
          <w:rFonts w:cs="Vrinda"/>
          <w:lang w:val="en-US"/>
        </w:rPr>
        <w:t>.</w:t>
      </w:r>
      <w:r w:rsidR="00632639" w:rsidRPr="009F337B">
        <w:rPr>
          <w:rFonts w:cs="Vrinda"/>
          <w:lang w:val="en-US"/>
        </w:rPr>
        <w:t xml:space="preserve"> They also asked that health officials be given training on the human rights of people living with HIV, and that the State ensure the early diagnosis of all pregnant women, effectively and universally, by testing to prevent mother-to-child transmission of HIV. Lastly, they asked that a</w:t>
      </w:r>
      <w:r w:rsidR="00556333" w:rsidRPr="009F337B">
        <w:rPr>
          <w:rFonts w:cs="Vrinda"/>
          <w:lang w:val="en-US"/>
        </w:rPr>
        <w:t>n</w:t>
      </w:r>
      <w:r w:rsidR="00632639" w:rsidRPr="009F337B">
        <w:rPr>
          <w:rFonts w:cs="Vrinda"/>
          <w:lang w:val="en-US"/>
        </w:rPr>
        <w:t xml:space="preserve"> HIV/AIDS awareness-raising campaign be organized in the departments where the victims live.</w:t>
      </w:r>
    </w:p>
    <w:p w14:paraId="4515EECD" w14:textId="77777777" w:rsidR="0061727E" w:rsidRPr="009F337B" w:rsidRDefault="0061727E" w:rsidP="0061727E">
      <w:pPr>
        <w:tabs>
          <w:tab w:val="left" w:pos="709"/>
          <w:tab w:val="left" w:pos="1134"/>
        </w:tabs>
        <w:ind w:right="-4"/>
        <w:rPr>
          <w:rFonts w:eastAsia="Arial" w:cs="Vrinda"/>
          <w:lang w:val="en-US"/>
        </w:rPr>
      </w:pPr>
    </w:p>
    <w:p w14:paraId="2BEE073A" w14:textId="28BA29D0" w:rsidR="00632639" w:rsidRPr="009F337B" w:rsidRDefault="00632639" w:rsidP="00593E37">
      <w:pPr>
        <w:numPr>
          <w:ilvl w:val="0"/>
          <w:numId w:val="1"/>
        </w:numPr>
        <w:tabs>
          <w:tab w:val="left" w:pos="709"/>
          <w:tab w:val="left" w:pos="1134"/>
        </w:tabs>
        <w:ind w:left="0" w:right="-4" w:firstLine="0"/>
        <w:rPr>
          <w:rFonts w:cs="Vrinda"/>
          <w:lang w:val="en-US"/>
        </w:rPr>
      </w:pPr>
      <w:r w:rsidRPr="009F337B">
        <w:rPr>
          <w:rFonts w:cs="Vrinda"/>
          <w:lang w:val="en-US"/>
        </w:rPr>
        <w:t xml:space="preserve">The </w:t>
      </w:r>
      <w:r w:rsidRPr="009F337B">
        <w:rPr>
          <w:rFonts w:cs="Vrinda"/>
          <w:b/>
          <w:i/>
          <w:lang w:val="en-US"/>
        </w:rPr>
        <w:t>State</w:t>
      </w:r>
      <w:r w:rsidRPr="009F337B">
        <w:rPr>
          <w:rFonts w:cs="Vrinda"/>
          <w:lang w:val="en-US"/>
        </w:rPr>
        <w:t xml:space="preserve"> indicated that, if the Court decided that it was internationally responsible for failing to ensure any of the rights recognized in the Convention, it should take into account that, with the exception of reparation for pecuniary and non-pecuniary damage, it had already adopted the necessary measures to </w:t>
      </w:r>
      <w:r w:rsidR="00556333" w:rsidRPr="009F337B">
        <w:rPr>
          <w:rFonts w:cs="Vrinda"/>
          <w:lang w:val="en-US"/>
        </w:rPr>
        <w:t>i</w:t>
      </w:r>
      <w:r w:rsidRPr="009F337B">
        <w:rPr>
          <w:rFonts w:cs="Vrinda"/>
          <w:lang w:val="en-US"/>
        </w:rPr>
        <w:t>nsure all the surviving victims in this case, as well as all the other people</w:t>
      </w:r>
      <w:r w:rsidR="00556333" w:rsidRPr="009F337B">
        <w:rPr>
          <w:rFonts w:cs="Vrinda"/>
          <w:lang w:val="en-US"/>
        </w:rPr>
        <w:t xml:space="preserve"> who are</w:t>
      </w:r>
      <w:r w:rsidRPr="009F337B">
        <w:rPr>
          <w:rFonts w:cs="Vrinda"/>
          <w:lang w:val="en-US"/>
        </w:rPr>
        <w:t xml:space="preserve"> infected </w:t>
      </w:r>
      <w:r w:rsidR="00556333" w:rsidRPr="009F337B">
        <w:rPr>
          <w:rFonts w:cs="Vrinda"/>
          <w:lang w:val="en-US"/>
        </w:rPr>
        <w:t xml:space="preserve">and </w:t>
      </w:r>
      <w:r w:rsidRPr="009F337B">
        <w:rPr>
          <w:rFonts w:cs="Vrinda"/>
          <w:lang w:val="en-US"/>
        </w:rPr>
        <w:t xml:space="preserve">who live in </w:t>
      </w:r>
      <w:r w:rsidR="00556333" w:rsidRPr="009F337B">
        <w:rPr>
          <w:rFonts w:cs="Vrinda"/>
          <w:lang w:val="en-US"/>
        </w:rPr>
        <w:t>Guatemala</w:t>
      </w:r>
      <w:r w:rsidRPr="009F337B">
        <w:rPr>
          <w:rFonts w:cs="Vrinda"/>
          <w:lang w:val="en-US"/>
        </w:rPr>
        <w:t>, and had implemented mechanisms of non-repetition.</w:t>
      </w:r>
    </w:p>
    <w:p w14:paraId="255375A0" w14:textId="17E45210" w:rsidR="00F12B1C" w:rsidRPr="009F337B" w:rsidRDefault="00F12B1C" w:rsidP="0061727E">
      <w:pPr>
        <w:rPr>
          <w:rFonts w:eastAsiaTheme="minorHAnsi" w:cs="Vrinda"/>
          <w:lang w:val="en-US"/>
        </w:rPr>
      </w:pPr>
    </w:p>
    <w:p w14:paraId="5F0DD75B" w14:textId="2084AF0B" w:rsidR="00F63F5C" w:rsidRPr="009F337B" w:rsidRDefault="00E841F7" w:rsidP="0061727E">
      <w:pPr>
        <w:rPr>
          <w:rFonts w:eastAsiaTheme="minorHAnsi" w:cs="Vrinda"/>
          <w:b/>
          <w:i/>
          <w:lang w:val="en-US"/>
        </w:rPr>
      </w:pPr>
      <w:r w:rsidRPr="009F337B">
        <w:rPr>
          <w:rFonts w:eastAsiaTheme="minorHAnsi" w:cs="Vrinda"/>
          <w:b/>
          <w:i/>
          <w:lang w:val="en-US"/>
        </w:rPr>
        <w:tab/>
      </w:r>
      <w:r w:rsidRPr="009F337B">
        <w:rPr>
          <w:rFonts w:eastAsiaTheme="minorHAnsi" w:cs="Vrinda"/>
          <w:b/>
          <w:i/>
          <w:lang w:val="en-US"/>
        </w:rPr>
        <w:tab/>
      </w:r>
      <w:r w:rsidRPr="009F337B">
        <w:rPr>
          <w:rFonts w:eastAsiaTheme="minorHAnsi" w:cs="Vrinda"/>
          <w:b/>
          <w:i/>
          <w:lang w:val="en-US"/>
        </w:rPr>
        <w:tab/>
      </w:r>
      <w:r w:rsidR="00F63F5C" w:rsidRPr="009F337B">
        <w:rPr>
          <w:rFonts w:eastAsiaTheme="minorHAnsi" w:cs="Vrinda"/>
          <w:b/>
          <w:i/>
          <w:lang w:val="en-US"/>
        </w:rPr>
        <w:t xml:space="preserve">B.3.1. </w:t>
      </w:r>
      <w:r w:rsidR="00473F70" w:rsidRPr="009F337B">
        <w:rPr>
          <w:rFonts w:eastAsiaTheme="minorHAnsi" w:cs="Vrinda"/>
          <w:b/>
          <w:i/>
          <w:lang w:val="en-US"/>
        </w:rPr>
        <w:t>Considerations</w:t>
      </w:r>
      <w:r w:rsidR="00AE5F9E" w:rsidRPr="009F337B">
        <w:rPr>
          <w:rFonts w:eastAsiaTheme="minorHAnsi" w:cs="Vrinda"/>
          <w:b/>
          <w:i/>
          <w:lang w:val="en-US"/>
        </w:rPr>
        <w:t xml:space="preserve"> of the Court</w:t>
      </w:r>
    </w:p>
    <w:p w14:paraId="673BB65F" w14:textId="77777777" w:rsidR="0061727E" w:rsidRPr="009F337B" w:rsidRDefault="0061727E" w:rsidP="0061727E">
      <w:pPr>
        <w:rPr>
          <w:rFonts w:cs="Vrinda"/>
          <w:lang w:val="en-US"/>
        </w:rPr>
      </w:pPr>
    </w:p>
    <w:p w14:paraId="0B928F5B" w14:textId="0D1D01FA" w:rsidR="009F5859" w:rsidRPr="009F337B" w:rsidRDefault="00AE5F9E" w:rsidP="00593E37">
      <w:pPr>
        <w:numPr>
          <w:ilvl w:val="0"/>
          <w:numId w:val="1"/>
        </w:numPr>
        <w:tabs>
          <w:tab w:val="left" w:pos="709"/>
          <w:tab w:val="left" w:pos="1134"/>
        </w:tabs>
        <w:ind w:left="0" w:right="-4" w:firstLine="0"/>
        <w:rPr>
          <w:rFonts w:cs="Vrinda"/>
          <w:lang w:val="en-US"/>
        </w:rPr>
      </w:pPr>
      <w:r w:rsidRPr="009F337B">
        <w:rPr>
          <w:rFonts w:cs="Vrinda"/>
          <w:lang w:val="en-US"/>
        </w:rPr>
        <w:t>The Court</w:t>
      </w:r>
      <w:r w:rsidR="001B63C4" w:rsidRPr="009F337B">
        <w:rPr>
          <w:rFonts w:cs="Vrinda"/>
          <w:lang w:val="en-US"/>
        </w:rPr>
        <w:t xml:space="preserve"> t</w:t>
      </w:r>
      <w:r w:rsidR="00632639" w:rsidRPr="009F337B">
        <w:rPr>
          <w:rFonts w:cs="Vrinda"/>
          <w:lang w:val="en-US"/>
        </w:rPr>
        <w:t xml:space="preserve">akes note </w:t>
      </w:r>
      <w:r w:rsidR="00556333" w:rsidRPr="009F337B">
        <w:rPr>
          <w:rFonts w:cs="Vrinda"/>
          <w:lang w:val="en-US"/>
        </w:rPr>
        <w:t xml:space="preserve">of </w:t>
      </w:r>
      <w:r w:rsidR="00632639" w:rsidRPr="009F337B">
        <w:rPr>
          <w:rFonts w:cs="Vrinda"/>
          <w:lang w:val="en-US"/>
        </w:rPr>
        <w:t>and assesses positively the legislative measures and public polic</w:t>
      </w:r>
      <w:r w:rsidR="00556333" w:rsidRPr="009F337B">
        <w:rPr>
          <w:rFonts w:cs="Vrinda"/>
          <w:lang w:val="en-US"/>
        </w:rPr>
        <w:t>ies</w:t>
      </w:r>
      <w:r w:rsidR="00632639" w:rsidRPr="009F337B">
        <w:rPr>
          <w:rFonts w:cs="Vrinda"/>
          <w:lang w:val="en-US"/>
        </w:rPr>
        <w:t xml:space="preserve"> that the State has adopt</w:t>
      </w:r>
      <w:r w:rsidR="00556333" w:rsidRPr="009F337B">
        <w:rPr>
          <w:rFonts w:cs="Vrinda"/>
          <w:lang w:val="en-US"/>
        </w:rPr>
        <w:t>e</w:t>
      </w:r>
      <w:r w:rsidR="00632639" w:rsidRPr="009F337B">
        <w:rPr>
          <w:rFonts w:cs="Vrinda"/>
          <w:lang w:val="en-US"/>
        </w:rPr>
        <w:t xml:space="preserve">d to combat the HIV epidemic </w:t>
      </w:r>
      <w:r w:rsidR="008E2262" w:rsidRPr="009F337B">
        <w:rPr>
          <w:rFonts w:cs="Vrinda"/>
          <w:lang w:val="en-US"/>
        </w:rPr>
        <w:t>in Guatemala</w:t>
      </w:r>
      <w:r w:rsidR="001B63C4" w:rsidRPr="009F337B">
        <w:rPr>
          <w:rFonts w:cs="Vrinda"/>
          <w:lang w:val="en-US"/>
        </w:rPr>
        <w:t xml:space="preserve">. </w:t>
      </w:r>
      <w:r w:rsidR="00632639" w:rsidRPr="009F337B">
        <w:rPr>
          <w:rFonts w:cs="Vrinda"/>
          <w:lang w:val="en-US"/>
        </w:rPr>
        <w:t>Nevertheless, and taking into consideration the violations that occurred in this case, the information available concerning the lack of me</w:t>
      </w:r>
      <w:r w:rsidR="00556333" w:rsidRPr="009F337B">
        <w:rPr>
          <w:rFonts w:cs="Vrinda"/>
          <w:lang w:val="en-US"/>
        </w:rPr>
        <w:t xml:space="preserve">dical treament for </w:t>
      </w:r>
      <w:r w:rsidR="00632639" w:rsidRPr="009F337B">
        <w:rPr>
          <w:rFonts w:cs="Vrinda"/>
          <w:lang w:val="en-US"/>
        </w:rPr>
        <w:t xml:space="preserve">a sector of the population living with </w:t>
      </w:r>
      <w:r w:rsidR="00CA11F6" w:rsidRPr="009F337B">
        <w:rPr>
          <w:rFonts w:cs="Vrinda"/>
          <w:lang w:val="en-US"/>
        </w:rPr>
        <w:t>HIV</w:t>
      </w:r>
      <w:r w:rsidR="008E2262" w:rsidRPr="009F337B">
        <w:rPr>
          <w:rFonts w:cs="Vrinda"/>
          <w:lang w:val="en-US"/>
        </w:rPr>
        <w:t xml:space="preserve"> in Guatemala</w:t>
      </w:r>
      <w:r w:rsidR="001B63C4" w:rsidRPr="009F337B">
        <w:rPr>
          <w:rFonts w:cs="Vrinda"/>
          <w:lang w:val="en-US"/>
        </w:rPr>
        <w:t>,</w:t>
      </w:r>
      <w:r w:rsidR="003C46A3" w:rsidRPr="009F337B">
        <w:rPr>
          <w:rFonts w:cs="Vrinda"/>
          <w:lang w:val="en-US"/>
        </w:rPr>
        <w:t xml:space="preserve"> and </w:t>
      </w:r>
      <w:r w:rsidR="00632639" w:rsidRPr="009F337B">
        <w:rPr>
          <w:rFonts w:cs="Vrinda"/>
          <w:lang w:val="en-US"/>
        </w:rPr>
        <w:t>the</w:t>
      </w:r>
      <w:r w:rsidR="00556333" w:rsidRPr="009F337B">
        <w:rPr>
          <w:rFonts w:cs="Vrinda"/>
          <w:lang w:val="en-US"/>
        </w:rPr>
        <w:t xml:space="preserve"> Goals and</w:t>
      </w:r>
      <w:r w:rsidR="00632639" w:rsidRPr="009F337B">
        <w:rPr>
          <w:rFonts w:cs="Vrinda"/>
          <w:lang w:val="en-US"/>
        </w:rPr>
        <w:t xml:space="preserve"> targets assumed by the States under the </w:t>
      </w:r>
      <w:r w:rsidR="00556333" w:rsidRPr="009F337B">
        <w:rPr>
          <w:rFonts w:cs="Vrinda"/>
          <w:lang w:val="en-US"/>
        </w:rPr>
        <w:t xml:space="preserve">2030 </w:t>
      </w:r>
      <w:r w:rsidR="00632639" w:rsidRPr="009F337B">
        <w:rPr>
          <w:rFonts w:cs="Vrinda"/>
          <w:lang w:val="en-US"/>
        </w:rPr>
        <w:t xml:space="preserve">Agenda </w:t>
      </w:r>
      <w:r w:rsidR="001B63C4" w:rsidRPr="009F337B">
        <w:rPr>
          <w:rFonts w:cs="Vrinda"/>
          <w:lang w:val="en-US"/>
        </w:rPr>
        <w:t>(</w:t>
      </w:r>
      <w:r w:rsidR="001B63C4" w:rsidRPr="009F337B">
        <w:rPr>
          <w:rFonts w:cs="Vrinda"/>
          <w:i/>
          <w:lang w:val="en-US"/>
        </w:rPr>
        <w:t xml:space="preserve">supra </w:t>
      </w:r>
      <w:r w:rsidR="00C60B17" w:rsidRPr="009F337B">
        <w:rPr>
          <w:rFonts w:cs="Vrinda"/>
          <w:lang w:val="en-US"/>
        </w:rPr>
        <w:t>para.</w:t>
      </w:r>
      <w:r w:rsidR="001B63C4" w:rsidRPr="009F337B">
        <w:rPr>
          <w:rFonts w:cs="Vrinda"/>
          <w:lang w:val="en-US"/>
        </w:rPr>
        <w:t xml:space="preserve"> 109), </w:t>
      </w:r>
      <w:r w:rsidR="008C399E" w:rsidRPr="009F337B">
        <w:rPr>
          <w:rFonts w:cs="Vrinda"/>
          <w:lang w:val="en-US"/>
        </w:rPr>
        <w:t>the Court</w:t>
      </w:r>
      <w:r w:rsidR="001B63C4" w:rsidRPr="009F337B">
        <w:rPr>
          <w:rFonts w:cs="Vrinda"/>
          <w:lang w:val="en-US"/>
        </w:rPr>
        <w:t xml:space="preserve"> </w:t>
      </w:r>
      <w:r w:rsidR="00E8695B" w:rsidRPr="009F337B">
        <w:rPr>
          <w:rFonts w:cs="Vrinda"/>
          <w:lang w:val="en-US"/>
        </w:rPr>
        <w:t>finds it pertinent to order the following measures of reparation as guarantees of non-repetition.</w:t>
      </w:r>
      <w:r w:rsidR="001B63C4" w:rsidRPr="009F337B">
        <w:rPr>
          <w:rStyle w:val="Refdenotaalpie"/>
          <w:shd w:val="clear" w:color="auto" w:fill="FFFFFF"/>
          <w:lang w:val="en-US"/>
        </w:rPr>
        <w:footnoteReference w:id="252"/>
      </w:r>
    </w:p>
    <w:p w14:paraId="748DF29D" w14:textId="77777777" w:rsidR="0061727E" w:rsidRPr="009F337B" w:rsidRDefault="0061727E" w:rsidP="0061727E">
      <w:pPr>
        <w:tabs>
          <w:tab w:val="left" w:pos="709"/>
          <w:tab w:val="left" w:pos="1134"/>
        </w:tabs>
        <w:ind w:right="-4"/>
        <w:rPr>
          <w:rFonts w:cs="Vrinda"/>
          <w:lang w:val="en-US"/>
        </w:rPr>
      </w:pPr>
    </w:p>
    <w:p w14:paraId="30B22A16" w14:textId="7FB300E6" w:rsidR="000E13A1" w:rsidRPr="009F337B" w:rsidRDefault="000E13A1" w:rsidP="00593E37">
      <w:pPr>
        <w:numPr>
          <w:ilvl w:val="0"/>
          <w:numId w:val="1"/>
        </w:numPr>
        <w:tabs>
          <w:tab w:val="left" w:pos="709"/>
          <w:tab w:val="left" w:pos="1134"/>
        </w:tabs>
        <w:ind w:left="0" w:right="-4" w:firstLine="0"/>
        <w:rPr>
          <w:rFonts w:cs="Vrinda"/>
          <w:b/>
          <w:lang w:val="en-US"/>
        </w:rPr>
      </w:pPr>
      <w:r w:rsidRPr="009F337B">
        <w:rPr>
          <w:rFonts w:cs="Vrinda"/>
          <w:lang w:val="en-US"/>
        </w:rPr>
        <w:t xml:space="preserve">First, </w:t>
      </w:r>
      <w:r w:rsidR="00AE5F9E" w:rsidRPr="009F337B">
        <w:rPr>
          <w:rFonts w:cs="Vrinda"/>
          <w:lang w:val="en-US"/>
        </w:rPr>
        <w:t>the Court</w:t>
      </w:r>
      <w:r w:rsidR="00800315" w:rsidRPr="009F337B">
        <w:rPr>
          <w:rFonts w:cs="Vrinda"/>
          <w:lang w:val="en-US"/>
        </w:rPr>
        <w:t xml:space="preserve"> consider</w:t>
      </w:r>
      <w:r w:rsidRPr="009F337B">
        <w:rPr>
          <w:rFonts w:cs="Vrinda"/>
          <w:lang w:val="en-US"/>
        </w:rPr>
        <w:t>s that</w:t>
      </w:r>
      <w:r w:rsidR="00800315" w:rsidRPr="009F337B">
        <w:rPr>
          <w:rFonts w:cs="Vrinda"/>
          <w:lang w:val="en-US"/>
        </w:rPr>
        <w:t xml:space="preserve"> </w:t>
      </w:r>
      <w:r w:rsidR="003C46A3" w:rsidRPr="009F337B">
        <w:rPr>
          <w:rFonts w:cs="Vrinda"/>
          <w:lang w:val="en-US"/>
        </w:rPr>
        <w:t>the State</w:t>
      </w:r>
      <w:r w:rsidR="00800315" w:rsidRPr="009F337B">
        <w:rPr>
          <w:rFonts w:cs="Vrinda"/>
          <w:lang w:val="en-US"/>
        </w:rPr>
        <w:t xml:space="preserve"> </w:t>
      </w:r>
      <w:r w:rsidRPr="009F337B">
        <w:rPr>
          <w:rFonts w:cs="Vrinda"/>
          <w:lang w:val="en-US"/>
        </w:rPr>
        <w:t xml:space="preserve">should implement effective mechanisms for periodic supervision and monitoring of its public hospitals to ensure that they are providing comprehensive health care to </w:t>
      </w:r>
      <w:r w:rsidR="00080A1E" w:rsidRPr="009F337B">
        <w:rPr>
          <w:rFonts w:cs="Vrinda"/>
          <w:lang w:val="en-US"/>
        </w:rPr>
        <w:t>people living with HIV</w:t>
      </w:r>
      <w:r w:rsidR="00D459C8" w:rsidRPr="009F337B">
        <w:rPr>
          <w:rFonts w:cs="Vrinda"/>
          <w:lang w:val="en-US"/>
        </w:rPr>
        <w:t>,</w:t>
      </w:r>
      <w:r w:rsidR="00800315" w:rsidRPr="009F337B">
        <w:rPr>
          <w:rFonts w:cs="Vrinda"/>
          <w:lang w:val="en-US"/>
        </w:rPr>
        <w:t xml:space="preserve"> </w:t>
      </w:r>
      <w:r w:rsidRPr="009F337B">
        <w:rPr>
          <w:rFonts w:cs="Vrinda"/>
          <w:lang w:val="en-US"/>
        </w:rPr>
        <w:t>in keeping wth domestic law</w:t>
      </w:r>
      <w:r w:rsidR="00044452" w:rsidRPr="009F337B">
        <w:rPr>
          <w:rFonts w:cs="Vrinda"/>
          <w:lang w:val="en-US"/>
        </w:rPr>
        <w:t xml:space="preserve"> </w:t>
      </w:r>
      <w:r w:rsidRPr="009F337B">
        <w:rPr>
          <w:rFonts w:cs="Vrinda"/>
          <w:lang w:val="en-US"/>
        </w:rPr>
        <w:t xml:space="preserve">and the provisions of this judgment </w:t>
      </w:r>
      <w:r w:rsidR="009106EF" w:rsidRPr="009F337B">
        <w:rPr>
          <w:rFonts w:cs="Vrinda"/>
          <w:lang w:val="en-US"/>
        </w:rPr>
        <w:t>(</w:t>
      </w:r>
      <w:r w:rsidR="009106EF" w:rsidRPr="009F337B">
        <w:rPr>
          <w:rFonts w:cs="Vrinda"/>
          <w:i/>
          <w:lang w:val="en-US"/>
        </w:rPr>
        <w:t>supra</w:t>
      </w:r>
      <w:r w:rsidR="009106EF" w:rsidRPr="009F337B">
        <w:rPr>
          <w:rFonts w:cs="Vrinda"/>
          <w:lang w:val="en-US"/>
        </w:rPr>
        <w:t xml:space="preserve"> </w:t>
      </w:r>
      <w:r w:rsidR="00B63594" w:rsidRPr="009F337B">
        <w:rPr>
          <w:rFonts w:cs="Vrinda"/>
          <w:lang w:val="en-US"/>
        </w:rPr>
        <w:t>paras.</w:t>
      </w:r>
      <w:r w:rsidR="009106EF" w:rsidRPr="009F337B">
        <w:rPr>
          <w:rFonts w:cs="Vrinda"/>
          <w:lang w:val="en-US"/>
        </w:rPr>
        <w:t xml:space="preserve"> 103 </w:t>
      </w:r>
      <w:r w:rsidRPr="009F337B">
        <w:rPr>
          <w:rFonts w:cs="Vrinda"/>
          <w:lang w:val="en-US"/>
        </w:rPr>
        <w:t>to</w:t>
      </w:r>
      <w:r w:rsidR="009106EF" w:rsidRPr="009F337B">
        <w:rPr>
          <w:rFonts w:cs="Vrinda"/>
          <w:lang w:val="en-US"/>
        </w:rPr>
        <w:t xml:space="preserve"> 114</w:t>
      </w:r>
      <w:r w:rsidR="00556ACD" w:rsidRPr="009F337B">
        <w:rPr>
          <w:rFonts w:cs="Vrinda"/>
          <w:lang w:val="en-US"/>
        </w:rPr>
        <w:t>)</w:t>
      </w:r>
      <w:r w:rsidR="00800315" w:rsidRPr="009F337B">
        <w:rPr>
          <w:rFonts w:cs="Vrinda"/>
          <w:lang w:val="en-US"/>
        </w:rPr>
        <w:t xml:space="preserve">. </w:t>
      </w:r>
      <w:r w:rsidRPr="009F337B">
        <w:rPr>
          <w:rFonts w:cs="Vrinda"/>
          <w:lang w:val="en-US"/>
        </w:rPr>
        <w:t>To this end, the State must set up an information system on the scope of the HIV epidemic in the country, which should contain statistical information on the people attended by the public health system, as wel as statistical information on the sex, age, ethnic</w:t>
      </w:r>
      <w:r w:rsidR="00044452" w:rsidRPr="009F337B">
        <w:rPr>
          <w:rFonts w:cs="Vrinda"/>
          <w:lang w:val="en-US"/>
        </w:rPr>
        <w:t>ity</w:t>
      </w:r>
      <w:r w:rsidRPr="009F337B">
        <w:rPr>
          <w:rFonts w:cs="Vrinda"/>
          <w:lang w:val="en-US"/>
        </w:rPr>
        <w:t>, language and socio-economic status of patients. It must also establish a system that allows a diagnosis to be made of the care provided to the population living with HIV and, to this</w:t>
      </w:r>
      <w:r w:rsidR="00044452" w:rsidRPr="009F337B">
        <w:rPr>
          <w:rFonts w:cs="Vrinda"/>
          <w:lang w:val="en-US"/>
        </w:rPr>
        <w:t xml:space="preserve"> end</w:t>
      </w:r>
      <w:r w:rsidRPr="009F337B">
        <w:rPr>
          <w:rFonts w:cs="Vrinda"/>
          <w:lang w:val="en-US"/>
        </w:rPr>
        <w:t>, it must establsh the number of establishments that treat this population, their geographical location and infrastructure. This diagnosis will provide the basis for the elabor</w:t>
      </w:r>
      <w:r w:rsidR="002E1159" w:rsidRPr="009F337B">
        <w:rPr>
          <w:rFonts w:cs="Vrinda"/>
          <w:lang w:val="en-US"/>
        </w:rPr>
        <w:t>a</w:t>
      </w:r>
      <w:r w:rsidRPr="009F337B">
        <w:rPr>
          <w:rFonts w:cs="Vrinda"/>
          <w:lang w:val="en-US"/>
        </w:rPr>
        <w:t>tion of the mechanism to improve the accessibility, availability and quality of the health care services for people living with HIV referred to in the following paragraph.</w:t>
      </w:r>
    </w:p>
    <w:p w14:paraId="41A81A0F" w14:textId="77777777" w:rsidR="0061727E" w:rsidRPr="009F337B" w:rsidRDefault="0061727E" w:rsidP="0061727E">
      <w:pPr>
        <w:tabs>
          <w:tab w:val="left" w:pos="709"/>
          <w:tab w:val="left" w:pos="1134"/>
        </w:tabs>
        <w:ind w:right="-4"/>
        <w:rPr>
          <w:rFonts w:cs="Vrinda"/>
          <w:b/>
          <w:lang w:val="en-US"/>
        </w:rPr>
      </w:pPr>
    </w:p>
    <w:p w14:paraId="35981D1F" w14:textId="3923AE40" w:rsidR="00300ED0" w:rsidRPr="009F337B" w:rsidRDefault="000E13A1" w:rsidP="00593E37">
      <w:pPr>
        <w:numPr>
          <w:ilvl w:val="0"/>
          <w:numId w:val="1"/>
        </w:numPr>
        <w:tabs>
          <w:tab w:val="left" w:pos="709"/>
          <w:tab w:val="left" w:pos="1134"/>
        </w:tabs>
        <w:ind w:left="0" w:right="-4" w:firstLine="0"/>
        <w:rPr>
          <w:rFonts w:cs="Vrinda"/>
          <w:b/>
          <w:lang w:val="en-US"/>
        </w:rPr>
      </w:pPr>
      <w:r w:rsidRPr="009F337B">
        <w:rPr>
          <w:rFonts w:cs="Vrinda"/>
          <w:lang w:val="en-US"/>
        </w:rPr>
        <w:t xml:space="preserve">The State must </w:t>
      </w:r>
      <w:bookmarkStart w:id="123" w:name="_Hlk6035071"/>
      <w:r w:rsidRPr="009F337B">
        <w:rPr>
          <w:rFonts w:cs="Vrinda"/>
          <w:lang w:val="en-US"/>
        </w:rPr>
        <w:t>design a mechanism to ensure the accessibility, availability and quality of antiretrovir</w:t>
      </w:r>
      <w:r w:rsidR="00300ED0" w:rsidRPr="009F337B">
        <w:rPr>
          <w:rFonts w:cs="Vrinda"/>
          <w:lang w:val="en-US"/>
        </w:rPr>
        <w:t>a</w:t>
      </w:r>
      <w:r w:rsidRPr="009F337B">
        <w:rPr>
          <w:rFonts w:cs="Vrinda"/>
          <w:lang w:val="en-US"/>
        </w:rPr>
        <w:t xml:space="preserve">l drugs, diagnostic tests, and health services for </w:t>
      </w:r>
      <w:r w:rsidR="009B1750" w:rsidRPr="009F337B">
        <w:rPr>
          <w:rFonts w:cs="Vrinda"/>
          <w:lang w:val="en-US"/>
        </w:rPr>
        <w:t>people</w:t>
      </w:r>
      <w:r w:rsidRPr="009F337B">
        <w:rPr>
          <w:rFonts w:cs="Vrinda"/>
          <w:lang w:val="en-US"/>
        </w:rPr>
        <w:t xml:space="preserve"> living with HIV. </w:t>
      </w:r>
      <w:bookmarkEnd w:id="123"/>
      <w:r w:rsidRPr="009F337B">
        <w:rPr>
          <w:rFonts w:cs="Vrinda"/>
          <w:lang w:val="en-US"/>
        </w:rPr>
        <w:t xml:space="preserve">This mechanism must </w:t>
      </w:r>
      <w:r w:rsidR="00300ED0" w:rsidRPr="009F337B">
        <w:rPr>
          <w:rFonts w:cs="Vrinda"/>
          <w:lang w:val="en-US"/>
        </w:rPr>
        <w:t>achieve</w:t>
      </w:r>
      <w:r w:rsidRPr="009F337B">
        <w:rPr>
          <w:rFonts w:cs="Vrinda"/>
          <w:lang w:val="en-US"/>
        </w:rPr>
        <w:t xml:space="preserve"> the following minimum objectives, which must be </w:t>
      </w:r>
      <w:r w:rsidR="00300ED0" w:rsidRPr="009F337B">
        <w:rPr>
          <w:rFonts w:cs="Vrinda"/>
          <w:lang w:val="en-US"/>
        </w:rPr>
        <w:t>reached</w:t>
      </w:r>
      <w:r w:rsidRPr="009F337B">
        <w:rPr>
          <w:rFonts w:cs="Vrinda"/>
          <w:lang w:val="en-US"/>
        </w:rPr>
        <w:t xml:space="preserve"> </w:t>
      </w:r>
      <w:r w:rsidR="00300ED0" w:rsidRPr="009F337B">
        <w:rPr>
          <w:rFonts w:cs="Vrinda"/>
          <w:lang w:val="en-US"/>
        </w:rPr>
        <w:t>by</w:t>
      </w:r>
      <w:r w:rsidRPr="009F337B">
        <w:rPr>
          <w:rFonts w:cs="Vrinda"/>
          <w:lang w:val="en-US"/>
        </w:rPr>
        <w:t xml:space="preserve"> actions </w:t>
      </w:r>
      <w:r w:rsidR="00044452" w:rsidRPr="009F337B">
        <w:rPr>
          <w:rFonts w:cs="Vrinda"/>
          <w:lang w:val="en-US"/>
        </w:rPr>
        <w:t>taken</w:t>
      </w:r>
      <w:r w:rsidR="00300ED0" w:rsidRPr="009F337B">
        <w:rPr>
          <w:rFonts w:cs="Vrinda"/>
          <w:lang w:val="en-US"/>
        </w:rPr>
        <w:t xml:space="preserve"> by</w:t>
      </w:r>
      <w:r w:rsidRPr="009F337B">
        <w:rPr>
          <w:rFonts w:cs="Vrinda"/>
          <w:lang w:val="en-US"/>
        </w:rPr>
        <w:t xml:space="preserve"> </w:t>
      </w:r>
      <w:r w:rsidR="00044452" w:rsidRPr="009F337B">
        <w:rPr>
          <w:rFonts w:cs="Vrinda"/>
          <w:lang w:val="en-US"/>
        </w:rPr>
        <w:t>S</w:t>
      </w:r>
      <w:r w:rsidRPr="009F337B">
        <w:rPr>
          <w:rFonts w:cs="Vrinda"/>
          <w:lang w:val="en-US"/>
        </w:rPr>
        <w:t xml:space="preserve">tate entities and </w:t>
      </w:r>
      <w:r w:rsidR="00300ED0" w:rsidRPr="009F337B">
        <w:rPr>
          <w:rFonts w:cs="Vrinda"/>
          <w:lang w:val="en-US"/>
        </w:rPr>
        <w:t>its</w:t>
      </w:r>
      <w:r w:rsidRPr="009F337B">
        <w:rPr>
          <w:rFonts w:cs="Vrinda"/>
          <w:lang w:val="en-US"/>
        </w:rPr>
        <w:t xml:space="preserve"> goals will be measur</w:t>
      </w:r>
      <w:r w:rsidR="00300ED0" w:rsidRPr="009F337B">
        <w:rPr>
          <w:rFonts w:cs="Vrinda"/>
          <w:lang w:val="en-US"/>
        </w:rPr>
        <w:t>ed</w:t>
      </w:r>
      <w:r w:rsidRPr="009F337B">
        <w:rPr>
          <w:rFonts w:cs="Vrinda"/>
          <w:lang w:val="en-US"/>
        </w:rPr>
        <w:t xml:space="preserve"> based on indi</w:t>
      </w:r>
      <w:r w:rsidR="00300ED0" w:rsidRPr="009F337B">
        <w:rPr>
          <w:rFonts w:cs="Vrinda"/>
          <w:lang w:val="en-US"/>
        </w:rPr>
        <w:t>c</w:t>
      </w:r>
      <w:r w:rsidRPr="009F337B">
        <w:rPr>
          <w:rFonts w:cs="Vrinda"/>
          <w:lang w:val="en-US"/>
        </w:rPr>
        <w:t>ators established under a particiative public policy: (i)</w:t>
      </w:r>
      <w:r w:rsidR="00300ED0" w:rsidRPr="009F337B">
        <w:rPr>
          <w:rFonts w:cs="Vrinda"/>
          <w:lang w:val="en-US"/>
        </w:rPr>
        <w:t xml:space="preserve"> to increase the availability, accessibility and quality of antiretroviral drugs, diagnostic tests for the HIV detection, and tests for the diagnosis and treatment of</w:t>
      </w:r>
      <w:r w:rsidR="00300ED0" w:rsidRPr="009F337B">
        <w:rPr>
          <w:rFonts w:cs="Vrinda"/>
          <w:b/>
          <w:lang w:val="en-US"/>
        </w:rPr>
        <w:t xml:space="preserve"> </w:t>
      </w:r>
      <w:r w:rsidR="0081563D" w:rsidRPr="009F337B">
        <w:rPr>
          <w:rFonts w:cs="Vrinda"/>
          <w:lang w:val="en-US"/>
        </w:rPr>
        <w:t>opportunistic diseases</w:t>
      </w:r>
      <w:r w:rsidR="00300ED0" w:rsidRPr="009F337B">
        <w:rPr>
          <w:rFonts w:cs="Vrinda"/>
          <w:lang w:val="en-US"/>
        </w:rPr>
        <w:t>;</w:t>
      </w:r>
      <w:r w:rsidR="00D35892" w:rsidRPr="009F337B">
        <w:rPr>
          <w:rFonts w:cs="Vrinda"/>
          <w:lang w:val="en-US"/>
        </w:rPr>
        <w:t xml:space="preserve"> </w:t>
      </w:r>
      <w:r w:rsidR="00300ED0" w:rsidRPr="009F337B">
        <w:rPr>
          <w:rFonts w:cs="Vrinda"/>
          <w:lang w:val="en-US"/>
        </w:rPr>
        <w:t>(</w:t>
      </w:r>
      <w:r w:rsidR="00D35892" w:rsidRPr="009F337B">
        <w:rPr>
          <w:rFonts w:cs="Vrinda"/>
          <w:lang w:val="en-US"/>
        </w:rPr>
        <w:t>ii</w:t>
      </w:r>
      <w:r w:rsidR="00044000" w:rsidRPr="009F337B">
        <w:rPr>
          <w:rFonts w:cs="Vrinda"/>
          <w:lang w:val="en-US"/>
        </w:rPr>
        <w:t xml:space="preserve">) </w:t>
      </w:r>
      <w:r w:rsidR="00300ED0" w:rsidRPr="009F337B">
        <w:rPr>
          <w:rFonts w:cs="Vrinda"/>
          <w:lang w:val="en-US"/>
        </w:rPr>
        <w:t>to improve programs for the care of people living with</w:t>
      </w:r>
      <w:r w:rsidR="00044000" w:rsidRPr="009F337B">
        <w:rPr>
          <w:rFonts w:cs="Vrinda"/>
          <w:lang w:val="en-US"/>
        </w:rPr>
        <w:t xml:space="preserve"> </w:t>
      </w:r>
      <w:r w:rsidR="00CA11F6" w:rsidRPr="009F337B">
        <w:rPr>
          <w:rFonts w:cs="Vrinda"/>
          <w:lang w:val="en-US"/>
        </w:rPr>
        <w:t>HIV</w:t>
      </w:r>
      <w:r w:rsidR="003C46A3" w:rsidRPr="009F337B">
        <w:rPr>
          <w:rFonts w:cs="Vrinda"/>
          <w:lang w:val="en-US"/>
        </w:rPr>
        <w:t xml:space="preserve"> and </w:t>
      </w:r>
      <w:r w:rsidR="00300ED0" w:rsidRPr="009F337B">
        <w:rPr>
          <w:rFonts w:cs="Vrinda"/>
          <w:lang w:val="en-US"/>
        </w:rPr>
        <w:t xml:space="preserve">to increase the coverage of care; (iii) to increase and improve urgent and immediate measures relating to health care for people living with HIV, and (iv) to improve the information available for decision making by all the competent authorities. In addition, </w:t>
      </w:r>
      <w:r w:rsidR="00044452" w:rsidRPr="009F337B">
        <w:rPr>
          <w:rFonts w:cs="Vrinda"/>
          <w:lang w:val="en-US"/>
        </w:rPr>
        <w:t>to ensure that</w:t>
      </w:r>
      <w:r w:rsidR="00300ED0" w:rsidRPr="009F337B">
        <w:rPr>
          <w:rFonts w:cs="Vrinda"/>
          <w:lang w:val="en-US"/>
        </w:rPr>
        <w:t xml:space="preserve"> the design and implementation of this mechanism </w:t>
      </w:r>
      <w:r w:rsidR="00044452" w:rsidRPr="009F337B">
        <w:rPr>
          <w:rFonts w:cs="Vrinda"/>
          <w:lang w:val="en-US"/>
        </w:rPr>
        <w:t>are</w:t>
      </w:r>
      <w:r w:rsidR="00300ED0" w:rsidRPr="009F337B">
        <w:rPr>
          <w:rFonts w:cs="Vrinda"/>
          <w:lang w:val="en-US"/>
        </w:rPr>
        <w:t xml:space="preserve"> effective, the State must invite the medical community, people living with HIV who are users of the health system and the organizations that represent them, and the Guatemalan Ombudsman, to take part in establishing care priorities, taking decisions, and the planning and evaluation of strategies to improve health care.</w:t>
      </w:r>
    </w:p>
    <w:p w14:paraId="0DDEB65A" w14:textId="77777777" w:rsidR="0061727E" w:rsidRPr="009F337B" w:rsidRDefault="0061727E" w:rsidP="0061727E">
      <w:pPr>
        <w:tabs>
          <w:tab w:val="left" w:pos="709"/>
          <w:tab w:val="left" w:pos="1134"/>
        </w:tabs>
        <w:ind w:right="-4"/>
        <w:rPr>
          <w:rFonts w:cs="Vrinda"/>
          <w:b/>
          <w:lang w:val="en-US"/>
        </w:rPr>
      </w:pPr>
    </w:p>
    <w:p w14:paraId="1E117121" w14:textId="69A0D769" w:rsidR="007B109F" w:rsidRPr="009F337B" w:rsidRDefault="00300ED0" w:rsidP="00593E37">
      <w:pPr>
        <w:numPr>
          <w:ilvl w:val="0"/>
          <w:numId w:val="1"/>
        </w:numPr>
        <w:tabs>
          <w:tab w:val="left" w:pos="709"/>
          <w:tab w:val="left" w:pos="1134"/>
        </w:tabs>
        <w:ind w:left="0" w:right="-4" w:firstLine="0"/>
        <w:rPr>
          <w:rFonts w:cs="Vrinda"/>
          <w:lang w:val="en-US"/>
        </w:rPr>
      </w:pPr>
      <w:r w:rsidRPr="009F337B">
        <w:rPr>
          <w:rFonts w:cs="Vrinda"/>
          <w:lang w:val="en-US"/>
        </w:rPr>
        <w:t>Second</w:t>
      </w:r>
      <w:r w:rsidR="00872472" w:rsidRPr="009F337B">
        <w:rPr>
          <w:rFonts w:cs="Vrinda"/>
          <w:lang w:val="en-US"/>
        </w:rPr>
        <w:t xml:space="preserve">, </w:t>
      </w:r>
      <w:r w:rsidR="008C399E" w:rsidRPr="009F337B">
        <w:rPr>
          <w:rFonts w:cs="Vrinda"/>
          <w:lang w:val="en-US"/>
        </w:rPr>
        <w:t>the Court</w:t>
      </w:r>
      <w:r w:rsidR="007B109F" w:rsidRPr="009F337B">
        <w:rPr>
          <w:rFonts w:cs="Vrinda"/>
          <w:lang w:val="en-US"/>
        </w:rPr>
        <w:t xml:space="preserve"> </w:t>
      </w:r>
      <w:r w:rsidRPr="009F337B">
        <w:rPr>
          <w:rFonts w:cs="Vrinda"/>
          <w:lang w:val="en-US"/>
        </w:rPr>
        <w:t xml:space="preserve">finds that the State </w:t>
      </w:r>
      <w:r w:rsidR="00CD72A7" w:rsidRPr="009F337B">
        <w:rPr>
          <w:rFonts w:cs="Vrinda"/>
          <w:lang w:val="en-US"/>
        </w:rPr>
        <w:t xml:space="preserve">must </w:t>
      </w:r>
      <w:r w:rsidRPr="009F337B">
        <w:rPr>
          <w:rFonts w:cs="Vrinda"/>
          <w:lang w:val="en-US"/>
        </w:rPr>
        <w:t>implement a training program for health system</w:t>
      </w:r>
      <w:r w:rsidR="00CD72A7" w:rsidRPr="009F337B">
        <w:rPr>
          <w:rFonts w:cs="Vrinda"/>
          <w:lang w:val="en-US"/>
        </w:rPr>
        <w:t xml:space="preserve"> offcials</w:t>
      </w:r>
      <w:r w:rsidRPr="009F337B">
        <w:rPr>
          <w:rFonts w:cs="Vrinda"/>
          <w:lang w:val="en-US"/>
        </w:rPr>
        <w:t xml:space="preserve"> who work in hospitals and health </w:t>
      </w:r>
      <w:r w:rsidR="00CD72A7" w:rsidRPr="009F337B">
        <w:rPr>
          <w:rFonts w:cs="Vrinda"/>
          <w:lang w:val="en-US"/>
        </w:rPr>
        <w:t xml:space="preserve">care </w:t>
      </w:r>
      <w:r w:rsidRPr="009F337B">
        <w:rPr>
          <w:rFonts w:cs="Vrinda"/>
          <w:lang w:val="en-US"/>
        </w:rPr>
        <w:t xml:space="preserve">centers that </w:t>
      </w:r>
      <w:r w:rsidR="00CD72A7" w:rsidRPr="009F337B">
        <w:rPr>
          <w:rFonts w:cs="Vrinda"/>
          <w:lang w:val="en-US"/>
        </w:rPr>
        <w:t>treat</w:t>
      </w:r>
      <w:r w:rsidRPr="009F337B">
        <w:rPr>
          <w:rFonts w:cs="Vrinda"/>
          <w:lang w:val="en-US"/>
        </w:rPr>
        <w:t xml:space="preserve"> people with HIV in Guatemala on international standards and domestic laws </w:t>
      </w:r>
      <w:r w:rsidR="00CD72A7" w:rsidRPr="009F337B">
        <w:rPr>
          <w:rFonts w:cs="Vrinda"/>
          <w:lang w:val="en-US"/>
        </w:rPr>
        <w:t>regarding</w:t>
      </w:r>
      <w:r w:rsidRPr="009F337B">
        <w:rPr>
          <w:rFonts w:cs="Vrinda"/>
          <w:lang w:val="en-US"/>
        </w:rPr>
        <w:t xml:space="preserve"> comprehensive treatment for </w:t>
      </w:r>
      <w:r w:rsidR="00080A1E" w:rsidRPr="009F337B">
        <w:rPr>
          <w:rFonts w:cs="Vrinda"/>
          <w:lang w:val="en-US"/>
        </w:rPr>
        <w:t>people living with HIV</w:t>
      </w:r>
      <w:r w:rsidR="007B109F" w:rsidRPr="009F337B">
        <w:rPr>
          <w:rFonts w:cs="Vrinda"/>
          <w:lang w:val="en-US"/>
        </w:rPr>
        <w:t xml:space="preserve">. </w:t>
      </w:r>
      <w:r w:rsidRPr="009F337B">
        <w:rPr>
          <w:rFonts w:cs="Vrinda"/>
          <w:lang w:val="en-US"/>
        </w:rPr>
        <w:t>This training must include inform</w:t>
      </w:r>
      <w:r w:rsidR="00CD72A7" w:rsidRPr="009F337B">
        <w:rPr>
          <w:rFonts w:cs="Vrinda"/>
          <w:lang w:val="en-US"/>
        </w:rPr>
        <w:t>a</w:t>
      </w:r>
      <w:r w:rsidRPr="009F337B">
        <w:rPr>
          <w:rFonts w:cs="Vrinda"/>
          <w:lang w:val="en-US"/>
        </w:rPr>
        <w:t>tion on best care practices</w:t>
      </w:r>
      <w:r w:rsidR="004F3C01" w:rsidRPr="009F337B">
        <w:rPr>
          <w:rFonts w:cs="Vrinda"/>
          <w:lang w:val="en-US"/>
        </w:rPr>
        <w:t>, patient</w:t>
      </w:r>
      <w:r w:rsidR="00CD72A7" w:rsidRPr="009F337B">
        <w:rPr>
          <w:rFonts w:cs="Vrinda"/>
          <w:lang w:val="en-US"/>
        </w:rPr>
        <w:t>s’</w:t>
      </w:r>
      <w:r w:rsidR="004F3C01" w:rsidRPr="009F337B">
        <w:rPr>
          <w:rFonts w:cs="Vrinda"/>
          <w:lang w:val="en-US"/>
        </w:rPr>
        <w:t xml:space="preserve"> rights, and the obligations of the authorities. </w:t>
      </w:r>
      <w:r w:rsidR="00CD72A7" w:rsidRPr="009F337B">
        <w:rPr>
          <w:rFonts w:cs="Vrinda"/>
          <w:lang w:val="en-US"/>
        </w:rPr>
        <w:t>In addition</w:t>
      </w:r>
      <w:r w:rsidR="004F3C01" w:rsidRPr="009F337B">
        <w:rPr>
          <w:rFonts w:cs="Vrinda"/>
          <w:lang w:val="en-US"/>
        </w:rPr>
        <w:t>, this training must be provide</w:t>
      </w:r>
      <w:r w:rsidR="00CD72A7" w:rsidRPr="009F337B">
        <w:rPr>
          <w:rFonts w:cs="Vrinda"/>
          <w:lang w:val="en-US"/>
        </w:rPr>
        <w:t>d</w:t>
      </w:r>
      <w:r w:rsidR="004F3C01" w:rsidRPr="009F337B">
        <w:rPr>
          <w:rFonts w:cs="Vrinda"/>
          <w:lang w:val="en-US"/>
        </w:rPr>
        <w:t xml:space="preserve"> by medical and legal experts </w:t>
      </w:r>
      <w:r w:rsidR="00CD72A7" w:rsidRPr="009F337B">
        <w:rPr>
          <w:rFonts w:cs="Vrinda"/>
          <w:lang w:val="en-US"/>
        </w:rPr>
        <w:t xml:space="preserve">for a reasonable time </w:t>
      </w:r>
      <w:r w:rsidR="004F3C01" w:rsidRPr="009F337B">
        <w:rPr>
          <w:rFonts w:cs="Vrinda"/>
          <w:lang w:val="en-US"/>
        </w:rPr>
        <w:t>and must be implemented with a gender perspective.</w:t>
      </w:r>
    </w:p>
    <w:p w14:paraId="7BFB5D58" w14:textId="77777777" w:rsidR="0061727E" w:rsidRPr="009F337B" w:rsidRDefault="0061727E" w:rsidP="0061727E">
      <w:pPr>
        <w:tabs>
          <w:tab w:val="left" w:pos="709"/>
          <w:tab w:val="left" w:pos="1134"/>
        </w:tabs>
        <w:ind w:right="-4"/>
        <w:rPr>
          <w:rFonts w:cs="Vrinda"/>
          <w:lang w:val="en-US"/>
        </w:rPr>
      </w:pPr>
    </w:p>
    <w:p w14:paraId="50768F1E" w14:textId="51342056" w:rsidR="004F3C01" w:rsidRPr="009F337B" w:rsidRDefault="004F3C01" w:rsidP="00593E37">
      <w:pPr>
        <w:numPr>
          <w:ilvl w:val="0"/>
          <w:numId w:val="1"/>
        </w:numPr>
        <w:tabs>
          <w:tab w:val="left" w:pos="709"/>
          <w:tab w:val="left" w:pos="1134"/>
        </w:tabs>
        <w:ind w:left="0" w:right="-4" w:firstLine="0"/>
        <w:rPr>
          <w:rFonts w:cs="Vrinda"/>
          <w:lang w:val="en-US"/>
        </w:rPr>
      </w:pPr>
      <w:r w:rsidRPr="009F337B">
        <w:rPr>
          <w:rFonts w:cs="Vrinda"/>
          <w:lang w:val="en-US"/>
        </w:rPr>
        <w:t>Third</w:t>
      </w:r>
      <w:r w:rsidR="00170EB6" w:rsidRPr="009F337B">
        <w:rPr>
          <w:rFonts w:cs="Vrinda"/>
          <w:lang w:val="en-US"/>
        </w:rPr>
        <w:t xml:space="preserve">, </w:t>
      </w:r>
      <w:r w:rsidR="003C46A3" w:rsidRPr="009F337B">
        <w:rPr>
          <w:rFonts w:cs="Vrinda"/>
          <w:lang w:val="en-US"/>
        </w:rPr>
        <w:t>the State</w:t>
      </w:r>
      <w:r w:rsidR="00170EB6" w:rsidRPr="009F337B">
        <w:rPr>
          <w:rFonts w:cs="Vrinda"/>
          <w:lang w:val="en-US"/>
        </w:rPr>
        <w:t xml:space="preserve"> </w:t>
      </w:r>
      <w:r w:rsidRPr="009F337B">
        <w:rPr>
          <w:rFonts w:cs="Vrinda"/>
          <w:lang w:val="en-US"/>
        </w:rPr>
        <w:t xml:space="preserve">must guarantee that pregnant women have access to HIV testing, and undergo this if they so wish. The State must provide periodic monitoring </w:t>
      </w:r>
      <w:r w:rsidR="00CD72A7" w:rsidRPr="009F337B">
        <w:rPr>
          <w:rFonts w:cs="Vrinda"/>
          <w:lang w:val="en-US"/>
        </w:rPr>
        <w:t>for</w:t>
      </w:r>
      <w:r w:rsidRPr="009F337B">
        <w:rPr>
          <w:rFonts w:cs="Vrinda"/>
          <w:lang w:val="en-US"/>
        </w:rPr>
        <w:t xml:space="preserve"> pregnant women living with HIV, a</w:t>
      </w:r>
      <w:r w:rsidR="00CD72A7" w:rsidRPr="009F337B">
        <w:rPr>
          <w:rFonts w:cs="Vrinda"/>
          <w:lang w:val="en-US"/>
        </w:rPr>
        <w:t xml:space="preserve">s well as </w:t>
      </w:r>
      <w:r w:rsidRPr="009F337B">
        <w:rPr>
          <w:rFonts w:cs="Vrinda"/>
          <w:lang w:val="en-US"/>
        </w:rPr>
        <w:t xml:space="preserve">adequate medical treatment to avoid </w:t>
      </w:r>
      <w:r w:rsidR="00CD72A7" w:rsidRPr="009F337B">
        <w:rPr>
          <w:rFonts w:cs="Vrinda"/>
          <w:lang w:val="en-US"/>
        </w:rPr>
        <w:t>vertical</w:t>
      </w:r>
      <w:r w:rsidRPr="009F337B">
        <w:rPr>
          <w:rFonts w:cs="Vrinda"/>
          <w:lang w:val="en-US"/>
        </w:rPr>
        <w:t xml:space="preserve"> transmission of the virus, without prejudice to the provisions </w:t>
      </w:r>
      <w:r w:rsidR="00CD72A7" w:rsidRPr="009F337B">
        <w:rPr>
          <w:rFonts w:cs="Vrinda"/>
          <w:lang w:val="en-US"/>
        </w:rPr>
        <w:t>of</w:t>
      </w:r>
      <w:r w:rsidRPr="009F337B">
        <w:rPr>
          <w:rFonts w:cs="Vrinda"/>
          <w:lang w:val="en-US"/>
        </w:rPr>
        <w:t xml:space="preserve"> </w:t>
      </w:r>
      <w:r w:rsidR="00C60B17" w:rsidRPr="009F337B">
        <w:rPr>
          <w:rFonts w:cs="Vrinda"/>
          <w:lang w:val="en-US"/>
        </w:rPr>
        <w:t>paragraph</w:t>
      </w:r>
      <w:r w:rsidR="00BD0EDF" w:rsidRPr="009F337B">
        <w:rPr>
          <w:rFonts w:cs="Vrinda"/>
          <w:lang w:val="en-US"/>
        </w:rPr>
        <w:t xml:space="preserve"> </w:t>
      </w:r>
      <w:r w:rsidR="007F51DE" w:rsidRPr="009F337B">
        <w:rPr>
          <w:rFonts w:cs="Vrinda"/>
          <w:lang w:val="en-US"/>
        </w:rPr>
        <w:t>226</w:t>
      </w:r>
      <w:r w:rsidR="001D26A2" w:rsidRPr="009F337B">
        <w:rPr>
          <w:rFonts w:cs="Vrinda"/>
          <w:lang w:val="en-US"/>
        </w:rPr>
        <w:t xml:space="preserve"> </w:t>
      </w:r>
      <w:r w:rsidRPr="009F337B">
        <w:rPr>
          <w:rFonts w:cs="Vrinda"/>
          <w:lang w:val="en-US"/>
        </w:rPr>
        <w:t>of this judgement</w:t>
      </w:r>
      <w:r w:rsidR="00170EB6" w:rsidRPr="009F337B">
        <w:rPr>
          <w:rFonts w:cs="Vrinda"/>
          <w:lang w:val="en-US"/>
        </w:rPr>
        <w:t xml:space="preserve">. </w:t>
      </w:r>
      <w:r w:rsidRPr="009F337B">
        <w:rPr>
          <w:rFonts w:cs="Vrinda"/>
          <w:lang w:val="en-US"/>
        </w:rPr>
        <w:t xml:space="preserve">To this end, as it has in other cases, the Court orders the State to design a publication or a booklet with a clear and accessible summary of the ways to prevent </w:t>
      </w:r>
      <w:r w:rsidR="00CD72A7" w:rsidRPr="009F337B">
        <w:rPr>
          <w:rFonts w:cs="Vrinda"/>
          <w:lang w:val="en-US"/>
        </w:rPr>
        <w:t>HIV</w:t>
      </w:r>
      <w:r w:rsidRPr="009F337B">
        <w:rPr>
          <w:rFonts w:cs="Vrinda"/>
          <w:lang w:val="en-US"/>
        </w:rPr>
        <w:t xml:space="preserve"> transmission and on the risk of </w:t>
      </w:r>
      <w:r w:rsidR="00CD72A7" w:rsidRPr="009F337B">
        <w:rPr>
          <w:rFonts w:cs="Vrinda"/>
          <w:lang w:val="en-US"/>
        </w:rPr>
        <w:t>vertical</w:t>
      </w:r>
      <w:r w:rsidRPr="009F337B">
        <w:rPr>
          <w:rFonts w:cs="Vrinda"/>
          <w:lang w:val="en-US"/>
        </w:rPr>
        <w:t xml:space="preserve"> transmission of th</w:t>
      </w:r>
      <w:r w:rsidR="00CD72A7" w:rsidRPr="009F337B">
        <w:rPr>
          <w:rFonts w:cs="Vrinda"/>
          <w:lang w:val="en-US"/>
        </w:rPr>
        <w:t>e</w:t>
      </w:r>
      <w:r w:rsidRPr="009F337B">
        <w:rPr>
          <w:rFonts w:cs="Vrinda"/>
          <w:lang w:val="en-US"/>
        </w:rPr>
        <w:t xml:space="preserve"> virus, as well as on the resources available to minimize this risk. This publication should be made available in all public and private hospitals in </w:t>
      </w:r>
      <w:r w:rsidRPr="009F337B">
        <w:rPr>
          <w:rFonts w:cs="Vrinda"/>
          <w:lang w:val="en-US"/>
        </w:rPr>
        <w:lastRenderedPageBreak/>
        <w:t xml:space="preserve">Guatemala </w:t>
      </w:r>
      <w:r w:rsidR="00CD72A7" w:rsidRPr="009F337B">
        <w:rPr>
          <w:rFonts w:cs="Vrinda"/>
          <w:lang w:val="en-US"/>
        </w:rPr>
        <w:t>to</w:t>
      </w:r>
      <w:r w:rsidRPr="009F337B">
        <w:rPr>
          <w:rFonts w:cs="Vrinda"/>
          <w:lang w:val="en-US"/>
        </w:rPr>
        <w:t xml:space="preserve"> both patients and medical personnel. Also, access to this publication or booklet should be provided through civil society organizations </w:t>
      </w:r>
      <w:r w:rsidR="00CD72A7" w:rsidRPr="009F337B">
        <w:rPr>
          <w:rFonts w:cs="Vrinda"/>
          <w:lang w:val="en-US"/>
        </w:rPr>
        <w:t xml:space="preserve">that </w:t>
      </w:r>
      <w:r w:rsidRPr="009F337B">
        <w:rPr>
          <w:rFonts w:cs="Vrinda"/>
          <w:lang w:val="en-US"/>
        </w:rPr>
        <w:t>work</w:t>
      </w:r>
      <w:r w:rsidR="00CD72A7" w:rsidRPr="009F337B">
        <w:rPr>
          <w:rFonts w:cs="Vrinda"/>
          <w:lang w:val="en-US"/>
        </w:rPr>
        <w:t xml:space="preserve"> in this area</w:t>
      </w:r>
      <w:r w:rsidRPr="009F337B">
        <w:rPr>
          <w:rFonts w:cs="Vrinda"/>
          <w:lang w:val="en-US"/>
        </w:rPr>
        <w:t>.</w:t>
      </w:r>
    </w:p>
    <w:p w14:paraId="633F4F92" w14:textId="77777777" w:rsidR="0061727E" w:rsidRPr="009F337B" w:rsidRDefault="0061727E" w:rsidP="0061727E">
      <w:pPr>
        <w:tabs>
          <w:tab w:val="left" w:pos="709"/>
          <w:tab w:val="left" w:pos="1134"/>
        </w:tabs>
        <w:ind w:right="-4"/>
        <w:rPr>
          <w:rFonts w:cs="Vrinda"/>
          <w:lang w:val="en-US"/>
        </w:rPr>
      </w:pPr>
    </w:p>
    <w:p w14:paraId="5E593BAB" w14:textId="5F0CBCF1" w:rsidR="004F3C01" w:rsidRPr="009F337B" w:rsidRDefault="004F3C01" w:rsidP="00593E37">
      <w:pPr>
        <w:numPr>
          <w:ilvl w:val="0"/>
          <w:numId w:val="1"/>
        </w:numPr>
        <w:tabs>
          <w:tab w:val="left" w:pos="709"/>
          <w:tab w:val="left" w:pos="1134"/>
        </w:tabs>
        <w:ind w:left="0" w:right="-4" w:firstLine="0"/>
        <w:rPr>
          <w:rFonts w:cs="Vrinda"/>
          <w:lang w:val="en-US"/>
        </w:rPr>
      </w:pPr>
      <w:r w:rsidRPr="009F337B">
        <w:rPr>
          <w:rFonts w:cs="Vrinda"/>
          <w:lang w:val="en-US"/>
        </w:rPr>
        <w:t xml:space="preserve">Fourth, as a way of contributing to non-repetition of facts such as those of this case, the Court finds it appropriate to order the State to conduct a national awareness-raising campaign addressed at people living with HIV, public officials, and the general public, on the rights of </w:t>
      </w:r>
      <w:r w:rsidRPr="009F337B">
        <w:rPr>
          <w:lang w:val="en-US"/>
        </w:rPr>
        <w:t xml:space="preserve">people living with HIV, on the obligations that the authorities have to provide care </w:t>
      </w:r>
      <w:r w:rsidR="00CD72A7" w:rsidRPr="009F337B">
        <w:rPr>
          <w:lang w:val="en-US"/>
        </w:rPr>
        <w:t>to</w:t>
      </w:r>
      <w:r w:rsidRPr="009F337B">
        <w:rPr>
          <w:lang w:val="en-US"/>
        </w:rPr>
        <w:t xml:space="preserve"> them, and about the need to respect people living with this condition. This campaign must be aimed at combating the stigma and lack of information about the causes</w:t>
      </w:r>
      <w:r w:rsidR="00CD72A7" w:rsidRPr="009F337B">
        <w:rPr>
          <w:lang w:val="en-US"/>
        </w:rPr>
        <w:t xml:space="preserve"> of HIV</w:t>
      </w:r>
      <w:r w:rsidRPr="009F337B">
        <w:rPr>
          <w:lang w:val="en-US"/>
        </w:rPr>
        <w:t xml:space="preserve"> and </w:t>
      </w:r>
      <w:r w:rsidR="00CD72A7" w:rsidRPr="009F337B">
        <w:rPr>
          <w:lang w:val="en-US"/>
        </w:rPr>
        <w:t xml:space="preserve">the </w:t>
      </w:r>
      <w:r w:rsidRPr="009F337B">
        <w:rPr>
          <w:lang w:val="en-US"/>
        </w:rPr>
        <w:t>consequences for the health of people living with HIV. In addition, th</w:t>
      </w:r>
      <w:r w:rsidR="00CD72A7" w:rsidRPr="009F337B">
        <w:rPr>
          <w:lang w:val="en-US"/>
        </w:rPr>
        <w:t>e</w:t>
      </w:r>
      <w:r w:rsidRPr="009F337B">
        <w:rPr>
          <w:lang w:val="en-US"/>
        </w:rPr>
        <w:t xml:space="preserve"> campaign must have a gender perspective and be comprehensible for the whole population.</w:t>
      </w:r>
    </w:p>
    <w:p w14:paraId="5DC4C180" w14:textId="77777777" w:rsidR="0061727E" w:rsidRPr="009F337B" w:rsidRDefault="0061727E" w:rsidP="0061727E">
      <w:pPr>
        <w:tabs>
          <w:tab w:val="left" w:pos="709"/>
          <w:tab w:val="left" w:pos="1134"/>
        </w:tabs>
        <w:ind w:right="-4"/>
        <w:rPr>
          <w:rFonts w:cs="Vrinda"/>
          <w:lang w:val="en-US"/>
        </w:rPr>
      </w:pPr>
    </w:p>
    <w:p w14:paraId="045234CB" w14:textId="3DDB03BC" w:rsidR="003B65D2" w:rsidRPr="009F337B" w:rsidRDefault="004F3C01" w:rsidP="00593E37">
      <w:pPr>
        <w:numPr>
          <w:ilvl w:val="0"/>
          <w:numId w:val="1"/>
        </w:numPr>
        <w:tabs>
          <w:tab w:val="left" w:pos="709"/>
          <w:tab w:val="left" w:pos="1134"/>
        </w:tabs>
        <w:ind w:left="0" w:right="-4" w:firstLine="0"/>
        <w:rPr>
          <w:rFonts w:cs="Vrinda"/>
          <w:lang w:val="en-US"/>
        </w:rPr>
      </w:pPr>
      <w:r w:rsidRPr="009F337B">
        <w:rPr>
          <w:rFonts w:cs="Vrinda"/>
          <w:lang w:val="en-US"/>
        </w:rPr>
        <w:t>The State must report e</w:t>
      </w:r>
      <w:r w:rsidR="00CD72A7" w:rsidRPr="009F337B">
        <w:rPr>
          <w:rFonts w:cs="Vrinda"/>
          <w:lang w:val="en-US"/>
        </w:rPr>
        <w:t>very</w:t>
      </w:r>
      <w:r w:rsidRPr="009F337B">
        <w:rPr>
          <w:rFonts w:cs="Vrinda"/>
          <w:lang w:val="en-US"/>
        </w:rPr>
        <w:t xml:space="preserve"> year</w:t>
      </w:r>
      <w:r w:rsidR="00CD72A7" w:rsidRPr="009F337B">
        <w:rPr>
          <w:rFonts w:cs="Vrinda"/>
          <w:lang w:val="en-US"/>
        </w:rPr>
        <w:t>, for three years,</w:t>
      </w:r>
      <w:r w:rsidRPr="009F337B">
        <w:rPr>
          <w:rFonts w:cs="Vrinda"/>
          <w:lang w:val="en-US"/>
        </w:rPr>
        <w:t xml:space="preserve"> on the progress made on the above guarantees of non-repetition </w:t>
      </w:r>
      <w:r w:rsidR="00E316B6" w:rsidRPr="009F337B">
        <w:rPr>
          <w:rFonts w:cs="Vrinda"/>
          <w:lang w:val="en-US"/>
        </w:rPr>
        <w:t>(</w:t>
      </w:r>
      <w:r w:rsidR="00E316B6" w:rsidRPr="009F337B">
        <w:rPr>
          <w:rFonts w:cs="Vrinda"/>
          <w:i/>
          <w:lang w:val="en-US"/>
        </w:rPr>
        <w:t>supra</w:t>
      </w:r>
      <w:r w:rsidR="00E316B6" w:rsidRPr="009F337B">
        <w:rPr>
          <w:rFonts w:cs="Vrinda"/>
          <w:lang w:val="en-US"/>
        </w:rPr>
        <w:t xml:space="preserve"> </w:t>
      </w:r>
      <w:r w:rsidR="00B63594" w:rsidRPr="009F337B">
        <w:rPr>
          <w:rFonts w:cs="Vrinda"/>
          <w:lang w:val="en-US"/>
        </w:rPr>
        <w:t>paras.</w:t>
      </w:r>
      <w:r w:rsidR="009106EF" w:rsidRPr="009F337B">
        <w:rPr>
          <w:rFonts w:cs="Vrinda"/>
          <w:lang w:val="en-US"/>
        </w:rPr>
        <w:t xml:space="preserve"> 22</w:t>
      </w:r>
      <w:r w:rsidR="007F51DE" w:rsidRPr="009F337B">
        <w:rPr>
          <w:rFonts w:cs="Vrinda"/>
          <w:lang w:val="en-US"/>
        </w:rPr>
        <w:t xml:space="preserve">5 </w:t>
      </w:r>
      <w:r w:rsidRPr="009F337B">
        <w:rPr>
          <w:rFonts w:cs="Vrinda"/>
          <w:lang w:val="en-US"/>
        </w:rPr>
        <w:t>to</w:t>
      </w:r>
      <w:r w:rsidR="007F51DE" w:rsidRPr="009F337B">
        <w:rPr>
          <w:rFonts w:cs="Vrinda"/>
          <w:lang w:val="en-US"/>
        </w:rPr>
        <w:t xml:space="preserve"> 229</w:t>
      </w:r>
      <w:r w:rsidR="00E316B6" w:rsidRPr="009F337B">
        <w:rPr>
          <w:rFonts w:cs="Vrinda"/>
          <w:lang w:val="en-US"/>
        </w:rPr>
        <w:t>)</w:t>
      </w:r>
      <w:r w:rsidRPr="009F337B">
        <w:rPr>
          <w:rFonts w:cs="Vrinda"/>
          <w:lang w:val="en-US"/>
        </w:rPr>
        <w:t>. The Court will assess this information when monitoring compliance with the ju</w:t>
      </w:r>
      <w:r w:rsidR="00CD72A7" w:rsidRPr="009F337B">
        <w:rPr>
          <w:rFonts w:cs="Vrinda"/>
          <w:lang w:val="en-US"/>
        </w:rPr>
        <w:t>d</w:t>
      </w:r>
      <w:r w:rsidRPr="009F337B">
        <w:rPr>
          <w:rFonts w:cs="Vrinda"/>
          <w:lang w:val="en-US"/>
        </w:rPr>
        <w:t>gment and will rule in this regard.</w:t>
      </w:r>
    </w:p>
    <w:p w14:paraId="1C497149" w14:textId="77777777" w:rsidR="0061727E" w:rsidRPr="009F337B" w:rsidRDefault="0061727E" w:rsidP="0061727E">
      <w:pPr>
        <w:tabs>
          <w:tab w:val="left" w:pos="709"/>
          <w:tab w:val="left" w:pos="1134"/>
        </w:tabs>
        <w:ind w:right="-4"/>
        <w:rPr>
          <w:rFonts w:cs="Vrinda"/>
          <w:lang w:val="en-US"/>
        </w:rPr>
      </w:pPr>
    </w:p>
    <w:p w14:paraId="25541FC4" w14:textId="2EE321C8" w:rsidR="0061727E" w:rsidRPr="009F337B" w:rsidRDefault="00640C52" w:rsidP="0061727E">
      <w:pPr>
        <w:pStyle w:val="Ttulo2"/>
        <w:spacing w:before="0" w:after="0"/>
        <w:rPr>
          <w:lang w:val="en-US"/>
        </w:rPr>
      </w:pPr>
      <w:r w:rsidRPr="009F337B">
        <w:rPr>
          <w:lang w:val="en-US"/>
        </w:rPr>
        <w:t>Compensation</w:t>
      </w:r>
    </w:p>
    <w:p w14:paraId="3D87D3E7" w14:textId="77777777" w:rsidR="0061727E" w:rsidRPr="009F337B" w:rsidRDefault="0061727E" w:rsidP="0061727E">
      <w:pPr>
        <w:rPr>
          <w:lang w:val="en-US"/>
        </w:rPr>
      </w:pPr>
    </w:p>
    <w:p w14:paraId="27803DE7" w14:textId="3AC9C6E1" w:rsidR="006F704E" w:rsidRPr="009F337B" w:rsidRDefault="00E841F7" w:rsidP="00E841F7">
      <w:pPr>
        <w:pStyle w:val="Estilo1"/>
        <w:tabs>
          <w:tab w:val="left" w:pos="709"/>
          <w:tab w:val="left" w:pos="1134"/>
        </w:tabs>
        <w:spacing w:after="0"/>
        <w:ind w:left="0" w:right="-4" w:firstLine="0"/>
        <w:rPr>
          <w:rFonts w:eastAsia="Times" w:cs="Arial"/>
          <w:b/>
          <w:szCs w:val="20"/>
          <w:lang w:val="en-US"/>
        </w:rPr>
      </w:pPr>
      <w:r w:rsidRPr="009F337B">
        <w:rPr>
          <w:rFonts w:eastAsia="Times" w:cs="Arial"/>
          <w:b/>
          <w:szCs w:val="20"/>
          <w:lang w:val="en-US"/>
        </w:rPr>
        <w:tab/>
      </w:r>
      <w:r w:rsidRPr="009F337B">
        <w:rPr>
          <w:rFonts w:eastAsia="Times" w:cs="Arial"/>
          <w:b/>
          <w:szCs w:val="20"/>
          <w:lang w:val="en-US"/>
        </w:rPr>
        <w:tab/>
      </w:r>
      <w:r w:rsidR="006F704E" w:rsidRPr="009F337B">
        <w:rPr>
          <w:rFonts w:eastAsia="Times" w:cs="Arial"/>
          <w:b/>
          <w:szCs w:val="20"/>
          <w:lang w:val="en-US"/>
        </w:rPr>
        <w:t>C.1</w:t>
      </w:r>
      <w:r w:rsidR="008A483A" w:rsidRPr="009F337B">
        <w:rPr>
          <w:rFonts w:eastAsia="Times" w:cs="Arial"/>
          <w:b/>
          <w:szCs w:val="20"/>
          <w:lang w:val="en-US"/>
        </w:rPr>
        <w:t>.</w:t>
      </w:r>
      <w:r w:rsidR="006F704E" w:rsidRPr="009F337B">
        <w:rPr>
          <w:rFonts w:eastAsia="Times" w:cs="Arial"/>
          <w:b/>
          <w:szCs w:val="20"/>
          <w:lang w:val="en-US"/>
        </w:rPr>
        <w:t xml:space="preserve"> </w:t>
      </w:r>
      <w:r w:rsidR="004F3C01" w:rsidRPr="009F337B">
        <w:rPr>
          <w:rFonts w:eastAsia="Times" w:cs="Arial"/>
          <w:b/>
          <w:szCs w:val="20"/>
          <w:lang w:val="en-US"/>
        </w:rPr>
        <w:t>Pecuniary damage</w:t>
      </w:r>
    </w:p>
    <w:p w14:paraId="2EE6F4DA" w14:textId="77777777" w:rsidR="00F12B1C" w:rsidRPr="009F337B" w:rsidRDefault="00F12B1C" w:rsidP="0061727E">
      <w:pPr>
        <w:rPr>
          <w:rFonts w:cs="Vrinda"/>
          <w:lang w:val="en-US"/>
        </w:rPr>
      </w:pPr>
    </w:p>
    <w:p w14:paraId="496F1860" w14:textId="3F5682BA" w:rsidR="008A483A" w:rsidRPr="009F337B" w:rsidRDefault="00E841F7" w:rsidP="0061727E">
      <w:pPr>
        <w:rPr>
          <w:rFonts w:cs="Vrinda"/>
          <w:b/>
          <w:i/>
          <w:lang w:val="en-US"/>
        </w:rPr>
      </w:pPr>
      <w:r w:rsidRPr="009F337B">
        <w:rPr>
          <w:rFonts w:cs="Vrinda"/>
          <w:b/>
          <w:i/>
          <w:lang w:val="en-US"/>
        </w:rPr>
        <w:tab/>
      </w:r>
      <w:r w:rsidRPr="009F337B">
        <w:rPr>
          <w:rFonts w:cs="Vrinda"/>
          <w:b/>
          <w:i/>
          <w:lang w:val="en-US"/>
        </w:rPr>
        <w:tab/>
      </w:r>
      <w:r w:rsidRPr="009F337B">
        <w:rPr>
          <w:rFonts w:cs="Vrinda"/>
          <w:b/>
          <w:i/>
          <w:lang w:val="en-US"/>
        </w:rPr>
        <w:tab/>
      </w:r>
      <w:r w:rsidR="008A483A" w:rsidRPr="009F337B">
        <w:rPr>
          <w:rFonts w:cs="Vrinda"/>
          <w:b/>
          <w:i/>
          <w:lang w:val="en-US"/>
        </w:rPr>
        <w:t xml:space="preserve">C.1.1. </w:t>
      </w:r>
      <w:r w:rsidR="0027465E" w:rsidRPr="009F337B">
        <w:rPr>
          <w:rFonts w:cs="Vrinda"/>
          <w:b/>
          <w:i/>
          <w:lang w:val="en-US"/>
        </w:rPr>
        <w:t>Arguments of the Commission and the parties</w:t>
      </w:r>
    </w:p>
    <w:p w14:paraId="40AFD8A6" w14:textId="77777777" w:rsidR="0061727E" w:rsidRPr="009F337B" w:rsidRDefault="0061727E" w:rsidP="0061727E">
      <w:pPr>
        <w:rPr>
          <w:rFonts w:cs="Vrinda"/>
          <w:lang w:val="en-US"/>
        </w:rPr>
      </w:pPr>
    </w:p>
    <w:p w14:paraId="48CDB9CD" w14:textId="162B0EFA" w:rsidR="0061727E" w:rsidRPr="009F337B" w:rsidRDefault="00AE5F9E" w:rsidP="00593E37">
      <w:pPr>
        <w:numPr>
          <w:ilvl w:val="0"/>
          <w:numId w:val="1"/>
        </w:numPr>
        <w:tabs>
          <w:tab w:val="left" w:pos="709"/>
          <w:tab w:val="left" w:pos="1134"/>
        </w:tabs>
        <w:ind w:left="0" w:right="-4" w:firstLine="0"/>
        <w:rPr>
          <w:rFonts w:cs="Vrinda"/>
          <w:noProof w:val="0"/>
          <w:lang w:val="en-US"/>
        </w:rPr>
      </w:pPr>
      <w:r w:rsidRPr="009F337B">
        <w:rPr>
          <w:rFonts w:cs="Vrinda"/>
          <w:lang w:val="en-US"/>
        </w:rPr>
        <w:t xml:space="preserve">The </w:t>
      </w:r>
      <w:r w:rsidRPr="009F337B">
        <w:rPr>
          <w:rFonts w:cs="Vrinda"/>
          <w:b/>
          <w:i/>
          <w:lang w:val="en-US"/>
        </w:rPr>
        <w:t>Commission</w:t>
      </w:r>
      <w:r w:rsidR="006F704E" w:rsidRPr="009F337B">
        <w:rPr>
          <w:rFonts w:cs="Vrinda"/>
          <w:lang w:val="en-US"/>
        </w:rPr>
        <w:t xml:space="preserve"> </w:t>
      </w:r>
      <w:r w:rsidR="004F3C01" w:rsidRPr="009F337B">
        <w:rPr>
          <w:rFonts w:cs="Vrinda"/>
          <w:lang w:val="en-US"/>
        </w:rPr>
        <w:t>asked</w:t>
      </w:r>
      <w:r w:rsidR="006F704E" w:rsidRPr="009F337B">
        <w:rPr>
          <w:rFonts w:cs="Vrinda"/>
          <w:lang w:val="en-US"/>
        </w:rPr>
        <w:t xml:space="preserve"> </w:t>
      </w:r>
      <w:r w:rsidRPr="009F337B">
        <w:rPr>
          <w:rFonts w:cs="Vrinda"/>
          <w:lang w:val="en-US"/>
        </w:rPr>
        <w:t>the Court</w:t>
      </w:r>
      <w:r w:rsidR="006F704E" w:rsidRPr="009F337B">
        <w:rPr>
          <w:rFonts w:cs="Vrinda"/>
          <w:lang w:val="en-US"/>
        </w:rPr>
        <w:t xml:space="preserve"> </w:t>
      </w:r>
      <w:r w:rsidR="004F3C01" w:rsidRPr="009F337B">
        <w:rPr>
          <w:rFonts w:cs="Vrinda"/>
          <w:lang w:val="en-US"/>
        </w:rPr>
        <w:t>to order the State to make full repar</w:t>
      </w:r>
      <w:r w:rsidR="00CD72A7" w:rsidRPr="009F337B">
        <w:rPr>
          <w:rFonts w:cs="Vrinda"/>
          <w:lang w:val="en-US"/>
        </w:rPr>
        <w:t>a</w:t>
      </w:r>
      <w:r w:rsidR="004F3C01" w:rsidRPr="009F337B">
        <w:rPr>
          <w:rFonts w:cs="Vrinda"/>
          <w:lang w:val="en-US"/>
        </w:rPr>
        <w:t xml:space="preserve">tion to the surviving victims and to their </w:t>
      </w:r>
      <w:r w:rsidR="0010522A" w:rsidRPr="009F337B">
        <w:rPr>
          <w:rFonts w:cs="Vrinda"/>
          <w:lang w:val="en-US"/>
        </w:rPr>
        <w:t>next of kin</w:t>
      </w:r>
      <w:r w:rsidR="003C46A3" w:rsidRPr="009F337B">
        <w:rPr>
          <w:rFonts w:cs="Vrinda"/>
          <w:lang w:val="en-US"/>
        </w:rPr>
        <w:t xml:space="preserve"> and </w:t>
      </w:r>
      <w:r w:rsidR="004F3C01" w:rsidRPr="009F337B">
        <w:rPr>
          <w:rFonts w:cs="Vrinda"/>
          <w:lang w:val="en-US"/>
        </w:rPr>
        <w:t>loved ones</w:t>
      </w:r>
      <w:r w:rsidR="006F704E" w:rsidRPr="009F337B">
        <w:rPr>
          <w:rFonts w:cs="Vrinda"/>
          <w:lang w:val="en-US"/>
        </w:rPr>
        <w:t xml:space="preserve">, </w:t>
      </w:r>
      <w:r w:rsidR="00A14018" w:rsidRPr="009F337B">
        <w:rPr>
          <w:rFonts w:cs="Vrinda"/>
          <w:lang w:val="en-US"/>
        </w:rPr>
        <w:t>inclu</w:t>
      </w:r>
      <w:r w:rsidR="004F3C01" w:rsidRPr="009F337B">
        <w:rPr>
          <w:rFonts w:cs="Vrinda"/>
          <w:lang w:val="en-US"/>
        </w:rPr>
        <w:t xml:space="preserve">ding the pecuniary aspects. </w:t>
      </w:r>
    </w:p>
    <w:p w14:paraId="080B2B95" w14:textId="77777777" w:rsidR="004F3C01" w:rsidRPr="009F337B" w:rsidRDefault="004F3C01" w:rsidP="004F3C01">
      <w:pPr>
        <w:tabs>
          <w:tab w:val="left" w:pos="709"/>
          <w:tab w:val="left" w:pos="1134"/>
        </w:tabs>
        <w:ind w:right="-4"/>
        <w:rPr>
          <w:rFonts w:cs="Vrinda"/>
          <w:noProof w:val="0"/>
          <w:lang w:val="en-US"/>
        </w:rPr>
      </w:pPr>
    </w:p>
    <w:p w14:paraId="5A7D8E68" w14:textId="68980395" w:rsidR="006F704E" w:rsidRPr="009F337B" w:rsidRDefault="007327F5" w:rsidP="00593E37">
      <w:pPr>
        <w:numPr>
          <w:ilvl w:val="0"/>
          <w:numId w:val="1"/>
        </w:numPr>
        <w:tabs>
          <w:tab w:val="left" w:pos="709"/>
          <w:tab w:val="left" w:pos="1134"/>
        </w:tabs>
        <w:ind w:left="0" w:right="-4" w:firstLine="0"/>
        <w:rPr>
          <w:rFonts w:cs="Vrinda"/>
          <w:lang w:val="en-US"/>
        </w:rPr>
      </w:pPr>
      <w:r w:rsidRPr="009F337B">
        <w:rPr>
          <w:rFonts w:cs="Vrinda"/>
          <w:lang w:val="en-US"/>
        </w:rPr>
        <w:t xml:space="preserve">The </w:t>
      </w:r>
      <w:r w:rsidRPr="009F337B">
        <w:rPr>
          <w:rFonts w:cs="Vrinda"/>
          <w:b/>
          <w:i/>
          <w:lang w:val="en-US"/>
        </w:rPr>
        <w:t>representatives</w:t>
      </w:r>
      <w:r w:rsidR="004F3C01" w:rsidRPr="009F337B">
        <w:rPr>
          <w:rFonts w:cs="Vrinda"/>
          <w:lang w:val="en-US"/>
        </w:rPr>
        <w:t xml:space="preserve"> asked that, when ordering the payment of pecuniary damages</w:t>
      </w:r>
      <w:r w:rsidR="006F704E" w:rsidRPr="009F337B">
        <w:rPr>
          <w:rFonts w:cs="Vrinda"/>
          <w:lang w:val="en-US"/>
        </w:rPr>
        <w:t xml:space="preserve">, </w:t>
      </w:r>
      <w:r w:rsidR="00AE5F9E" w:rsidRPr="009F337B">
        <w:rPr>
          <w:rFonts w:cs="Vrinda"/>
          <w:lang w:val="en-US"/>
        </w:rPr>
        <w:t>the Court</w:t>
      </w:r>
      <w:r w:rsidR="006F704E" w:rsidRPr="009F337B">
        <w:rPr>
          <w:rFonts w:cs="Vrinda"/>
          <w:lang w:val="en-US"/>
        </w:rPr>
        <w:t xml:space="preserve"> </w:t>
      </w:r>
      <w:r w:rsidR="004F3C01" w:rsidRPr="009F337B">
        <w:rPr>
          <w:rFonts w:cs="Vrinda"/>
          <w:lang w:val="en-US"/>
        </w:rPr>
        <w:t>take into account</w:t>
      </w:r>
      <w:r w:rsidR="00A14018" w:rsidRPr="009F337B">
        <w:rPr>
          <w:rFonts w:cs="Vrinda"/>
          <w:lang w:val="en-US"/>
        </w:rPr>
        <w:t>:</w:t>
      </w:r>
      <w:r w:rsidR="006F704E" w:rsidRPr="009F337B">
        <w:rPr>
          <w:rFonts w:cs="Vrinda"/>
          <w:lang w:val="en-US"/>
        </w:rPr>
        <w:t xml:space="preserve"> </w:t>
      </w:r>
      <w:r w:rsidR="004F3C01" w:rsidRPr="009F337B">
        <w:rPr>
          <w:rFonts w:cs="Vrinda"/>
          <w:lang w:val="en-US"/>
        </w:rPr>
        <w:t>(</w:t>
      </w:r>
      <w:r w:rsidR="006F704E" w:rsidRPr="009F337B">
        <w:rPr>
          <w:rFonts w:cs="Vrinda"/>
          <w:lang w:val="en-US"/>
        </w:rPr>
        <w:t xml:space="preserve">i) </w:t>
      </w:r>
      <w:r w:rsidR="004F3C01" w:rsidRPr="009F337B">
        <w:rPr>
          <w:rFonts w:cs="Vrinda"/>
          <w:lang w:val="en-US"/>
        </w:rPr>
        <w:t>the time that has elapsed since the victims were diagnosed, and (ii) that most of them are in a precarious financial situation, so that the expenses they incurred signified an important financial outlay</w:t>
      </w:r>
      <w:r w:rsidR="006F704E" w:rsidRPr="009F337B">
        <w:rPr>
          <w:rStyle w:val="Refdenotaalpie"/>
          <w:rFonts w:cs="Vrinda"/>
          <w:lang w:val="en-US"/>
        </w:rPr>
        <w:footnoteReference w:id="253"/>
      </w:r>
      <w:r w:rsidR="004F3C01" w:rsidRPr="009F337B">
        <w:rPr>
          <w:rFonts w:cs="Vrinda"/>
          <w:lang w:val="en-US"/>
        </w:rPr>
        <w:t xml:space="preserve"> and that, in some cases,</w:t>
      </w:r>
      <w:r w:rsidR="006F704E" w:rsidRPr="009F337B">
        <w:rPr>
          <w:rFonts w:cs="Vrinda"/>
          <w:lang w:val="en-US"/>
        </w:rPr>
        <w:t xml:space="preserve"> </w:t>
      </w:r>
      <w:r w:rsidR="004F3C01" w:rsidRPr="009F337B">
        <w:rPr>
          <w:rFonts w:cs="Vrinda"/>
          <w:lang w:val="en-US"/>
        </w:rPr>
        <w:t xml:space="preserve">the victims had to go into debt </w:t>
      </w:r>
      <w:r w:rsidR="00CA2D2B" w:rsidRPr="009F337B">
        <w:rPr>
          <w:rFonts w:cs="Vrinda"/>
          <w:lang w:val="en-US"/>
        </w:rPr>
        <w:t xml:space="preserve">to be able to pay them and, in others, they were unable to access treatment because they did not have the necessary resources. Furthermore, they alleged that the women who had </w:t>
      </w:r>
      <w:r w:rsidR="0020504F" w:rsidRPr="009F337B">
        <w:rPr>
          <w:rFonts w:cs="Vrinda"/>
          <w:lang w:val="en-US"/>
        </w:rPr>
        <w:t>children</w:t>
      </w:r>
      <w:r w:rsidR="00CA2D2B" w:rsidRPr="009F337B">
        <w:rPr>
          <w:rFonts w:cs="Vrinda"/>
          <w:lang w:val="en-US"/>
        </w:rPr>
        <w:t xml:space="preserve"> at that time incurred in the additional expense of having to buy formula milk so that their babies would not become infected, because this was not provided or was insufficient to ensure the alimentation of the newborns. Lastly, </w:t>
      </w:r>
      <w:r w:rsidRPr="009F337B">
        <w:rPr>
          <w:rFonts w:cs="Vrinda"/>
          <w:lang w:val="en-US"/>
        </w:rPr>
        <w:t>the representatives</w:t>
      </w:r>
      <w:r w:rsidR="006F704E" w:rsidRPr="009F337B">
        <w:rPr>
          <w:rFonts w:cs="Vrinda"/>
          <w:lang w:val="en-US"/>
        </w:rPr>
        <w:t xml:space="preserve"> </w:t>
      </w:r>
      <w:r w:rsidR="00CA2D2B" w:rsidRPr="009F337B">
        <w:rPr>
          <w:rFonts w:cs="Vrinda"/>
          <w:lang w:val="en-US"/>
        </w:rPr>
        <w:t>indicated that, due to the passage of time, the victims do not have vou</w:t>
      </w:r>
      <w:r w:rsidR="0020504F" w:rsidRPr="009F337B">
        <w:rPr>
          <w:rFonts w:cs="Vrinda"/>
          <w:lang w:val="en-US"/>
        </w:rPr>
        <w:t>c</w:t>
      </w:r>
      <w:r w:rsidR="00CA2D2B" w:rsidRPr="009F337B">
        <w:rPr>
          <w:rFonts w:cs="Vrinda"/>
          <w:lang w:val="en-US"/>
        </w:rPr>
        <w:t>hers for the said expenses</w:t>
      </w:r>
      <w:r w:rsidR="0020504F" w:rsidRPr="009F337B">
        <w:rPr>
          <w:rFonts w:cs="Vrinda"/>
          <w:lang w:val="en-US"/>
        </w:rPr>
        <w:t>;</w:t>
      </w:r>
      <w:r w:rsidR="00CA2D2B" w:rsidRPr="009F337B">
        <w:rPr>
          <w:rFonts w:cs="Vrinda"/>
          <w:lang w:val="en-US"/>
        </w:rPr>
        <w:t xml:space="preserve"> they therefore asked</w:t>
      </w:r>
      <w:r w:rsidR="006F704E" w:rsidRPr="009F337B">
        <w:rPr>
          <w:rFonts w:cs="Vrinda"/>
          <w:lang w:val="en-US"/>
        </w:rPr>
        <w:t xml:space="preserve"> </w:t>
      </w:r>
      <w:r w:rsidR="00AE5F9E" w:rsidRPr="009F337B">
        <w:rPr>
          <w:rFonts w:cs="Vrinda"/>
          <w:lang w:val="en-US"/>
        </w:rPr>
        <w:t>the Court</w:t>
      </w:r>
      <w:r w:rsidR="006F704E" w:rsidRPr="009F337B">
        <w:rPr>
          <w:rFonts w:cs="Vrinda"/>
          <w:lang w:val="en-US"/>
        </w:rPr>
        <w:t xml:space="preserve"> </w:t>
      </w:r>
      <w:r w:rsidR="00CA2D2B" w:rsidRPr="009F337B">
        <w:rPr>
          <w:rFonts w:cs="Vrinda"/>
          <w:lang w:val="en-US"/>
        </w:rPr>
        <w:t xml:space="preserve">to determine, in </w:t>
      </w:r>
      <w:r w:rsidR="0020504F" w:rsidRPr="009F337B">
        <w:rPr>
          <w:rFonts w:cs="Vrinda"/>
          <w:lang w:val="en-US"/>
        </w:rPr>
        <w:t>equity</w:t>
      </w:r>
      <w:r w:rsidR="00CA2D2B" w:rsidRPr="009F337B">
        <w:rPr>
          <w:rFonts w:cs="Vrinda"/>
          <w:lang w:val="en-US"/>
        </w:rPr>
        <w:t xml:space="preserve">, the amount </w:t>
      </w:r>
      <w:r w:rsidR="0084040D" w:rsidRPr="009F337B">
        <w:rPr>
          <w:rFonts w:cs="Vrinda"/>
          <w:lang w:val="en-US"/>
        </w:rPr>
        <w:t>corresponding to</w:t>
      </w:r>
      <w:r w:rsidR="006F704E" w:rsidRPr="009F337B">
        <w:rPr>
          <w:rFonts w:cs="Vrinda"/>
          <w:lang w:val="en-US"/>
        </w:rPr>
        <w:t xml:space="preserve"> </w:t>
      </w:r>
      <w:r w:rsidR="00CA2D2B" w:rsidRPr="009F337B">
        <w:rPr>
          <w:rFonts w:cs="Vrinda"/>
          <w:lang w:val="en-US"/>
        </w:rPr>
        <w:t>p</w:t>
      </w:r>
      <w:r w:rsidR="004F3C01" w:rsidRPr="009F337B">
        <w:rPr>
          <w:rFonts w:cs="Vrinda"/>
          <w:lang w:val="en-US"/>
        </w:rPr>
        <w:t>ecuniary damage</w:t>
      </w:r>
      <w:r w:rsidR="006F704E" w:rsidRPr="009F337B">
        <w:rPr>
          <w:rFonts w:cs="Vrinda"/>
          <w:lang w:val="en-US"/>
        </w:rPr>
        <w:t xml:space="preserve"> </w:t>
      </w:r>
      <w:r w:rsidR="00CA2D2B" w:rsidRPr="009F337B">
        <w:rPr>
          <w:rFonts w:cs="Vrinda"/>
          <w:lang w:val="en-US"/>
        </w:rPr>
        <w:t>that should be given to each of them.</w:t>
      </w:r>
    </w:p>
    <w:p w14:paraId="73CEB5A5" w14:textId="77777777" w:rsidR="0061727E" w:rsidRPr="009F337B" w:rsidRDefault="0061727E" w:rsidP="0061727E">
      <w:pPr>
        <w:tabs>
          <w:tab w:val="left" w:pos="709"/>
          <w:tab w:val="left" w:pos="1134"/>
        </w:tabs>
        <w:ind w:right="-4"/>
        <w:rPr>
          <w:rFonts w:cs="Vrinda"/>
          <w:lang w:val="en-US"/>
        </w:rPr>
      </w:pPr>
    </w:p>
    <w:p w14:paraId="1DCD15BB" w14:textId="26A44879" w:rsidR="006F704E" w:rsidRPr="009F337B" w:rsidRDefault="00F02DBA" w:rsidP="00593E37">
      <w:pPr>
        <w:numPr>
          <w:ilvl w:val="0"/>
          <w:numId w:val="1"/>
        </w:numPr>
        <w:tabs>
          <w:tab w:val="left" w:pos="709"/>
          <w:tab w:val="left" w:pos="1134"/>
        </w:tabs>
        <w:ind w:left="0" w:right="-4" w:firstLine="0"/>
        <w:rPr>
          <w:rFonts w:cs="Vrinda"/>
          <w:lang w:val="en-US"/>
        </w:rPr>
      </w:pPr>
      <w:r w:rsidRPr="009F337B">
        <w:rPr>
          <w:rFonts w:cs="Vrinda"/>
          <w:lang w:val="en-US"/>
        </w:rPr>
        <w:t xml:space="preserve">The </w:t>
      </w:r>
      <w:r w:rsidRPr="009F337B">
        <w:rPr>
          <w:rFonts w:cs="Vrinda"/>
          <w:b/>
          <w:i/>
          <w:lang w:val="en-US"/>
        </w:rPr>
        <w:t>State</w:t>
      </w:r>
      <w:r w:rsidRPr="009F337B">
        <w:rPr>
          <w:rFonts w:cs="Vrinda"/>
          <w:lang w:val="en-US"/>
        </w:rPr>
        <w:t xml:space="preserve"> indicated that, regarding reparation for p</w:t>
      </w:r>
      <w:r w:rsidR="004F3C01" w:rsidRPr="009F337B">
        <w:rPr>
          <w:rFonts w:cs="Vrinda"/>
          <w:lang w:val="en-US"/>
        </w:rPr>
        <w:t>ecuniary damage</w:t>
      </w:r>
      <w:r w:rsidR="006F704E" w:rsidRPr="009F337B">
        <w:rPr>
          <w:rFonts w:cs="Vrinda"/>
          <w:lang w:val="en-US"/>
        </w:rPr>
        <w:t xml:space="preserve">, </w:t>
      </w:r>
      <w:r w:rsidRPr="009F337B">
        <w:rPr>
          <w:rFonts w:cs="Vrinda"/>
          <w:lang w:val="en-US"/>
        </w:rPr>
        <w:t>it would submit a proposal based on an actuarial study. However, this was not submitted to the Court.</w:t>
      </w:r>
    </w:p>
    <w:p w14:paraId="58EE5A90" w14:textId="77777777" w:rsidR="0061727E" w:rsidRPr="009F337B" w:rsidRDefault="0061727E" w:rsidP="0061727E">
      <w:pPr>
        <w:tabs>
          <w:tab w:val="left" w:pos="709"/>
          <w:tab w:val="left" w:pos="1134"/>
        </w:tabs>
        <w:ind w:right="-4"/>
        <w:rPr>
          <w:rFonts w:cs="Vrinda"/>
          <w:lang w:val="en-US"/>
        </w:rPr>
      </w:pPr>
    </w:p>
    <w:p w14:paraId="128DCAFD" w14:textId="23C577C3" w:rsidR="0061727E" w:rsidRPr="009F337B" w:rsidRDefault="00E841F7" w:rsidP="0061727E">
      <w:pPr>
        <w:tabs>
          <w:tab w:val="left" w:pos="709"/>
          <w:tab w:val="left" w:pos="1134"/>
        </w:tabs>
        <w:ind w:right="-4"/>
        <w:rPr>
          <w:rFonts w:cs="Vrinda"/>
          <w:b/>
          <w:i/>
          <w:lang w:val="en-US"/>
        </w:rPr>
      </w:pPr>
      <w:r w:rsidRPr="009F337B">
        <w:rPr>
          <w:rFonts w:cs="Vrinda"/>
          <w:b/>
          <w:i/>
          <w:lang w:val="en-US"/>
        </w:rPr>
        <w:tab/>
      </w:r>
      <w:r w:rsidRPr="009F337B">
        <w:rPr>
          <w:rFonts w:cs="Vrinda"/>
          <w:b/>
          <w:i/>
          <w:lang w:val="en-US"/>
        </w:rPr>
        <w:tab/>
      </w:r>
      <w:r w:rsidRPr="009F337B">
        <w:rPr>
          <w:rFonts w:cs="Vrinda"/>
          <w:b/>
          <w:i/>
          <w:lang w:val="en-US"/>
        </w:rPr>
        <w:tab/>
      </w:r>
      <w:r w:rsidR="00BA27B4" w:rsidRPr="009F337B">
        <w:rPr>
          <w:rFonts w:cs="Vrinda"/>
          <w:b/>
          <w:i/>
          <w:lang w:val="en-US"/>
        </w:rPr>
        <w:t xml:space="preserve">C.1.2. </w:t>
      </w:r>
      <w:r w:rsidR="00473F70" w:rsidRPr="009F337B">
        <w:rPr>
          <w:rFonts w:cs="Vrinda"/>
          <w:b/>
          <w:i/>
          <w:lang w:val="en-US"/>
        </w:rPr>
        <w:t>Considerations</w:t>
      </w:r>
      <w:r w:rsidR="00AE5F9E" w:rsidRPr="009F337B">
        <w:rPr>
          <w:rFonts w:cs="Vrinda"/>
          <w:b/>
          <w:i/>
          <w:lang w:val="en-US"/>
        </w:rPr>
        <w:t xml:space="preserve"> of the Court</w:t>
      </w:r>
    </w:p>
    <w:p w14:paraId="44A66954" w14:textId="77777777" w:rsidR="0061727E" w:rsidRPr="009F337B" w:rsidRDefault="0061727E" w:rsidP="0061727E">
      <w:pPr>
        <w:tabs>
          <w:tab w:val="left" w:pos="709"/>
          <w:tab w:val="left" w:pos="1134"/>
        </w:tabs>
        <w:ind w:right="-4"/>
        <w:rPr>
          <w:rFonts w:cs="Vrinda"/>
          <w:b/>
          <w:i/>
          <w:lang w:val="en-US"/>
        </w:rPr>
      </w:pPr>
    </w:p>
    <w:p w14:paraId="1472BC20" w14:textId="61D3224E" w:rsidR="00F0239E" w:rsidRPr="009F337B" w:rsidRDefault="00F02DBA" w:rsidP="00593E37">
      <w:pPr>
        <w:numPr>
          <w:ilvl w:val="0"/>
          <w:numId w:val="1"/>
        </w:numPr>
        <w:tabs>
          <w:tab w:val="left" w:pos="709"/>
          <w:tab w:val="left" w:pos="1134"/>
        </w:tabs>
        <w:ind w:left="0" w:right="-4" w:firstLine="0"/>
        <w:rPr>
          <w:rFonts w:cs="Vrinda"/>
          <w:lang w:val="en-US"/>
        </w:rPr>
      </w:pPr>
      <w:r w:rsidRPr="009F337B">
        <w:rPr>
          <w:lang w:val="en-US"/>
        </w:rPr>
        <w:t>In its case law, the Court has developed the criteri</w:t>
      </w:r>
      <w:r w:rsidR="0020504F" w:rsidRPr="009F337B">
        <w:rPr>
          <w:lang w:val="en-US"/>
        </w:rPr>
        <w:t>a</w:t>
      </w:r>
      <w:r w:rsidRPr="009F337B">
        <w:rPr>
          <w:lang w:val="en-US"/>
        </w:rPr>
        <w:t xml:space="preserve"> that p</w:t>
      </w:r>
      <w:r w:rsidR="004F3C01" w:rsidRPr="009F337B">
        <w:rPr>
          <w:lang w:val="en-US"/>
        </w:rPr>
        <w:t>ecuniary damage</w:t>
      </w:r>
      <w:r w:rsidR="006F704E" w:rsidRPr="009F337B">
        <w:rPr>
          <w:lang w:val="en-US"/>
        </w:rPr>
        <w:t xml:space="preserve"> sup</w:t>
      </w:r>
      <w:r w:rsidRPr="009F337B">
        <w:rPr>
          <w:lang w:val="en-US"/>
        </w:rPr>
        <w:t xml:space="preserve">poses “the loss or detriment to the income of the victims, the expenses incurred based on the </w:t>
      </w:r>
      <w:r w:rsidRPr="009F337B">
        <w:rPr>
          <w:lang w:val="en-US"/>
        </w:rPr>
        <w:lastRenderedPageBreak/>
        <w:t xml:space="preserve">facts, and the consequences of a pecuniary nature that have a causal nexus </w:t>
      </w:r>
      <w:r w:rsidR="0020504F" w:rsidRPr="009F337B">
        <w:rPr>
          <w:lang w:val="en-US"/>
        </w:rPr>
        <w:t>to</w:t>
      </w:r>
      <w:r w:rsidRPr="009F337B">
        <w:rPr>
          <w:lang w:val="en-US"/>
        </w:rPr>
        <w:t xml:space="preserve"> the facts of the case.</w:t>
      </w:r>
      <w:r w:rsidR="006F704E" w:rsidRPr="009F337B">
        <w:rPr>
          <w:lang w:val="en-US"/>
        </w:rPr>
        <w:t>”</w:t>
      </w:r>
      <w:r w:rsidR="006F704E" w:rsidRPr="009F337B">
        <w:rPr>
          <w:rStyle w:val="Refdenotaalpie"/>
          <w:lang w:val="en-US"/>
        </w:rPr>
        <w:footnoteReference w:id="254"/>
      </w:r>
      <w:r w:rsidRPr="009F337B">
        <w:rPr>
          <w:lang w:val="en-US"/>
        </w:rPr>
        <w:t xml:space="preserve"> In this regard, the Court observes that, in the absence of evidentiary support, it is unable to quantify the exact amounts that the victims expended due to the facts. Nevertheless, the Court recognizes that the victims have incurred diverse expenses for medical treatment and care as a result of their health situation, and therefore establishes, in equity, the sum of </w:t>
      </w:r>
      <w:r w:rsidR="006F704E" w:rsidRPr="009F337B">
        <w:rPr>
          <w:lang w:val="en-US"/>
        </w:rPr>
        <w:t>US$5,000.00 (</w:t>
      </w:r>
      <w:r w:rsidRPr="009F337B">
        <w:rPr>
          <w:lang w:val="en-US"/>
        </w:rPr>
        <w:t>five</w:t>
      </w:r>
      <w:r w:rsidR="006F704E" w:rsidRPr="009F337B">
        <w:rPr>
          <w:lang w:val="en-US"/>
        </w:rPr>
        <w:t xml:space="preserve"> </w:t>
      </w:r>
      <w:r w:rsidRPr="009F337B">
        <w:rPr>
          <w:lang w:val="en-US"/>
        </w:rPr>
        <w:t>thousand United States dollars</w:t>
      </w:r>
      <w:r w:rsidR="006F704E" w:rsidRPr="009F337B">
        <w:rPr>
          <w:lang w:val="en-US"/>
        </w:rPr>
        <w:t xml:space="preserve">) </w:t>
      </w:r>
      <w:r w:rsidRPr="009F337B">
        <w:rPr>
          <w:lang w:val="en-US"/>
        </w:rPr>
        <w:t xml:space="preserve">for each of the 49 direct victims indicated in Annex 2 to </w:t>
      </w:r>
      <w:r w:rsidR="004F3C01" w:rsidRPr="009F337B">
        <w:rPr>
          <w:lang w:val="en-US"/>
        </w:rPr>
        <w:t>this judgement</w:t>
      </w:r>
      <w:r w:rsidR="006F704E" w:rsidRPr="009F337B">
        <w:rPr>
          <w:lang w:val="en-US"/>
        </w:rPr>
        <w:t xml:space="preserve"> </w:t>
      </w:r>
      <w:r w:rsidRPr="009F337B">
        <w:rPr>
          <w:lang w:val="en-US"/>
        </w:rPr>
        <w:t>for</w:t>
      </w:r>
      <w:r w:rsidR="006F704E" w:rsidRPr="009F337B">
        <w:rPr>
          <w:lang w:val="en-US"/>
        </w:rPr>
        <w:t xml:space="preserve"> </w:t>
      </w:r>
      <w:r w:rsidRPr="009F337B">
        <w:rPr>
          <w:lang w:val="en-US"/>
        </w:rPr>
        <w:t>p</w:t>
      </w:r>
      <w:r w:rsidR="004F3C01" w:rsidRPr="009F337B">
        <w:rPr>
          <w:lang w:val="en-US"/>
        </w:rPr>
        <w:t>ecuniary damage</w:t>
      </w:r>
      <w:r w:rsidR="006F704E" w:rsidRPr="009F337B">
        <w:rPr>
          <w:lang w:val="en-US"/>
        </w:rPr>
        <w:t>.</w:t>
      </w:r>
    </w:p>
    <w:p w14:paraId="643D4D19" w14:textId="77777777" w:rsidR="00E841F7" w:rsidRPr="009F337B" w:rsidRDefault="00E841F7" w:rsidP="0061727E">
      <w:pPr>
        <w:pStyle w:val="Ttulo3"/>
        <w:spacing w:before="0"/>
        <w:rPr>
          <w:rFonts w:eastAsia="Batang" w:cs="Vrinda"/>
          <w:b w:val="0"/>
          <w:i w:val="0"/>
          <w:noProof/>
          <w:szCs w:val="24"/>
          <w:lang w:val="en-US"/>
        </w:rPr>
      </w:pPr>
    </w:p>
    <w:p w14:paraId="6E6DBED7" w14:textId="3D051AE1" w:rsidR="006F704E" w:rsidRPr="009F337B" w:rsidRDefault="00E841F7" w:rsidP="00E841F7">
      <w:pPr>
        <w:pStyle w:val="Estilo1"/>
        <w:tabs>
          <w:tab w:val="left" w:pos="709"/>
          <w:tab w:val="left" w:pos="1134"/>
        </w:tabs>
        <w:spacing w:after="0"/>
        <w:ind w:left="0" w:right="-4" w:firstLine="0"/>
        <w:rPr>
          <w:rFonts w:eastAsia="Times" w:cs="Arial"/>
          <w:b/>
          <w:szCs w:val="20"/>
          <w:lang w:val="en-US"/>
        </w:rPr>
      </w:pPr>
      <w:r w:rsidRPr="009F337B">
        <w:rPr>
          <w:rFonts w:eastAsia="Times" w:cs="Arial"/>
          <w:b/>
          <w:szCs w:val="20"/>
          <w:lang w:val="en-US"/>
        </w:rPr>
        <w:tab/>
      </w:r>
      <w:r w:rsidRPr="009F337B">
        <w:rPr>
          <w:rFonts w:eastAsia="Times" w:cs="Arial"/>
          <w:b/>
          <w:szCs w:val="20"/>
          <w:lang w:val="en-US"/>
        </w:rPr>
        <w:tab/>
      </w:r>
      <w:r w:rsidR="006F704E" w:rsidRPr="009F337B">
        <w:rPr>
          <w:rFonts w:eastAsia="Times" w:cs="Arial"/>
          <w:b/>
          <w:szCs w:val="20"/>
          <w:lang w:val="en-US"/>
        </w:rPr>
        <w:t>C.2</w:t>
      </w:r>
      <w:r w:rsidR="00BA27B4" w:rsidRPr="009F337B">
        <w:rPr>
          <w:rFonts w:eastAsia="Times" w:cs="Arial"/>
          <w:b/>
          <w:szCs w:val="20"/>
          <w:lang w:val="en-US"/>
        </w:rPr>
        <w:t>.</w:t>
      </w:r>
      <w:r w:rsidR="006F704E" w:rsidRPr="009F337B">
        <w:rPr>
          <w:rFonts w:eastAsia="Times" w:cs="Arial"/>
          <w:b/>
          <w:szCs w:val="20"/>
          <w:lang w:val="en-US"/>
        </w:rPr>
        <w:t xml:space="preserve"> </w:t>
      </w:r>
      <w:r w:rsidR="00F02DBA" w:rsidRPr="009F337B">
        <w:rPr>
          <w:rFonts w:eastAsia="Times" w:cs="Arial"/>
          <w:b/>
          <w:szCs w:val="20"/>
          <w:lang w:val="en-US"/>
        </w:rPr>
        <w:t>Non-pecuniary or moral damage</w:t>
      </w:r>
    </w:p>
    <w:p w14:paraId="3D8ADB90" w14:textId="77777777" w:rsidR="00E841F7" w:rsidRPr="009F337B" w:rsidRDefault="00E841F7" w:rsidP="0061727E">
      <w:pPr>
        <w:ind w:firstLine="720"/>
        <w:rPr>
          <w:lang w:val="en-US"/>
        </w:rPr>
      </w:pPr>
    </w:p>
    <w:p w14:paraId="6E1DAA88" w14:textId="18DF905E" w:rsidR="00BA27B4" w:rsidRPr="009F337B" w:rsidRDefault="00E841F7" w:rsidP="00E841F7">
      <w:pPr>
        <w:rPr>
          <w:rFonts w:cs="Vrinda"/>
          <w:b/>
          <w:i/>
          <w:lang w:val="en-US"/>
        </w:rPr>
      </w:pPr>
      <w:r w:rsidRPr="009F337B">
        <w:rPr>
          <w:rFonts w:cs="Vrinda"/>
          <w:b/>
          <w:i/>
          <w:lang w:val="en-US"/>
        </w:rPr>
        <w:tab/>
      </w:r>
      <w:r w:rsidRPr="009F337B">
        <w:rPr>
          <w:rFonts w:cs="Vrinda"/>
          <w:b/>
          <w:i/>
          <w:lang w:val="en-US"/>
        </w:rPr>
        <w:tab/>
      </w:r>
      <w:r w:rsidRPr="009F337B">
        <w:rPr>
          <w:rFonts w:cs="Vrinda"/>
          <w:b/>
          <w:i/>
          <w:lang w:val="en-US"/>
        </w:rPr>
        <w:tab/>
      </w:r>
      <w:r w:rsidR="00BA27B4" w:rsidRPr="009F337B">
        <w:rPr>
          <w:rFonts w:cs="Vrinda"/>
          <w:b/>
          <w:i/>
          <w:lang w:val="en-US"/>
        </w:rPr>
        <w:t xml:space="preserve">C.2.1. </w:t>
      </w:r>
      <w:r w:rsidR="0027465E" w:rsidRPr="009F337B">
        <w:rPr>
          <w:rFonts w:cs="Vrinda"/>
          <w:b/>
          <w:i/>
          <w:lang w:val="en-US"/>
        </w:rPr>
        <w:t>Arguments of the Commission and the parties</w:t>
      </w:r>
    </w:p>
    <w:p w14:paraId="6973EE21" w14:textId="77777777" w:rsidR="0061727E" w:rsidRPr="009F337B" w:rsidRDefault="0061727E" w:rsidP="0061727E">
      <w:pPr>
        <w:rPr>
          <w:rFonts w:cs="Vrinda"/>
          <w:lang w:val="en-US"/>
        </w:rPr>
      </w:pPr>
    </w:p>
    <w:p w14:paraId="69AE3697" w14:textId="13B4D07A" w:rsidR="00AB1690" w:rsidRPr="009F337B" w:rsidRDefault="00AE5F9E" w:rsidP="00593E37">
      <w:pPr>
        <w:numPr>
          <w:ilvl w:val="0"/>
          <w:numId w:val="1"/>
        </w:numPr>
        <w:tabs>
          <w:tab w:val="left" w:pos="709"/>
          <w:tab w:val="left" w:pos="1134"/>
        </w:tabs>
        <w:ind w:left="0" w:right="-4" w:firstLine="0"/>
        <w:rPr>
          <w:rFonts w:cs="Vrinda"/>
          <w:noProof w:val="0"/>
          <w:lang w:val="en-US"/>
        </w:rPr>
      </w:pPr>
      <w:r w:rsidRPr="009F337B">
        <w:rPr>
          <w:rFonts w:cs="Vrinda"/>
          <w:lang w:val="en-US"/>
        </w:rPr>
        <w:t xml:space="preserve">The </w:t>
      </w:r>
      <w:r w:rsidRPr="009F337B">
        <w:rPr>
          <w:rFonts w:cs="Vrinda"/>
          <w:b/>
          <w:i/>
          <w:lang w:val="en-US"/>
        </w:rPr>
        <w:t>Commission</w:t>
      </w:r>
      <w:r w:rsidR="006F704E" w:rsidRPr="009F337B">
        <w:rPr>
          <w:rFonts w:cs="Vrinda"/>
          <w:lang w:val="en-US"/>
        </w:rPr>
        <w:t xml:space="preserve"> </w:t>
      </w:r>
      <w:r w:rsidR="00AB1690" w:rsidRPr="009F337B">
        <w:rPr>
          <w:rFonts w:cs="Vrinda"/>
          <w:lang w:val="en-US"/>
        </w:rPr>
        <w:t>asked</w:t>
      </w:r>
      <w:r w:rsidR="006F704E" w:rsidRPr="009F337B">
        <w:rPr>
          <w:rFonts w:cs="Vrinda"/>
          <w:lang w:val="en-US"/>
        </w:rPr>
        <w:t xml:space="preserve"> </w:t>
      </w:r>
      <w:r w:rsidRPr="009F337B">
        <w:rPr>
          <w:rFonts w:cs="Vrinda"/>
          <w:lang w:val="en-US"/>
        </w:rPr>
        <w:t>the Court</w:t>
      </w:r>
      <w:r w:rsidR="006F704E" w:rsidRPr="009F337B">
        <w:rPr>
          <w:rFonts w:cs="Vrinda"/>
          <w:lang w:val="en-US"/>
        </w:rPr>
        <w:t xml:space="preserve"> </w:t>
      </w:r>
      <w:r w:rsidR="00AB1690" w:rsidRPr="009F337B">
        <w:rPr>
          <w:rFonts w:cs="Vrinda"/>
          <w:lang w:val="en-US"/>
        </w:rPr>
        <w:t>to order the State to provide full redress to the surviving victims and</w:t>
      </w:r>
      <w:r w:rsidR="006F704E" w:rsidRPr="009F337B">
        <w:rPr>
          <w:rFonts w:cs="Vrinda"/>
          <w:lang w:val="en-US"/>
        </w:rPr>
        <w:t xml:space="preserve"> </w:t>
      </w:r>
      <w:r w:rsidR="00E92196" w:rsidRPr="009F337B">
        <w:rPr>
          <w:rFonts w:cs="Vrinda"/>
          <w:lang w:val="en-US"/>
        </w:rPr>
        <w:t>the next of</w:t>
      </w:r>
      <w:r w:rsidR="0010522A" w:rsidRPr="009F337B">
        <w:rPr>
          <w:rFonts w:cs="Vrinda"/>
          <w:lang w:val="en-US"/>
        </w:rPr>
        <w:t xml:space="preserve"> kin</w:t>
      </w:r>
      <w:r w:rsidR="003C46A3" w:rsidRPr="009F337B">
        <w:rPr>
          <w:rFonts w:cs="Vrinda"/>
          <w:lang w:val="en-US"/>
        </w:rPr>
        <w:t xml:space="preserve"> and </w:t>
      </w:r>
      <w:r w:rsidR="00AB1690" w:rsidRPr="009F337B">
        <w:rPr>
          <w:rFonts w:cs="Vrinda"/>
          <w:lang w:val="en-US"/>
        </w:rPr>
        <w:t>loved ones of all the victims</w:t>
      </w:r>
      <w:r w:rsidR="006F704E" w:rsidRPr="009F337B">
        <w:rPr>
          <w:rFonts w:cs="Vrinda"/>
          <w:lang w:val="en-US"/>
        </w:rPr>
        <w:t>, inclu</w:t>
      </w:r>
      <w:r w:rsidR="00AB1690" w:rsidRPr="009F337B">
        <w:rPr>
          <w:rFonts w:cs="Vrinda"/>
          <w:lang w:val="en-US"/>
        </w:rPr>
        <w:t>ding the pecuniary aspect. In addition, it asked the Court to take into account that: (i) the adverse effects on the victims included both their own life projects and those of their next of kin; (ii) the facts of this case have broken up families, left children without either father or mother, and cut short educational and professional projects, all as a result of the severe impact of the State’s acts and omissions, and (iii) most of the victims currently live in conditions of poverty or extreme poverty</w:t>
      </w:r>
    </w:p>
    <w:p w14:paraId="1F4F9814" w14:textId="77777777" w:rsidR="0061727E" w:rsidRPr="009F337B" w:rsidRDefault="0061727E" w:rsidP="0061727E">
      <w:pPr>
        <w:tabs>
          <w:tab w:val="left" w:pos="709"/>
          <w:tab w:val="left" w:pos="1134"/>
        </w:tabs>
        <w:ind w:right="-4"/>
        <w:rPr>
          <w:rFonts w:cs="Vrinda"/>
          <w:noProof w:val="0"/>
          <w:lang w:val="en-US"/>
        </w:rPr>
      </w:pPr>
    </w:p>
    <w:p w14:paraId="0DE2351E" w14:textId="0C08AEB2" w:rsidR="006F704E" w:rsidRPr="009F337B" w:rsidRDefault="007327F5" w:rsidP="00593E37">
      <w:pPr>
        <w:numPr>
          <w:ilvl w:val="0"/>
          <w:numId w:val="1"/>
        </w:numPr>
        <w:tabs>
          <w:tab w:val="left" w:pos="709"/>
          <w:tab w:val="left" w:pos="1134"/>
        </w:tabs>
        <w:ind w:left="0" w:right="-4" w:firstLine="0"/>
        <w:rPr>
          <w:rFonts w:cs="Vrinda"/>
          <w:lang w:val="en-US"/>
        </w:rPr>
      </w:pPr>
      <w:r w:rsidRPr="009F337B">
        <w:rPr>
          <w:rFonts w:cs="Vrinda"/>
          <w:lang w:val="en-US"/>
        </w:rPr>
        <w:t xml:space="preserve">The </w:t>
      </w:r>
      <w:r w:rsidRPr="009F337B">
        <w:rPr>
          <w:rFonts w:cs="Vrinda"/>
          <w:b/>
          <w:i/>
          <w:lang w:val="en-US"/>
        </w:rPr>
        <w:t>representatives</w:t>
      </w:r>
      <w:r w:rsidR="006F704E" w:rsidRPr="009F337B">
        <w:rPr>
          <w:rFonts w:cs="Vrinda"/>
          <w:lang w:val="en-US"/>
        </w:rPr>
        <w:t xml:space="preserve"> </w:t>
      </w:r>
      <w:r w:rsidR="00AB1690" w:rsidRPr="009F337B">
        <w:rPr>
          <w:rFonts w:cs="Vrinda"/>
          <w:lang w:val="en-US"/>
        </w:rPr>
        <w:t>asked</w:t>
      </w:r>
      <w:r w:rsidR="006F704E" w:rsidRPr="009F337B">
        <w:rPr>
          <w:rFonts w:cs="Vrinda"/>
          <w:lang w:val="en-US"/>
        </w:rPr>
        <w:t xml:space="preserve"> </w:t>
      </w:r>
      <w:r w:rsidR="00AE5F9E" w:rsidRPr="009F337B">
        <w:rPr>
          <w:rFonts w:cs="Vrinda"/>
          <w:lang w:val="en-US"/>
        </w:rPr>
        <w:t>the Court</w:t>
      </w:r>
      <w:r w:rsidR="00AB1690" w:rsidRPr="009F337B">
        <w:rPr>
          <w:rFonts w:cs="Vrinda"/>
          <w:lang w:val="en-US"/>
        </w:rPr>
        <w:t>, based on the facts of this case, the violations committed, the adverse effects of the life projects, and the other consequences of a non-pecuniary nature suffered by the victims in this case, to order t</w:t>
      </w:r>
      <w:r w:rsidR="0020504F" w:rsidRPr="009F337B">
        <w:rPr>
          <w:rFonts w:cs="Vrinda"/>
          <w:lang w:val="en-US"/>
        </w:rPr>
        <w:t>he</w:t>
      </w:r>
      <w:r w:rsidR="00AB1690" w:rsidRPr="009F337B">
        <w:rPr>
          <w:rFonts w:cs="Vrinda"/>
          <w:lang w:val="en-US"/>
        </w:rPr>
        <w:t xml:space="preserve"> State to pay compensation </w:t>
      </w:r>
      <w:r w:rsidR="006F704E" w:rsidRPr="009F337B">
        <w:rPr>
          <w:rFonts w:cs="Vrinda"/>
          <w:lang w:val="en-US"/>
        </w:rPr>
        <w:t xml:space="preserve"> </w:t>
      </w:r>
      <w:r w:rsidR="00AB1690" w:rsidRPr="009F337B">
        <w:rPr>
          <w:rFonts w:cs="Vrinda"/>
          <w:lang w:val="en-US"/>
        </w:rPr>
        <w:t>for</w:t>
      </w:r>
      <w:r w:rsidR="006F704E" w:rsidRPr="009F337B">
        <w:rPr>
          <w:rFonts w:cs="Vrinda"/>
          <w:lang w:val="en-US"/>
        </w:rPr>
        <w:t xml:space="preserve"> </w:t>
      </w:r>
      <w:r w:rsidR="00AB1690" w:rsidRPr="009F337B">
        <w:rPr>
          <w:rFonts w:cs="Vrinda"/>
          <w:lang w:val="en-US"/>
        </w:rPr>
        <w:t>n</w:t>
      </w:r>
      <w:r w:rsidR="00F02DBA" w:rsidRPr="009F337B">
        <w:rPr>
          <w:rFonts w:cs="Vrinda"/>
          <w:lang w:val="en-US"/>
        </w:rPr>
        <w:t>on-pecuniary</w:t>
      </w:r>
      <w:r w:rsidR="00AB1690" w:rsidRPr="009F337B">
        <w:rPr>
          <w:rFonts w:cs="Vrinda"/>
          <w:lang w:val="en-US"/>
        </w:rPr>
        <w:t xml:space="preserve"> damage, to be determined in equity.</w:t>
      </w:r>
    </w:p>
    <w:p w14:paraId="04348F5F" w14:textId="77777777" w:rsidR="0061727E" w:rsidRPr="009F337B" w:rsidRDefault="0061727E" w:rsidP="0061727E">
      <w:pPr>
        <w:tabs>
          <w:tab w:val="left" w:pos="709"/>
          <w:tab w:val="left" w:pos="1134"/>
        </w:tabs>
        <w:ind w:right="-4"/>
        <w:rPr>
          <w:rFonts w:cs="Vrinda"/>
          <w:lang w:val="en-US"/>
        </w:rPr>
      </w:pPr>
    </w:p>
    <w:p w14:paraId="3A1C734D" w14:textId="4BAEA6C0" w:rsidR="006F704E" w:rsidRPr="009F337B" w:rsidRDefault="00AB1690" w:rsidP="00593E37">
      <w:pPr>
        <w:numPr>
          <w:ilvl w:val="0"/>
          <w:numId w:val="1"/>
        </w:numPr>
        <w:tabs>
          <w:tab w:val="left" w:pos="709"/>
          <w:tab w:val="left" w:pos="1134"/>
        </w:tabs>
        <w:ind w:left="0" w:right="-4" w:firstLine="0"/>
        <w:rPr>
          <w:rFonts w:cs="Vrinda"/>
          <w:lang w:val="en-US"/>
        </w:rPr>
      </w:pPr>
      <w:r w:rsidRPr="009F337B">
        <w:rPr>
          <w:rFonts w:cs="Vrinda"/>
          <w:lang w:val="en-US"/>
        </w:rPr>
        <w:t xml:space="preserve">The </w:t>
      </w:r>
      <w:r w:rsidRPr="009F337B">
        <w:rPr>
          <w:rFonts w:cs="Vrinda"/>
          <w:b/>
          <w:i/>
          <w:lang w:val="en-US"/>
        </w:rPr>
        <w:t>State</w:t>
      </w:r>
      <w:r w:rsidRPr="009F337B">
        <w:rPr>
          <w:rFonts w:cs="Vrinda"/>
          <w:lang w:val="en-US"/>
        </w:rPr>
        <w:t xml:space="preserve"> indicated that, </w:t>
      </w:r>
      <w:r w:rsidR="002F541D" w:rsidRPr="009F337B">
        <w:rPr>
          <w:rFonts w:cs="Vrinda"/>
          <w:lang w:val="en-US"/>
        </w:rPr>
        <w:t>with regard to reparation for</w:t>
      </w:r>
      <w:r w:rsidR="006F704E" w:rsidRPr="009F337B">
        <w:rPr>
          <w:rFonts w:cs="Vrinda"/>
          <w:lang w:val="en-US"/>
        </w:rPr>
        <w:t xml:space="preserve"> </w:t>
      </w:r>
      <w:r w:rsidR="002F541D" w:rsidRPr="009F337B">
        <w:rPr>
          <w:rFonts w:cs="Vrinda"/>
          <w:lang w:val="en-US"/>
        </w:rPr>
        <w:t>n</w:t>
      </w:r>
      <w:r w:rsidR="00F02DBA" w:rsidRPr="009F337B">
        <w:rPr>
          <w:rFonts w:cs="Vrinda"/>
          <w:lang w:val="en-US"/>
        </w:rPr>
        <w:t>on-pecuniary</w:t>
      </w:r>
      <w:r w:rsidR="002F541D" w:rsidRPr="009F337B">
        <w:rPr>
          <w:rFonts w:cs="Vrinda"/>
          <w:lang w:val="en-US"/>
        </w:rPr>
        <w:t xml:space="preserve"> damage, it would submit a propo</w:t>
      </w:r>
      <w:r w:rsidR="0020504F" w:rsidRPr="009F337B">
        <w:rPr>
          <w:rFonts w:cs="Vrinda"/>
          <w:lang w:val="en-US"/>
        </w:rPr>
        <w:t>s</w:t>
      </w:r>
      <w:r w:rsidR="002F541D" w:rsidRPr="009F337B">
        <w:rPr>
          <w:rFonts w:cs="Vrinda"/>
          <w:lang w:val="en-US"/>
        </w:rPr>
        <w:t>al based on an actuarial study. However, this proposal was not submitted to the Court.</w:t>
      </w:r>
    </w:p>
    <w:p w14:paraId="68A9E701" w14:textId="77777777" w:rsidR="0061727E" w:rsidRPr="009F337B" w:rsidRDefault="0061727E" w:rsidP="0061727E">
      <w:pPr>
        <w:tabs>
          <w:tab w:val="left" w:pos="709"/>
          <w:tab w:val="left" w:pos="1134"/>
        </w:tabs>
        <w:ind w:right="-4"/>
        <w:rPr>
          <w:rFonts w:cs="Vrinda"/>
          <w:lang w:val="en-US"/>
        </w:rPr>
      </w:pPr>
    </w:p>
    <w:p w14:paraId="197E880D" w14:textId="5D99B98F" w:rsidR="00BA27B4" w:rsidRPr="009F337B" w:rsidRDefault="00E841F7" w:rsidP="00E841F7">
      <w:pPr>
        <w:rPr>
          <w:rFonts w:cs="Vrinda"/>
          <w:b/>
          <w:i/>
          <w:lang w:val="en-US"/>
        </w:rPr>
      </w:pPr>
      <w:r w:rsidRPr="009F337B">
        <w:rPr>
          <w:rFonts w:cs="Vrinda"/>
          <w:b/>
          <w:i/>
          <w:lang w:val="en-US"/>
        </w:rPr>
        <w:tab/>
      </w:r>
      <w:r w:rsidRPr="009F337B">
        <w:rPr>
          <w:rFonts w:cs="Vrinda"/>
          <w:b/>
          <w:i/>
          <w:lang w:val="en-US"/>
        </w:rPr>
        <w:tab/>
      </w:r>
      <w:r w:rsidRPr="009F337B">
        <w:rPr>
          <w:rFonts w:cs="Vrinda"/>
          <w:b/>
          <w:i/>
          <w:lang w:val="en-US"/>
        </w:rPr>
        <w:tab/>
      </w:r>
      <w:r w:rsidR="00BA27B4" w:rsidRPr="009F337B">
        <w:rPr>
          <w:rFonts w:cs="Vrinda"/>
          <w:b/>
          <w:i/>
          <w:lang w:val="en-US"/>
        </w:rPr>
        <w:t xml:space="preserve">C.2.1. </w:t>
      </w:r>
      <w:r w:rsidR="00473F70" w:rsidRPr="009F337B">
        <w:rPr>
          <w:rFonts w:cs="Vrinda"/>
          <w:b/>
          <w:i/>
          <w:lang w:val="en-US"/>
        </w:rPr>
        <w:t>Considerations</w:t>
      </w:r>
      <w:r w:rsidR="00AE5F9E" w:rsidRPr="009F337B">
        <w:rPr>
          <w:rFonts w:cs="Vrinda"/>
          <w:b/>
          <w:i/>
          <w:lang w:val="en-US"/>
        </w:rPr>
        <w:t xml:space="preserve"> of the Court</w:t>
      </w:r>
    </w:p>
    <w:p w14:paraId="4B061769" w14:textId="77777777" w:rsidR="0061727E" w:rsidRPr="009F337B" w:rsidRDefault="0061727E" w:rsidP="0061727E">
      <w:pPr>
        <w:rPr>
          <w:lang w:val="en-US"/>
        </w:rPr>
      </w:pPr>
    </w:p>
    <w:p w14:paraId="70801BAC" w14:textId="063FFDED" w:rsidR="006F704E" w:rsidRPr="009F337B" w:rsidRDefault="002F541D" w:rsidP="00593E37">
      <w:pPr>
        <w:numPr>
          <w:ilvl w:val="0"/>
          <w:numId w:val="1"/>
        </w:numPr>
        <w:tabs>
          <w:tab w:val="left" w:pos="709"/>
          <w:tab w:val="left" w:pos="1134"/>
        </w:tabs>
        <w:ind w:left="0" w:right="-4" w:firstLine="0"/>
        <w:rPr>
          <w:rFonts w:cs="Vrinda"/>
          <w:lang w:val="en-US"/>
        </w:rPr>
      </w:pPr>
      <w:r w:rsidRPr="009F337B">
        <w:rPr>
          <w:lang w:val="en-US"/>
        </w:rPr>
        <w:t xml:space="preserve">International case law has established that the judgment </w:t>
      </w:r>
      <w:r w:rsidR="006F704E" w:rsidRPr="009F337B">
        <w:rPr>
          <w:i/>
          <w:lang w:val="en-US"/>
        </w:rPr>
        <w:t xml:space="preserve">per se </w:t>
      </w:r>
      <w:r w:rsidR="006F704E" w:rsidRPr="009F337B">
        <w:rPr>
          <w:lang w:val="en-US"/>
        </w:rPr>
        <w:t>a for</w:t>
      </w:r>
      <w:r w:rsidRPr="009F337B">
        <w:rPr>
          <w:lang w:val="en-US"/>
        </w:rPr>
        <w:t>m of reparation.</w:t>
      </w:r>
      <w:r w:rsidR="006F704E" w:rsidRPr="009F337B">
        <w:rPr>
          <w:vertAlign w:val="superscript"/>
          <w:lang w:val="en-US"/>
        </w:rPr>
        <w:footnoteReference w:id="255"/>
      </w:r>
      <w:r w:rsidRPr="009F337B">
        <w:rPr>
          <w:lang w:val="en-US"/>
        </w:rPr>
        <w:t xml:space="preserve"> However, this Court has developed the concept of n</w:t>
      </w:r>
      <w:r w:rsidR="00F02DBA" w:rsidRPr="009F337B">
        <w:rPr>
          <w:lang w:val="en-US"/>
        </w:rPr>
        <w:t>on-pecuniary</w:t>
      </w:r>
      <w:r w:rsidRPr="009F337B">
        <w:rPr>
          <w:lang w:val="en-US"/>
        </w:rPr>
        <w:t xml:space="preserve"> damage</w:t>
      </w:r>
      <w:r w:rsidR="003C46A3" w:rsidRPr="009F337B">
        <w:rPr>
          <w:lang w:val="en-US"/>
        </w:rPr>
        <w:t xml:space="preserve"> and </w:t>
      </w:r>
      <w:r w:rsidR="0086124E" w:rsidRPr="009F337B">
        <w:rPr>
          <w:lang w:val="en-US"/>
        </w:rPr>
        <w:t>ha</w:t>
      </w:r>
      <w:r w:rsidRPr="009F337B">
        <w:rPr>
          <w:lang w:val="en-US"/>
        </w:rPr>
        <w:t>s</w:t>
      </w:r>
      <w:r w:rsidR="0086124E" w:rsidRPr="009F337B">
        <w:rPr>
          <w:lang w:val="en-US"/>
        </w:rPr>
        <w:t xml:space="preserve"> establ</w:t>
      </w:r>
      <w:r w:rsidRPr="009F337B">
        <w:rPr>
          <w:lang w:val="en-US"/>
        </w:rPr>
        <w:t xml:space="preserve">ished that this may include both the pain and suffering caused to the direct victims </w:t>
      </w:r>
      <w:r w:rsidR="003C46A3" w:rsidRPr="009F337B">
        <w:rPr>
          <w:lang w:val="en-US"/>
        </w:rPr>
        <w:t xml:space="preserve">and </w:t>
      </w:r>
      <w:r w:rsidRPr="009F337B">
        <w:rPr>
          <w:lang w:val="en-US"/>
        </w:rPr>
        <w:t xml:space="preserve">their close family members, the impairment of values that are very significant for the individual, and also changes of a non-pecuniary nature in the living conditions of the victims or </w:t>
      </w:r>
      <w:r w:rsidR="00BB0DF2" w:rsidRPr="009F337B">
        <w:rPr>
          <w:lang w:val="en-US"/>
        </w:rPr>
        <w:t>their next of kin</w:t>
      </w:r>
      <w:r w:rsidRPr="009F337B">
        <w:rPr>
          <w:lang w:val="en-US"/>
        </w:rPr>
        <w:t>.</w:t>
      </w:r>
      <w:r w:rsidR="006F704E" w:rsidRPr="009F337B">
        <w:rPr>
          <w:vertAlign w:val="superscript"/>
          <w:lang w:val="en-US"/>
        </w:rPr>
        <w:footnoteReference w:id="256"/>
      </w:r>
    </w:p>
    <w:p w14:paraId="1F1BFB4A" w14:textId="77777777" w:rsidR="0061727E" w:rsidRPr="009F337B" w:rsidRDefault="0061727E" w:rsidP="0061727E">
      <w:pPr>
        <w:tabs>
          <w:tab w:val="left" w:pos="709"/>
          <w:tab w:val="left" w:pos="1134"/>
        </w:tabs>
        <w:ind w:right="-4"/>
        <w:rPr>
          <w:rFonts w:cs="Vrinda"/>
          <w:lang w:val="en-US"/>
        </w:rPr>
      </w:pPr>
    </w:p>
    <w:p w14:paraId="1129EC4F" w14:textId="199F683A" w:rsidR="005B5677" w:rsidRPr="009F337B" w:rsidRDefault="002F541D" w:rsidP="00593E37">
      <w:pPr>
        <w:numPr>
          <w:ilvl w:val="0"/>
          <w:numId w:val="1"/>
        </w:numPr>
        <w:tabs>
          <w:tab w:val="left" w:pos="709"/>
          <w:tab w:val="left" w:pos="1134"/>
        </w:tabs>
        <w:ind w:left="0" w:right="-4" w:firstLine="0"/>
        <w:rPr>
          <w:rFonts w:cs="Vrinda"/>
          <w:lang w:val="en-US"/>
        </w:rPr>
      </w:pPr>
      <w:r w:rsidRPr="009F337B">
        <w:rPr>
          <w:lang w:val="en-US"/>
        </w:rPr>
        <w:t>Accordingly, bearing in mind the circumstances of this case, the suffering that the violations committ</w:t>
      </w:r>
      <w:r w:rsidR="0020504F" w:rsidRPr="009F337B">
        <w:rPr>
          <w:lang w:val="en-US"/>
        </w:rPr>
        <w:t>e</w:t>
      </w:r>
      <w:r w:rsidRPr="009F337B">
        <w:rPr>
          <w:lang w:val="en-US"/>
        </w:rPr>
        <w:t xml:space="preserve">d caused to the victims, as well as the other consequences of a non-pecuniary nature that they </w:t>
      </w:r>
      <w:r w:rsidR="0020504F" w:rsidRPr="009F337B">
        <w:rPr>
          <w:lang w:val="en-US"/>
        </w:rPr>
        <w:t>experienced</w:t>
      </w:r>
      <w:r w:rsidRPr="009F337B">
        <w:rPr>
          <w:lang w:val="en-US"/>
        </w:rPr>
        <w:t>, the Court finds it pertinent to establish, in equity, for non-pecuniary damage, compensation equivalent to</w:t>
      </w:r>
      <w:r w:rsidRPr="009F337B">
        <w:rPr>
          <w:rFonts w:cs="Vrinda"/>
          <w:lang w:val="en-US"/>
        </w:rPr>
        <w:t xml:space="preserve"> </w:t>
      </w:r>
      <w:r w:rsidR="006F704E" w:rsidRPr="009F337B">
        <w:rPr>
          <w:lang w:val="en-US"/>
        </w:rPr>
        <w:t>US$</w:t>
      </w:r>
      <w:r w:rsidR="00BD0EDF" w:rsidRPr="009F337B">
        <w:rPr>
          <w:lang w:val="en-US"/>
        </w:rPr>
        <w:t>60</w:t>
      </w:r>
      <w:r w:rsidRPr="009F337B">
        <w:rPr>
          <w:lang w:val="en-US"/>
        </w:rPr>
        <w:t>,</w:t>
      </w:r>
      <w:r w:rsidR="00BD0EDF" w:rsidRPr="009F337B">
        <w:rPr>
          <w:lang w:val="en-US"/>
        </w:rPr>
        <w:t>000</w:t>
      </w:r>
      <w:r w:rsidR="006F704E" w:rsidRPr="009F337B">
        <w:rPr>
          <w:lang w:val="en-US"/>
        </w:rPr>
        <w:t xml:space="preserve"> (</w:t>
      </w:r>
      <w:r w:rsidR="00BD0EDF" w:rsidRPr="009F337B">
        <w:rPr>
          <w:lang w:val="en-US"/>
        </w:rPr>
        <w:t>s</w:t>
      </w:r>
      <w:r w:rsidRPr="009F337B">
        <w:rPr>
          <w:lang w:val="en-US"/>
        </w:rPr>
        <w:t>ixty</w:t>
      </w:r>
      <w:r w:rsidR="00BD0EDF" w:rsidRPr="009F337B">
        <w:rPr>
          <w:lang w:val="en-US"/>
        </w:rPr>
        <w:t xml:space="preserve"> </w:t>
      </w:r>
      <w:r w:rsidR="00F02DBA" w:rsidRPr="009F337B">
        <w:rPr>
          <w:lang w:val="en-US"/>
        </w:rPr>
        <w:t xml:space="preserve">thousand United </w:t>
      </w:r>
      <w:r w:rsidR="00F02DBA" w:rsidRPr="009F337B">
        <w:rPr>
          <w:lang w:val="en-US"/>
        </w:rPr>
        <w:lastRenderedPageBreak/>
        <w:t>States dollars</w:t>
      </w:r>
      <w:r w:rsidR="006F704E" w:rsidRPr="009F337B">
        <w:rPr>
          <w:lang w:val="en-US"/>
        </w:rPr>
        <w:t xml:space="preserve">) </w:t>
      </w:r>
      <w:r w:rsidRPr="009F337B">
        <w:rPr>
          <w:lang w:val="en-US"/>
        </w:rPr>
        <w:t xml:space="preserve">for each </w:t>
      </w:r>
      <w:r w:rsidR="0010522A" w:rsidRPr="009F337B">
        <w:rPr>
          <w:lang w:val="en-US"/>
        </w:rPr>
        <w:t>deceased</w:t>
      </w:r>
      <w:r w:rsidRPr="009F337B">
        <w:rPr>
          <w:lang w:val="en-US"/>
        </w:rPr>
        <w:t xml:space="preserve"> victim</w:t>
      </w:r>
      <w:r w:rsidR="006F704E" w:rsidRPr="009F337B">
        <w:rPr>
          <w:lang w:val="en-US"/>
        </w:rPr>
        <w:t>,</w:t>
      </w:r>
      <w:r w:rsidR="00BE739A" w:rsidRPr="009F337B">
        <w:rPr>
          <w:lang w:val="en-US"/>
        </w:rPr>
        <w:t xml:space="preserve"> US$</w:t>
      </w:r>
      <w:r w:rsidR="00BD0EDF" w:rsidRPr="009F337B">
        <w:rPr>
          <w:lang w:val="en-US"/>
        </w:rPr>
        <w:t>30</w:t>
      </w:r>
      <w:r w:rsidRPr="009F337B">
        <w:rPr>
          <w:lang w:val="en-US"/>
        </w:rPr>
        <w:t>,</w:t>
      </w:r>
      <w:r w:rsidR="00BD0EDF" w:rsidRPr="009F337B">
        <w:rPr>
          <w:lang w:val="en-US"/>
        </w:rPr>
        <w:t>000</w:t>
      </w:r>
      <w:r w:rsidR="00BE739A" w:rsidRPr="009F337B">
        <w:rPr>
          <w:lang w:val="en-US"/>
        </w:rPr>
        <w:t xml:space="preserve"> (</w:t>
      </w:r>
      <w:r w:rsidR="00BD0EDF" w:rsidRPr="009F337B">
        <w:rPr>
          <w:lang w:val="en-US"/>
        </w:rPr>
        <w:t>t</w:t>
      </w:r>
      <w:r w:rsidRPr="009F337B">
        <w:rPr>
          <w:lang w:val="en-US"/>
        </w:rPr>
        <w:t>hirty</w:t>
      </w:r>
      <w:r w:rsidR="00BD0EDF" w:rsidRPr="009F337B">
        <w:rPr>
          <w:lang w:val="en-US"/>
        </w:rPr>
        <w:t xml:space="preserve"> </w:t>
      </w:r>
      <w:r w:rsidR="00F02DBA" w:rsidRPr="009F337B">
        <w:rPr>
          <w:lang w:val="en-US"/>
        </w:rPr>
        <w:t>thousand United States dollars</w:t>
      </w:r>
      <w:r w:rsidR="00BE739A" w:rsidRPr="009F337B">
        <w:rPr>
          <w:lang w:val="en-US"/>
        </w:rPr>
        <w:t xml:space="preserve">) </w:t>
      </w:r>
      <w:r w:rsidRPr="009F337B">
        <w:rPr>
          <w:lang w:val="en-US"/>
        </w:rPr>
        <w:t>for each surviving victim, and</w:t>
      </w:r>
      <w:r w:rsidR="006F704E" w:rsidRPr="009F337B">
        <w:rPr>
          <w:lang w:val="en-US"/>
        </w:rPr>
        <w:t xml:space="preserve"> US$</w:t>
      </w:r>
      <w:r w:rsidR="00BD0EDF" w:rsidRPr="009F337B">
        <w:rPr>
          <w:lang w:val="en-US"/>
        </w:rPr>
        <w:t>10</w:t>
      </w:r>
      <w:r w:rsidRPr="009F337B">
        <w:rPr>
          <w:lang w:val="en-US"/>
        </w:rPr>
        <w:t>,</w:t>
      </w:r>
      <w:r w:rsidR="00BD0EDF" w:rsidRPr="009F337B">
        <w:rPr>
          <w:lang w:val="en-US"/>
        </w:rPr>
        <w:t xml:space="preserve">000 </w:t>
      </w:r>
      <w:r w:rsidR="006F704E" w:rsidRPr="009F337B">
        <w:rPr>
          <w:lang w:val="en-US"/>
        </w:rPr>
        <w:t>(</w:t>
      </w:r>
      <w:r w:rsidRPr="009F337B">
        <w:rPr>
          <w:lang w:val="en-US"/>
        </w:rPr>
        <w:t>ten</w:t>
      </w:r>
      <w:r w:rsidR="00BD0EDF" w:rsidRPr="009F337B">
        <w:rPr>
          <w:lang w:val="en-US"/>
        </w:rPr>
        <w:t xml:space="preserve"> </w:t>
      </w:r>
      <w:r w:rsidR="00F02DBA" w:rsidRPr="009F337B">
        <w:rPr>
          <w:lang w:val="en-US"/>
        </w:rPr>
        <w:t>thousand United States dollars</w:t>
      </w:r>
      <w:r w:rsidR="006F704E" w:rsidRPr="009F337B">
        <w:rPr>
          <w:lang w:val="en-US"/>
        </w:rPr>
        <w:t xml:space="preserve">) </w:t>
      </w:r>
      <w:r w:rsidRPr="009F337B">
        <w:rPr>
          <w:lang w:val="en-US"/>
        </w:rPr>
        <w:t xml:space="preserve">for each of </w:t>
      </w:r>
      <w:r w:rsidR="00E92196" w:rsidRPr="009F337B">
        <w:rPr>
          <w:lang w:val="en-US"/>
        </w:rPr>
        <w:t>the next of</w:t>
      </w:r>
      <w:r w:rsidR="0010522A" w:rsidRPr="009F337B">
        <w:rPr>
          <w:lang w:val="en-US"/>
        </w:rPr>
        <w:t xml:space="preserve"> kin</w:t>
      </w:r>
      <w:r w:rsidR="006F704E" w:rsidRPr="009F337B">
        <w:rPr>
          <w:lang w:val="en-US"/>
        </w:rPr>
        <w:t xml:space="preserve"> declar</w:t>
      </w:r>
      <w:r w:rsidRPr="009F337B">
        <w:rPr>
          <w:lang w:val="en-US"/>
        </w:rPr>
        <w:t>ed victims in this case.</w:t>
      </w:r>
      <w:bookmarkStart w:id="124" w:name="_Toc405857939"/>
      <w:bookmarkStart w:id="125" w:name="_Toc486693415"/>
      <w:bookmarkStart w:id="126" w:name="_Toc486842835"/>
      <w:bookmarkStart w:id="127" w:name="_Toc486842969"/>
      <w:bookmarkStart w:id="128" w:name="_Toc508792683"/>
      <w:bookmarkStart w:id="129" w:name="_Toc510690643"/>
    </w:p>
    <w:p w14:paraId="7E84DABB" w14:textId="77777777" w:rsidR="0061727E" w:rsidRPr="009F337B" w:rsidRDefault="0061727E" w:rsidP="0061727E">
      <w:pPr>
        <w:tabs>
          <w:tab w:val="left" w:pos="709"/>
          <w:tab w:val="left" w:pos="1134"/>
        </w:tabs>
        <w:ind w:right="-4"/>
        <w:rPr>
          <w:rFonts w:cs="Vrinda"/>
          <w:lang w:val="en-US"/>
        </w:rPr>
      </w:pPr>
    </w:p>
    <w:p w14:paraId="47B22C46" w14:textId="418D9B8A" w:rsidR="006F704E" w:rsidRPr="009F337B" w:rsidRDefault="00E841F7" w:rsidP="00E841F7">
      <w:pPr>
        <w:pStyle w:val="Estilo1"/>
        <w:tabs>
          <w:tab w:val="left" w:pos="709"/>
          <w:tab w:val="left" w:pos="1134"/>
        </w:tabs>
        <w:spacing w:after="0"/>
        <w:ind w:left="0" w:right="-4" w:firstLine="0"/>
        <w:rPr>
          <w:rFonts w:eastAsia="Times" w:cs="Arial"/>
          <w:b/>
          <w:szCs w:val="20"/>
          <w:lang w:val="en-US"/>
        </w:rPr>
      </w:pPr>
      <w:r w:rsidRPr="009F337B">
        <w:rPr>
          <w:rFonts w:eastAsia="Times" w:cs="Arial"/>
          <w:b/>
          <w:szCs w:val="20"/>
          <w:lang w:val="en-US"/>
        </w:rPr>
        <w:tab/>
      </w:r>
      <w:r w:rsidRPr="009F337B">
        <w:rPr>
          <w:rFonts w:eastAsia="Times" w:cs="Arial"/>
          <w:b/>
          <w:szCs w:val="20"/>
          <w:lang w:val="en-US"/>
        </w:rPr>
        <w:tab/>
      </w:r>
      <w:r w:rsidR="00BA27B4" w:rsidRPr="009F337B">
        <w:rPr>
          <w:rFonts w:eastAsia="Times" w:cs="Arial"/>
          <w:b/>
          <w:szCs w:val="20"/>
          <w:lang w:val="en-US"/>
        </w:rPr>
        <w:t xml:space="preserve">C.3. </w:t>
      </w:r>
      <w:r w:rsidR="002F541D" w:rsidRPr="009F337B">
        <w:rPr>
          <w:rFonts w:eastAsia="Times" w:cs="Arial"/>
          <w:b/>
          <w:szCs w:val="20"/>
          <w:lang w:val="en-US"/>
        </w:rPr>
        <w:t>Costs and expenses</w:t>
      </w:r>
      <w:bookmarkEnd w:id="124"/>
      <w:bookmarkEnd w:id="125"/>
      <w:bookmarkEnd w:id="126"/>
      <w:bookmarkEnd w:id="127"/>
      <w:bookmarkEnd w:id="128"/>
      <w:bookmarkEnd w:id="129"/>
    </w:p>
    <w:p w14:paraId="0FE32CCD" w14:textId="77777777" w:rsidR="00F12B1C" w:rsidRPr="009F337B" w:rsidRDefault="00F12B1C" w:rsidP="0061727E">
      <w:pPr>
        <w:rPr>
          <w:rFonts w:cs="Vrinda"/>
          <w:b/>
          <w:bCs/>
          <w:i/>
          <w:lang w:val="en-US"/>
        </w:rPr>
      </w:pPr>
      <w:bookmarkStart w:id="130" w:name="_Toc520238593"/>
      <w:r w:rsidRPr="009F337B">
        <w:rPr>
          <w:rFonts w:cs="Vrinda"/>
          <w:b/>
          <w:bCs/>
          <w:i/>
          <w:lang w:val="en-US"/>
        </w:rPr>
        <w:tab/>
      </w:r>
    </w:p>
    <w:p w14:paraId="11C5B0B2" w14:textId="026B1C7A" w:rsidR="0061727E" w:rsidRPr="009F337B" w:rsidRDefault="00E841F7" w:rsidP="0061727E">
      <w:pPr>
        <w:rPr>
          <w:rFonts w:cs="Vrinda"/>
          <w:b/>
          <w:bCs/>
          <w:i/>
          <w:lang w:val="en-US"/>
        </w:rPr>
      </w:pPr>
      <w:r w:rsidRPr="009F337B">
        <w:rPr>
          <w:rFonts w:cs="Vrinda"/>
          <w:b/>
          <w:bCs/>
          <w:i/>
          <w:lang w:val="en-US"/>
        </w:rPr>
        <w:tab/>
      </w:r>
      <w:r w:rsidRPr="009F337B">
        <w:rPr>
          <w:rFonts w:cs="Vrinda"/>
          <w:b/>
          <w:bCs/>
          <w:i/>
          <w:lang w:val="en-US"/>
        </w:rPr>
        <w:tab/>
      </w:r>
      <w:r w:rsidRPr="009F337B">
        <w:rPr>
          <w:rFonts w:cs="Vrinda"/>
          <w:b/>
          <w:bCs/>
          <w:i/>
          <w:lang w:val="en-US"/>
        </w:rPr>
        <w:tab/>
      </w:r>
      <w:r w:rsidR="00BA27B4" w:rsidRPr="009F337B">
        <w:rPr>
          <w:rFonts w:cs="Vrinda"/>
          <w:b/>
          <w:bCs/>
          <w:i/>
          <w:lang w:val="en-US"/>
        </w:rPr>
        <w:t>C.3</w:t>
      </w:r>
      <w:r w:rsidR="006F704E" w:rsidRPr="009F337B">
        <w:rPr>
          <w:rFonts w:cs="Vrinda"/>
          <w:b/>
          <w:bCs/>
          <w:i/>
          <w:lang w:val="en-US"/>
        </w:rPr>
        <w:t>.</w:t>
      </w:r>
      <w:r w:rsidR="00BA27B4" w:rsidRPr="009F337B">
        <w:rPr>
          <w:rFonts w:cs="Vrinda"/>
          <w:b/>
          <w:bCs/>
          <w:i/>
          <w:lang w:val="en-US"/>
        </w:rPr>
        <w:t xml:space="preserve">1. </w:t>
      </w:r>
      <w:r w:rsidR="0027465E" w:rsidRPr="009F337B">
        <w:rPr>
          <w:rFonts w:cs="Vrinda"/>
          <w:b/>
          <w:bCs/>
          <w:i/>
          <w:lang w:val="en-US"/>
        </w:rPr>
        <w:t>Arguments of the parties</w:t>
      </w:r>
      <w:bookmarkEnd w:id="130"/>
    </w:p>
    <w:p w14:paraId="228D0472" w14:textId="77777777" w:rsidR="0061727E" w:rsidRPr="009F337B" w:rsidRDefault="0061727E" w:rsidP="0061727E">
      <w:pPr>
        <w:rPr>
          <w:rFonts w:cs="Vrinda"/>
          <w:bCs/>
          <w:lang w:val="en-US"/>
        </w:rPr>
      </w:pPr>
    </w:p>
    <w:p w14:paraId="751B2B55" w14:textId="4904F1B8" w:rsidR="002F541D" w:rsidRPr="009F337B" w:rsidRDefault="007327F5" w:rsidP="00593E37">
      <w:pPr>
        <w:numPr>
          <w:ilvl w:val="0"/>
          <w:numId w:val="1"/>
        </w:numPr>
        <w:tabs>
          <w:tab w:val="left" w:pos="709"/>
          <w:tab w:val="left" w:pos="1134"/>
        </w:tabs>
        <w:ind w:left="0" w:right="-4" w:firstLine="0"/>
        <w:rPr>
          <w:rFonts w:eastAsia="Arial" w:cs="Vrinda"/>
          <w:lang w:val="en-US"/>
        </w:rPr>
      </w:pPr>
      <w:r w:rsidRPr="009F337B">
        <w:rPr>
          <w:rFonts w:cs="Vrinda"/>
          <w:lang w:val="en-US"/>
        </w:rPr>
        <w:t xml:space="preserve">The </w:t>
      </w:r>
      <w:r w:rsidRPr="009F337B">
        <w:rPr>
          <w:rFonts w:cs="Vrinda"/>
          <w:b/>
          <w:i/>
          <w:lang w:val="en-US"/>
        </w:rPr>
        <w:t>representatives</w:t>
      </w:r>
      <w:r w:rsidR="006F704E" w:rsidRPr="009F337B">
        <w:rPr>
          <w:rFonts w:cs="Vrinda"/>
          <w:lang w:val="en-US"/>
        </w:rPr>
        <w:t xml:space="preserve"> </w:t>
      </w:r>
      <w:r w:rsidR="002F541D" w:rsidRPr="009F337B">
        <w:rPr>
          <w:rFonts w:cs="Vrinda"/>
          <w:lang w:val="en-US"/>
        </w:rPr>
        <w:t>asked that</w:t>
      </w:r>
      <w:r w:rsidR="002F541D" w:rsidRPr="009F337B">
        <w:rPr>
          <w:rFonts w:eastAsia="Arial" w:cs="Vrinda"/>
          <w:bCs/>
          <w:lang w:val="en-US"/>
        </w:rPr>
        <w:t xml:space="preserve"> Dr. María Cristina Calderón be paid </w:t>
      </w:r>
      <w:r w:rsidR="005662A8" w:rsidRPr="009F337B">
        <w:rPr>
          <w:rFonts w:eastAsia="Arial" w:cs="Vrinda"/>
          <w:bCs/>
          <w:lang w:val="en-US"/>
        </w:rPr>
        <w:t>US$</w:t>
      </w:r>
      <w:r w:rsidR="006F704E" w:rsidRPr="009F337B">
        <w:rPr>
          <w:rFonts w:eastAsia="Arial" w:cs="Vrinda"/>
          <w:bCs/>
          <w:lang w:val="en-US"/>
        </w:rPr>
        <w:t>2,794.44</w:t>
      </w:r>
      <w:r w:rsidR="006F704E" w:rsidRPr="009F337B">
        <w:rPr>
          <w:rFonts w:eastAsia="Arial" w:cs="Vrinda"/>
          <w:b/>
          <w:bCs/>
          <w:lang w:val="en-US"/>
        </w:rPr>
        <w:t xml:space="preserve"> </w:t>
      </w:r>
      <w:r w:rsidR="002F541D" w:rsidRPr="009F337B">
        <w:rPr>
          <w:rFonts w:eastAsia="Arial" w:cs="Vrinda"/>
          <w:bCs/>
          <w:lang w:val="en-US"/>
        </w:rPr>
        <w:t>for her services</w:t>
      </w:r>
      <w:r w:rsidR="002F541D" w:rsidRPr="009F337B">
        <w:rPr>
          <w:rFonts w:eastAsia="Arial" w:cs="Vrinda"/>
          <w:b/>
          <w:bCs/>
          <w:lang w:val="en-US"/>
        </w:rPr>
        <w:t xml:space="preserve"> </w:t>
      </w:r>
      <w:r w:rsidR="002F541D" w:rsidRPr="009F337B">
        <w:rPr>
          <w:rFonts w:eastAsia="Arial" w:cs="Vrinda"/>
          <w:bCs/>
          <w:lang w:val="en-US"/>
        </w:rPr>
        <w:t>in monitoring the situation of the victims in this case,</w:t>
      </w:r>
      <w:r w:rsidR="00BE49B2" w:rsidRPr="009F337B">
        <w:rPr>
          <w:rFonts w:eastAsia="Arial" w:cs="Vrinda"/>
          <w:bCs/>
          <w:lang w:val="en-US"/>
        </w:rPr>
        <w:t xml:space="preserve"> to cover travel expenses </w:t>
      </w:r>
      <w:r w:rsidR="0020504F" w:rsidRPr="009F337B">
        <w:rPr>
          <w:rFonts w:eastAsia="Arial" w:cs="Vrinda"/>
          <w:bCs/>
          <w:lang w:val="en-US"/>
        </w:rPr>
        <w:t>from</w:t>
      </w:r>
      <w:r w:rsidR="00BE49B2" w:rsidRPr="009F337B">
        <w:rPr>
          <w:rFonts w:eastAsia="Arial" w:cs="Vrinda"/>
          <w:bCs/>
          <w:lang w:val="en-US"/>
        </w:rPr>
        <w:t xml:space="preserve"> December 2016 to date. They also asked that the Court determine, in equity, the value of 14 additional trips made by Dr. Calderón starting in 2000, and the expenses of two trips she made to Washington D.C., during the processing of the case before the Commission. Lastly, they indicated that Dr. Calderón</w:t>
      </w:r>
      <w:r w:rsidR="0020504F" w:rsidRPr="009F337B">
        <w:rPr>
          <w:rFonts w:eastAsia="Arial" w:cs="Vrinda"/>
          <w:bCs/>
          <w:lang w:val="en-US"/>
        </w:rPr>
        <w:t xml:space="preserve"> had</w:t>
      </w:r>
      <w:r w:rsidR="00BE49B2" w:rsidRPr="009F337B">
        <w:rPr>
          <w:rFonts w:eastAsia="Arial" w:cs="Vrinda"/>
          <w:bCs/>
          <w:lang w:val="en-US"/>
        </w:rPr>
        <w:t xml:space="preserve"> incurred expenses amounting to </w:t>
      </w:r>
      <w:r w:rsidR="00BE49B2" w:rsidRPr="009F337B">
        <w:rPr>
          <w:rFonts w:eastAsia="Arial" w:cs="Vrinda"/>
          <w:lang w:val="en-US"/>
        </w:rPr>
        <w:t xml:space="preserve">US$327.80 for legal procedures related to this case. In addition, they asked the Court to determine, in equity, the amount that should be paid to the </w:t>
      </w:r>
      <w:r w:rsidR="00BE49B2" w:rsidRPr="009F337B">
        <w:rPr>
          <w:rFonts w:eastAsia="Arial" w:cs="Vrinda"/>
          <w:i/>
          <w:lang w:val="en-US"/>
        </w:rPr>
        <w:t>Asociación de Salud Integral</w:t>
      </w:r>
      <w:r w:rsidR="00BE49B2" w:rsidRPr="009F337B">
        <w:rPr>
          <w:rFonts w:eastAsia="Arial" w:cs="Vrinda"/>
          <w:lang w:val="en-US"/>
        </w:rPr>
        <w:t>, which has acted as the victims’ representative and incurred expenses for their food and transport</w:t>
      </w:r>
      <w:r w:rsidR="00D170FC" w:rsidRPr="009F337B">
        <w:rPr>
          <w:rFonts w:eastAsia="Arial" w:cs="Vrinda"/>
          <w:lang w:val="en-US"/>
        </w:rPr>
        <w:t>. Lastly, they indicated that CEJIL had acted as a representative of the victims in the international proceedings since August 2002 and, for the exercise of this representation, they asked that the State of Guatemala recognize the sum of US$27,170.08 for this concept and for salaries and notarial expenses. Regarding future expenditure, they asked that the judgment anticipate an amount for the expenses at the stage of monitoring compliance.</w:t>
      </w:r>
    </w:p>
    <w:p w14:paraId="0C56E079" w14:textId="77777777" w:rsidR="0061727E" w:rsidRPr="009F337B" w:rsidRDefault="0061727E" w:rsidP="0061727E">
      <w:pPr>
        <w:tabs>
          <w:tab w:val="left" w:pos="709"/>
          <w:tab w:val="left" w:pos="1134"/>
        </w:tabs>
        <w:ind w:right="-4"/>
        <w:rPr>
          <w:rFonts w:eastAsia="Arial" w:cs="Vrinda"/>
          <w:lang w:val="en-US"/>
        </w:rPr>
      </w:pPr>
    </w:p>
    <w:p w14:paraId="0BBC94CA" w14:textId="2CFB93B1" w:rsidR="00D170FC" w:rsidRPr="009F337B" w:rsidRDefault="00D170FC" w:rsidP="00593E37">
      <w:pPr>
        <w:numPr>
          <w:ilvl w:val="0"/>
          <w:numId w:val="1"/>
        </w:numPr>
        <w:tabs>
          <w:tab w:val="left" w:pos="709"/>
          <w:tab w:val="left" w:pos="1134"/>
        </w:tabs>
        <w:ind w:left="0" w:right="-4" w:firstLine="0"/>
        <w:rPr>
          <w:rFonts w:eastAsia="Arial" w:cs="Vrinda"/>
          <w:lang w:val="en-US"/>
        </w:rPr>
      </w:pPr>
      <w:r w:rsidRPr="009F337B">
        <w:rPr>
          <w:rFonts w:cs="Vrinda"/>
          <w:lang w:val="en-US"/>
        </w:rPr>
        <w:t xml:space="preserve">The </w:t>
      </w:r>
      <w:r w:rsidRPr="009F337B">
        <w:rPr>
          <w:rFonts w:cs="Vrinda"/>
          <w:b/>
          <w:i/>
          <w:lang w:val="en-US"/>
        </w:rPr>
        <w:t>State</w:t>
      </w:r>
      <w:r w:rsidRPr="009F337B">
        <w:rPr>
          <w:rFonts w:cs="Vrinda"/>
          <w:lang w:val="en-US"/>
        </w:rPr>
        <w:t xml:space="preserve"> indicated that only those expenses relat</w:t>
      </w:r>
      <w:r w:rsidR="002F6A2E" w:rsidRPr="009F337B">
        <w:rPr>
          <w:rFonts w:cs="Vrinda"/>
          <w:lang w:val="en-US"/>
        </w:rPr>
        <w:t>ing</w:t>
      </w:r>
      <w:r w:rsidRPr="009F337B">
        <w:rPr>
          <w:rFonts w:cs="Vrinda"/>
          <w:lang w:val="en-US"/>
        </w:rPr>
        <w:t xml:space="preserve"> to claims for costs and expenses that compl</w:t>
      </w:r>
      <w:r w:rsidR="002F6A2E" w:rsidRPr="009F337B">
        <w:rPr>
          <w:rFonts w:cs="Vrinda"/>
          <w:lang w:val="en-US"/>
        </w:rPr>
        <w:t>ied</w:t>
      </w:r>
      <w:r w:rsidRPr="009F337B">
        <w:rPr>
          <w:rFonts w:cs="Vrinda"/>
          <w:lang w:val="en-US"/>
        </w:rPr>
        <w:t xml:space="preserve"> with the criteria identified by the Court should be reimbursed, taking into account that the items were adequate and reasonable for the proceedings that had been conducted. Regarding future expenses, it indicated that </w:t>
      </w:r>
      <w:r w:rsidR="00F144F1" w:rsidRPr="009F337B">
        <w:rPr>
          <w:rFonts w:cs="Vrinda"/>
          <w:lang w:val="en-US"/>
        </w:rPr>
        <w:t>the representatives</w:t>
      </w:r>
      <w:r w:rsidR="002F6A2E" w:rsidRPr="009F337B">
        <w:rPr>
          <w:rFonts w:cs="Vrinda"/>
          <w:lang w:val="en-US"/>
        </w:rPr>
        <w:t>’</w:t>
      </w:r>
      <w:r w:rsidR="00F144F1" w:rsidRPr="009F337B">
        <w:rPr>
          <w:rFonts w:cs="Vrinda"/>
          <w:lang w:val="en-US"/>
        </w:rPr>
        <w:t xml:space="preserve"> request in this regard was not justified because, for the Court to grant </w:t>
      </w:r>
      <w:r w:rsidR="002F6A2E" w:rsidRPr="009F337B">
        <w:rPr>
          <w:rFonts w:cs="Vrinda"/>
          <w:lang w:val="en-US"/>
        </w:rPr>
        <w:t>it</w:t>
      </w:r>
      <w:r w:rsidR="00F144F1" w:rsidRPr="009F337B">
        <w:rPr>
          <w:rFonts w:cs="Vrinda"/>
          <w:lang w:val="en-US"/>
        </w:rPr>
        <w:t xml:space="preserve">, </w:t>
      </w:r>
      <w:r w:rsidR="002F6A2E" w:rsidRPr="009F337B">
        <w:rPr>
          <w:rFonts w:cs="Vrinda"/>
          <w:lang w:val="en-US"/>
        </w:rPr>
        <w:t>such expenses</w:t>
      </w:r>
      <w:r w:rsidR="00F144F1" w:rsidRPr="009F337B">
        <w:rPr>
          <w:rFonts w:cs="Vrinda"/>
          <w:lang w:val="en-US"/>
        </w:rPr>
        <w:t xml:space="preserve"> would have to be measurable and sustainable in advance, which, in the State’s opinion, was not possible in this case, because they respond</w:t>
      </w:r>
      <w:r w:rsidR="002F6A2E" w:rsidRPr="009F337B">
        <w:rPr>
          <w:rFonts w:cs="Vrinda"/>
          <w:lang w:val="en-US"/>
        </w:rPr>
        <w:t>ed</w:t>
      </w:r>
      <w:r w:rsidR="00F144F1" w:rsidRPr="009F337B">
        <w:rPr>
          <w:rFonts w:cs="Vrinda"/>
          <w:lang w:val="en-US"/>
        </w:rPr>
        <w:t xml:space="preserve"> to conditionalities and there </w:t>
      </w:r>
      <w:r w:rsidR="002F6A2E" w:rsidRPr="009F337B">
        <w:rPr>
          <w:rFonts w:cs="Vrinda"/>
          <w:lang w:val="en-US"/>
        </w:rPr>
        <w:t>we</w:t>
      </w:r>
      <w:r w:rsidR="00F144F1" w:rsidRPr="009F337B">
        <w:rPr>
          <w:rFonts w:cs="Vrinda"/>
          <w:lang w:val="en-US"/>
        </w:rPr>
        <w:t>re no grounds for them</w:t>
      </w:r>
      <w:r w:rsidR="002F6A2E" w:rsidRPr="009F337B">
        <w:rPr>
          <w:rFonts w:cs="Vrinda"/>
          <w:lang w:val="en-US"/>
        </w:rPr>
        <w:t>;</w:t>
      </w:r>
      <w:r w:rsidR="00F144F1" w:rsidRPr="009F337B">
        <w:rPr>
          <w:rFonts w:cs="Vrinda"/>
          <w:lang w:val="en-US"/>
        </w:rPr>
        <w:t xml:space="preserve"> therefore they d</w:t>
      </w:r>
      <w:r w:rsidR="002F6A2E" w:rsidRPr="009F337B">
        <w:rPr>
          <w:rFonts w:cs="Vrinda"/>
          <w:lang w:val="en-US"/>
        </w:rPr>
        <w:t>id</w:t>
      </w:r>
      <w:r w:rsidR="00F144F1" w:rsidRPr="009F337B">
        <w:rPr>
          <w:rFonts w:cs="Vrinda"/>
          <w:lang w:val="en-US"/>
        </w:rPr>
        <w:t xml:space="preserve"> not fall within the Court’s parameters. Lastly, Guatemala asserted that future expenses run counter to legal certainty and should be proportionate to the rights that have been violated.</w:t>
      </w:r>
    </w:p>
    <w:p w14:paraId="4D6AA417" w14:textId="77777777" w:rsidR="0061727E" w:rsidRPr="009F337B" w:rsidRDefault="0061727E" w:rsidP="0061727E">
      <w:pPr>
        <w:tabs>
          <w:tab w:val="left" w:pos="709"/>
          <w:tab w:val="left" w:pos="1134"/>
        </w:tabs>
        <w:ind w:right="-4"/>
        <w:rPr>
          <w:rFonts w:eastAsia="Arial" w:cs="Vrinda"/>
          <w:lang w:val="en-US"/>
        </w:rPr>
      </w:pPr>
    </w:p>
    <w:p w14:paraId="448B89CE" w14:textId="0F4DA49C" w:rsidR="0061727E" w:rsidRPr="009F337B" w:rsidRDefault="00E841F7" w:rsidP="0061727E">
      <w:pPr>
        <w:tabs>
          <w:tab w:val="left" w:pos="709"/>
          <w:tab w:val="left" w:pos="1134"/>
        </w:tabs>
        <w:ind w:right="-4"/>
        <w:rPr>
          <w:rFonts w:cs="Vrinda"/>
          <w:b/>
          <w:bCs/>
          <w:i/>
          <w:lang w:val="en-US"/>
        </w:rPr>
      </w:pPr>
      <w:r w:rsidRPr="009F337B">
        <w:rPr>
          <w:rFonts w:cs="Vrinda"/>
          <w:b/>
          <w:bCs/>
          <w:i/>
          <w:lang w:val="en-US"/>
        </w:rPr>
        <w:tab/>
      </w:r>
      <w:r w:rsidRPr="009F337B">
        <w:rPr>
          <w:rFonts w:cs="Vrinda"/>
          <w:b/>
          <w:bCs/>
          <w:i/>
          <w:lang w:val="en-US"/>
        </w:rPr>
        <w:tab/>
      </w:r>
      <w:r w:rsidRPr="009F337B">
        <w:rPr>
          <w:rFonts w:cs="Vrinda"/>
          <w:b/>
          <w:bCs/>
          <w:i/>
          <w:lang w:val="en-US"/>
        </w:rPr>
        <w:tab/>
      </w:r>
      <w:r w:rsidR="00BA27B4" w:rsidRPr="009F337B">
        <w:rPr>
          <w:rFonts w:cs="Vrinda"/>
          <w:b/>
          <w:bCs/>
          <w:i/>
          <w:lang w:val="en-US"/>
        </w:rPr>
        <w:t xml:space="preserve">C.3.2. </w:t>
      </w:r>
      <w:r w:rsidR="00473F70" w:rsidRPr="009F337B">
        <w:rPr>
          <w:rFonts w:cs="Vrinda"/>
          <w:b/>
          <w:bCs/>
          <w:i/>
          <w:lang w:val="en-US"/>
        </w:rPr>
        <w:t>Considerations</w:t>
      </w:r>
      <w:r w:rsidR="00AE5F9E" w:rsidRPr="009F337B">
        <w:rPr>
          <w:rFonts w:cs="Vrinda"/>
          <w:b/>
          <w:bCs/>
          <w:i/>
          <w:lang w:val="en-US"/>
        </w:rPr>
        <w:t xml:space="preserve"> of the Court</w:t>
      </w:r>
    </w:p>
    <w:p w14:paraId="365A20F3" w14:textId="77777777" w:rsidR="0061727E" w:rsidRPr="009F337B" w:rsidRDefault="0061727E" w:rsidP="0061727E">
      <w:pPr>
        <w:tabs>
          <w:tab w:val="left" w:pos="709"/>
          <w:tab w:val="left" w:pos="1134"/>
        </w:tabs>
        <w:ind w:right="-4"/>
        <w:rPr>
          <w:rFonts w:cs="Vrinda"/>
          <w:bCs/>
          <w:lang w:val="en-US"/>
        </w:rPr>
      </w:pPr>
    </w:p>
    <w:p w14:paraId="3716A240" w14:textId="0B10CC50" w:rsidR="00CE4689" w:rsidRPr="009F337B" w:rsidRDefault="00AE5F9E" w:rsidP="00593E37">
      <w:pPr>
        <w:numPr>
          <w:ilvl w:val="0"/>
          <w:numId w:val="1"/>
        </w:numPr>
        <w:tabs>
          <w:tab w:val="left" w:pos="709"/>
          <w:tab w:val="left" w:pos="1134"/>
        </w:tabs>
        <w:ind w:left="0" w:right="-4" w:firstLine="0"/>
        <w:rPr>
          <w:rFonts w:eastAsia="Arial" w:cs="Vrinda"/>
          <w:lang w:val="en-US"/>
        </w:rPr>
      </w:pPr>
      <w:r w:rsidRPr="009F337B">
        <w:rPr>
          <w:lang w:val="en-US"/>
        </w:rPr>
        <w:t>The Court</w:t>
      </w:r>
      <w:r w:rsidR="00CE4689" w:rsidRPr="009F337B">
        <w:rPr>
          <w:lang w:val="en-US"/>
        </w:rPr>
        <w:t xml:space="preserve"> reitera</w:t>
      </w:r>
      <w:r w:rsidR="00F144F1" w:rsidRPr="009F337B">
        <w:rPr>
          <w:lang w:val="en-US"/>
        </w:rPr>
        <w:t>ted that, based on its case law,</w:t>
      </w:r>
      <w:r w:rsidR="00CE4689" w:rsidRPr="009F337B">
        <w:rPr>
          <w:vertAlign w:val="superscript"/>
          <w:lang w:val="en-US"/>
        </w:rPr>
        <w:footnoteReference w:id="257"/>
      </w:r>
      <w:r w:rsidR="00F144F1" w:rsidRPr="009F337B">
        <w:rPr>
          <w:lang w:val="en-US"/>
        </w:rPr>
        <w:t xml:space="preserve"> </w:t>
      </w:r>
      <w:r w:rsidR="002F541D" w:rsidRPr="009F337B">
        <w:rPr>
          <w:lang w:val="en-US"/>
        </w:rPr>
        <w:t>costs and expenses</w:t>
      </w:r>
      <w:r w:rsidR="00CE4689" w:rsidRPr="009F337B">
        <w:rPr>
          <w:lang w:val="en-US"/>
        </w:rPr>
        <w:t xml:space="preserve"> </w:t>
      </w:r>
      <w:r w:rsidR="00F144F1" w:rsidRPr="009F337B">
        <w:rPr>
          <w:lang w:val="en-US"/>
        </w:rPr>
        <w:t>form part of the concept of repar</w:t>
      </w:r>
      <w:r w:rsidR="00AC76E9" w:rsidRPr="009F337B">
        <w:rPr>
          <w:lang w:val="en-US"/>
        </w:rPr>
        <w:t>a</w:t>
      </w:r>
      <w:r w:rsidR="00F144F1" w:rsidRPr="009F337B">
        <w:rPr>
          <w:lang w:val="en-US"/>
        </w:rPr>
        <w:t xml:space="preserve">tion, because the </w:t>
      </w:r>
      <w:r w:rsidR="00AC76E9" w:rsidRPr="009F337B">
        <w:rPr>
          <w:lang w:val="en-US"/>
        </w:rPr>
        <w:t>actions undertaken</w:t>
      </w:r>
      <w:r w:rsidR="00F144F1" w:rsidRPr="009F337B">
        <w:rPr>
          <w:lang w:val="en-US"/>
        </w:rPr>
        <w:t xml:space="preserve"> by the victims to obain justice, at both the domestic and the international level, entail expenditure that </w:t>
      </w:r>
      <w:r w:rsidR="00AC76E9" w:rsidRPr="009F337B">
        <w:rPr>
          <w:lang w:val="en-US"/>
        </w:rPr>
        <w:t>must</w:t>
      </w:r>
      <w:r w:rsidR="00F144F1" w:rsidRPr="009F337B">
        <w:rPr>
          <w:lang w:val="en-US"/>
        </w:rPr>
        <w:t xml:space="preserve"> be compensated when the international responsibility of the State has been declared in a judgment. Regarding reimbursement of </w:t>
      </w:r>
      <w:r w:rsidR="002F541D" w:rsidRPr="009F337B">
        <w:rPr>
          <w:lang w:val="en-US"/>
        </w:rPr>
        <w:t>costs and expenses</w:t>
      </w:r>
      <w:r w:rsidR="00CE4689" w:rsidRPr="009F337B">
        <w:rPr>
          <w:lang w:val="en-US"/>
        </w:rPr>
        <w:t xml:space="preserve">, </w:t>
      </w:r>
      <w:r w:rsidR="00F144F1" w:rsidRPr="009F337B">
        <w:rPr>
          <w:lang w:val="en-US"/>
        </w:rPr>
        <w:t xml:space="preserve">the Court </w:t>
      </w:r>
      <w:r w:rsidR="00AC76E9" w:rsidRPr="009F337B">
        <w:rPr>
          <w:lang w:val="en-US"/>
        </w:rPr>
        <w:t>must</w:t>
      </w:r>
      <w:r w:rsidR="00F144F1" w:rsidRPr="009F337B">
        <w:rPr>
          <w:lang w:val="en-US"/>
        </w:rPr>
        <w:t xml:space="preserve"> make a prudent assessment of their scope, which includes the expenses </w:t>
      </w:r>
      <w:r w:rsidR="003953CA" w:rsidRPr="009F337B">
        <w:rPr>
          <w:lang w:val="en-US"/>
        </w:rPr>
        <w:t>originating before the authorities of the domestic jurisdiction, and also those arising during the proceedings before the inter-American system, taking into account the circumstances of the specific case and the nature of the international jurisdiction for the protection of</w:t>
      </w:r>
      <w:r w:rsidR="00CE4689" w:rsidRPr="009F337B">
        <w:rPr>
          <w:lang w:val="en-US"/>
        </w:rPr>
        <w:t xml:space="preserve"> </w:t>
      </w:r>
      <w:r w:rsidR="00CC5BF5" w:rsidRPr="009F337B">
        <w:rPr>
          <w:lang w:val="en-US"/>
        </w:rPr>
        <w:t>human rights</w:t>
      </w:r>
      <w:r w:rsidR="00CE4689" w:rsidRPr="009F337B">
        <w:rPr>
          <w:lang w:val="en-US"/>
        </w:rPr>
        <w:t xml:space="preserve">. </w:t>
      </w:r>
      <w:r w:rsidR="003953CA" w:rsidRPr="009F337B">
        <w:rPr>
          <w:lang w:val="en-US"/>
        </w:rPr>
        <w:t xml:space="preserve">This assessment may be made based on the equity principle and taking into account the expenses indicated by the parties, provide their </w:t>
      </w:r>
      <w:r w:rsidR="00CE4689" w:rsidRPr="009F337B">
        <w:rPr>
          <w:i/>
          <w:lang w:val="en-US"/>
        </w:rPr>
        <w:t xml:space="preserve">quantum </w:t>
      </w:r>
      <w:r w:rsidR="003953CA" w:rsidRPr="009F337B">
        <w:rPr>
          <w:lang w:val="en-US"/>
        </w:rPr>
        <w:t>is reasonable.</w:t>
      </w:r>
      <w:r w:rsidR="00CE4689" w:rsidRPr="009F337B">
        <w:rPr>
          <w:vertAlign w:val="superscript"/>
          <w:lang w:val="en-US"/>
        </w:rPr>
        <w:footnoteReference w:id="258"/>
      </w:r>
    </w:p>
    <w:p w14:paraId="5FCA4FC5" w14:textId="77777777" w:rsidR="0061727E" w:rsidRPr="009F337B" w:rsidRDefault="0061727E" w:rsidP="0061727E">
      <w:pPr>
        <w:tabs>
          <w:tab w:val="left" w:pos="709"/>
          <w:tab w:val="left" w:pos="1134"/>
        </w:tabs>
        <w:ind w:right="-4"/>
        <w:rPr>
          <w:rFonts w:eastAsia="Arial" w:cs="Vrinda"/>
          <w:lang w:val="en-US"/>
        </w:rPr>
      </w:pPr>
    </w:p>
    <w:p w14:paraId="39E35519" w14:textId="0C5CACA8" w:rsidR="00BA27B4" w:rsidRPr="009F337B" w:rsidRDefault="003953CA" w:rsidP="00593E37">
      <w:pPr>
        <w:numPr>
          <w:ilvl w:val="0"/>
          <w:numId w:val="1"/>
        </w:numPr>
        <w:tabs>
          <w:tab w:val="left" w:pos="709"/>
        </w:tabs>
        <w:ind w:left="0" w:firstLine="0"/>
        <w:rPr>
          <w:rFonts w:cs="Vrinda"/>
          <w:lang w:val="en-US" w:bidi="en-US"/>
        </w:rPr>
      </w:pPr>
      <w:r w:rsidRPr="009F337B">
        <w:rPr>
          <w:rFonts w:cs="Vrinda"/>
          <w:lang w:val="en-US" w:bidi="en-US"/>
        </w:rPr>
        <w:t xml:space="preserve">In this case, the file does not contain sufficient supporting evidence on the costs and expenses incurred by the victims and their representatives. However, the representatives have indicated some amounts calculated based on </w:t>
      </w:r>
      <w:r w:rsidR="00AC76E9" w:rsidRPr="009F337B">
        <w:rPr>
          <w:rFonts w:cs="Vrinda"/>
          <w:lang w:val="en-US" w:bidi="en-US"/>
        </w:rPr>
        <w:t>a few</w:t>
      </w:r>
      <w:r w:rsidRPr="009F337B">
        <w:rPr>
          <w:rFonts w:cs="Vrinda"/>
          <w:lang w:val="en-US" w:bidi="en-US"/>
        </w:rPr>
        <w:t xml:space="preserve"> vouchers and tables they themselves prepared. </w:t>
      </w:r>
      <w:r w:rsidR="00AC76E9" w:rsidRPr="009F337B">
        <w:rPr>
          <w:rFonts w:cs="Vrinda"/>
          <w:lang w:val="en-US" w:bidi="en-US"/>
        </w:rPr>
        <w:t>On this basis</w:t>
      </w:r>
      <w:r w:rsidRPr="009F337B">
        <w:rPr>
          <w:rFonts w:cs="Vrinda"/>
          <w:lang w:val="en-US" w:bidi="en-US"/>
        </w:rPr>
        <w:t xml:space="preserve">, and in the absence of all the official vouchers for the expenses incurred by the victims and their representatives, the Court establshes, in equity, that the State should pay a total of </w:t>
      </w:r>
      <w:r w:rsidR="006F704E" w:rsidRPr="009F337B">
        <w:rPr>
          <w:rFonts w:cs="Vrinda"/>
          <w:lang w:val="en-US" w:bidi="en-US"/>
        </w:rPr>
        <w:t>US$</w:t>
      </w:r>
      <w:r w:rsidR="00BD0EDF" w:rsidRPr="009F337B">
        <w:rPr>
          <w:rFonts w:cs="Vrinda"/>
          <w:lang w:val="en-US" w:bidi="en-US"/>
        </w:rPr>
        <w:t>3</w:t>
      </w:r>
      <w:r w:rsidRPr="009F337B">
        <w:rPr>
          <w:rFonts w:cs="Vrinda"/>
          <w:lang w:val="en-US" w:bidi="en-US"/>
        </w:rPr>
        <w:t>,</w:t>
      </w:r>
      <w:r w:rsidR="00BD0EDF" w:rsidRPr="009F337B">
        <w:rPr>
          <w:rFonts w:cs="Vrinda"/>
          <w:lang w:val="en-US" w:bidi="en-US"/>
        </w:rPr>
        <w:t>000</w:t>
      </w:r>
      <w:r w:rsidR="006F704E" w:rsidRPr="009F337B">
        <w:rPr>
          <w:rFonts w:cs="Vrinda"/>
          <w:lang w:val="en-US" w:bidi="en-US"/>
        </w:rPr>
        <w:t xml:space="preserve"> (</w:t>
      </w:r>
      <w:r w:rsidR="00BD0EDF" w:rsidRPr="009F337B">
        <w:rPr>
          <w:rFonts w:cs="Vrinda"/>
          <w:lang w:val="en-US" w:bidi="en-US"/>
        </w:rPr>
        <w:t>t</w:t>
      </w:r>
      <w:r w:rsidRPr="009F337B">
        <w:rPr>
          <w:rFonts w:cs="Vrinda"/>
          <w:lang w:val="en-US" w:bidi="en-US"/>
        </w:rPr>
        <w:t>hree</w:t>
      </w:r>
      <w:r w:rsidR="00BD0EDF" w:rsidRPr="009F337B">
        <w:rPr>
          <w:rFonts w:cs="Vrinda"/>
          <w:lang w:val="en-US" w:bidi="en-US"/>
        </w:rPr>
        <w:t xml:space="preserve"> </w:t>
      </w:r>
      <w:r w:rsidR="00F02DBA" w:rsidRPr="009F337B">
        <w:rPr>
          <w:rFonts w:cs="Vrinda"/>
          <w:lang w:val="en-US" w:bidi="en-US"/>
        </w:rPr>
        <w:t>thousand United States dollars</w:t>
      </w:r>
      <w:r w:rsidR="006F704E" w:rsidRPr="009F337B">
        <w:rPr>
          <w:rFonts w:cs="Vrinda"/>
          <w:lang w:val="en-US" w:bidi="en-US"/>
        </w:rPr>
        <w:t xml:space="preserve">) </w:t>
      </w:r>
      <w:r w:rsidRPr="009F337B">
        <w:rPr>
          <w:rFonts w:cs="Vrinda"/>
          <w:lang w:val="en-US" w:bidi="en-US"/>
        </w:rPr>
        <w:t xml:space="preserve">for the </w:t>
      </w:r>
      <w:r w:rsidR="002F541D" w:rsidRPr="009F337B">
        <w:rPr>
          <w:rFonts w:cs="Vrinda"/>
          <w:lang w:val="en-US" w:bidi="en-US"/>
        </w:rPr>
        <w:t>costs and expenses</w:t>
      </w:r>
      <w:r w:rsidR="006F704E" w:rsidRPr="009F337B">
        <w:rPr>
          <w:rFonts w:cs="Vrinda"/>
          <w:lang w:val="en-US" w:bidi="en-US"/>
        </w:rPr>
        <w:t xml:space="preserve"> </w:t>
      </w:r>
      <w:r w:rsidRPr="009F337B">
        <w:rPr>
          <w:rFonts w:cs="Vrinda"/>
          <w:lang w:val="en-US" w:bidi="en-US"/>
        </w:rPr>
        <w:t xml:space="preserve">incurred in the litigation of this case </w:t>
      </w:r>
      <w:r w:rsidR="00AC76E9" w:rsidRPr="009F337B">
        <w:rPr>
          <w:rFonts w:cs="Vrinda"/>
          <w:lang w:val="en-US" w:bidi="en-US"/>
        </w:rPr>
        <w:t>by</w:t>
      </w:r>
      <w:r w:rsidRPr="009F337B">
        <w:rPr>
          <w:rFonts w:cs="Vrinda"/>
          <w:lang w:val="en-US" w:bidi="en-US"/>
        </w:rPr>
        <w:t xml:space="preserve"> the representative </w:t>
      </w:r>
      <w:r w:rsidR="006F704E" w:rsidRPr="009F337B">
        <w:rPr>
          <w:rFonts w:cs="Vrinda"/>
          <w:lang w:val="en-US" w:bidi="en-US"/>
        </w:rPr>
        <w:t>María Cristina Calderón; US$</w:t>
      </w:r>
      <w:r w:rsidR="00BD0EDF" w:rsidRPr="009F337B">
        <w:rPr>
          <w:rFonts w:cs="Vrinda"/>
          <w:lang w:val="en-US" w:bidi="en-US"/>
        </w:rPr>
        <w:t>10</w:t>
      </w:r>
      <w:r w:rsidRPr="009F337B">
        <w:rPr>
          <w:rFonts w:cs="Vrinda"/>
          <w:lang w:val="en-US" w:bidi="en-US"/>
        </w:rPr>
        <w:t>,</w:t>
      </w:r>
      <w:r w:rsidR="00BD0EDF" w:rsidRPr="009F337B">
        <w:rPr>
          <w:rFonts w:cs="Vrinda"/>
          <w:lang w:val="en-US" w:bidi="en-US"/>
        </w:rPr>
        <w:t>000</w:t>
      </w:r>
      <w:r w:rsidR="006F704E" w:rsidRPr="009F337B">
        <w:rPr>
          <w:rFonts w:cs="Vrinda"/>
          <w:lang w:val="en-US" w:bidi="en-US"/>
        </w:rPr>
        <w:t xml:space="preserve"> (</w:t>
      </w:r>
      <w:r w:rsidRPr="009F337B">
        <w:rPr>
          <w:rFonts w:cs="Vrinda"/>
          <w:lang w:val="en-US" w:bidi="en-US"/>
        </w:rPr>
        <w:t>ten</w:t>
      </w:r>
      <w:r w:rsidR="00BD0EDF" w:rsidRPr="009F337B">
        <w:rPr>
          <w:rFonts w:cs="Vrinda"/>
          <w:lang w:val="en-US" w:bidi="en-US"/>
        </w:rPr>
        <w:t xml:space="preserve"> </w:t>
      </w:r>
      <w:r w:rsidR="00F02DBA" w:rsidRPr="009F337B">
        <w:rPr>
          <w:rFonts w:cs="Vrinda"/>
          <w:lang w:val="en-US" w:bidi="en-US"/>
        </w:rPr>
        <w:t>thousand United States dollars</w:t>
      </w:r>
      <w:r w:rsidR="006F704E" w:rsidRPr="009F337B">
        <w:rPr>
          <w:rFonts w:cs="Vrinda"/>
          <w:lang w:val="en-US" w:bidi="en-US"/>
        </w:rPr>
        <w:t xml:space="preserve">) </w:t>
      </w:r>
      <w:r w:rsidRPr="009F337B">
        <w:rPr>
          <w:rFonts w:cs="Vrinda"/>
          <w:lang w:val="en-US" w:bidi="en-US"/>
        </w:rPr>
        <w:t xml:space="preserve">for the costs and expenses incurred in the litigation of this case </w:t>
      </w:r>
      <w:r w:rsidR="00AC76E9" w:rsidRPr="009F337B">
        <w:rPr>
          <w:rFonts w:cs="Vrinda"/>
          <w:lang w:val="en-US" w:bidi="en-US"/>
        </w:rPr>
        <w:t>by</w:t>
      </w:r>
      <w:r w:rsidRPr="009F337B">
        <w:rPr>
          <w:rFonts w:cs="Vrinda"/>
          <w:lang w:val="en-US" w:bidi="en-US"/>
        </w:rPr>
        <w:t xml:space="preserve"> the </w:t>
      </w:r>
      <w:r w:rsidR="006F704E" w:rsidRPr="009F337B">
        <w:rPr>
          <w:rFonts w:cs="Vrinda"/>
          <w:i/>
          <w:lang w:val="en-US" w:bidi="en-US"/>
        </w:rPr>
        <w:t>Asociación de Salud Integral</w:t>
      </w:r>
      <w:r w:rsidRPr="009F337B">
        <w:rPr>
          <w:rFonts w:cs="Vrinda"/>
          <w:lang w:val="en-US" w:bidi="en-US"/>
        </w:rPr>
        <w:t>,</w:t>
      </w:r>
      <w:r w:rsidR="003C46A3" w:rsidRPr="009F337B">
        <w:rPr>
          <w:rFonts w:cs="Vrinda"/>
          <w:lang w:val="en-US" w:bidi="en-US"/>
        </w:rPr>
        <w:t xml:space="preserve"> and </w:t>
      </w:r>
      <w:r w:rsidR="006F704E" w:rsidRPr="009F337B">
        <w:rPr>
          <w:rFonts w:cs="Vrinda"/>
          <w:lang w:val="en-US" w:bidi="en-US"/>
        </w:rPr>
        <w:t>US$</w:t>
      </w:r>
      <w:r w:rsidR="00BD0EDF" w:rsidRPr="009F337B">
        <w:rPr>
          <w:rFonts w:cs="Vrinda"/>
          <w:lang w:val="en-US" w:bidi="en-US"/>
        </w:rPr>
        <w:t>25</w:t>
      </w:r>
      <w:r w:rsidRPr="009F337B">
        <w:rPr>
          <w:rFonts w:cs="Vrinda"/>
          <w:lang w:val="en-US" w:bidi="en-US"/>
        </w:rPr>
        <w:t>,</w:t>
      </w:r>
      <w:r w:rsidR="00BD0EDF" w:rsidRPr="009F337B">
        <w:rPr>
          <w:rFonts w:cs="Vrinda"/>
          <w:lang w:val="en-US" w:bidi="en-US"/>
        </w:rPr>
        <w:t>000</w:t>
      </w:r>
      <w:r w:rsidR="006F704E" w:rsidRPr="009F337B">
        <w:rPr>
          <w:rFonts w:cs="Vrinda"/>
          <w:lang w:val="en-US" w:bidi="en-US"/>
        </w:rPr>
        <w:t xml:space="preserve"> (</w:t>
      </w:r>
      <w:r w:rsidRPr="009F337B">
        <w:rPr>
          <w:rFonts w:cs="Vrinda"/>
          <w:lang w:val="en-US" w:bidi="en-US"/>
        </w:rPr>
        <w:t>twenty-five thousand</w:t>
      </w:r>
      <w:r w:rsidR="006F704E" w:rsidRPr="009F337B">
        <w:rPr>
          <w:rFonts w:cs="Vrinda"/>
          <w:b/>
          <w:lang w:val="en-US" w:bidi="en-US"/>
        </w:rPr>
        <w:t xml:space="preserve"> </w:t>
      </w:r>
      <w:r w:rsidR="00F02DBA" w:rsidRPr="009F337B">
        <w:rPr>
          <w:rFonts w:cs="Vrinda"/>
          <w:lang w:val="en-US" w:bidi="en-US"/>
        </w:rPr>
        <w:t>United States dollars</w:t>
      </w:r>
      <w:r w:rsidR="006F704E" w:rsidRPr="009F337B">
        <w:rPr>
          <w:rFonts w:cs="Vrinda"/>
          <w:lang w:val="en-US" w:bidi="en-US"/>
        </w:rPr>
        <w:t xml:space="preserve">) </w:t>
      </w:r>
      <w:r w:rsidRPr="009F337B">
        <w:rPr>
          <w:rFonts w:cs="Vrinda"/>
          <w:lang w:val="en-US" w:bidi="en-US"/>
        </w:rPr>
        <w:t xml:space="preserve">for the costs and expenses incurred in the litigation of this case </w:t>
      </w:r>
      <w:r w:rsidR="00AC76E9" w:rsidRPr="009F337B">
        <w:rPr>
          <w:rFonts w:cs="Vrinda"/>
          <w:lang w:val="en-US" w:bidi="en-US"/>
        </w:rPr>
        <w:t>by</w:t>
      </w:r>
      <w:r w:rsidRPr="009F337B">
        <w:rPr>
          <w:rFonts w:cs="Vrinda"/>
          <w:lang w:val="en-US" w:bidi="en-US"/>
        </w:rPr>
        <w:t xml:space="preserve"> </w:t>
      </w:r>
      <w:r w:rsidR="006F704E" w:rsidRPr="009F337B">
        <w:rPr>
          <w:rFonts w:cs="Vrinda"/>
          <w:lang w:val="en-US" w:bidi="en-US"/>
        </w:rPr>
        <w:t xml:space="preserve">CEJIL. </w:t>
      </w:r>
      <w:r w:rsidRPr="009F337B">
        <w:rPr>
          <w:rFonts w:cs="Vrinda"/>
          <w:lang w:val="en-US" w:bidi="en-US"/>
        </w:rPr>
        <w:t xml:space="preserve">These sums must be paid directly to each </w:t>
      </w:r>
      <w:r w:rsidR="00CC6A68" w:rsidRPr="009F337B">
        <w:rPr>
          <w:rFonts w:cs="Vrinda"/>
          <w:lang w:val="en-US" w:bidi="en-US"/>
        </w:rPr>
        <w:t xml:space="preserve">of the </w:t>
      </w:r>
      <w:r w:rsidR="007327F5" w:rsidRPr="009F337B">
        <w:rPr>
          <w:rFonts w:cs="Vrinda"/>
          <w:lang w:val="en-US" w:bidi="en-US"/>
        </w:rPr>
        <w:t>representatives</w:t>
      </w:r>
      <w:r w:rsidR="00CC6A68" w:rsidRPr="009F337B">
        <w:rPr>
          <w:rFonts w:cs="Vrinda"/>
          <w:lang w:val="en-US" w:bidi="en-US"/>
        </w:rPr>
        <w:t xml:space="preserve"> of the </w:t>
      </w:r>
      <w:r w:rsidR="00A00EE5" w:rsidRPr="009F337B">
        <w:rPr>
          <w:rFonts w:cs="Vrinda"/>
          <w:lang w:val="en-US" w:bidi="en-US"/>
        </w:rPr>
        <w:t>presumed</w:t>
      </w:r>
      <w:r w:rsidR="003C46A3" w:rsidRPr="009F337B">
        <w:rPr>
          <w:rFonts w:cs="Vrinda"/>
          <w:lang w:val="en-US" w:bidi="en-US"/>
        </w:rPr>
        <w:t xml:space="preserve"> victims</w:t>
      </w:r>
      <w:r w:rsidR="006F704E" w:rsidRPr="009F337B">
        <w:rPr>
          <w:rFonts w:cs="Vrinda"/>
          <w:lang w:val="en-US" w:bidi="en-US"/>
        </w:rPr>
        <w:t xml:space="preserve"> </w:t>
      </w:r>
      <w:r w:rsidRPr="009F337B">
        <w:rPr>
          <w:rFonts w:cs="Vrinda"/>
          <w:lang w:val="en-US" w:bidi="en-US"/>
        </w:rPr>
        <w:t>in this case</w:t>
      </w:r>
      <w:r w:rsidR="006F704E" w:rsidRPr="009F337B">
        <w:rPr>
          <w:rFonts w:cs="Vrinda"/>
          <w:lang w:val="en-US" w:bidi="en-US"/>
        </w:rPr>
        <w:t>.</w:t>
      </w:r>
      <w:bookmarkStart w:id="131" w:name="_Toc469404544"/>
      <w:bookmarkStart w:id="132" w:name="_Toc472608987"/>
      <w:bookmarkStart w:id="133" w:name="_Toc498427307"/>
      <w:bookmarkStart w:id="134" w:name="_Toc405857940"/>
      <w:bookmarkStart w:id="135" w:name="_Toc486693416"/>
      <w:bookmarkStart w:id="136" w:name="_Toc486842836"/>
      <w:bookmarkStart w:id="137" w:name="_Toc486842970"/>
      <w:bookmarkStart w:id="138" w:name="_Toc508792684"/>
      <w:bookmarkStart w:id="139" w:name="_Toc510690644"/>
    </w:p>
    <w:p w14:paraId="0F78AEC7" w14:textId="77777777" w:rsidR="0061727E" w:rsidRPr="009F337B" w:rsidRDefault="0061727E" w:rsidP="0061727E">
      <w:pPr>
        <w:tabs>
          <w:tab w:val="left" w:pos="709"/>
        </w:tabs>
        <w:rPr>
          <w:rFonts w:cs="Vrinda"/>
          <w:lang w:val="en-US" w:bidi="en-US"/>
        </w:rPr>
      </w:pPr>
    </w:p>
    <w:p w14:paraId="28B4245D" w14:textId="44938A43" w:rsidR="006F704E" w:rsidRPr="009F337B" w:rsidRDefault="003953CA" w:rsidP="0061727E">
      <w:pPr>
        <w:pStyle w:val="Ttulo2"/>
        <w:spacing w:before="0" w:after="0"/>
        <w:rPr>
          <w:lang w:val="en-US"/>
        </w:rPr>
      </w:pPr>
      <w:bookmarkStart w:id="140" w:name="_Toc527466504"/>
      <w:r w:rsidRPr="009F337B">
        <w:rPr>
          <w:lang w:val="en-US"/>
        </w:rPr>
        <w:t>Reimbursement</w:t>
      </w:r>
      <w:r w:rsidR="00640C52" w:rsidRPr="009F337B">
        <w:rPr>
          <w:lang w:val="en-US"/>
        </w:rPr>
        <w:t xml:space="preserve"> of expenses to the</w:t>
      </w:r>
      <w:r w:rsidR="006F704E" w:rsidRPr="009F337B">
        <w:rPr>
          <w:lang w:val="en-US"/>
        </w:rPr>
        <w:t xml:space="preserve"> </w:t>
      </w:r>
      <w:r w:rsidR="00640C52" w:rsidRPr="009F337B">
        <w:rPr>
          <w:lang w:val="en-US"/>
        </w:rPr>
        <w:t>Legal Assistance Fund</w:t>
      </w:r>
      <w:bookmarkEnd w:id="131"/>
      <w:bookmarkEnd w:id="132"/>
      <w:bookmarkEnd w:id="133"/>
      <w:bookmarkEnd w:id="140"/>
    </w:p>
    <w:p w14:paraId="7BD6A204" w14:textId="77777777" w:rsidR="0061727E" w:rsidRPr="009F337B" w:rsidRDefault="0061727E" w:rsidP="0061727E">
      <w:pPr>
        <w:rPr>
          <w:lang w:val="en-US"/>
        </w:rPr>
      </w:pPr>
    </w:p>
    <w:p w14:paraId="21E3BBE9" w14:textId="6065E636" w:rsidR="006F704E" w:rsidRPr="009F337B" w:rsidRDefault="003953CA" w:rsidP="00593E37">
      <w:pPr>
        <w:numPr>
          <w:ilvl w:val="0"/>
          <w:numId w:val="1"/>
        </w:numPr>
        <w:tabs>
          <w:tab w:val="left" w:pos="709"/>
        </w:tabs>
        <w:ind w:left="0" w:firstLine="0"/>
        <w:rPr>
          <w:rFonts w:cs="Vrinda"/>
          <w:lang w:val="en-US" w:bidi="en-US"/>
        </w:rPr>
      </w:pPr>
      <w:r w:rsidRPr="009F337B">
        <w:rPr>
          <w:rFonts w:cs="Vrinda"/>
          <w:lang w:val="en-US" w:bidi="en-US"/>
        </w:rPr>
        <w:t xml:space="preserve">In this case, in an order of July 24, 2017, </w:t>
      </w:r>
      <w:r w:rsidR="00AE5F9E" w:rsidRPr="009F337B">
        <w:rPr>
          <w:rFonts w:cs="Vrinda"/>
          <w:lang w:val="en-US" w:bidi="en-US"/>
        </w:rPr>
        <w:t>the President of the Court</w:t>
      </w:r>
      <w:r w:rsidR="006F704E" w:rsidRPr="009F337B">
        <w:rPr>
          <w:rFonts w:cs="Vrinda"/>
          <w:lang w:val="en-US" w:bidi="en-US"/>
        </w:rPr>
        <w:t xml:space="preserve"> </w:t>
      </w:r>
      <w:r w:rsidRPr="009F337B">
        <w:rPr>
          <w:rFonts w:cs="Vrinda"/>
          <w:lang w:val="en-US" w:bidi="en-US"/>
        </w:rPr>
        <w:t>granted financial support from the Victims’ Legal Assistance Fund of the Court for the presentation of five statements, either at the hearing or by affidavit.</w:t>
      </w:r>
    </w:p>
    <w:p w14:paraId="49991F03" w14:textId="77777777" w:rsidR="0061727E" w:rsidRPr="009F337B" w:rsidRDefault="0061727E" w:rsidP="0061727E">
      <w:pPr>
        <w:tabs>
          <w:tab w:val="left" w:pos="709"/>
        </w:tabs>
        <w:rPr>
          <w:rFonts w:cs="Vrinda"/>
          <w:lang w:val="en-US" w:bidi="en-US"/>
        </w:rPr>
      </w:pPr>
    </w:p>
    <w:p w14:paraId="4E2C5D5F" w14:textId="2697E865" w:rsidR="00BA27B4" w:rsidRPr="009F337B" w:rsidRDefault="003953CA" w:rsidP="00593E37">
      <w:pPr>
        <w:numPr>
          <w:ilvl w:val="0"/>
          <w:numId w:val="1"/>
        </w:numPr>
        <w:tabs>
          <w:tab w:val="left" w:pos="709"/>
        </w:tabs>
        <w:ind w:left="0" w:firstLine="0"/>
        <w:rPr>
          <w:rFonts w:cs="Vrinda"/>
          <w:lang w:val="en-US" w:bidi="en-US"/>
        </w:rPr>
      </w:pPr>
      <w:r w:rsidRPr="009F337B">
        <w:rPr>
          <w:rFonts w:cs="Vrinda"/>
          <w:lang w:val="en-US" w:bidi="en-US"/>
        </w:rPr>
        <w:t xml:space="preserve">On the basis of the violations declared in this judgment </w:t>
      </w:r>
      <w:r w:rsidR="00686B07" w:rsidRPr="009F337B">
        <w:rPr>
          <w:rFonts w:cs="Vrinda"/>
          <w:lang w:val="en-US" w:bidi="en-US"/>
        </w:rPr>
        <w:t xml:space="preserve">and compliance with the requirements to access the Court’s Assistance Fund, the Court orders the State to reimburse the sum of </w:t>
      </w:r>
      <w:r w:rsidR="006F704E" w:rsidRPr="009F337B">
        <w:rPr>
          <w:rFonts w:cs="Vrinda"/>
          <w:lang w:val="en-US" w:bidi="en-US"/>
        </w:rPr>
        <w:t>US$</w:t>
      </w:r>
      <w:r w:rsidR="005662A8" w:rsidRPr="009F337B">
        <w:rPr>
          <w:rFonts w:cs="Vrinda"/>
          <w:lang w:val="en-US" w:bidi="en-US"/>
        </w:rPr>
        <w:t>2</w:t>
      </w:r>
      <w:r w:rsidR="00686B07" w:rsidRPr="009F337B">
        <w:rPr>
          <w:rFonts w:cs="Vrinda"/>
          <w:lang w:val="en-US" w:bidi="en-US"/>
        </w:rPr>
        <w:t>,</w:t>
      </w:r>
      <w:r w:rsidR="005662A8" w:rsidRPr="009F337B">
        <w:rPr>
          <w:rFonts w:cs="Vrinda"/>
          <w:lang w:val="en-US" w:bidi="en-US"/>
        </w:rPr>
        <w:t>176</w:t>
      </w:r>
      <w:r w:rsidR="00686B07" w:rsidRPr="009F337B">
        <w:rPr>
          <w:rFonts w:cs="Vrinda"/>
          <w:lang w:val="en-US" w:bidi="en-US"/>
        </w:rPr>
        <w:t>.</w:t>
      </w:r>
      <w:r w:rsidR="005662A8" w:rsidRPr="009F337B">
        <w:rPr>
          <w:rFonts w:cs="Vrinda"/>
          <w:lang w:val="en-US" w:bidi="en-US"/>
        </w:rPr>
        <w:t>36</w:t>
      </w:r>
      <w:r w:rsidR="006F704E" w:rsidRPr="009F337B">
        <w:rPr>
          <w:rFonts w:cs="Vrinda"/>
          <w:lang w:val="en-US" w:bidi="en-US"/>
        </w:rPr>
        <w:t xml:space="preserve"> (</w:t>
      </w:r>
      <w:r w:rsidR="00686B07" w:rsidRPr="009F337B">
        <w:rPr>
          <w:rFonts w:cs="Vrinda"/>
          <w:lang w:val="en-US" w:bidi="en-US"/>
        </w:rPr>
        <w:t xml:space="preserve">two thousand one hundred and seventy-six </w:t>
      </w:r>
      <w:r w:rsidR="00F02DBA" w:rsidRPr="009F337B">
        <w:rPr>
          <w:rFonts w:cs="Vrinda"/>
          <w:lang w:val="en-US" w:bidi="en-US"/>
        </w:rPr>
        <w:t>United States dollars</w:t>
      </w:r>
      <w:r w:rsidR="005662A8" w:rsidRPr="009F337B">
        <w:rPr>
          <w:rFonts w:cs="Vrinda"/>
          <w:lang w:val="en-US" w:bidi="en-US"/>
        </w:rPr>
        <w:t xml:space="preserve"> </w:t>
      </w:r>
      <w:r w:rsidR="00686B07" w:rsidRPr="009F337B">
        <w:rPr>
          <w:rFonts w:cs="Vrinda"/>
          <w:lang w:val="en-US" w:bidi="en-US"/>
        </w:rPr>
        <w:t>and thirty-six cents) to th</w:t>
      </w:r>
      <w:r w:rsidR="00AC76E9" w:rsidRPr="009F337B">
        <w:rPr>
          <w:rFonts w:cs="Vrinda"/>
          <w:lang w:val="en-US" w:bidi="en-US"/>
        </w:rPr>
        <w:t>e</w:t>
      </w:r>
      <w:r w:rsidR="00686B07" w:rsidRPr="009F337B">
        <w:rPr>
          <w:rFonts w:cs="Vrinda"/>
          <w:lang w:val="en-US" w:bidi="en-US"/>
        </w:rPr>
        <w:t xml:space="preserve"> Fund for the expenses incurred. This amount must be reimbursed within six moths of notification </w:t>
      </w:r>
      <w:r w:rsidR="004F3C01" w:rsidRPr="009F337B">
        <w:rPr>
          <w:rFonts w:cs="Vrinda"/>
          <w:lang w:val="en-US" w:bidi="en-US"/>
        </w:rPr>
        <w:t>of this judgement</w:t>
      </w:r>
      <w:r w:rsidR="0061727E" w:rsidRPr="009F337B">
        <w:rPr>
          <w:rFonts w:cs="Vrinda"/>
          <w:lang w:val="en-US" w:bidi="en-US"/>
        </w:rPr>
        <w:t>.</w:t>
      </w:r>
    </w:p>
    <w:p w14:paraId="1224DF94" w14:textId="77777777" w:rsidR="0061727E" w:rsidRPr="009F337B" w:rsidRDefault="0061727E" w:rsidP="0061727E">
      <w:pPr>
        <w:tabs>
          <w:tab w:val="left" w:pos="709"/>
        </w:tabs>
        <w:rPr>
          <w:rFonts w:cs="Vrinda"/>
          <w:lang w:val="en-US" w:bidi="en-US"/>
        </w:rPr>
      </w:pPr>
    </w:p>
    <w:p w14:paraId="6670DD36" w14:textId="6A6E4F97" w:rsidR="0061727E" w:rsidRPr="009F337B" w:rsidRDefault="00686B07" w:rsidP="0061727E">
      <w:pPr>
        <w:pStyle w:val="Ttulo2"/>
        <w:spacing w:before="0" w:after="0"/>
        <w:rPr>
          <w:lang w:val="en-US"/>
        </w:rPr>
      </w:pPr>
      <w:r w:rsidRPr="009F337B">
        <w:rPr>
          <w:lang w:val="en-US"/>
        </w:rPr>
        <w:t>Method of compliance with the payments ordered</w:t>
      </w:r>
      <w:bookmarkEnd w:id="134"/>
      <w:bookmarkEnd w:id="135"/>
      <w:bookmarkEnd w:id="136"/>
      <w:bookmarkEnd w:id="137"/>
      <w:bookmarkEnd w:id="138"/>
      <w:bookmarkEnd w:id="139"/>
    </w:p>
    <w:p w14:paraId="3152A020" w14:textId="77777777" w:rsidR="0061727E" w:rsidRPr="009F337B" w:rsidRDefault="0061727E" w:rsidP="0061727E">
      <w:pPr>
        <w:rPr>
          <w:lang w:val="en-US"/>
        </w:rPr>
      </w:pPr>
    </w:p>
    <w:p w14:paraId="56CD0A46" w14:textId="63856271" w:rsidR="006F704E" w:rsidRPr="009F337B" w:rsidRDefault="00686B07" w:rsidP="00593E37">
      <w:pPr>
        <w:numPr>
          <w:ilvl w:val="0"/>
          <w:numId w:val="1"/>
        </w:numPr>
        <w:tabs>
          <w:tab w:val="left" w:pos="709"/>
        </w:tabs>
        <w:ind w:left="0" w:firstLine="0"/>
        <w:rPr>
          <w:rFonts w:cs="Vrinda"/>
          <w:lang w:val="en-US" w:bidi="en-US"/>
        </w:rPr>
      </w:pPr>
      <w:bookmarkStart w:id="141" w:name="_Ref512872975"/>
      <w:r w:rsidRPr="009F337B">
        <w:rPr>
          <w:lang w:val="en-US"/>
        </w:rPr>
        <w:t>The State shall make the payment of the compensation for p</w:t>
      </w:r>
      <w:r w:rsidR="004F3C01" w:rsidRPr="009F337B">
        <w:rPr>
          <w:lang w:val="en-US"/>
        </w:rPr>
        <w:t xml:space="preserve">ecuniary </w:t>
      </w:r>
      <w:r w:rsidRPr="009F337B">
        <w:rPr>
          <w:lang w:val="en-US"/>
        </w:rPr>
        <w:t xml:space="preserve">and non-pecuniary </w:t>
      </w:r>
      <w:r w:rsidR="004F3C01" w:rsidRPr="009F337B">
        <w:rPr>
          <w:lang w:val="en-US"/>
        </w:rPr>
        <w:t>damage</w:t>
      </w:r>
      <w:r w:rsidR="006F704E" w:rsidRPr="009F337B">
        <w:rPr>
          <w:lang w:val="en-US"/>
        </w:rPr>
        <w:t xml:space="preserve"> </w:t>
      </w:r>
      <w:r w:rsidRPr="009F337B">
        <w:rPr>
          <w:lang w:val="en-US"/>
        </w:rPr>
        <w:t xml:space="preserve">and to reimburse </w:t>
      </w:r>
      <w:r w:rsidR="002F541D" w:rsidRPr="009F337B">
        <w:rPr>
          <w:lang w:val="en-US"/>
        </w:rPr>
        <w:t>costs and expenses</w:t>
      </w:r>
      <w:r w:rsidR="006F704E" w:rsidRPr="009F337B">
        <w:rPr>
          <w:lang w:val="en-US"/>
        </w:rPr>
        <w:t xml:space="preserve"> </w:t>
      </w:r>
      <w:r w:rsidRPr="009F337B">
        <w:rPr>
          <w:lang w:val="en-US"/>
        </w:rPr>
        <w:t xml:space="preserve">established in this judgment directly to the persons indicated herein, within one year of notification of </w:t>
      </w:r>
      <w:r w:rsidR="004F3C01" w:rsidRPr="009F337B">
        <w:rPr>
          <w:lang w:val="en-US"/>
        </w:rPr>
        <w:t>this judgement</w:t>
      </w:r>
      <w:bookmarkStart w:id="142" w:name="_Ref469601153"/>
      <w:bookmarkEnd w:id="141"/>
      <w:r w:rsidR="006F704E" w:rsidRPr="009F337B">
        <w:rPr>
          <w:lang w:val="en-US"/>
        </w:rPr>
        <w:t>.</w:t>
      </w:r>
    </w:p>
    <w:p w14:paraId="6872BCD0" w14:textId="77777777" w:rsidR="0061727E" w:rsidRPr="009F337B" w:rsidRDefault="0061727E" w:rsidP="0061727E">
      <w:pPr>
        <w:tabs>
          <w:tab w:val="left" w:pos="709"/>
        </w:tabs>
        <w:rPr>
          <w:rFonts w:cs="Vrinda"/>
          <w:lang w:val="en-US" w:bidi="en-US"/>
        </w:rPr>
      </w:pPr>
    </w:p>
    <w:p w14:paraId="1310063C" w14:textId="2D96B590" w:rsidR="006F704E" w:rsidRPr="009F337B" w:rsidRDefault="00686B07" w:rsidP="00593E37">
      <w:pPr>
        <w:numPr>
          <w:ilvl w:val="0"/>
          <w:numId w:val="1"/>
        </w:numPr>
        <w:tabs>
          <w:tab w:val="left" w:pos="709"/>
        </w:tabs>
        <w:ind w:left="0" w:firstLine="0"/>
        <w:rPr>
          <w:rFonts w:cs="Vrinda"/>
          <w:lang w:val="en-US" w:bidi="en-US"/>
        </w:rPr>
      </w:pPr>
      <w:r w:rsidRPr="009F337B">
        <w:rPr>
          <w:lang w:val="en-US"/>
        </w:rPr>
        <w:t>Should any beneficiary be deceased or die before they receive the respective amount, this shall be delivered directly to their heirs, in keeping with the applicable domestic law.</w:t>
      </w:r>
      <w:bookmarkEnd w:id="142"/>
    </w:p>
    <w:p w14:paraId="34EE807E" w14:textId="77777777" w:rsidR="0061727E" w:rsidRPr="009F337B" w:rsidRDefault="0061727E" w:rsidP="0061727E">
      <w:pPr>
        <w:tabs>
          <w:tab w:val="left" w:pos="709"/>
        </w:tabs>
        <w:rPr>
          <w:rFonts w:cs="Vrinda"/>
          <w:lang w:val="en-US" w:bidi="en-US"/>
        </w:rPr>
      </w:pPr>
    </w:p>
    <w:p w14:paraId="68CBE75D" w14:textId="6BE83BF9" w:rsidR="006F704E" w:rsidRPr="009F337B" w:rsidRDefault="00686B07" w:rsidP="00593E37">
      <w:pPr>
        <w:numPr>
          <w:ilvl w:val="0"/>
          <w:numId w:val="1"/>
        </w:numPr>
        <w:tabs>
          <w:tab w:val="left" w:pos="709"/>
        </w:tabs>
        <w:ind w:left="0" w:firstLine="0"/>
        <w:rPr>
          <w:rFonts w:cs="Vrinda"/>
          <w:lang w:val="en-US" w:bidi="en-US"/>
        </w:rPr>
      </w:pPr>
      <w:r w:rsidRPr="009F337B">
        <w:rPr>
          <w:lang w:val="en-US"/>
        </w:rPr>
        <w:t xml:space="preserve">The State shall comply with its pecuniary obligations by payment in </w:t>
      </w:r>
      <w:r w:rsidR="00F02DBA" w:rsidRPr="009F337B">
        <w:rPr>
          <w:lang w:val="en-US"/>
        </w:rPr>
        <w:t>United States dollars</w:t>
      </w:r>
      <w:r w:rsidR="006F704E" w:rsidRPr="009F337B">
        <w:rPr>
          <w:lang w:val="en-US"/>
        </w:rPr>
        <w:t xml:space="preserve"> o</w:t>
      </w:r>
      <w:r w:rsidRPr="009F337B">
        <w:rPr>
          <w:lang w:val="en-US"/>
        </w:rPr>
        <w:t>r the equivalent in domestic currency, using the exchange rate on the New York Stock Exchange (United States of America) on the day before payment to make the respective calculation.</w:t>
      </w:r>
    </w:p>
    <w:p w14:paraId="636B67F2" w14:textId="77777777" w:rsidR="0061727E" w:rsidRPr="009F337B" w:rsidRDefault="0061727E" w:rsidP="0061727E">
      <w:pPr>
        <w:tabs>
          <w:tab w:val="left" w:pos="709"/>
        </w:tabs>
        <w:rPr>
          <w:rFonts w:cs="Vrinda"/>
          <w:lang w:val="en-US" w:bidi="en-US"/>
        </w:rPr>
      </w:pPr>
    </w:p>
    <w:p w14:paraId="7177C422" w14:textId="208417D3" w:rsidR="006F704E" w:rsidRPr="009F337B" w:rsidRDefault="00686B07" w:rsidP="00593E37">
      <w:pPr>
        <w:numPr>
          <w:ilvl w:val="0"/>
          <w:numId w:val="1"/>
        </w:numPr>
        <w:tabs>
          <w:tab w:val="left" w:pos="709"/>
        </w:tabs>
        <w:ind w:left="0" w:firstLine="0"/>
        <w:rPr>
          <w:rFonts w:cs="Vrinda"/>
          <w:lang w:val="en-US" w:bidi="en-US"/>
        </w:rPr>
      </w:pPr>
      <w:r w:rsidRPr="009F337B">
        <w:rPr>
          <w:lang w:val="en-US"/>
        </w:rPr>
        <w:t>If, for reasons that can be attributed to the beneficiaries of the compensation or their heirs it is not possible to pay the amounts es</w:t>
      </w:r>
      <w:r w:rsidR="00AC76E9" w:rsidRPr="009F337B">
        <w:rPr>
          <w:lang w:val="en-US"/>
        </w:rPr>
        <w:t>t</w:t>
      </w:r>
      <w:r w:rsidRPr="009F337B">
        <w:rPr>
          <w:lang w:val="en-US"/>
        </w:rPr>
        <w:t xml:space="preserve">ablished within the said time frame, the State shall deposit the said amounts in their favor in a deposit account or certificate in a solvent Guatemalan financial institution, in </w:t>
      </w:r>
      <w:r w:rsidR="00F02DBA" w:rsidRPr="009F337B">
        <w:rPr>
          <w:lang w:val="en-US"/>
        </w:rPr>
        <w:t>United States dollars</w:t>
      </w:r>
      <w:r w:rsidR="006F704E" w:rsidRPr="009F337B">
        <w:rPr>
          <w:lang w:val="en-US"/>
        </w:rPr>
        <w:t>,</w:t>
      </w:r>
      <w:r w:rsidR="003C46A3" w:rsidRPr="009F337B">
        <w:rPr>
          <w:lang w:val="en-US"/>
        </w:rPr>
        <w:t xml:space="preserve"> and </w:t>
      </w:r>
      <w:r w:rsidRPr="009F337B">
        <w:rPr>
          <w:lang w:val="en-US"/>
        </w:rPr>
        <w:t>in the</w:t>
      </w:r>
      <w:r w:rsidR="00BB3737" w:rsidRPr="009F337B">
        <w:rPr>
          <w:lang w:val="en-US"/>
        </w:rPr>
        <w:t xml:space="preserve"> most favorable conditions allowed by ba</w:t>
      </w:r>
      <w:r w:rsidR="00AC76E9" w:rsidRPr="009F337B">
        <w:rPr>
          <w:lang w:val="en-US"/>
        </w:rPr>
        <w:t>n</w:t>
      </w:r>
      <w:r w:rsidR="00BB3737" w:rsidRPr="009F337B">
        <w:rPr>
          <w:lang w:val="en-US"/>
        </w:rPr>
        <w:t>king law and practice. If the corresponding compensation remains unclaimed after ten year</w:t>
      </w:r>
      <w:r w:rsidR="00AC76E9" w:rsidRPr="009F337B">
        <w:rPr>
          <w:lang w:val="en-US"/>
        </w:rPr>
        <w:t>s</w:t>
      </w:r>
      <w:r w:rsidR="00BB3737" w:rsidRPr="009F337B">
        <w:rPr>
          <w:lang w:val="en-US"/>
        </w:rPr>
        <w:t>, the amount shall be returned to the State with the accrued interest.</w:t>
      </w:r>
    </w:p>
    <w:p w14:paraId="47AE9666" w14:textId="77777777" w:rsidR="0061727E" w:rsidRPr="009F337B" w:rsidRDefault="0061727E" w:rsidP="0061727E">
      <w:pPr>
        <w:tabs>
          <w:tab w:val="left" w:pos="709"/>
        </w:tabs>
        <w:rPr>
          <w:rFonts w:cs="Vrinda"/>
          <w:lang w:val="en-US" w:bidi="en-US"/>
        </w:rPr>
      </w:pPr>
    </w:p>
    <w:p w14:paraId="1AAC3507" w14:textId="3E4C74A4" w:rsidR="006F704E" w:rsidRPr="009F337B" w:rsidRDefault="00BB3737" w:rsidP="00593E37">
      <w:pPr>
        <w:numPr>
          <w:ilvl w:val="0"/>
          <w:numId w:val="1"/>
        </w:numPr>
        <w:tabs>
          <w:tab w:val="left" w:pos="709"/>
        </w:tabs>
        <w:ind w:left="0" w:firstLine="0"/>
        <w:rPr>
          <w:rFonts w:cs="Vrinda"/>
          <w:lang w:val="en-US" w:bidi="en-US"/>
        </w:rPr>
      </w:pPr>
      <w:r w:rsidRPr="009F337B">
        <w:rPr>
          <w:lang w:val="en-US"/>
        </w:rPr>
        <w:t xml:space="preserve">The amounts allocated in this judgment as compensation for pecuniary and non-pecuniary damage and to reimburse </w:t>
      </w:r>
      <w:r w:rsidR="002F541D" w:rsidRPr="009F337B">
        <w:rPr>
          <w:lang w:val="en-US"/>
        </w:rPr>
        <w:t>costs and expenses</w:t>
      </w:r>
      <w:r w:rsidR="006F704E" w:rsidRPr="009F337B">
        <w:rPr>
          <w:lang w:val="en-US"/>
        </w:rPr>
        <w:t xml:space="preserve"> </w:t>
      </w:r>
      <w:r w:rsidRPr="009F337B">
        <w:rPr>
          <w:lang w:val="en-US"/>
        </w:rPr>
        <w:t>shall be d</w:t>
      </w:r>
      <w:r w:rsidR="00AC76E9" w:rsidRPr="009F337B">
        <w:rPr>
          <w:lang w:val="en-US"/>
        </w:rPr>
        <w:t>e</w:t>
      </w:r>
      <w:r w:rsidRPr="009F337B">
        <w:rPr>
          <w:lang w:val="en-US"/>
        </w:rPr>
        <w:t>i</w:t>
      </w:r>
      <w:r w:rsidR="00AC76E9" w:rsidRPr="009F337B">
        <w:rPr>
          <w:lang w:val="en-US"/>
        </w:rPr>
        <w:t>i</w:t>
      </w:r>
      <w:r w:rsidRPr="009F337B">
        <w:rPr>
          <w:lang w:val="en-US"/>
        </w:rPr>
        <w:t>vered to the persons indicated in full, as established in this judgment, without any reductions due to eventual taxes and charges.</w:t>
      </w:r>
      <w:bookmarkStart w:id="143" w:name="_Ref469940442"/>
    </w:p>
    <w:p w14:paraId="6004B146" w14:textId="77777777" w:rsidR="0061727E" w:rsidRPr="009F337B" w:rsidRDefault="0061727E" w:rsidP="0061727E">
      <w:pPr>
        <w:tabs>
          <w:tab w:val="left" w:pos="709"/>
        </w:tabs>
        <w:rPr>
          <w:rFonts w:cs="Vrinda"/>
          <w:lang w:val="en-US" w:bidi="en-US"/>
        </w:rPr>
      </w:pPr>
    </w:p>
    <w:p w14:paraId="1D387C92" w14:textId="162380DC" w:rsidR="00C571EC" w:rsidRPr="009F337B" w:rsidRDefault="00BB3737" w:rsidP="00593E37">
      <w:pPr>
        <w:numPr>
          <w:ilvl w:val="0"/>
          <w:numId w:val="1"/>
        </w:numPr>
        <w:tabs>
          <w:tab w:val="left" w:pos="709"/>
        </w:tabs>
        <w:ind w:left="0" w:firstLine="0"/>
        <w:rPr>
          <w:lang w:val="en-US"/>
        </w:rPr>
      </w:pPr>
      <w:r w:rsidRPr="009F337B">
        <w:rPr>
          <w:lang w:val="en-US"/>
        </w:rPr>
        <w:t>If the State falls into arrears, including with</w:t>
      </w:r>
      <w:r w:rsidR="006F704E" w:rsidRPr="009F337B">
        <w:rPr>
          <w:lang w:val="en-US"/>
        </w:rPr>
        <w:t xml:space="preserve"> </w:t>
      </w:r>
      <w:r w:rsidRPr="009F337B">
        <w:rPr>
          <w:lang w:val="en-US"/>
        </w:rPr>
        <w:t>r</w:t>
      </w:r>
      <w:r w:rsidR="003953CA" w:rsidRPr="009F337B">
        <w:rPr>
          <w:lang w:val="en-US"/>
        </w:rPr>
        <w:t>eimbursement</w:t>
      </w:r>
      <w:r w:rsidR="00640C52" w:rsidRPr="009F337B">
        <w:rPr>
          <w:lang w:val="en-US"/>
        </w:rPr>
        <w:t xml:space="preserve"> of expenses to the</w:t>
      </w:r>
      <w:r w:rsidR="006F704E" w:rsidRPr="009F337B">
        <w:rPr>
          <w:lang w:val="en-US"/>
        </w:rPr>
        <w:t xml:space="preserve"> </w:t>
      </w:r>
      <w:r w:rsidR="007327F5" w:rsidRPr="009F337B">
        <w:rPr>
          <w:lang w:val="en-US"/>
        </w:rPr>
        <w:t>Victims’ Legal Assistance Fund</w:t>
      </w:r>
      <w:r w:rsidR="006F704E" w:rsidRPr="009F337B">
        <w:rPr>
          <w:lang w:val="en-US"/>
        </w:rPr>
        <w:t xml:space="preserve">, </w:t>
      </w:r>
      <w:r w:rsidRPr="009F337B">
        <w:rPr>
          <w:lang w:val="en-US"/>
        </w:rPr>
        <w:t xml:space="preserve">it shall pay interest on the amount owed </w:t>
      </w:r>
      <w:r w:rsidR="0084040D" w:rsidRPr="009F337B">
        <w:rPr>
          <w:lang w:val="en-US"/>
        </w:rPr>
        <w:t>corresponding to</w:t>
      </w:r>
      <w:r w:rsidRPr="009F337B">
        <w:rPr>
          <w:lang w:val="en-US"/>
        </w:rPr>
        <w:t xml:space="preserve"> banking interest on arrears in </w:t>
      </w:r>
      <w:r w:rsidR="003C46A3" w:rsidRPr="009F337B">
        <w:rPr>
          <w:lang w:val="en-US"/>
        </w:rPr>
        <w:t>the Republic of</w:t>
      </w:r>
      <w:r w:rsidR="006F704E" w:rsidRPr="009F337B">
        <w:rPr>
          <w:lang w:val="en-US"/>
        </w:rPr>
        <w:t xml:space="preserve"> Guatemala.</w:t>
      </w:r>
      <w:bookmarkEnd w:id="59"/>
      <w:bookmarkEnd w:id="60"/>
      <w:bookmarkEnd w:id="143"/>
    </w:p>
    <w:p w14:paraId="0050769A" w14:textId="77777777" w:rsidR="008C0ED5" w:rsidRPr="009F337B" w:rsidRDefault="008C0ED5" w:rsidP="008C0ED5">
      <w:pPr>
        <w:pStyle w:val="Prrafodelista"/>
        <w:rPr>
          <w:lang w:val="en-US"/>
        </w:rPr>
      </w:pPr>
    </w:p>
    <w:p w14:paraId="393FEEAF" w14:textId="77777777" w:rsidR="008C0ED5" w:rsidRPr="009F337B" w:rsidRDefault="008C0ED5" w:rsidP="008C0ED5">
      <w:pPr>
        <w:tabs>
          <w:tab w:val="left" w:pos="709"/>
        </w:tabs>
        <w:rPr>
          <w:lang w:val="en-US"/>
        </w:rPr>
      </w:pPr>
    </w:p>
    <w:p w14:paraId="1FAAB84E" w14:textId="37AFBD5C" w:rsidR="0060553A" w:rsidRPr="009F337B" w:rsidRDefault="0060553A" w:rsidP="00F12B1C">
      <w:pPr>
        <w:pStyle w:val="Ttulo1"/>
        <w:spacing w:before="0" w:after="0"/>
        <w:rPr>
          <w:lang w:val="en-US"/>
        </w:rPr>
      </w:pPr>
      <w:bookmarkStart w:id="144" w:name="_Toc527466506"/>
      <w:r w:rsidRPr="009F337B">
        <w:rPr>
          <w:lang w:val="en-US"/>
        </w:rPr>
        <w:t>X</w:t>
      </w:r>
      <w:r w:rsidR="00F12B1C" w:rsidRPr="009F337B">
        <w:rPr>
          <w:lang w:val="en-US"/>
        </w:rPr>
        <w:t>.</w:t>
      </w:r>
      <w:r w:rsidR="00B4689D" w:rsidRPr="009F337B">
        <w:rPr>
          <w:lang w:val="en-US"/>
        </w:rPr>
        <w:br/>
      </w:r>
      <w:r w:rsidR="0010522A" w:rsidRPr="009F337B">
        <w:rPr>
          <w:lang w:val="en-US"/>
        </w:rPr>
        <w:t>OPERATIVE PARAGRAPHS</w:t>
      </w:r>
      <w:bookmarkEnd w:id="144"/>
    </w:p>
    <w:p w14:paraId="736D5DFA" w14:textId="0BC706A7" w:rsidR="0060553A" w:rsidRPr="009F337B" w:rsidRDefault="008C0ED5" w:rsidP="0060553A">
      <w:pPr>
        <w:pStyle w:val="Prrafodelista2"/>
        <w:tabs>
          <w:tab w:val="left" w:pos="0"/>
          <w:tab w:val="num" w:pos="12305"/>
        </w:tabs>
        <w:ind w:left="0" w:right="-90"/>
        <w:jc w:val="both"/>
        <w:rPr>
          <w:lang w:val="en-US"/>
        </w:rPr>
      </w:pPr>
      <w:r w:rsidRPr="009F337B">
        <w:rPr>
          <w:lang w:val="en-US"/>
        </w:rPr>
        <w:t>Therefore</w:t>
      </w:r>
      <w:r w:rsidR="0060553A" w:rsidRPr="009F337B">
        <w:rPr>
          <w:lang w:val="en-US"/>
        </w:rPr>
        <w:t xml:space="preserve">, </w:t>
      </w:r>
    </w:p>
    <w:p w14:paraId="45BB3143" w14:textId="77777777" w:rsidR="0060553A" w:rsidRPr="009F337B" w:rsidRDefault="0060553A" w:rsidP="0060553A">
      <w:pPr>
        <w:pStyle w:val="Prrafodelista2"/>
        <w:tabs>
          <w:tab w:val="left" w:pos="720"/>
        </w:tabs>
        <w:ind w:left="0" w:right="-90"/>
        <w:contextualSpacing/>
        <w:rPr>
          <w:rFonts w:asciiTheme="minorHAnsi" w:eastAsiaTheme="minorHAnsi" w:hAnsiTheme="minorHAnsi" w:cstheme="minorBidi"/>
          <w:sz w:val="22"/>
          <w:szCs w:val="22"/>
          <w:lang w:val="en-US" w:bidi="ar-SA"/>
        </w:rPr>
      </w:pPr>
    </w:p>
    <w:p w14:paraId="395DB154" w14:textId="0DAEE801" w:rsidR="0060553A" w:rsidRPr="009F337B" w:rsidRDefault="00AE5F9E" w:rsidP="0060553A">
      <w:pPr>
        <w:pStyle w:val="Prrafodelista2"/>
        <w:tabs>
          <w:tab w:val="left" w:pos="720"/>
        </w:tabs>
        <w:ind w:left="0" w:right="-90"/>
        <w:contextualSpacing/>
        <w:rPr>
          <w:b/>
          <w:bCs/>
          <w:lang w:val="en-US"/>
        </w:rPr>
      </w:pPr>
      <w:r w:rsidRPr="009F337B">
        <w:rPr>
          <w:b/>
          <w:bCs/>
          <w:lang w:val="en-US"/>
        </w:rPr>
        <w:t>THE COURT</w:t>
      </w:r>
      <w:r w:rsidR="0060553A" w:rsidRPr="009F337B">
        <w:rPr>
          <w:b/>
          <w:bCs/>
          <w:lang w:val="en-US"/>
        </w:rPr>
        <w:t xml:space="preserve"> </w:t>
      </w:r>
    </w:p>
    <w:p w14:paraId="5A68C31F" w14:textId="77777777" w:rsidR="0060553A" w:rsidRPr="009F337B" w:rsidRDefault="0060553A" w:rsidP="0060553A">
      <w:pPr>
        <w:pStyle w:val="Prrafodelista2"/>
        <w:tabs>
          <w:tab w:val="left" w:pos="720"/>
        </w:tabs>
        <w:ind w:left="0" w:right="-90"/>
        <w:contextualSpacing/>
        <w:rPr>
          <w:b/>
          <w:bCs/>
          <w:lang w:val="en-US"/>
        </w:rPr>
      </w:pPr>
    </w:p>
    <w:p w14:paraId="001273C7" w14:textId="29E2B442" w:rsidR="0060553A" w:rsidRPr="009F337B" w:rsidRDefault="0060553A" w:rsidP="0060553A">
      <w:pPr>
        <w:pStyle w:val="Prrafodelista2"/>
        <w:tabs>
          <w:tab w:val="left" w:pos="720"/>
        </w:tabs>
        <w:ind w:left="0" w:right="-90"/>
        <w:contextualSpacing/>
        <w:rPr>
          <w:b/>
          <w:bCs/>
          <w:lang w:val="en-US"/>
        </w:rPr>
      </w:pPr>
      <w:r w:rsidRPr="009F337B">
        <w:rPr>
          <w:b/>
          <w:bCs/>
          <w:lang w:val="en-US"/>
        </w:rPr>
        <w:t>DECIDE</w:t>
      </w:r>
      <w:r w:rsidR="008C0ED5" w:rsidRPr="009F337B">
        <w:rPr>
          <w:b/>
          <w:bCs/>
          <w:lang w:val="en-US"/>
        </w:rPr>
        <w:t>S</w:t>
      </w:r>
      <w:r w:rsidRPr="009F337B">
        <w:rPr>
          <w:b/>
          <w:bCs/>
          <w:lang w:val="en-US"/>
        </w:rPr>
        <w:t xml:space="preserve">, </w:t>
      </w:r>
    </w:p>
    <w:p w14:paraId="5EF041E7" w14:textId="77777777" w:rsidR="0060553A" w:rsidRPr="009F337B" w:rsidRDefault="0060553A" w:rsidP="0060553A">
      <w:pPr>
        <w:pStyle w:val="Prrafodelista2"/>
        <w:ind w:left="0" w:right="-90"/>
        <w:contextualSpacing/>
        <w:rPr>
          <w:lang w:val="en-US"/>
        </w:rPr>
      </w:pPr>
    </w:p>
    <w:p w14:paraId="32F633E4" w14:textId="7ACDF08F" w:rsidR="0060553A" w:rsidRPr="009F337B" w:rsidRDefault="008C0ED5" w:rsidP="0060553A">
      <w:pPr>
        <w:pStyle w:val="Prrafodelista2"/>
        <w:ind w:left="0" w:right="-90"/>
        <w:contextualSpacing/>
        <w:rPr>
          <w:lang w:val="en-US"/>
        </w:rPr>
      </w:pPr>
      <w:r w:rsidRPr="009F337B">
        <w:rPr>
          <w:lang w:val="en-US"/>
        </w:rPr>
        <w:t>By four votes to one</w:t>
      </w:r>
      <w:r w:rsidR="008D4C6C" w:rsidRPr="009F337B">
        <w:rPr>
          <w:lang w:val="en-US"/>
        </w:rPr>
        <w:t xml:space="preserve"> that:</w:t>
      </w:r>
    </w:p>
    <w:p w14:paraId="2A318F1E" w14:textId="77777777" w:rsidR="0060553A" w:rsidRPr="009F337B" w:rsidRDefault="0060553A" w:rsidP="0060553A">
      <w:pPr>
        <w:pStyle w:val="Prrafodelista"/>
        <w:widowControl w:val="0"/>
        <w:tabs>
          <w:tab w:val="center" w:pos="567"/>
        </w:tabs>
        <w:autoSpaceDE w:val="0"/>
        <w:autoSpaceDN w:val="0"/>
        <w:adjustRightInd w:val="0"/>
        <w:ind w:left="0" w:right="-90"/>
        <w:rPr>
          <w:szCs w:val="20"/>
          <w:lang w:val="en-US"/>
        </w:rPr>
      </w:pPr>
    </w:p>
    <w:p w14:paraId="4A4C2AD8" w14:textId="4B20498F" w:rsidR="0060553A" w:rsidRPr="009F337B" w:rsidRDefault="00E92196" w:rsidP="00593E37">
      <w:pPr>
        <w:pStyle w:val="Prrafodelista"/>
        <w:widowControl w:val="0"/>
        <w:numPr>
          <w:ilvl w:val="0"/>
          <w:numId w:val="6"/>
        </w:numPr>
        <w:tabs>
          <w:tab w:val="center" w:pos="567"/>
        </w:tabs>
        <w:autoSpaceDE w:val="0"/>
        <w:autoSpaceDN w:val="0"/>
        <w:adjustRightInd w:val="0"/>
        <w:ind w:left="0" w:right="-90" w:hanging="11"/>
        <w:rPr>
          <w:szCs w:val="20"/>
          <w:lang w:val="en-US"/>
        </w:rPr>
      </w:pPr>
      <w:r w:rsidRPr="009F337B">
        <w:rPr>
          <w:szCs w:val="20"/>
          <w:lang w:val="en-US"/>
        </w:rPr>
        <w:t>The State is responsible for the violation</w:t>
      </w:r>
      <w:r w:rsidR="00371ADF" w:rsidRPr="009F337B">
        <w:rPr>
          <w:szCs w:val="20"/>
          <w:lang w:val="en-US"/>
        </w:rPr>
        <w:t xml:space="preserve"> of the </w:t>
      </w:r>
      <w:r w:rsidR="00A51F3B" w:rsidRPr="009F337B">
        <w:rPr>
          <w:szCs w:val="20"/>
          <w:lang w:val="en-US"/>
        </w:rPr>
        <w:t>right to health</w:t>
      </w:r>
      <w:r w:rsidR="0060553A" w:rsidRPr="009F337B">
        <w:rPr>
          <w:szCs w:val="20"/>
          <w:lang w:val="en-US"/>
        </w:rPr>
        <w:t xml:space="preserve">, </w:t>
      </w:r>
      <w:r w:rsidRPr="009F337B">
        <w:rPr>
          <w:szCs w:val="20"/>
          <w:lang w:val="en-US"/>
        </w:rPr>
        <w:t>pursuant to</w:t>
      </w:r>
      <w:r w:rsidR="0060553A" w:rsidRPr="009F337B">
        <w:rPr>
          <w:szCs w:val="20"/>
          <w:lang w:val="en-US"/>
        </w:rPr>
        <w:t xml:space="preserve"> </w:t>
      </w:r>
      <w:r w:rsidR="00AE5F9E" w:rsidRPr="009F337B">
        <w:rPr>
          <w:szCs w:val="20"/>
          <w:lang w:val="en-US"/>
        </w:rPr>
        <w:t>Article</w:t>
      </w:r>
      <w:r w:rsidR="0060553A" w:rsidRPr="009F337B">
        <w:rPr>
          <w:szCs w:val="20"/>
          <w:lang w:val="en-US"/>
        </w:rPr>
        <w:t xml:space="preserve"> 26</w:t>
      </w:r>
      <w:r w:rsidR="00AE5F9E" w:rsidRPr="009F337B">
        <w:rPr>
          <w:szCs w:val="20"/>
          <w:lang w:val="en-US"/>
        </w:rPr>
        <w:t xml:space="preserve"> of the American Convention</w:t>
      </w:r>
      <w:r w:rsidR="0060553A" w:rsidRPr="009F337B">
        <w:rPr>
          <w:szCs w:val="20"/>
          <w:lang w:val="en-US"/>
        </w:rPr>
        <w:t xml:space="preserve">, </w:t>
      </w:r>
      <w:r w:rsidR="000E73AE" w:rsidRPr="009F337B">
        <w:rPr>
          <w:szCs w:val="20"/>
          <w:lang w:val="en-US"/>
        </w:rPr>
        <w:t>in relation to</w:t>
      </w:r>
      <w:r w:rsidR="0060553A" w:rsidRPr="009F337B">
        <w:rPr>
          <w:szCs w:val="20"/>
          <w:lang w:val="en-US"/>
        </w:rPr>
        <w:t xml:space="preserve"> </w:t>
      </w:r>
      <w:r w:rsidR="00AE5F9E" w:rsidRPr="009F337B">
        <w:rPr>
          <w:szCs w:val="20"/>
          <w:lang w:val="en-US"/>
        </w:rPr>
        <w:t>Article</w:t>
      </w:r>
      <w:r w:rsidR="003C46A3" w:rsidRPr="009F337B">
        <w:rPr>
          <w:szCs w:val="20"/>
          <w:lang w:val="en-US"/>
        </w:rPr>
        <w:t xml:space="preserve"> </w:t>
      </w:r>
      <w:r w:rsidRPr="009F337B">
        <w:rPr>
          <w:szCs w:val="20"/>
          <w:lang w:val="en-US"/>
        </w:rPr>
        <w:t>1(1) of this instrument</w:t>
      </w:r>
      <w:r w:rsidR="0060553A" w:rsidRPr="009F337B">
        <w:rPr>
          <w:szCs w:val="20"/>
          <w:lang w:val="en-US"/>
        </w:rPr>
        <w:t xml:space="preserve">, </w:t>
      </w:r>
      <w:r w:rsidRPr="009F337B">
        <w:rPr>
          <w:szCs w:val="20"/>
          <w:lang w:val="en-US"/>
        </w:rPr>
        <w:t>to the detriment of</w:t>
      </w:r>
      <w:r w:rsidR="00722A75" w:rsidRPr="009F337B">
        <w:rPr>
          <w:szCs w:val="20"/>
          <w:lang w:val="en-US"/>
        </w:rPr>
        <w:t xml:space="preserve"> </w:t>
      </w:r>
      <w:r w:rsidR="00AC76E9" w:rsidRPr="009F337B">
        <w:rPr>
          <w:szCs w:val="20"/>
          <w:lang w:val="en-US"/>
        </w:rPr>
        <w:t>the</w:t>
      </w:r>
      <w:r w:rsidR="00722A75" w:rsidRPr="009F337B">
        <w:rPr>
          <w:szCs w:val="20"/>
          <w:lang w:val="en-US"/>
        </w:rPr>
        <w:t xml:space="preserve"> 49 </w:t>
      </w:r>
      <w:r w:rsidRPr="009F337B">
        <w:rPr>
          <w:szCs w:val="20"/>
          <w:lang w:val="en-US"/>
        </w:rPr>
        <w:t>persons listed as victims</w:t>
      </w:r>
      <w:r w:rsidR="00722A75" w:rsidRPr="009F337B">
        <w:rPr>
          <w:szCs w:val="20"/>
          <w:lang w:val="en-US"/>
        </w:rPr>
        <w:t xml:space="preserve"> </w:t>
      </w:r>
      <w:r w:rsidRPr="009F337B">
        <w:rPr>
          <w:szCs w:val="20"/>
          <w:lang w:val="en-US"/>
        </w:rPr>
        <w:t>in Annex 2 to this judgment</w:t>
      </w:r>
      <w:r w:rsidR="0060553A" w:rsidRPr="009F337B">
        <w:rPr>
          <w:szCs w:val="20"/>
          <w:lang w:val="en-US"/>
        </w:rPr>
        <w:t xml:space="preserve">, </w:t>
      </w:r>
      <w:r w:rsidRPr="009F337B">
        <w:rPr>
          <w:szCs w:val="20"/>
          <w:lang w:val="en-US"/>
        </w:rPr>
        <w:t>in the terms of</w:t>
      </w:r>
      <w:r w:rsidR="00736E13" w:rsidRPr="009F337B">
        <w:rPr>
          <w:szCs w:val="20"/>
          <w:lang w:val="en-US"/>
        </w:rPr>
        <w:t xml:space="preserve"> </w:t>
      </w:r>
      <w:r w:rsidR="00C60B17" w:rsidRPr="009F337B">
        <w:rPr>
          <w:szCs w:val="20"/>
          <w:lang w:val="en-US"/>
        </w:rPr>
        <w:t>paragraph</w:t>
      </w:r>
      <w:r w:rsidR="00736E13" w:rsidRPr="009F337B">
        <w:rPr>
          <w:szCs w:val="20"/>
          <w:lang w:val="en-US"/>
        </w:rPr>
        <w:t xml:space="preserve">s </w:t>
      </w:r>
      <w:r w:rsidR="00074CB7" w:rsidRPr="009F337B">
        <w:rPr>
          <w:szCs w:val="20"/>
          <w:lang w:val="en-US"/>
        </w:rPr>
        <w:t xml:space="preserve">75 </w:t>
      </w:r>
      <w:r w:rsidRPr="009F337B">
        <w:rPr>
          <w:szCs w:val="20"/>
          <w:lang w:val="en-US"/>
        </w:rPr>
        <w:t>to</w:t>
      </w:r>
      <w:r w:rsidR="00074CB7" w:rsidRPr="009F337B">
        <w:rPr>
          <w:szCs w:val="20"/>
          <w:lang w:val="en-US"/>
        </w:rPr>
        <w:t xml:space="preserve"> 119</w:t>
      </w:r>
      <w:r w:rsidR="0060553A" w:rsidRPr="009F337B">
        <w:rPr>
          <w:szCs w:val="20"/>
          <w:lang w:val="en-US"/>
        </w:rPr>
        <w:t xml:space="preserve"> </w:t>
      </w:r>
      <w:r w:rsidR="004F3C01" w:rsidRPr="009F337B">
        <w:rPr>
          <w:szCs w:val="20"/>
          <w:lang w:val="en-US"/>
        </w:rPr>
        <w:t>of this judgement</w:t>
      </w:r>
      <w:r w:rsidR="0060553A" w:rsidRPr="009F337B">
        <w:rPr>
          <w:szCs w:val="20"/>
          <w:lang w:val="en-US"/>
        </w:rPr>
        <w:t>.</w:t>
      </w:r>
    </w:p>
    <w:p w14:paraId="4E02026C" w14:textId="77777777" w:rsidR="00722A75" w:rsidRPr="009F337B" w:rsidRDefault="00722A75" w:rsidP="00722A75">
      <w:pPr>
        <w:pStyle w:val="Prrafodelista"/>
        <w:widowControl w:val="0"/>
        <w:tabs>
          <w:tab w:val="center" w:pos="567"/>
        </w:tabs>
        <w:autoSpaceDE w:val="0"/>
        <w:autoSpaceDN w:val="0"/>
        <w:adjustRightInd w:val="0"/>
        <w:ind w:left="0" w:right="-90"/>
        <w:rPr>
          <w:szCs w:val="20"/>
          <w:lang w:val="en-US"/>
        </w:rPr>
      </w:pPr>
    </w:p>
    <w:p w14:paraId="31B71E25" w14:textId="0C5D9CE8" w:rsidR="00722A75" w:rsidRPr="009F337B" w:rsidRDefault="00E92196" w:rsidP="00593E37">
      <w:pPr>
        <w:pStyle w:val="Prrafodelista"/>
        <w:widowControl w:val="0"/>
        <w:numPr>
          <w:ilvl w:val="0"/>
          <w:numId w:val="6"/>
        </w:numPr>
        <w:tabs>
          <w:tab w:val="center" w:pos="567"/>
        </w:tabs>
        <w:autoSpaceDE w:val="0"/>
        <w:autoSpaceDN w:val="0"/>
        <w:adjustRightInd w:val="0"/>
        <w:ind w:left="0" w:right="-90" w:hanging="11"/>
        <w:rPr>
          <w:szCs w:val="20"/>
          <w:lang w:val="en-US"/>
        </w:rPr>
      </w:pPr>
      <w:r w:rsidRPr="009F337B">
        <w:rPr>
          <w:szCs w:val="20"/>
          <w:lang w:val="en-US"/>
        </w:rPr>
        <w:t>The State is responsible for the violation</w:t>
      </w:r>
      <w:r w:rsidR="00371ADF" w:rsidRPr="009F337B">
        <w:rPr>
          <w:szCs w:val="20"/>
          <w:lang w:val="en-US"/>
        </w:rPr>
        <w:t xml:space="preserve"> of the </w:t>
      </w:r>
      <w:r w:rsidR="00A51F3B" w:rsidRPr="009F337B">
        <w:rPr>
          <w:szCs w:val="20"/>
          <w:lang w:val="en-US"/>
        </w:rPr>
        <w:t>right to health</w:t>
      </w:r>
      <w:r w:rsidR="00722A75" w:rsidRPr="009F337B">
        <w:rPr>
          <w:szCs w:val="20"/>
          <w:lang w:val="en-US"/>
        </w:rPr>
        <w:t xml:space="preserve">, </w:t>
      </w:r>
      <w:r w:rsidRPr="009F337B">
        <w:rPr>
          <w:szCs w:val="20"/>
          <w:lang w:val="en-US"/>
        </w:rPr>
        <w:t>pursuant to</w:t>
      </w:r>
      <w:r w:rsidR="00722A75" w:rsidRPr="009F337B">
        <w:rPr>
          <w:szCs w:val="20"/>
          <w:lang w:val="en-US"/>
        </w:rPr>
        <w:t xml:space="preserve"> </w:t>
      </w:r>
      <w:r w:rsidR="00AE5F9E" w:rsidRPr="009F337B">
        <w:rPr>
          <w:szCs w:val="20"/>
          <w:lang w:val="en-US"/>
        </w:rPr>
        <w:t>Article</w:t>
      </w:r>
      <w:r w:rsidR="00722A75" w:rsidRPr="009F337B">
        <w:rPr>
          <w:szCs w:val="20"/>
          <w:lang w:val="en-US"/>
        </w:rPr>
        <w:t xml:space="preserve"> 26</w:t>
      </w:r>
      <w:r w:rsidR="00AE5F9E" w:rsidRPr="009F337B">
        <w:rPr>
          <w:szCs w:val="20"/>
          <w:lang w:val="en-US"/>
        </w:rPr>
        <w:t xml:space="preserve"> of the American Convention</w:t>
      </w:r>
      <w:r w:rsidR="00722A75" w:rsidRPr="009F337B">
        <w:rPr>
          <w:szCs w:val="20"/>
          <w:lang w:val="en-US"/>
        </w:rPr>
        <w:t xml:space="preserve">, </w:t>
      </w:r>
      <w:r w:rsidR="000E73AE" w:rsidRPr="009F337B">
        <w:rPr>
          <w:szCs w:val="20"/>
          <w:lang w:val="en-US"/>
        </w:rPr>
        <w:t>in relation to</w:t>
      </w:r>
      <w:r w:rsidR="00722A75" w:rsidRPr="009F337B">
        <w:rPr>
          <w:szCs w:val="20"/>
          <w:lang w:val="en-US"/>
        </w:rPr>
        <w:t xml:space="preserve"> </w:t>
      </w:r>
      <w:r w:rsidR="00AE5F9E" w:rsidRPr="009F337B">
        <w:rPr>
          <w:szCs w:val="20"/>
          <w:lang w:val="en-US"/>
        </w:rPr>
        <w:t>Article</w:t>
      </w:r>
      <w:r w:rsidR="003C46A3" w:rsidRPr="009F337B">
        <w:rPr>
          <w:szCs w:val="20"/>
          <w:lang w:val="en-US"/>
        </w:rPr>
        <w:t xml:space="preserve"> </w:t>
      </w:r>
      <w:r w:rsidRPr="009F337B">
        <w:rPr>
          <w:szCs w:val="20"/>
          <w:lang w:val="en-US"/>
        </w:rPr>
        <w:t>1(1) of this instrument</w:t>
      </w:r>
      <w:r w:rsidR="00722A75" w:rsidRPr="009F337B">
        <w:rPr>
          <w:szCs w:val="20"/>
          <w:lang w:val="en-US"/>
        </w:rPr>
        <w:t xml:space="preserve">, </w:t>
      </w:r>
      <w:r w:rsidRPr="009F337B">
        <w:rPr>
          <w:szCs w:val="20"/>
          <w:lang w:val="en-US"/>
        </w:rPr>
        <w:t>to the detriment of</w:t>
      </w:r>
      <w:r w:rsidR="00722A75" w:rsidRPr="009F337B">
        <w:rPr>
          <w:szCs w:val="20"/>
          <w:lang w:val="en-US"/>
        </w:rPr>
        <w:t xml:space="preserve"> </w:t>
      </w:r>
      <w:r w:rsidR="007B6D11" w:rsidRPr="009F337B">
        <w:rPr>
          <w:szCs w:val="20"/>
          <w:lang w:val="en-US"/>
        </w:rPr>
        <w:t>43</w:t>
      </w:r>
      <w:r w:rsidR="00722A75" w:rsidRPr="009F337B">
        <w:rPr>
          <w:szCs w:val="20"/>
          <w:lang w:val="en-US"/>
        </w:rPr>
        <w:t xml:space="preserve"> </w:t>
      </w:r>
      <w:r w:rsidRPr="009F337B">
        <w:rPr>
          <w:szCs w:val="20"/>
          <w:lang w:val="en-US"/>
        </w:rPr>
        <w:t>persons listed as victims</w:t>
      </w:r>
      <w:r w:rsidR="00FE0773" w:rsidRPr="009F337B">
        <w:rPr>
          <w:szCs w:val="20"/>
          <w:lang w:val="en-US"/>
        </w:rPr>
        <w:t xml:space="preserve"> </w:t>
      </w:r>
      <w:r w:rsidRPr="009F337B">
        <w:rPr>
          <w:szCs w:val="20"/>
          <w:lang w:val="en-US"/>
        </w:rPr>
        <w:t>in Annex 2 to this judgment</w:t>
      </w:r>
      <w:r w:rsidR="00722A75" w:rsidRPr="009F337B">
        <w:rPr>
          <w:szCs w:val="20"/>
          <w:lang w:val="en-US"/>
        </w:rPr>
        <w:t xml:space="preserve">, </w:t>
      </w:r>
      <w:r w:rsidRPr="009F337B">
        <w:rPr>
          <w:szCs w:val="20"/>
          <w:lang w:val="en-US"/>
        </w:rPr>
        <w:t>in the terms of</w:t>
      </w:r>
      <w:r w:rsidR="00722A75" w:rsidRPr="009F337B">
        <w:rPr>
          <w:szCs w:val="20"/>
          <w:lang w:val="en-US"/>
        </w:rPr>
        <w:t xml:space="preserve"> </w:t>
      </w:r>
      <w:r w:rsidR="00C60B17" w:rsidRPr="009F337B">
        <w:rPr>
          <w:szCs w:val="20"/>
          <w:lang w:val="en-US"/>
        </w:rPr>
        <w:t>paragraph</w:t>
      </w:r>
      <w:r w:rsidR="00722A75" w:rsidRPr="009F337B">
        <w:rPr>
          <w:szCs w:val="20"/>
          <w:lang w:val="en-US"/>
        </w:rPr>
        <w:t xml:space="preserve">s </w:t>
      </w:r>
      <w:r w:rsidR="00074CB7" w:rsidRPr="009F337B">
        <w:rPr>
          <w:szCs w:val="20"/>
          <w:lang w:val="en-US"/>
        </w:rPr>
        <w:t>75</w:t>
      </w:r>
      <w:r w:rsidR="003C01EF" w:rsidRPr="009F337B">
        <w:rPr>
          <w:szCs w:val="20"/>
          <w:lang w:val="en-US"/>
        </w:rPr>
        <w:t xml:space="preserve"> </w:t>
      </w:r>
      <w:r w:rsidRPr="009F337B">
        <w:rPr>
          <w:szCs w:val="20"/>
          <w:lang w:val="en-US"/>
        </w:rPr>
        <w:t>to</w:t>
      </w:r>
      <w:r w:rsidR="003C01EF" w:rsidRPr="009F337B">
        <w:rPr>
          <w:szCs w:val="20"/>
          <w:lang w:val="en-US"/>
        </w:rPr>
        <w:t xml:space="preserve"> </w:t>
      </w:r>
      <w:r w:rsidR="00074CB7" w:rsidRPr="009F337B">
        <w:rPr>
          <w:szCs w:val="20"/>
          <w:lang w:val="en-US"/>
        </w:rPr>
        <w:t>117</w:t>
      </w:r>
      <w:r w:rsidR="003C46A3" w:rsidRPr="009F337B">
        <w:rPr>
          <w:szCs w:val="20"/>
          <w:lang w:val="en-US"/>
        </w:rPr>
        <w:t xml:space="preserve"> and </w:t>
      </w:r>
      <w:r w:rsidR="00074CB7" w:rsidRPr="009F337B">
        <w:rPr>
          <w:szCs w:val="20"/>
          <w:lang w:val="en-US"/>
        </w:rPr>
        <w:t>120</w:t>
      </w:r>
      <w:r w:rsidR="003C01EF" w:rsidRPr="009F337B">
        <w:rPr>
          <w:szCs w:val="20"/>
          <w:lang w:val="en-US"/>
        </w:rPr>
        <w:t xml:space="preserve"> </w:t>
      </w:r>
      <w:r w:rsidRPr="009F337B">
        <w:rPr>
          <w:szCs w:val="20"/>
          <w:lang w:val="en-US"/>
        </w:rPr>
        <w:t xml:space="preserve">to </w:t>
      </w:r>
      <w:r w:rsidR="00074CB7" w:rsidRPr="009F337B">
        <w:rPr>
          <w:szCs w:val="20"/>
          <w:lang w:val="en-US"/>
        </w:rPr>
        <w:t>127</w:t>
      </w:r>
      <w:r w:rsidR="00722A75" w:rsidRPr="009F337B">
        <w:rPr>
          <w:szCs w:val="20"/>
          <w:lang w:val="en-US"/>
        </w:rPr>
        <w:t xml:space="preserve"> </w:t>
      </w:r>
      <w:r w:rsidR="004F3C01" w:rsidRPr="009F337B">
        <w:rPr>
          <w:szCs w:val="20"/>
          <w:lang w:val="en-US"/>
        </w:rPr>
        <w:t>of this judgement</w:t>
      </w:r>
      <w:r w:rsidR="00722A75" w:rsidRPr="009F337B">
        <w:rPr>
          <w:szCs w:val="20"/>
          <w:lang w:val="en-US"/>
        </w:rPr>
        <w:t>.</w:t>
      </w:r>
    </w:p>
    <w:p w14:paraId="7A547FBF" w14:textId="77777777" w:rsidR="00722A75" w:rsidRPr="009F337B" w:rsidRDefault="00722A75" w:rsidP="00722A75">
      <w:pPr>
        <w:pStyle w:val="Prrafodelista"/>
        <w:rPr>
          <w:szCs w:val="20"/>
          <w:lang w:val="en-US"/>
        </w:rPr>
      </w:pPr>
    </w:p>
    <w:p w14:paraId="63BA3953" w14:textId="3176AA5E" w:rsidR="00722A75" w:rsidRPr="009F337B" w:rsidRDefault="00E92196" w:rsidP="00593E37">
      <w:pPr>
        <w:pStyle w:val="Prrafodelista"/>
        <w:widowControl w:val="0"/>
        <w:numPr>
          <w:ilvl w:val="0"/>
          <w:numId w:val="6"/>
        </w:numPr>
        <w:tabs>
          <w:tab w:val="center" w:pos="567"/>
        </w:tabs>
        <w:autoSpaceDE w:val="0"/>
        <w:autoSpaceDN w:val="0"/>
        <w:adjustRightInd w:val="0"/>
        <w:ind w:left="0" w:right="-90" w:hanging="11"/>
        <w:rPr>
          <w:szCs w:val="20"/>
          <w:lang w:val="en-US"/>
        </w:rPr>
      </w:pPr>
      <w:r w:rsidRPr="009F337B">
        <w:rPr>
          <w:lang w:val="en-US"/>
        </w:rPr>
        <w:t>The State is responsible for the violation</w:t>
      </w:r>
      <w:r w:rsidR="00722A75" w:rsidRPr="009F337B">
        <w:rPr>
          <w:lang w:val="en-US"/>
        </w:rPr>
        <w:t xml:space="preserve"> </w:t>
      </w:r>
      <w:r w:rsidRPr="009F337B">
        <w:rPr>
          <w:lang w:val="en-US"/>
        </w:rPr>
        <w:t>of the prohibition of discrimination</w:t>
      </w:r>
      <w:r w:rsidR="00722A75" w:rsidRPr="009F337B">
        <w:rPr>
          <w:lang w:val="en-US"/>
        </w:rPr>
        <w:t xml:space="preserve"> </w:t>
      </w:r>
      <w:r w:rsidR="000E73AE" w:rsidRPr="009F337B">
        <w:rPr>
          <w:lang w:val="en-US"/>
        </w:rPr>
        <w:t>in relation to</w:t>
      </w:r>
      <w:r w:rsidR="00722A75" w:rsidRPr="009F337B">
        <w:rPr>
          <w:lang w:val="en-US"/>
        </w:rPr>
        <w:t xml:space="preserve"> </w:t>
      </w:r>
      <w:r w:rsidRPr="009F337B">
        <w:rPr>
          <w:lang w:val="en-US"/>
        </w:rPr>
        <w:t>the obligation to ensure</w:t>
      </w:r>
      <w:r w:rsidR="00722A75" w:rsidRPr="009F337B">
        <w:rPr>
          <w:lang w:val="en-US"/>
        </w:rPr>
        <w:t xml:space="preserve"> </w:t>
      </w:r>
      <w:r w:rsidR="00A51F3B" w:rsidRPr="009F337B">
        <w:rPr>
          <w:lang w:val="en-US"/>
        </w:rPr>
        <w:t>the right to health</w:t>
      </w:r>
      <w:r w:rsidR="00722A75" w:rsidRPr="009F337B">
        <w:rPr>
          <w:lang w:val="en-US"/>
        </w:rPr>
        <w:t xml:space="preserve"> </w:t>
      </w:r>
      <w:r w:rsidRPr="009F337B">
        <w:rPr>
          <w:lang w:val="en-US"/>
        </w:rPr>
        <w:t>recognized in</w:t>
      </w:r>
      <w:r w:rsidR="00722A75" w:rsidRPr="009F337B">
        <w:rPr>
          <w:lang w:val="en-US"/>
        </w:rPr>
        <w:t xml:space="preserve"> </w:t>
      </w:r>
      <w:r w:rsidR="00AE5F9E" w:rsidRPr="009F337B">
        <w:rPr>
          <w:lang w:val="en-US"/>
        </w:rPr>
        <w:t>Article</w:t>
      </w:r>
      <w:r w:rsidR="00722A75" w:rsidRPr="009F337B">
        <w:rPr>
          <w:lang w:val="en-US"/>
        </w:rPr>
        <w:t xml:space="preserve"> 26</w:t>
      </w:r>
      <w:r w:rsidR="00AE5F9E" w:rsidRPr="009F337B">
        <w:rPr>
          <w:lang w:val="en-US"/>
        </w:rPr>
        <w:t xml:space="preserve"> of the American Convention</w:t>
      </w:r>
      <w:r w:rsidR="00722A75" w:rsidRPr="009F337B">
        <w:rPr>
          <w:lang w:val="en-US"/>
        </w:rPr>
        <w:t xml:space="preserve">, </w:t>
      </w:r>
      <w:r w:rsidR="000E73AE" w:rsidRPr="009F337B">
        <w:rPr>
          <w:lang w:val="en-US"/>
        </w:rPr>
        <w:t>in relation to</w:t>
      </w:r>
      <w:r w:rsidR="00722A75" w:rsidRPr="009F337B">
        <w:rPr>
          <w:lang w:val="en-US"/>
        </w:rPr>
        <w:t xml:space="preserve"> </w:t>
      </w:r>
      <w:r w:rsidR="00AE5F9E" w:rsidRPr="009F337B">
        <w:rPr>
          <w:lang w:val="en-US"/>
        </w:rPr>
        <w:t>Article</w:t>
      </w:r>
      <w:r w:rsidR="003C46A3" w:rsidRPr="009F337B">
        <w:rPr>
          <w:lang w:val="en-US"/>
        </w:rPr>
        <w:t xml:space="preserve"> 1(1)</w:t>
      </w:r>
      <w:r w:rsidR="00722A75" w:rsidRPr="009F337B">
        <w:rPr>
          <w:lang w:val="en-US"/>
        </w:rPr>
        <w:t xml:space="preserve"> </w:t>
      </w:r>
      <w:r w:rsidR="006D4A79" w:rsidRPr="009F337B">
        <w:rPr>
          <w:lang w:val="en-US"/>
        </w:rPr>
        <w:t>of this instrument</w:t>
      </w:r>
      <w:r w:rsidR="00722A75" w:rsidRPr="009F337B">
        <w:rPr>
          <w:lang w:val="en-US"/>
        </w:rPr>
        <w:t xml:space="preserve">, </w:t>
      </w:r>
      <w:r w:rsidRPr="009F337B">
        <w:rPr>
          <w:lang w:val="en-US"/>
        </w:rPr>
        <w:t>to the detriment of</w:t>
      </w:r>
      <w:r w:rsidR="00722A75" w:rsidRPr="009F337B">
        <w:rPr>
          <w:lang w:val="en-US"/>
        </w:rPr>
        <w:t xml:space="preserve"> </w:t>
      </w:r>
      <w:r w:rsidR="00AC76E9" w:rsidRPr="009F337B">
        <w:rPr>
          <w:lang w:val="en-US"/>
        </w:rPr>
        <w:t>two</w:t>
      </w:r>
      <w:r w:rsidR="00722A75" w:rsidRPr="009F337B">
        <w:rPr>
          <w:lang w:val="en-US"/>
        </w:rPr>
        <w:t xml:space="preserve"> </w:t>
      </w:r>
      <w:r w:rsidRPr="009F337B">
        <w:rPr>
          <w:lang w:val="en-US"/>
        </w:rPr>
        <w:t>persons listed as victims</w:t>
      </w:r>
      <w:r w:rsidR="00115171" w:rsidRPr="009F337B">
        <w:rPr>
          <w:szCs w:val="20"/>
          <w:lang w:val="en-US"/>
        </w:rPr>
        <w:t xml:space="preserve"> </w:t>
      </w:r>
      <w:r w:rsidRPr="009F337B">
        <w:rPr>
          <w:szCs w:val="20"/>
          <w:lang w:val="en-US"/>
        </w:rPr>
        <w:t>in Annex 2 to this judgment</w:t>
      </w:r>
      <w:r w:rsidR="00722A75" w:rsidRPr="009F337B">
        <w:rPr>
          <w:lang w:val="en-US"/>
        </w:rPr>
        <w:t xml:space="preserve">, </w:t>
      </w:r>
      <w:r w:rsidRPr="009F337B">
        <w:rPr>
          <w:lang w:val="en-US"/>
        </w:rPr>
        <w:t>in the terms of</w:t>
      </w:r>
      <w:r w:rsidR="003C01EF" w:rsidRPr="009F337B">
        <w:rPr>
          <w:lang w:val="en-US"/>
        </w:rPr>
        <w:t xml:space="preserve"> </w:t>
      </w:r>
      <w:r w:rsidR="00C60B17" w:rsidRPr="009F337B">
        <w:rPr>
          <w:lang w:val="en-US"/>
        </w:rPr>
        <w:t>paragraph</w:t>
      </w:r>
      <w:r w:rsidR="003C01EF" w:rsidRPr="009F337B">
        <w:rPr>
          <w:lang w:val="en-US"/>
        </w:rPr>
        <w:t xml:space="preserve">s </w:t>
      </w:r>
      <w:r w:rsidR="00074CB7" w:rsidRPr="009F337B">
        <w:rPr>
          <w:lang w:val="en-US"/>
        </w:rPr>
        <w:t>128</w:t>
      </w:r>
      <w:r w:rsidR="003C01EF" w:rsidRPr="009F337B">
        <w:rPr>
          <w:lang w:val="en-US"/>
        </w:rPr>
        <w:t xml:space="preserve"> </w:t>
      </w:r>
      <w:r w:rsidRPr="009F337B">
        <w:rPr>
          <w:lang w:val="en-US"/>
        </w:rPr>
        <w:t>to</w:t>
      </w:r>
      <w:r w:rsidR="003C01EF" w:rsidRPr="009F337B">
        <w:rPr>
          <w:lang w:val="en-US"/>
        </w:rPr>
        <w:t xml:space="preserve"> </w:t>
      </w:r>
      <w:r w:rsidR="00074CB7" w:rsidRPr="009F337B">
        <w:rPr>
          <w:lang w:val="en-US"/>
        </w:rPr>
        <w:t>139</w:t>
      </w:r>
      <w:r w:rsidR="00722A75" w:rsidRPr="009F337B">
        <w:rPr>
          <w:lang w:val="en-US"/>
        </w:rPr>
        <w:t xml:space="preserve"> </w:t>
      </w:r>
      <w:r w:rsidRPr="009F337B">
        <w:rPr>
          <w:szCs w:val="20"/>
          <w:lang w:val="en-US"/>
        </w:rPr>
        <w:t>of this judgement</w:t>
      </w:r>
      <w:r w:rsidR="00722A75" w:rsidRPr="009F337B">
        <w:rPr>
          <w:lang w:val="en-US"/>
        </w:rPr>
        <w:t>.</w:t>
      </w:r>
    </w:p>
    <w:p w14:paraId="67147C1B" w14:textId="77777777" w:rsidR="0060553A" w:rsidRPr="009F337B" w:rsidRDefault="0060553A" w:rsidP="0060553A">
      <w:pPr>
        <w:pStyle w:val="Prrafodelista"/>
        <w:widowControl w:val="0"/>
        <w:tabs>
          <w:tab w:val="center" w:pos="567"/>
        </w:tabs>
        <w:autoSpaceDE w:val="0"/>
        <w:autoSpaceDN w:val="0"/>
        <w:adjustRightInd w:val="0"/>
        <w:ind w:left="0" w:right="-90"/>
        <w:rPr>
          <w:szCs w:val="20"/>
          <w:lang w:val="en-US"/>
        </w:rPr>
      </w:pPr>
    </w:p>
    <w:p w14:paraId="69501D57" w14:textId="3428A88A" w:rsidR="00933458" w:rsidRPr="009F337B" w:rsidRDefault="00E92196" w:rsidP="00593E37">
      <w:pPr>
        <w:pStyle w:val="Prrafodelista"/>
        <w:widowControl w:val="0"/>
        <w:numPr>
          <w:ilvl w:val="0"/>
          <w:numId w:val="6"/>
        </w:numPr>
        <w:tabs>
          <w:tab w:val="center" w:pos="567"/>
        </w:tabs>
        <w:autoSpaceDE w:val="0"/>
        <w:autoSpaceDN w:val="0"/>
        <w:adjustRightInd w:val="0"/>
        <w:ind w:left="0" w:right="-90" w:hanging="11"/>
        <w:rPr>
          <w:szCs w:val="20"/>
          <w:lang w:val="en-US"/>
        </w:rPr>
      </w:pPr>
      <w:r w:rsidRPr="009F337B">
        <w:rPr>
          <w:szCs w:val="20"/>
          <w:lang w:val="en-US"/>
        </w:rPr>
        <w:t>The State is responsible for the violation</w:t>
      </w:r>
      <w:r w:rsidR="00933458" w:rsidRPr="009F337B">
        <w:rPr>
          <w:szCs w:val="20"/>
          <w:lang w:val="en-US"/>
        </w:rPr>
        <w:t xml:space="preserve"> </w:t>
      </w:r>
      <w:r w:rsidRPr="009F337B">
        <w:rPr>
          <w:szCs w:val="20"/>
          <w:lang w:val="en-US"/>
        </w:rPr>
        <w:t>of the principle of progressivity,</w:t>
      </w:r>
      <w:r w:rsidR="00933458" w:rsidRPr="009F337B">
        <w:rPr>
          <w:szCs w:val="20"/>
          <w:lang w:val="en-US"/>
        </w:rPr>
        <w:t xml:space="preserve"> </w:t>
      </w:r>
      <w:r w:rsidRPr="009F337B">
        <w:rPr>
          <w:szCs w:val="20"/>
          <w:lang w:val="en-US"/>
        </w:rPr>
        <w:t>pursuant to</w:t>
      </w:r>
      <w:r w:rsidR="00933458" w:rsidRPr="009F337B">
        <w:rPr>
          <w:szCs w:val="20"/>
          <w:lang w:val="en-US"/>
        </w:rPr>
        <w:t xml:space="preserve"> </w:t>
      </w:r>
      <w:r w:rsidR="00AE5F9E" w:rsidRPr="009F337B">
        <w:rPr>
          <w:szCs w:val="20"/>
          <w:lang w:val="en-US"/>
        </w:rPr>
        <w:t>Article</w:t>
      </w:r>
      <w:r w:rsidR="00933458" w:rsidRPr="009F337B">
        <w:rPr>
          <w:szCs w:val="20"/>
          <w:lang w:val="en-US"/>
        </w:rPr>
        <w:t xml:space="preserve"> 26</w:t>
      </w:r>
      <w:r w:rsidR="00AE5F9E" w:rsidRPr="009F337B">
        <w:rPr>
          <w:szCs w:val="20"/>
          <w:lang w:val="en-US"/>
        </w:rPr>
        <w:t xml:space="preserve"> of the American Convention</w:t>
      </w:r>
      <w:r w:rsidR="00933458" w:rsidRPr="009F337B">
        <w:rPr>
          <w:szCs w:val="20"/>
          <w:lang w:val="en-US"/>
        </w:rPr>
        <w:t xml:space="preserve">, </w:t>
      </w:r>
      <w:r w:rsidR="000E73AE" w:rsidRPr="009F337B">
        <w:rPr>
          <w:szCs w:val="20"/>
          <w:lang w:val="en-US"/>
        </w:rPr>
        <w:t>in relation to</w:t>
      </w:r>
      <w:r w:rsidR="00933458" w:rsidRPr="009F337B">
        <w:rPr>
          <w:szCs w:val="20"/>
          <w:lang w:val="en-US"/>
        </w:rPr>
        <w:t xml:space="preserve"> </w:t>
      </w:r>
      <w:r w:rsidR="00AE5F9E" w:rsidRPr="009F337B">
        <w:rPr>
          <w:szCs w:val="20"/>
          <w:lang w:val="en-US"/>
        </w:rPr>
        <w:t>Article</w:t>
      </w:r>
      <w:r w:rsidR="003C46A3" w:rsidRPr="009F337B">
        <w:rPr>
          <w:szCs w:val="20"/>
          <w:lang w:val="en-US"/>
        </w:rPr>
        <w:t xml:space="preserve"> </w:t>
      </w:r>
      <w:r w:rsidRPr="009F337B">
        <w:rPr>
          <w:szCs w:val="20"/>
          <w:lang w:val="en-US"/>
        </w:rPr>
        <w:t>1(1) of this instrument</w:t>
      </w:r>
      <w:r w:rsidR="00933458" w:rsidRPr="009F337B">
        <w:rPr>
          <w:szCs w:val="20"/>
          <w:lang w:val="en-US"/>
        </w:rPr>
        <w:t xml:space="preserve">, </w:t>
      </w:r>
      <w:r w:rsidRPr="009F337B">
        <w:rPr>
          <w:szCs w:val="20"/>
          <w:lang w:val="en-US"/>
        </w:rPr>
        <w:t>in the terms of</w:t>
      </w:r>
      <w:r w:rsidR="00933458" w:rsidRPr="009F337B">
        <w:rPr>
          <w:szCs w:val="20"/>
          <w:lang w:val="en-US"/>
        </w:rPr>
        <w:t xml:space="preserve"> </w:t>
      </w:r>
      <w:r w:rsidR="00C60B17" w:rsidRPr="009F337B">
        <w:rPr>
          <w:szCs w:val="20"/>
          <w:lang w:val="en-US"/>
        </w:rPr>
        <w:t>paragraph</w:t>
      </w:r>
      <w:r w:rsidR="00933458" w:rsidRPr="009F337B">
        <w:rPr>
          <w:szCs w:val="20"/>
          <w:lang w:val="en-US"/>
        </w:rPr>
        <w:t xml:space="preserve">s </w:t>
      </w:r>
      <w:r w:rsidR="00074CB7" w:rsidRPr="009F337B">
        <w:rPr>
          <w:szCs w:val="20"/>
          <w:lang w:val="en-US"/>
        </w:rPr>
        <w:t>140</w:t>
      </w:r>
      <w:r w:rsidR="00933458" w:rsidRPr="009F337B">
        <w:rPr>
          <w:szCs w:val="20"/>
          <w:lang w:val="en-US"/>
        </w:rPr>
        <w:t xml:space="preserve"> </w:t>
      </w:r>
      <w:r w:rsidRPr="009F337B">
        <w:rPr>
          <w:szCs w:val="20"/>
          <w:lang w:val="en-US"/>
        </w:rPr>
        <w:t>to</w:t>
      </w:r>
      <w:r w:rsidR="00933458" w:rsidRPr="009F337B">
        <w:rPr>
          <w:szCs w:val="20"/>
          <w:lang w:val="en-US"/>
        </w:rPr>
        <w:t xml:space="preserve"> </w:t>
      </w:r>
      <w:r w:rsidR="00074CB7" w:rsidRPr="009F337B">
        <w:rPr>
          <w:szCs w:val="20"/>
          <w:lang w:val="en-US"/>
        </w:rPr>
        <w:t>148</w:t>
      </w:r>
      <w:r w:rsidR="00933458" w:rsidRPr="009F337B">
        <w:rPr>
          <w:szCs w:val="20"/>
          <w:lang w:val="en-US"/>
        </w:rPr>
        <w:t xml:space="preserve"> </w:t>
      </w:r>
      <w:r w:rsidR="004F3C01" w:rsidRPr="009F337B">
        <w:rPr>
          <w:szCs w:val="20"/>
          <w:lang w:val="en-US"/>
        </w:rPr>
        <w:t>of this judgement</w:t>
      </w:r>
      <w:r w:rsidR="00933458" w:rsidRPr="009F337B">
        <w:rPr>
          <w:szCs w:val="20"/>
          <w:lang w:val="en-US"/>
        </w:rPr>
        <w:t>.</w:t>
      </w:r>
    </w:p>
    <w:p w14:paraId="2B7AACD4" w14:textId="77777777" w:rsidR="001D26A2" w:rsidRPr="009F337B" w:rsidRDefault="001D26A2" w:rsidP="001D26A2">
      <w:pPr>
        <w:pStyle w:val="Prrafodelista"/>
        <w:rPr>
          <w:szCs w:val="20"/>
          <w:lang w:val="en-US"/>
        </w:rPr>
      </w:pPr>
    </w:p>
    <w:p w14:paraId="17E75E6C" w14:textId="4C0F6087" w:rsidR="001D26A2" w:rsidRPr="009F337B" w:rsidRDefault="008D4C6C" w:rsidP="001D26A2">
      <w:pPr>
        <w:pStyle w:val="Prrafodelista"/>
        <w:widowControl w:val="0"/>
        <w:tabs>
          <w:tab w:val="center" w:pos="567"/>
        </w:tabs>
        <w:autoSpaceDE w:val="0"/>
        <w:autoSpaceDN w:val="0"/>
        <w:adjustRightInd w:val="0"/>
        <w:ind w:left="0" w:right="-90"/>
        <w:rPr>
          <w:szCs w:val="20"/>
          <w:lang w:val="en-US"/>
        </w:rPr>
      </w:pPr>
      <w:r w:rsidRPr="009F337B">
        <w:rPr>
          <w:lang w:val="en-US"/>
        </w:rPr>
        <w:t>Unanimously that</w:t>
      </w:r>
      <w:r w:rsidR="001D26A2" w:rsidRPr="009F337B">
        <w:rPr>
          <w:lang w:val="en-US"/>
        </w:rPr>
        <w:t>:</w:t>
      </w:r>
    </w:p>
    <w:p w14:paraId="6E845201" w14:textId="77777777" w:rsidR="00933458" w:rsidRPr="009F337B" w:rsidRDefault="00933458" w:rsidP="0060553A">
      <w:pPr>
        <w:pStyle w:val="Prrafodelista"/>
        <w:widowControl w:val="0"/>
        <w:tabs>
          <w:tab w:val="center" w:pos="567"/>
        </w:tabs>
        <w:autoSpaceDE w:val="0"/>
        <w:autoSpaceDN w:val="0"/>
        <w:adjustRightInd w:val="0"/>
        <w:ind w:left="0" w:right="-90"/>
        <w:rPr>
          <w:szCs w:val="20"/>
          <w:lang w:val="en-US"/>
        </w:rPr>
      </w:pPr>
    </w:p>
    <w:p w14:paraId="17E9F745" w14:textId="52C9E09F" w:rsidR="0060553A" w:rsidRPr="009F337B" w:rsidRDefault="00E92196" w:rsidP="00593E37">
      <w:pPr>
        <w:pStyle w:val="Prrafodelista"/>
        <w:widowControl w:val="0"/>
        <w:numPr>
          <w:ilvl w:val="0"/>
          <w:numId w:val="6"/>
        </w:numPr>
        <w:tabs>
          <w:tab w:val="center" w:pos="567"/>
        </w:tabs>
        <w:autoSpaceDE w:val="0"/>
        <w:autoSpaceDN w:val="0"/>
        <w:adjustRightInd w:val="0"/>
        <w:ind w:left="0" w:right="-90" w:hanging="11"/>
        <w:rPr>
          <w:szCs w:val="20"/>
          <w:lang w:val="en-US"/>
        </w:rPr>
      </w:pPr>
      <w:r w:rsidRPr="009F337B">
        <w:rPr>
          <w:szCs w:val="20"/>
          <w:lang w:val="en-US"/>
        </w:rPr>
        <w:t>The State is responsible for the violation</w:t>
      </w:r>
      <w:r w:rsidR="0060553A" w:rsidRPr="009F337B">
        <w:rPr>
          <w:szCs w:val="20"/>
          <w:lang w:val="en-US"/>
        </w:rPr>
        <w:t xml:space="preserve"> </w:t>
      </w:r>
      <w:r w:rsidR="00AC76E9" w:rsidRPr="009F337B">
        <w:rPr>
          <w:szCs w:val="20"/>
          <w:lang w:val="en-US"/>
        </w:rPr>
        <w:t>of the</w:t>
      </w:r>
      <w:r w:rsidR="0060553A" w:rsidRPr="009F337B">
        <w:rPr>
          <w:szCs w:val="20"/>
          <w:lang w:val="en-US"/>
        </w:rPr>
        <w:t xml:space="preserve"> </w:t>
      </w:r>
      <w:r w:rsidR="00F3419F" w:rsidRPr="009F337B">
        <w:rPr>
          <w:szCs w:val="20"/>
          <w:lang w:val="en-US"/>
        </w:rPr>
        <w:t>right to life</w:t>
      </w:r>
      <w:r w:rsidR="0060553A" w:rsidRPr="009F337B">
        <w:rPr>
          <w:szCs w:val="20"/>
          <w:lang w:val="en-US"/>
        </w:rPr>
        <w:t xml:space="preserve">, </w:t>
      </w:r>
      <w:r w:rsidRPr="009F337B">
        <w:rPr>
          <w:szCs w:val="20"/>
          <w:lang w:val="en-US"/>
        </w:rPr>
        <w:t>recognized in</w:t>
      </w:r>
      <w:r w:rsidR="0060553A" w:rsidRPr="009F337B">
        <w:rPr>
          <w:szCs w:val="20"/>
          <w:lang w:val="en-US"/>
        </w:rPr>
        <w:t xml:space="preserve"> </w:t>
      </w:r>
      <w:r w:rsidR="00AE5F9E" w:rsidRPr="009F337B">
        <w:rPr>
          <w:szCs w:val="20"/>
          <w:lang w:val="en-US"/>
        </w:rPr>
        <w:t>Article</w:t>
      </w:r>
      <w:r w:rsidR="0060553A" w:rsidRPr="009F337B">
        <w:rPr>
          <w:szCs w:val="20"/>
          <w:lang w:val="en-US"/>
        </w:rPr>
        <w:t xml:space="preserve"> 4</w:t>
      </w:r>
      <w:r w:rsidR="00AE5F9E" w:rsidRPr="009F337B">
        <w:rPr>
          <w:szCs w:val="20"/>
          <w:lang w:val="en-US"/>
        </w:rPr>
        <w:t xml:space="preserve"> of the American Convention</w:t>
      </w:r>
      <w:r w:rsidR="0060553A" w:rsidRPr="009F337B">
        <w:rPr>
          <w:szCs w:val="20"/>
          <w:lang w:val="en-US"/>
        </w:rPr>
        <w:t xml:space="preserve">, </w:t>
      </w:r>
      <w:r w:rsidR="000E73AE" w:rsidRPr="009F337B">
        <w:rPr>
          <w:szCs w:val="20"/>
          <w:lang w:val="en-US"/>
        </w:rPr>
        <w:t>in relation to</w:t>
      </w:r>
      <w:r w:rsidR="0060553A" w:rsidRPr="009F337B">
        <w:rPr>
          <w:szCs w:val="20"/>
          <w:lang w:val="en-US"/>
        </w:rPr>
        <w:t xml:space="preserve"> </w:t>
      </w:r>
      <w:r w:rsidR="00AE5F9E" w:rsidRPr="009F337B">
        <w:rPr>
          <w:szCs w:val="20"/>
          <w:lang w:val="en-US"/>
        </w:rPr>
        <w:t>Articles</w:t>
      </w:r>
      <w:r w:rsidR="0060553A" w:rsidRPr="009F337B">
        <w:rPr>
          <w:szCs w:val="20"/>
          <w:lang w:val="en-US"/>
        </w:rPr>
        <w:t xml:space="preserve"> 26</w:t>
      </w:r>
      <w:r w:rsidR="003C46A3" w:rsidRPr="009F337B">
        <w:rPr>
          <w:szCs w:val="20"/>
          <w:lang w:val="en-US"/>
        </w:rPr>
        <w:t xml:space="preserve"> and </w:t>
      </w:r>
      <w:r w:rsidRPr="009F337B">
        <w:rPr>
          <w:szCs w:val="20"/>
          <w:lang w:val="en-US"/>
        </w:rPr>
        <w:t>1(1) of this instrument</w:t>
      </w:r>
      <w:r w:rsidR="0060553A" w:rsidRPr="009F337B">
        <w:rPr>
          <w:szCs w:val="20"/>
          <w:lang w:val="en-US"/>
        </w:rPr>
        <w:t xml:space="preserve">, </w:t>
      </w:r>
      <w:r w:rsidRPr="009F337B">
        <w:rPr>
          <w:szCs w:val="20"/>
          <w:lang w:val="en-US"/>
        </w:rPr>
        <w:t>to the detriment of</w:t>
      </w:r>
      <w:r w:rsidR="00074CB7" w:rsidRPr="009F337B">
        <w:rPr>
          <w:lang w:val="en-US"/>
        </w:rPr>
        <w:t xml:space="preserve"> 12</w:t>
      </w:r>
      <w:r w:rsidR="00BF092C" w:rsidRPr="009F337B">
        <w:rPr>
          <w:lang w:val="en-US"/>
        </w:rPr>
        <w:t xml:space="preserve"> </w:t>
      </w:r>
      <w:r w:rsidRPr="009F337B">
        <w:rPr>
          <w:lang w:val="en-US"/>
        </w:rPr>
        <w:t>persons listed as victims</w:t>
      </w:r>
      <w:r w:rsidR="00FE0773" w:rsidRPr="009F337B">
        <w:rPr>
          <w:szCs w:val="20"/>
          <w:lang w:val="en-US"/>
        </w:rPr>
        <w:t xml:space="preserve"> </w:t>
      </w:r>
      <w:r w:rsidRPr="009F337B">
        <w:rPr>
          <w:szCs w:val="20"/>
          <w:lang w:val="en-US"/>
        </w:rPr>
        <w:t>in Annex 2 to this judgment</w:t>
      </w:r>
      <w:r w:rsidR="00BF092C" w:rsidRPr="009F337B">
        <w:rPr>
          <w:lang w:val="en-US"/>
        </w:rPr>
        <w:t xml:space="preserve">, </w:t>
      </w:r>
      <w:r w:rsidRPr="009F337B">
        <w:rPr>
          <w:lang w:val="en-US"/>
        </w:rPr>
        <w:t>in the terms of</w:t>
      </w:r>
      <w:r w:rsidR="003C01EF" w:rsidRPr="009F337B">
        <w:rPr>
          <w:lang w:val="en-US"/>
        </w:rPr>
        <w:t xml:space="preserve"> </w:t>
      </w:r>
      <w:r w:rsidR="00C60B17" w:rsidRPr="009F337B">
        <w:rPr>
          <w:lang w:val="en-US"/>
        </w:rPr>
        <w:t>paragraph</w:t>
      </w:r>
      <w:r w:rsidR="003C01EF" w:rsidRPr="009F337B">
        <w:rPr>
          <w:lang w:val="en-US"/>
        </w:rPr>
        <w:t xml:space="preserve">s </w:t>
      </w:r>
      <w:r w:rsidR="00074CB7" w:rsidRPr="009F337B">
        <w:rPr>
          <w:lang w:val="en-US"/>
        </w:rPr>
        <w:t>155</w:t>
      </w:r>
      <w:r w:rsidR="003C01EF" w:rsidRPr="009F337B">
        <w:rPr>
          <w:lang w:val="en-US"/>
        </w:rPr>
        <w:t xml:space="preserve"> </w:t>
      </w:r>
      <w:r w:rsidRPr="009F337B">
        <w:rPr>
          <w:lang w:val="en-US"/>
        </w:rPr>
        <w:t>to</w:t>
      </w:r>
      <w:r w:rsidR="003C01EF" w:rsidRPr="009F337B">
        <w:rPr>
          <w:lang w:val="en-US"/>
        </w:rPr>
        <w:t xml:space="preserve"> </w:t>
      </w:r>
      <w:r w:rsidR="00074CB7" w:rsidRPr="009F337B">
        <w:rPr>
          <w:lang w:val="en-US"/>
        </w:rPr>
        <w:t>159</w:t>
      </w:r>
      <w:r w:rsidR="00BF092C" w:rsidRPr="009F337B">
        <w:rPr>
          <w:lang w:val="en-US"/>
        </w:rPr>
        <w:t xml:space="preserve"> </w:t>
      </w:r>
      <w:r w:rsidRPr="009F337B">
        <w:rPr>
          <w:lang w:val="en-US"/>
        </w:rPr>
        <w:t>of this judgment</w:t>
      </w:r>
      <w:r w:rsidR="00BF092C" w:rsidRPr="009F337B">
        <w:rPr>
          <w:szCs w:val="20"/>
          <w:lang w:val="en-US"/>
        </w:rPr>
        <w:t>.</w:t>
      </w:r>
    </w:p>
    <w:p w14:paraId="05BFD548" w14:textId="77777777" w:rsidR="0060553A" w:rsidRPr="009F337B" w:rsidRDefault="0060553A" w:rsidP="0060553A">
      <w:pPr>
        <w:pStyle w:val="Prrafodelista"/>
        <w:widowControl w:val="0"/>
        <w:tabs>
          <w:tab w:val="center" w:pos="567"/>
        </w:tabs>
        <w:autoSpaceDE w:val="0"/>
        <w:autoSpaceDN w:val="0"/>
        <w:adjustRightInd w:val="0"/>
        <w:ind w:left="0" w:right="-90"/>
        <w:rPr>
          <w:szCs w:val="20"/>
          <w:lang w:val="en-US"/>
        </w:rPr>
      </w:pPr>
    </w:p>
    <w:p w14:paraId="2B65DC03" w14:textId="05EAF7B7" w:rsidR="0060553A" w:rsidRPr="009F337B" w:rsidRDefault="00E92196" w:rsidP="00593E37">
      <w:pPr>
        <w:pStyle w:val="Prrafodelista"/>
        <w:widowControl w:val="0"/>
        <w:numPr>
          <w:ilvl w:val="0"/>
          <w:numId w:val="6"/>
        </w:numPr>
        <w:tabs>
          <w:tab w:val="center" w:pos="567"/>
        </w:tabs>
        <w:autoSpaceDE w:val="0"/>
        <w:autoSpaceDN w:val="0"/>
        <w:adjustRightInd w:val="0"/>
        <w:ind w:left="0" w:right="-90" w:hanging="11"/>
        <w:rPr>
          <w:szCs w:val="20"/>
          <w:lang w:val="en-US"/>
        </w:rPr>
      </w:pPr>
      <w:r w:rsidRPr="009F337B">
        <w:rPr>
          <w:szCs w:val="20"/>
          <w:lang w:val="en-US"/>
        </w:rPr>
        <w:t>The State is responsible for the violation</w:t>
      </w:r>
      <w:r w:rsidR="0060553A" w:rsidRPr="009F337B">
        <w:rPr>
          <w:szCs w:val="20"/>
          <w:lang w:val="en-US"/>
        </w:rPr>
        <w:t xml:space="preserve"> </w:t>
      </w:r>
      <w:r w:rsidRPr="009F337B">
        <w:rPr>
          <w:szCs w:val="20"/>
          <w:lang w:val="en-US"/>
        </w:rPr>
        <w:t>of the right to</w:t>
      </w:r>
      <w:r w:rsidR="0060553A" w:rsidRPr="009F337B">
        <w:rPr>
          <w:szCs w:val="20"/>
          <w:lang w:val="en-US"/>
        </w:rPr>
        <w:t xml:space="preserve"> </w:t>
      </w:r>
      <w:r w:rsidR="003C46A3" w:rsidRPr="009F337B">
        <w:rPr>
          <w:szCs w:val="20"/>
          <w:lang w:val="en-US"/>
        </w:rPr>
        <w:t>personal integrity</w:t>
      </w:r>
      <w:r w:rsidR="0060553A" w:rsidRPr="009F337B">
        <w:rPr>
          <w:szCs w:val="20"/>
          <w:lang w:val="en-US"/>
        </w:rPr>
        <w:t xml:space="preserve">, </w:t>
      </w:r>
      <w:r w:rsidRPr="009F337B">
        <w:rPr>
          <w:szCs w:val="20"/>
          <w:lang w:val="en-US"/>
        </w:rPr>
        <w:t>recognized in</w:t>
      </w:r>
      <w:r w:rsidR="0060553A" w:rsidRPr="009F337B">
        <w:rPr>
          <w:szCs w:val="20"/>
          <w:lang w:val="en-US"/>
        </w:rPr>
        <w:t xml:space="preserve"> </w:t>
      </w:r>
      <w:r w:rsidR="00AE5F9E" w:rsidRPr="009F337B">
        <w:rPr>
          <w:szCs w:val="20"/>
          <w:lang w:val="en-US"/>
        </w:rPr>
        <w:t>Article</w:t>
      </w:r>
      <w:r w:rsidR="0060553A" w:rsidRPr="009F337B">
        <w:rPr>
          <w:szCs w:val="20"/>
          <w:lang w:val="en-US"/>
        </w:rPr>
        <w:t xml:space="preserve"> 5</w:t>
      </w:r>
      <w:r w:rsidR="00AE5F9E" w:rsidRPr="009F337B">
        <w:rPr>
          <w:szCs w:val="20"/>
          <w:lang w:val="en-US"/>
        </w:rPr>
        <w:t xml:space="preserve"> of the American Convention</w:t>
      </w:r>
      <w:r w:rsidR="0060553A" w:rsidRPr="009F337B">
        <w:rPr>
          <w:szCs w:val="20"/>
          <w:lang w:val="en-US"/>
        </w:rPr>
        <w:t xml:space="preserve">, </w:t>
      </w:r>
      <w:r w:rsidR="000E73AE" w:rsidRPr="009F337B">
        <w:rPr>
          <w:szCs w:val="20"/>
          <w:lang w:val="en-US"/>
        </w:rPr>
        <w:t>in relation to</w:t>
      </w:r>
      <w:r w:rsidR="0060553A" w:rsidRPr="009F337B">
        <w:rPr>
          <w:szCs w:val="20"/>
          <w:lang w:val="en-US"/>
        </w:rPr>
        <w:t xml:space="preserve"> </w:t>
      </w:r>
      <w:r w:rsidR="00AE5F9E" w:rsidRPr="009F337B">
        <w:rPr>
          <w:szCs w:val="20"/>
          <w:lang w:val="en-US"/>
        </w:rPr>
        <w:t>Articles</w:t>
      </w:r>
      <w:r w:rsidR="0060553A" w:rsidRPr="009F337B">
        <w:rPr>
          <w:szCs w:val="20"/>
          <w:lang w:val="en-US"/>
        </w:rPr>
        <w:t xml:space="preserve"> 26</w:t>
      </w:r>
      <w:r w:rsidR="003C46A3" w:rsidRPr="009F337B">
        <w:rPr>
          <w:szCs w:val="20"/>
          <w:lang w:val="en-US"/>
        </w:rPr>
        <w:t xml:space="preserve"> and </w:t>
      </w:r>
      <w:r w:rsidRPr="009F337B">
        <w:rPr>
          <w:szCs w:val="20"/>
          <w:lang w:val="en-US"/>
        </w:rPr>
        <w:t>1(1) of this instrument</w:t>
      </w:r>
      <w:r w:rsidR="0060553A" w:rsidRPr="009F337B">
        <w:rPr>
          <w:szCs w:val="20"/>
          <w:lang w:val="en-US"/>
        </w:rPr>
        <w:t xml:space="preserve">, </w:t>
      </w:r>
      <w:r w:rsidRPr="009F337B">
        <w:rPr>
          <w:szCs w:val="20"/>
          <w:lang w:val="en-US"/>
        </w:rPr>
        <w:t>to the detriment of</w:t>
      </w:r>
      <w:r w:rsidR="00BF092C" w:rsidRPr="009F337B">
        <w:rPr>
          <w:lang w:val="en-US"/>
        </w:rPr>
        <w:t xml:space="preserve"> </w:t>
      </w:r>
      <w:r w:rsidR="007B6D11" w:rsidRPr="009F337B">
        <w:rPr>
          <w:lang w:val="en-US"/>
        </w:rPr>
        <w:t>46</w:t>
      </w:r>
      <w:r w:rsidR="00BF092C" w:rsidRPr="009F337B">
        <w:rPr>
          <w:lang w:val="en-US"/>
        </w:rPr>
        <w:t xml:space="preserve"> </w:t>
      </w:r>
      <w:r w:rsidRPr="009F337B">
        <w:rPr>
          <w:lang w:val="en-US"/>
        </w:rPr>
        <w:t>persons listed as victims</w:t>
      </w:r>
      <w:r w:rsidR="00FE0773" w:rsidRPr="009F337B">
        <w:rPr>
          <w:szCs w:val="20"/>
          <w:lang w:val="en-US"/>
        </w:rPr>
        <w:t xml:space="preserve"> </w:t>
      </w:r>
      <w:r w:rsidRPr="009F337B">
        <w:rPr>
          <w:szCs w:val="20"/>
          <w:lang w:val="en-US"/>
        </w:rPr>
        <w:t>in Annex 2 to this judgment</w:t>
      </w:r>
      <w:r w:rsidR="00BF092C" w:rsidRPr="009F337B">
        <w:rPr>
          <w:lang w:val="en-US"/>
        </w:rPr>
        <w:t xml:space="preserve">, </w:t>
      </w:r>
      <w:r w:rsidRPr="009F337B">
        <w:rPr>
          <w:lang w:val="en-US"/>
        </w:rPr>
        <w:t>in the terms of</w:t>
      </w:r>
      <w:r w:rsidR="003C01EF" w:rsidRPr="009F337B">
        <w:rPr>
          <w:lang w:val="en-US"/>
        </w:rPr>
        <w:t xml:space="preserve"> </w:t>
      </w:r>
      <w:r w:rsidR="00C60B17" w:rsidRPr="009F337B">
        <w:rPr>
          <w:lang w:val="en-US"/>
        </w:rPr>
        <w:t>paragraph</w:t>
      </w:r>
      <w:r w:rsidR="003C01EF" w:rsidRPr="009F337B">
        <w:rPr>
          <w:lang w:val="en-US"/>
        </w:rPr>
        <w:t xml:space="preserve">s </w:t>
      </w:r>
      <w:r w:rsidR="00074CB7" w:rsidRPr="009F337B">
        <w:rPr>
          <w:lang w:val="en-US"/>
        </w:rPr>
        <w:t>161</w:t>
      </w:r>
      <w:r w:rsidR="00933458" w:rsidRPr="009F337B">
        <w:rPr>
          <w:lang w:val="en-US"/>
        </w:rPr>
        <w:t xml:space="preserve"> </w:t>
      </w:r>
      <w:r w:rsidRPr="009F337B">
        <w:rPr>
          <w:lang w:val="en-US"/>
        </w:rPr>
        <w:t>to</w:t>
      </w:r>
      <w:r w:rsidR="00933458" w:rsidRPr="009F337B">
        <w:rPr>
          <w:lang w:val="en-US"/>
        </w:rPr>
        <w:t xml:space="preserve"> </w:t>
      </w:r>
      <w:r w:rsidR="00074CB7" w:rsidRPr="009F337B">
        <w:rPr>
          <w:lang w:val="en-US"/>
        </w:rPr>
        <w:t>164</w:t>
      </w:r>
      <w:r w:rsidR="00BF092C" w:rsidRPr="009F337B">
        <w:rPr>
          <w:lang w:val="en-US"/>
        </w:rPr>
        <w:t xml:space="preserve"> </w:t>
      </w:r>
      <w:r w:rsidRPr="009F337B">
        <w:rPr>
          <w:lang w:val="en-US"/>
        </w:rPr>
        <w:t>of this judgment</w:t>
      </w:r>
      <w:r w:rsidR="00BF092C" w:rsidRPr="009F337B">
        <w:rPr>
          <w:szCs w:val="20"/>
          <w:lang w:val="en-US"/>
        </w:rPr>
        <w:t>.</w:t>
      </w:r>
    </w:p>
    <w:p w14:paraId="10957539" w14:textId="77777777" w:rsidR="00A63AF0" w:rsidRPr="009F337B" w:rsidRDefault="00A63AF0" w:rsidP="00A63AF0">
      <w:pPr>
        <w:pStyle w:val="Prrafodelista"/>
        <w:rPr>
          <w:szCs w:val="20"/>
          <w:lang w:val="en-US"/>
        </w:rPr>
      </w:pPr>
    </w:p>
    <w:p w14:paraId="480B8CCC" w14:textId="2F5CC16F" w:rsidR="00A63AF0" w:rsidRPr="009F337B" w:rsidRDefault="008D4C6C" w:rsidP="00A63AF0">
      <w:pPr>
        <w:pStyle w:val="Prrafodelista"/>
        <w:widowControl w:val="0"/>
        <w:tabs>
          <w:tab w:val="center" w:pos="567"/>
        </w:tabs>
        <w:autoSpaceDE w:val="0"/>
        <w:autoSpaceDN w:val="0"/>
        <w:adjustRightInd w:val="0"/>
        <w:ind w:left="0" w:right="-90"/>
        <w:rPr>
          <w:szCs w:val="20"/>
          <w:lang w:val="en-US"/>
        </w:rPr>
      </w:pPr>
      <w:r w:rsidRPr="009F337B">
        <w:rPr>
          <w:lang w:val="en-US"/>
        </w:rPr>
        <w:t>By four votes to one that</w:t>
      </w:r>
      <w:r w:rsidR="00A63AF0" w:rsidRPr="009F337B">
        <w:rPr>
          <w:lang w:val="en-US"/>
        </w:rPr>
        <w:t>:</w:t>
      </w:r>
    </w:p>
    <w:p w14:paraId="6B84584F" w14:textId="77777777" w:rsidR="00A63AF0" w:rsidRPr="009F337B" w:rsidRDefault="00A63AF0" w:rsidP="00A63AF0">
      <w:pPr>
        <w:pStyle w:val="Prrafodelista"/>
        <w:rPr>
          <w:szCs w:val="20"/>
          <w:lang w:val="en-US"/>
        </w:rPr>
      </w:pPr>
    </w:p>
    <w:p w14:paraId="5B59EA61" w14:textId="2BACA69F" w:rsidR="00A63AF0" w:rsidRPr="009F337B" w:rsidRDefault="00E92196" w:rsidP="00593E37">
      <w:pPr>
        <w:pStyle w:val="Prrafodelista"/>
        <w:widowControl w:val="0"/>
        <w:numPr>
          <w:ilvl w:val="0"/>
          <w:numId w:val="6"/>
        </w:numPr>
        <w:tabs>
          <w:tab w:val="center" w:pos="567"/>
        </w:tabs>
        <w:autoSpaceDE w:val="0"/>
        <w:autoSpaceDN w:val="0"/>
        <w:adjustRightInd w:val="0"/>
        <w:ind w:left="0" w:right="-90" w:hanging="11"/>
        <w:rPr>
          <w:szCs w:val="20"/>
          <w:lang w:val="en-US"/>
        </w:rPr>
      </w:pPr>
      <w:r w:rsidRPr="009F337B">
        <w:rPr>
          <w:szCs w:val="20"/>
          <w:lang w:val="en-US"/>
        </w:rPr>
        <w:t>The State is responsible for the violation</w:t>
      </w:r>
      <w:r w:rsidR="00A63AF0" w:rsidRPr="009F337B">
        <w:rPr>
          <w:szCs w:val="20"/>
          <w:lang w:val="en-US"/>
        </w:rPr>
        <w:t xml:space="preserve"> </w:t>
      </w:r>
      <w:r w:rsidRPr="009F337B">
        <w:rPr>
          <w:szCs w:val="20"/>
          <w:lang w:val="en-US"/>
        </w:rPr>
        <w:t>of the right to judicial guarantees and judicial protection recognized in</w:t>
      </w:r>
      <w:r w:rsidR="00A63AF0" w:rsidRPr="009F337B">
        <w:rPr>
          <w:szCs w:val="20"/>
          <w:lang w:val="en-US"/>
        </w:rPr>
        <w:t xml:space="preserve"> </w:t>
      </w:r>
      <w:r w:rsidR="00AE5F9E" w:rsidRPr="009F337B">
        <w:rPr>
          <w:szCs w:val="20"/>
          <w:lang w:val="en-US"/>
        </w:rPr>
        <w:t>Articles</w:t>
      </w:r>
      <w:r w:rsidR="00A63AF0" w:rsidRPr="009F337B">
        <w:rPr>
          <w:szCs w:val="20"/>
          <w:lang w:val="en-US"/>
        </w:rPr>
        <w:t xml:space="preserve"> 8</w:t>
      </w:r>
      <w:r w:rsidRPr="009F337B">
        <w:rPr>
          <w:szCs w:val="20"/>
          <w:lang w:val="en-US"/>
        </w:rPr>
        <w:t>(1)</w:t>
      </w:r>
      <w:r w:rsidR="003C46A3" w:rsidRPr="009F337B">
        <w:rPr>
          <w:szCs w:val="20"/>
          <w:lang w:val="en-US"/>
        </w:rPr>
        <w:t xml:space="preserve"> and 25(1)</w:t>
      </w:r>
      <w:r w:rsidR="00AE5F9E" w:rsidRPr="009F337B">
        <w:rPr>
          <w:szCs w:val="20"/>
          <w:lang w:val="en-US"/>
        </w:rPr>
        <w:t xml:space="preserve"> of the American Convention</w:t>
      </w:r>
      <w:r w:rsidR="00A63AF0" w:rsidRPr="009F337B">
        <w:rPr>
          <w:szCs w:val="20"/>
          <w:lang w:val="en-US"/>
        </w:rPr>
        <w:t xml:space="preserve">, </w:t>
      </w:r>
      <w:r w:rsidR="000E73AE" w:rsidRPr="009F337B">
        <w:rPr>
          <w:szCs w:val="20"/>
          <w:lang w:val="en-US"/>
        </w:rPr>
        <w:t>in relation to</w:t>
      </w:r>
      <w:r w:rsidR="00A63AF0" w:rsidRPr="009F337B">
        <w:rPr>
          <w:szCs w:val="20"/>
          <w:lang w:val="en-US"/>
        </w:rPr>
        <w:t xml:space="preserve"> </w:t>
      </w:r>
      <w:r w:rsidR="00AE5F9E" w:rsidRPr="009F337B">
        <w:rPr>
          <w:szCs w:val="20"/>
          <w:lang w:val="en-US"/>
        </w:rPr>
        <w:t>Article</w:t>
      </w:r>
      <w:r w:rsidR="003C46A3" w:rsidRPr="009F337B">
        <w:rPr>
          <w:szCs w:val="20"/>
          <w:lang w:val="en-US"/>
        </w:rPr>
        <w:t xml:space="preserve"> </w:t>
      </w:r>
      <w:r w:rsidRPr="009F337B">
        <w:rPr>
          <w:szCs w:val="20"/>
          <w:lang w:val="en-US"/>
        </w:rPr>
        <w:t>1(1) of this instrument</w:t>
      </w:r>
      <w:r w:rsidR="00A63AF0" w:rsidRPr="009F337B">
        <w:rPr>
          <w:szCs w:val="20"/>
          <w:lang w:val="en-US"/>
        </w:rPr>
        <w:t xml:space="preserve">, </w:t>
      </w:r>
      <w:r w:rsidRPr="009F337B">
        <w:rPr>
          <w:szCs w:val="20"/>
          <w:lang w:val="en-US"/>
        </w:rPr>
        <w:t>to the detriment of</w:t>
      </w:r>
      <w:r w:rsidR="00A63AF0" w:rsidRPr="009F337B">
        <w:rPr>
          <w:lang w:val="en-US"/>
        </w:rPr>
        <w:t xml:space="preserve"> 13 </w:t>
      </w:r>
      <w:r w:rsidRPr="009F337B">
        <w:rPr>
          <w:lang w:val="en-US"/>
        </w:rPr>
        <w:t>persons listed as victims</w:t>
      </w:r>
      <w:r w:rsidR="00FE0773" w:rsidRPr="009F337B">
        <w:rPr>
          <w:szCs w:val="20"/>
          <w:lang w:val="en-US"/>
        </w:rPr>
        <w:t xml:space="preserve"> </w:t>
      </w:r>
      <w:r w:rsidRPr="009F337B">
        <w:rPr>
          <w:szCs w:val="20"/>
          <w:lang w:val="en-US"/>
        </w:rPr>
        <w:t xml:space="preserve">in Annex 2 to </w:t>
      </w:r>
      <w:r w:rsidRPr="009F337B">
        <w:rPr>
          <w:szCs w:val="20"/>
          <w:lang w:val="en-US"/>
        </w:rPr>
        <w:lastRenderedPageBreak/>
        <w:t>this judgment</w:t>
      </w:r>
      <w:r w:rsidR="00A63AF0" w:rsidRPr="009F337B">
        <w:rPr>
          <w:lang w:val="en-US"/>
        </w:rPr>
        <w:t xml:space="preserve">, </w:t>
      </w:r>
      <w:r w:rsidRPr="009F337B">
        <w:rPr>
          <w:lang w:val="en-US"/>
        </w:rPr>
        <w:t>in the terms of</w:t>
      </w:r>
      <w:r w:rsidR="00A63AF0" w:rsidRPr="009F337B">
        <w:rPr>
          <w:lang w:val="en-US"/>
        </w:rPr>
        <w:t xml:space="preserve"> </w:t>
      </w:r>
      <w:r w:rsidR="00C60B17" w:rsidRPr="009F337B">
        <w:rPr>
          <w:lang w:val="en-US"/>
        </w:rPr>
        <w:t>paragraph</w:t>
      </w:r>
      <w:r w:rsidR="00A63AF0" w:rsidRPr="009F337B">
        <w:rPr>
          <w:lang w:val="en-US"/>
        </w:rPr>
        <w:t xml:space="preserve">s </w:t>
      </w:r>
      <w:r w:rsidR="00074CB7" w:rsidRPr="009F337B">
        <w:rPr>
          <w:lang w:val="en-US"/>
        </w:rPr>
        <w:t>168</w:t>
      </w:r>
      <w:r w:rsidR="00A63AF0" w:rsidRPr="009F337B">
        <w:rPr>
          <w:lang w:val="en-US"/>
        </w:rPr>
        <w:t xml:space="preserve"> </w:t>
      </w:r>
      <w:r w:rsidRPr="009F337B">
        <w:rPr>
          <w:lang w:val="en-US"/>
        </w:rPr>
        <w:t>to</w:t>
      </w:r>
      <w:r w:rsidR="00A63AF0" w:rsidRPr="009F337B">
        <w:rPr>
          <w:lang w:val="en-US"/>
        </w:rPr>
        <w:t xml:space="preserve"> </w:t>
      </w:r>
      <w:r w:rsidR="00074CB7" w:rsidRPr="009F337B">
        <w:rPr>
          <w:lang w:val="en-US"/>
        </w:rPr>
        <w:t>179</w:t>
      </w:r>
      <w:r w:rsidR="003C46A3" w:rsidRPr="009F337B">
        <w:rPr>
          <w:lang w:val="en-US"/>
        </w:rPr>
        <w:t xml:space="preserve"> and </w:t>
      </w:r>
      <w:r w:rsidR="00074CB7" w:rsidRPr="009F337B">
        <w:rPr>
          <w:lang w:val="en-US"/>
        </w:rPr>
        <w:t>187</w:t>
      </w:r>
      <w:r w:rsidR="00A63AF0" w:rsidRPr="009F337B">
        <w:rPr>
          <w:lang w:val="en-US"/>
        </w:rPr>
        <w:t xml:space="preserve"> </w:t>
      </w:r>
      <w:r w:rsidR="004F3C01" w:rsidRPr="009F337B">
        <w:rPr>
          <w:lang w:val="en-US"/>
        </w:rPr>
        <w:t>of this judgement</w:t>
      </w:r>
      <w:r w:rsidR="00A63AF0" w:rsidRPr="009F337B">
        <w:rPr>
          <w:szCs w:val="20"/>
          <w:lang w:val="en-US"/>
        </w:rPr>
        <w:t>.</w:t>
      </w:r>
    </w:p>
    <w:p w14:paraId="5002BE22" w14:textId="77777777" w:rsidR="00A63AF0" w:rsidRPr="009F337B" w:rsidRDefault="00A63AF0" w:rsidP="00A63AF0">
      <w:pPr>
        <w:pStyle w:val="Prrafodelista"/>
        <w:widowControl w:val="0"/>
        <w:tabs>
          <w:tab w:val="center" w:pos="567"/>
        </w:tabs>
        <w:autoSpaceDE w:val="0"/>
        <w:autoSpaceDN w:val="0"/>
        <w:adjustRightInd w:val="0"/>
        <w:ind w:left="0" w:right="-90"/>
        <w:rPr>
          <w:szCs w:val="20"/>
          <w:lang w:val="en-US"/>
        </w:rPr>
      </w:pPr>
    </w:p>
    <w:p w14:paraId="0C48421E" w14:textId="7CEE3B48" w:rsidR="00FB3C74" w:rsidRPr="009F337B" w:rsidRDefault="00E92196" w:rsidP="00593E37">
      <w:pPr>
        <w:pStyle w:val="Prrafodelista"/>
        <w:widowControl w:val="0"/>
        <w:numPr>
          <w:ilvl w:val="0"/>
          <w:numId w:val="6"/>
        </w:numPr>
        <w:tabs>
          <w:tab w:val="center" w:pos="567"/>
        </w:tabs>
        <w:autoSpaceDE w:val="0"/>
        <w:autoSpaceDN w:val="0"/>
        <w:adjustRightInd w:val="0"/>
        <w:ind w:left="0" w:right="-90" w:hanging="11"/>
        <w:rPr>
          <w:szCs w:val="20"/>
          <w:lang w:val="en-US"/>
        </w:rPr>
      </w:pPr>
      <w:r w:rsidRPr="009F337B">
        <w:rPr>
          <w:szCs w:val="20"/>
          <w:lang w:val="en-US"/>
        </w:rPr>
        <w:t>The State is responsible for the violation</w:t>
      </w:r>
      <w:r w:rsidR="00A63AF0" w:rsidRPr="009F337B">
        <w:rPr>
          <w:szCs w:val="20"/>
          <w:lang w:val="en-US"/>
        </w:rPr>
        <w:t xml:space="preserve"> </w:t>
      </w:r>
      <w:r w:rsidRPr="009F337B">
        <w:rPr>
          <w:szCs w:val="20"/>
          <w:lang w:val="en-US"/>
        </w:rPr>
        <w:t xml:space="preserve">of the guarantee of a </w:t>
      </w:r>
      <w:r w:rsidR="004A1D8A" w:rsidRPr="009F337B">
        <w:rPr>
          <w:szCs w:val="20"/>
          <w:lang w:val="en-US"/>
        </w:rPr>
        <w:t>reasonable time</w:t>
      </w:r>
      <w:r w:rsidR="00A63AF0" w:rsidRPr="009F337B">
        <w:rPr>
          <w:szCs w:val="20"/>
          <w:lang w:val="en-US"/>
        </w:rPr>
        <w:t xml:space="preserve"> </w:t>
      </w:r>
      <w:r w:rsidRPr="009F337B">
        <w:rPr>
          <w:szCs w:val="20"/>
          <w:lang w:val="en-US"/>
        </w:rPr>
        <w:t>recognized in</w:t>
      </w:r>
      <w:r w:rsidR="00A63AF0" w:rsidRPr="009F337B">
        <w:rPr>
          <w:szCs w:val="20"/>
          <w:lang w:val="en-US"/>
        </w:rPr>
        <w:t xml:space="preserve"> </w:t>
      </w:r>
      <w:r w:rsidR="00AE5F9E" w:rsidRPr="009F337B">
        <w:rPr>
          <w:szCs w:val="20"/>
          <w:lang w:val="en-US"/>
        </w:rPr>
        <w:t>Article</w:t>
      </w:r>
      <w:r w:rsidR="00A63AF0" w:rsidRPr="009F337B">
        <w:rPr>
          <w:szCs w:val="20"/>
          <w:lang w:val="en-US"/>
        </w:rPr>
        <w:t xml:space="preserve"> 8</w:t>
      </w:r>
      <w:r w:rsidR="00AE5F9E" w:rsidRPr="009F337B">
        <w:rPr>
          <w:szCs w:val="20"/>
          <w:lang w:val="en-US"/>
        </w:rPr>
        <w:t xml:space="preserve"> of the American Convention</w:t>
      </w:r>
      <w:r w:rsidR="00A63AF0" w:rsidRPr="009F337B">
        <w:rPr>
          <w:szCs w:val="20"/>
          <w:lang w:val="en-US"/>
        </w:rPr>
        <w:t xml:space="preserve">, </w:t>
      </w:r>
      <w:r w:rsidR="000E73AE" w:rsidRPr="009F337B">
        <w:rPr>
          <w:szCs w:val="20"/>
          <w:lang w:val="en-US"/>
        </w:rPr>
        <w:t>in relation to</w:t>
      </w:r>
      <w:r w:rsidR="00A63AF0" w:rsidRPr="009F337B">
        <w:rPr>
          <w:szCs w:val="20"/>
          <w:lang w:val="en-US"/>
        </w:rPr>
        <w:t xml:space="preserve"> </w:t>
      </w:r>
      <w:r w:rsidR="00AE5F9E" w:rsidRPr="009F337B">
        <w:rPr>
          <w:szCs w:val="20"/>
          <w:lang w:val="en-US"/>
        </w:rPr>
        <w:t>Article</w:t>
      </w:r>
      <w:r w:rsidR="003C46A3" w:rsidRPr="009F337B">
        <w:rPr>
          <w:szCs w:val="20"/>
          <w:lang w:val="en-US"/>
        </w:rPr>
        <w:t xml:space="preserve"> </w:t>
      </w:r>
      <w:r w:rsidRPr="009F337B">
        <w:rPr>
          <w:szCs w:val="20"/>
          <w:lang w:val="en-US"/>
        </w:rPr>
        <w:t>1(1) of this instrument</w:t>
      </w:r>
      <w:r w:rsidR="00A63AF0" w:rsidRPr="009F337B">
        <w:rPr>
          <w:szCs w:val="20"/>
          <w:lang w:val="en-US"/>
        </w:rPr>
        <w:t xml:space="preserve">, </w:t>
      </w:r>
      <w:r w:rsidRPr="009F337B">
        <w:rPr>
          <w:szCs w:val="20"/>
          <w:lang w:val="en-US"/>
        </w:rPr>
        <w:t>to the detriment of</w:t>
      </w:r>
      <w:r w:rsidR="00A63AF0" w:rsidRPr="009F337B">
        <w:rPr>
          <w:lang w:val="en-US"/>
        </w:rPr>
        <w:t xml:space="preserve"> 13 </w:t>
      </w:r>
      <w:r w:rsidRPr="009F337B">
        <w:rPr>
          <w:lang w:val="en-US"/>
        </w:rPr>
        <w:t>persons listed as victims</w:t>
      </w:r>
      <w:r w:rsidR="00FE0773" w:rsidRPr="009F337B">
        <w:rPr>
          <w:szCs w:val="20"/>
          <w:lang w:val="en-US"/>
        </w:rPr>
        <w:t xml:space="preserve"> </w:t>
      </w:r>
      <w:r w:rsidRPr="009F337B">
        <w:rPr>
          <w:szCs w:val="20"/>
          <w:lang w:val="en-US"/>
        </w:rPr>
        <w:t>in Annex 2 to this judgment</w:t>
      </w:r>
      <w:r w:rsidR="00A63AF0" w:rsidRPr="009F337B">
        <w:rPr>
          <w:lang w:val="en-US"/>
        </w:rPr>
        <w:t xml:space="preserve">, </w:t>
      </w:r>
      <w:r w:rsidRPr="009F337B">
        <w:rPr>
          <w:lang w:val="en-US"/>
        </w:rPr>
        <w:t>in the terms of</w:t>
      </w:r>
      <w:r w:rsidR="00A63AF0" w:rsidRPr="009F337B">
        <w:rPr>
          <w:lang w:val="en-US"/>
        </w:rPr>
        <w:t xml:space="preserve"> </w:t>
      </w:r>
      <w:r w:rsidR="00C60B17" w:rsidRPr="009F337B">
        <w:rPr>
          <w:lang w:val="en-US"/>
        </w:rPr>
        <w:t>paragraph</w:t>
      </w:r>
      <w:r w:rsidR="00A63AF0" w:rsidRPr="009F337B">
        <w:rPr>
          <w:lang w:val="en-US"/>
        </w:rPr>
        <w:t xml:space="preserve">s </w:t>
      </w:r>
      <w:r w:rsidR="00074CB7" w:rsidRPr="009F337B">
        <w:rPr>
          <w:lang w:val="en-US"/>
        </w:rPr>
        <w:t>180</w:t>
      </w:r>
      <w:r w:rsidR="00A63AF0" w:rsidRPr="009F337B">
        <w:rPr>
          <w:lang w:val="en-US"/>
        </w:rPr>
        <w:t xml:space="preserve"> a </w:t>
      </w:r>
      <w:r w:rsidR="00074CB7" w:rsidRPr="009F337B">
        <w:rPr>
          <w:lang w:val="en-US"/>
        </w:rPr>
        <w:t>187</w:t>
      </w:r>
      <w:r w:rsidR="00A63AF0" w:rsidRPr="009F337B">
        <w:rPr>
          <w:lang w:val="en-US"/>
        </w:rPr>
        <w:t xml:space="preserve"> </w:t>
      </w:r>
      <w:r w:rsidR="004F3C01" w:rsidRPr="009F337B">
        <w:rPr>
          <w:lang w:val="en-US"/>
        </w:rPr>
        <w:t>of this judgement</w:t>
      </w:r>
      <w:r w:rsidR="00A63AF0" w:rsidRPr="009F337B">
        <w:rPr>
          <w:szCs w:val="20"/>
          <w:lang w:val="en-US"/>
        </w:rPr>
        <w:t>.</w:t>
      </w:r>
    </w:p>
    <w:p w14:paraId="363AC841" w14:textId="77777777" w:rsidR="00FB3C74" w:rsidRPr="009F337B" w:rsidRDefault="00FB3C74" w:rsidP="00FB3C74">
      <w:pPr>
        <w:pStyle w:val="Prrafodelista"/>
        <w:widowControl w:val="0"/>
        <w:tabs>
          <w:tab w:val="center" w:pos="567"/>
        </w:tabs>
        <w:autoSpaceDE w:val="0"/>
        <w:autoSpaceDN w:val="0"/>
        <w:adjustRightInd w:val="0"/>
        <w:ind w:left="0" w:right="-90"/>
        <w:rPr>
          <w:szCs w:val="20"/>
          <w:lang w:val="en-US"/>
        </w:rPr>
      </w:pPr>
    </w:p>
    <w:p w14:paraId="48C67351" w14:textId="487B50CB" w:rsidR="00FB3C74" w:rsidRPr="009F337B" w:rsidRDefault="008D4C6C" w:rsidP="00FB3C74">
      <w:pPr>
        <w:pStyle w:val="Prrafodelista"/>
        <w:widowControl w:val="0"/>
        <w:tabs>
          <w:tab w:val="center" w:pos="567"/>
        </w:tabs>
        <w:autoSpaceDE w:val="0"/>
        <w:autoSpaceDN w:val="0"/>
        <w:adjustRightInd w:val="0"/>
        <w:ind w:left="0" w:right="-90"/>
        <w:rPr>
          <w:szCs w:val="20"/>
          <w:lang w:val="en-US"/>
        </w:rPr>
      </w:pPr>
      <w:r w:rsidRPr="009F337B">
        <w:rPr>
          <w:lang w:val="en-US"/>
        </w:rPr>
        <w:t>Unanimously that</w:t>
      </w:r>
      <w:r w:rsidR="00FB3C74" w:rsidRPr="009F337B">
        <w:rPr>
          <w:lang w:val="en-US"/>
        </w:rPr>
        <w:t>:</w:t>
      </w:r>
    </w:p>
    <w:p w14:paraId="1591BD47" w14:textId="77777777" w:rsidR="00FB3C74" w:rsidRPr="009F337B" w:rsidRDefault="00FB3C74" w:rsidP="00FB3C74">
      <w:pPr>
        <w:widowControl w:val="0"/>
        <w:tabs>
          <w:tab w:val="center" w:pos="567"/>
        </w:tabs>
        <w:autoSpaceDE w:val="0"/>
        <w:autoSpaceDN w:val="0"/>
        <w:adjustRightInd w:val="0"/>
        <w:ind w:right="-90"/>
        <w:rPr>
          <w:szCs w:val="20"/>
          <w:lang w:val="en-US"/>
        </w:rPr>
      </w:pPr>
    </w:p>
    <w:p w14:paraId="1BFD20BD" w14:textId="1376ABA0" w:rsidR="0060553A" w:rsidRPr="009F337B" w:rsidRDefault="00E92196" w:rsidP="00593E37">
      <w:pPr>
        <w:pStyle w:val="Prrafodelista"/>
        <w:widowControl w:val="0"/>
        <w:numPr>
          <w:ilvl w:val="0"/>
          <w:numId w:val="6"/>
        </w:numPr>
        <w:tabs>
          <w:tab w:val="center" w:pos="567"/>
        </w:tabs>
        <w:autoSpaceDE w:val="0"/>
        <w:autoSpaceDN w:val="0"/>
        <w:adjustRightInd w:val="0"/>
        <w:ind w:left="0" w:right="-90" w:hanging="11"/>
        <w:rPr>
          <w:szCs w:val="20"/>
          <w:lang w:val="en-US"/>
        </w:rPr>
      </w:pPr>
      <w:r w:rsidRPr="009F337B">
        <w:rPr>
          <w:szCs w:val="20"/>
          <w:lang w:val="en-US"/>
        </w:rPr>
        <w:t>The State is responsible for the violation</w:t>
      </w:r>
      <w:r w:rsidR="0060553A" w:rsidRPr="009F337B">
        <w:rPr>
          <w:szCs w:val="20"/>
          <w:lang w:val="en-US"/>
        </w:rPr>
        <w:t xml:space="preserve"> </w:t>
      </w:r>
      <w:r w:rsidRPr="009F337B">
        <w:rPr>
          <w:szCs w:val="20"/>
          <w:lang w:val="en-US"/>
        </w:rPr>
        <w:t>of</w:t>
      </w:r>
      <w:r w:rsidR="0060553A" w:rsidRPr="009F337B">
        <w:rPr>
          <w:szCs w:val="20"/>
          <w:lang w:val="en-US"/>
        </w:rPr>
        <w:t xml:space="preserve"> </w:t>
      </w:r>
      <w:r w:rsidR="003C46A3" w:rsidRPr="009F337B">
        <w:rPr>
          <w:szCs w:val="20"/>
          <w:lang w:val="en-US"/>
        </w:rPr>
        <w:t>personal integrity</w:t>
      </w:r>
      <w:r w:rsidR="0060553A" w:rsidRPr="009F337B">
        <w:rPr>
          <w:szCs w:val="20"/>
          <w:lang w:val="en-US"/>
        </w:rPr>
        <w:t xml:space="preserve">, </w:t>
      </w:r>
      <w:r w:rsidRPr="009F337B">
        <w:rPr>
          <w:szCs w:val="20"/>
          <w:lang w:val="en-US"/>
        </w:rPr>
        <w:t>recognized in</w:t>
      </w:r>
      <w:r w:rsidR="0060553A" w:rsidRPr="009F337B">
        <w:rPr>
          <w:szCs w:val="20"/>
          <w:lang w:val="en-US"/>
        </w:rPr>
        <w:t xml:space="preserve"> </w:t>
      </w:r>
      <w:r w:rsidR="00AE5F9E" w:rsidRPr="009F337B">
        <w:rPr>
          <w:szCs w:val="20"/>
          <w:lang w:val="en-US"/>
        </w:rPr>
        <w:t>Article</w:t>
      </w:r>
      <w:r w:rsidR="003C46A3" w:rsidRPr="009F337B">
        <w:rPr>
          <w:szCs w:val="20"/>
          <w:lang w:val="en-US"/>
        </w:rPr>
        <w:t xml:space="preserve"> 5(1)</w:t>
      </w:r>
      <w:r w:rsidR="00AE5F9E" w:rsidRPr="009F337B">
        <w:rPr>
          <w:szCs w:val="20"/>
          <w:lang w:val="en-US"/>
        </w:rPr>
        <w:t xml:space="preserve"> of the American Convention</w:t>
      </w:r>
      <w:r w:rsidR="0060553A" w:rsidRPr="009F337B">
        <w:rPr>
          <w:szCs w:val="20"/>
          <w:lang w:val="en-US"/>
        </w:rPr>
        <w:t xml:space="preserve">, </w:t>
      </w:r>
      <w:r w:rsidRPr="009F337B">
        <w:rPr>
          <w:szCs w:val="20"/>
          <w:lang w:val="en-US"/>
        </w:rPr>
        <w:t>to the detriment of</w:t>
      </w:r>
      <w:r w:rsidR="0060553A" w:rsidRPr="009F337B">
        <w:rPr>
          <w:szCs w:val="20"/>
          <w:lang w:val="en-US"/>
        </w:rPr>
        <w:t xml:space="preserve"> </w:t>
      </w:r>
      <w:r w:rsidRPr="009F337B">
        <w:rPr>
          <w:szCs w:val="20"/>
          <w:lang w:val="en-US"/>
        </w:rPr>
        <w:t>the victims’ next of kin listed as</w:t>
      </w:r>
      <w:r w:rsidR="00FE0773" w:rsidRPr="009F337B">
        <w:rPr>
          <w:szCs w:val="20"/>
          <w:lang w:val="en-US"/>
        </w:rPr>
        <w:t xml:space="preserve"> </w:t>
      </w:r>
      <w:r w:rsidR="0010522A" w:rsidRPr="009F337B">
        <w:rPr>
          <w:szCs w:val="20"/>
          <w:lang w:val="en-US"/>
        </w:rPr>
        <w:t>next of kin</w:t>
      </w:r>
      <w:r w:rsidR="00FE0773" w:rsidRPr="009F337B">
        <w:rPr>
          <w:szCs w:val="20"/>
          <w:lang w:val="en-US"/>
        </w:rPr>
        <w:t xml:space="preserve"> </w:t>
      </w:r>
      <w:r w:rsidRPr="009F337B">
        <w:rPr>
          <w:szCs w:val="20"/>
          <w:lang w:val="en-US"/>
        </w:rPr>
        <w:t>in Annex 2 to this judgment</w:t>
      </w:r>
      <w:r w:rsidR="00B30361" w:rsidRPr="009F337B">
        <w:rPr>
          <w:lang w:val="en-US"/>
        </w:rPr>
        <w:t xml:space="preserve">, </w:t>
      </w:r>
      <w:r w:rsidRPr="009F337B">
        <w:rPr>
          <w:lang w:val="en-US"/>
        </w:rPr>
        <w:t>in the terms of</w:t>
      </w:r>
      <w:r w:rsidR="003C01EF" w:rsidRPr="009F337B">
        <w:rPr>
          <w:lang w:val="en-US"/>
        </w:rPr>
        <w:t xml:space="preserve"> </w:t>
      </w:r>
      <w:r w:rsidR="00C60B17" w:rsidRPr="009F337B">
        <w:rPr>
          <w:lang w:val="en-US"/>
        </w:rPr>
        <w:t>paragraph</w:t>
      </w:r>
      <w:r w:rsidR="003C01EF" w:rsidRPr="009F337B">
        <w:rPr>
          <w:lang w:val="en-US"/>
        </w:rPr>
        <w:t xml:space="preserve">s </w:t>
      </w:r>
      <w:r w:rsidR="00F020B2" w:rsidRPr="009F337B">
        <w:rPr>
          <w:lang w:val="en-US"/>
        </w:rPr>
        <w:t>191</w:t>
      </w:r>
      <w:r w:rsidR="003C01EF" w:rsidRPr="009F337B">
        <w:rPr>
          <w:lang w:val="en-US"/>
        </w:rPr>
        <w:t xml:space="preserve"> </w:t>
      </w:r>
      <w:r w:rsidRPr="009F337B">
        <w:rPr>
          <w:lang w:val="en-US"/>
        </w:rPr>
        <w:t>to</w:t>
      </w:r>
      <w:r w:rsidR="003C01EF" w:rsidRPr="009F337B">
        <w:rPr>
          <w:lang w:val="en-US"/>
        </w:rPr>
        <w:t xml:space="preserve"> </w:t>
      </w:r>
      <w:r w:rsidR="00F020B2" w:rsidRPr="009F337B">
        <w:rPr>
          <w:lang w:val="en-US"/>
        </w:rPr>
        <w:t>197</w:t>
      </w:r>
      <w:r w:rsidR="00B30361" w:rsidRPr="009F337B">
        <w:rPr>
          <w:lang w:val="en-US"/>
        </w:rPr>
        <w:t xml:space="preserve"> </w:t>
      </w:r>
      <w:r w:rsidR="004F3C01" w:rsidRPr="009F337B">
        <w:rPr>
          <w:lang w:val="en-US"/>
        </w:rPr>
        <w:t>of this judgement</w:t>
      </w:r>
      <w:r w:rsidR="0060553A" w:rsidRPr="009F337B">
        <w:rPr>
          <w:szCs w:val="20"/>
          <w:lang w:val="en-US"/>
        </w:rPr>
        <w:t>.</w:t>
      </w:r>
    </w:p>
    <w:p w14:paraId="58DDAA41" w14:textId="77777777" w:rsidR="0060553A" w:rsidRPr="009F337B" w:rsidRDefault="0060553A" w:rsidP="0060553A">
      <w:pPr>
        <w:pStyle w:val="Prrafodelista"/>
        <w:widowControl w:val="0"/>
        <w:tabs>
          <w:tab w:val="center" w:pos="567"/>
        </w:tabs>
        <w:autoSpaceDE w:val="0"/>
        <w:autoSpaceDN w:val="0"/>
        <w:adjustRightInd w:val="0"/>
        <w:ind w:left="0" w:right="-90"/>
        <w:rPr>
          <w:szCs w:val="20"/>
          <w:lang w:val="en-US"/>
        </w:rPr>
      </w:pPr>
    </w:p>
    <w:p w14:paraId="048B0D71" w14:textId="77EF352B" w:rsidR="0060553A" w:rsidRPr="009F337B" w:rsidRDefault="008D4C6C" w:rsidP="0060553A">
      <w:pPr>
        <w:pStyle w:val="Prrafodelista2"/>
        <w:tabs>
          <w:tab w:val="left" w:pos="720"/>
        </w:tabs>
        <w:ind w:left="0" w:right="-90"/>
        <w:contextualSpacing/>
        <w:rPr>
          <w:b/>
          <w:bCs/>
          <w:lang w:val="en-US"/>
        </w:rPr>
      </w:pPr>
      <w:r w:rsidRPr="009F337B">
        <w:rPr>
          <w:b/>
          <w:bCs/>
          <w:lang w:val="en-US"/>
        </w:rPr>
        <w:t>AND DECLARES</w:t>
      </w:r>
      <w:r w:rsidR="0060553A" w:rsidRPr="009F337B">
        <w:rPr>
          <w:b/>
          <w:bCs/>
          <w:lang w:val="en-US"/>
        </w:rPr>
        <w:t>:</w:t>
      </w:r>
    </w:p>
    <w:p w14:paraId="658F4B91" w14:textId="77777777" w:rsidR="0060553A" w:rsidRPr="009F337B" w:rsidRDefault="0060553A" w:rsidP="0060553A">
      <w:pPr>
        <w:pStyle w:val="Prrafodelista2"/>
        <w:ind w:left="0" w:right="-90"/>
        <w:contextualSpacing/>
        <w:rPr>
          <w:rFonts w:asciiTheme="minorHAnsi" w:eastAsiaTheme="minorHAnsi" w:hAnsiTheme="minorHAnsi" w:cstheme="minorBidi"/>
          <w:b/>
          <w:bCs/>
          <w:sz w:val="22"/>
          <w:szCs w:val="22"/>
          <w:lang w:val="en-US" w:bidi="ar-SA"/>
        </w:rPr>
      </w:pPr>
    </w:p>
    <w:p w14:paraId="4552D743" w14:textId="0BE96B6A" w:rsidR="0060553A" w:rsidRPr="009F337B" w:rsidRDefault="008D4C6C" w:rsidP="0060553A">
      <w:pPr>
        <w:pStyle w:val="Prrafodelista2"/>
        <w:ind w:left="0" w:right="-90"/>
        <w:contextualSpacing/>
        <w:rPr>
          <w:lang w:val="en-US"/>
        </w:rPr>
      </w:pPr>
      <w:r w:rsidRPr="009F337B">
        <w:rPr>
          <w:lang w:val="en-US"/>
        </w:rPr>
        <w:t>Unanimously that</w:t>
      </w:r>
      <w:r w:rsidR="0060553A" w:rsidRPr="009F337B">
        <w:rPr>
          <w:lang w:val="en-US"/>
        </w:rPr>
        <w:t>:</w:t>
      </w:r>
    </w:p>
    <w:p w14:paraId="1618FA29" w14:textId="77777777" w:rsidR="0060553A" w:rsidRPr="009F337B" w:rsidRDefault="0060553A" w:rsidP="0060553A">
      <w:pPr>
        <w:pStyle w:val="Prrafodelista"/>
        <w:widowControl w:val="0"/>
        <w:tabs>
          <w:tab w:val="center" w:pos="567"/>
        </w:tabs>
        <w:autoSpaceDE w:val="0"/>
        <w:autoSpaceDN w:val="0"/>
        <w:adjustRightInd w:val="0"/>
        <w:ind w:left="0" w:right="-90"/>
        <w:rPr>
          <w:szCs w:val="20"/>
          <w:lang w:val="en-US"/>
        </w:rPr>
      </w:pPr>
    </w:p>
    <w:p w14:paraId="5741C20C" w14:textId="5E12D7A1" w:rsidR="0060553A" w:rsidRPr="009F337B" w:rsidRDefault="00E92196" w:rsidP="00593E37">
      <w:pPr>
        <w:pStyle w:val="Prrafodelista"/>
        <w:widowControl w:val="0"/>
        <w:numPr>
          <w:ilvl w:val="0"/>
          <w:numId w:val="6"/>
        </w:numPr>
        <w:tabs>
          <w:tab w:val="center" w:pos="567"/>
        </w:tabs>
        <w:autoSpaceDE w:val="0"/>
        <w:autoSpaceDN w:val="0"/>
        <w:adjustRightInd w:val="0"/>
        <w:ind w:left="0" w:right="-90" w:hanging="11"/>
        <w:rPr>
          <w:szCs w:val="20"/>
          <w:lang w:val="en-US"/>
        </w:rPr>
      </w:pPr>
      <w:r w:rsidRPr="009F337B">
        <w:rPr>
          <w:szCs w:val="20"/>
          <w:lang w:val="en-US"/>
        </w:rPr>
        <w:t>This judgment constitutes, in itself, a form of reparation</w:t>
      </w:r>
      <w:r w:rsidR="0060553A" w:rsidRPr="009F337B">
        <w:rPr>
          <w:szCs w:val="20"/>
          <w:lang w:val="en-US"/>
        </w:rPr>
        <w:t>.</w:t>
      </w:r>
    </w:p>
    <w:p w14:paraId="10BE2752" w14:textId="77777777" w:rsidR="0060553A" w:rsidRPr="009F337B" w:rsidRDefault="0060553A" w:rsidP="0060553A">
      <w:pPr>
        <w:pStyle w:val="Prrafodelista"/>
        <w:widowControl w:val="0"/>
        <w:tabs>
          <w:tab w:val="center" w:pos="567"/>
        </w:tabs>
        <w:autoSpaceDE w:val="0"/>
        <w:autoSpaceDN w:val="0"/>
        <w:adjustRightInd w:val="0"/>
        <w:ind w:left="0" w:right="-90"/>
        <w:rPr>
          <w:szCs w:val="20"/>
          <w:lang w:val="en-US"/>
        </w:rPr>
      </w:pPr>
    </w:p>
    <w:p w14:paraId="69F729E9" w14:textId="0B63B56B" w:rsidR="0060553A" w:rsidRPr="009F337B" w:rsidRDefault="00BC2078" w:rsidP="00593E37">
      <w:pPr>
        <w:pStyle w:val="Prrafodelista"/>
        <w:widowControl w:val="0"/>
        <w:numPr>
          <w:ilvl w:val="0"/>
          <w:numId w:val="6"/>
        </w:numPr>
        <w:tabs>
          <w:tab w:val="center" w:pos="567"/>
        </w:tabs>
        <w:autoSpaceDE w:val="0"/>
        <w:autoSpaceDN w:val="0"/>
        <w:adjustRightInd w:val="0"/>
        <w:ind w:left="0" w:right="-90" w:hanging="11"/>
        <w:rPr>
          <w:szCs w:val="20"/>
          <w:lang w:val="en-US"/>
        </w:rPr>
      </w:pPr>
      <w:r w:rsidRPr="009F337B">
        <w:rPr>
          <w:szCs w:val="20"/>
          <w:lang w:val="en-US"/>
        </w:rPr>
        <w:t xml:space="preserve">The State shall, within six months of notification </w:t>
      </w:r>
      <w:r w:rsidR="00E92196" w:rsidRPr="009F337B">
        <w:rPr>
          <w:szCs w:val="20"/>
          <w:lang w:val="en-US"/>
        </w:rPr>
        <w:t>of this judgment</w:t>
      </w:r>
      <w:r w:rsidR="0060553A" w:rsidRPr="009F337B">
        <w:rPr>
          <w:szCs w:val="20"/>
          <w:lang w:val="en-US"/>
        </w:rPr>
        <w:t xml:space="preserve">, </w:t>
      </w:r>
      <w:r w:rsidRPr="009F337B">
        <w:rPr>
          <w:szCs w:val="20"/>
          <w:lang w:val="en-US"/>
        </w:rPr>
        <w:t xml:space="preserve">make the publications indicated in </w:t>
      </w:r>
      <w:r w:rsidR="00C60B17" w:rsidRPr="009F337B">
        <w:rPr>
          <w:szCs w:val="20"/>
          <w:lang w:val="en-US"/>
        </w:rPr>
        <w:t>paragraph</w:t>
      </w:r>
      <w:r w:rsidR="00390BAC" w:rsidRPr="009F337B">
        <w:rPr>
          <w:szCs w:val="20"/>
          <w:lang w:val="en-US"/>
        </w:rPr>
        <w:t>s 217</w:t>
      </w:r>
      <w:r w:rsidR="003C46A3" w:rsidRPr="009F337B">
        <w:rPr>
          <w:szCs w:val="20"/>
          <w:lang w:val="en-US"/>
        </w:rPr>
        <w:t xml:space="preserve"> and </w:t>
      </w:r>
      <w:r w:rsidR="00390BAC" w:rsidRPr="009F337B">
        <w:rPr>
          <w:szCs w:val="20"/>
          <w:lang w:val="en-US"/>
        </w:rPr>
        <w:t>218</w:t>
      </w:r>
      <w:r w:rsidR="0060553A" w:rsidRPr="009F337B">
        <w:rPr>
          <w:szCs w:val="20"/>
          <w:lang w:val="en-US"/>
        </w:rPr>
        <w:t xml:space="preserve"> </w:t>
      </w:r>
      <w:r w:rsidR="004F3C01" w:rsidRPr="009F337B">
        <w:rPr>
          <w:szCs w:val="20"/>
          <w:lang w:val="en-US"/>
        </w:rPr>
        <w:t>of th</w:t>
      </w:r>
      <w:r w:rsidRPr="009F337B">
        <w:rPr>
          <w:szCs w:val="20"/>
          <w:lang w:val="en-US"/>
        </w:rPr>
        <w:t>e</w:t>
      </w:r>
      <w:r w:rsidR="004F3C01" w:rsidRPr="009F337B">
        <w:rPr>
          <w:szCs w:val="20"/>
          <w:lang w:val="en-US"/>
        </w:rPr>
        <w:t xml:space="preserve"> judgement</w:t>
      </w:r>
      <w:r w:rsidR="00E54D1F" w:rsidRPr="009F337B">
        <w:rPr>
          <w:szCs w:val="20"/>
          <w:lang w:val="en-US"/>
        </w:rPr>
        <w:t xml:space="preserve"> </w:t>
      </w:r>
      <w:r w:rsidRPr="009F337B">
        <w:rPr>
          <w:szCs w:val="20"/>
          <w:lang w:val="en-US"/>
        </w:rPr>
        <w:t>and</w:t>
      </w:r>
      <w:r w:rsidR="00F658A6" w:rsidRPr="009F337B">
        <w:rPr>
          <w:szCs w:val="20"/>
          <w:lang w:val="en-US"/>
        </w:rPr>
        <w:t>,</w:t>
      </w:r>
      <w:r w:rsidR="00E54D1F" w:rsidRPr="009F337B">
        <w:rPr>
          <w:szCs w:val="20"/>
          <w:lang w:val="en-US"/>
        </w:rPr>
        <w:t xml:space="preserve"> </w:t>
      </w:r>
      <w:r w:rsidRPr="009F337B">
        <w:rPr>
          <w:szCs w:val="20"/>
          <w:lang w:val="en-US"/>
        </w:rPr>
        <w:t xml:space="preserve">within one year of notification </w:t>
      </w:r>
      <w:r w:rsidR="00E92196" w:rsidRPr="009F337B">
        <w:rPr>
          <w:szCs w:val="20"/>
          <w:lang w:val="en-US"/>
        </w:rPr>
        <w:t>of this judgment</w:t>
      </w:r>
      <w:r w:rsidR="00E54D1F" w:rsidRPr="009F337B">
        <w:rPr>
          <w:szCs w:val="20"/>
          <w:lang w:val="en-US"/>
        </w:rPr>
        <w:t xml:space="preserve">, </w:t>
      </w:r>
      <w:r w:rsidR="00391E3C" w:rsidRPr="009F337B">
        <w:rPr>
          <w:szCs w:val="20"/>
          <w:lang w:val="en-US"/>
        </w:rPr>
        <w:t xml:space="preserve">shall </w:t>
      </w:r>
      <w:r w:rsidRPr="009F337B">
        <w:rPr>
          <w:szCs w:val="20"/>
          <w:lang w:val="en-US"/>
        </w:rPr>
        <w:t>organize a public act to acknowledge international responsibility, and</w:t>
      </w:r>
      <w:r w:rsidR="00391E3C" w:rsidRPr="009F337B">
        <w:rPr>
          <w:szCs w:val="20"/>
          <w:lang w:val="en-US"/>
        </w:rPr>
        <w:t xml:space="preserve"> shall</w:t>
      </w:r>
      <w:r w:rsidRPr="009F337B">
        <w:rPr>
          <w:szCs w:val="20"/>
          <w:lang w:val="en-US"/>
        </w:rPr>
        <w:t xml:space="preserve"> grant the scholarships, </w:t>
      </w:r>
      <w:r w:rsidR="002E1159" w:rsidRPr="009F337B">
        <w:rPr>
          <w:szCs w:val="20"/>
          <w:lang w:val="en-US"/>
        </w:rPr>
        <w:t>in the terms of paragraph</w:t>
      </w:r>
      <w:r w:rsidR="00E54D1F" w:rsidRPr="009F337B">
        <w:rPr>
          <w:szCs w:val="20"/>
          <w:lang w:val="en-US"/>
        </w:rPr>
        <w:t xml:space="preserve">s </w:t>
      </w:r>
      <w:r w:rsidR="00390BAC" w:rsidRPr="009F337B">
        <w:rPr>
          <w:szCs w:val="20"/>
          <w:lang w:val="en-US"/>
        </w:rPr>
        <w:t>215</w:t>
      </w:r>
      <w:r w:rsidR="003C46A3" w:rsidRPr="009F337B">
        <w:rPr>
          <w:szCs w:val="20"/>
          <w:lang w:val="en-US"/>
        </w:rPr>
        <w:t xml:space="preserve"> and </w:t>
      </w:r>
      <w:r w:rsidR="00390BAC" w:rsidRPr="009F337B">
        <w:rPr>
          <w:szCs w:val="20"/>
          <w:lang w:val="en-US"/>
        </w:rPr>
        <w:t>220</w:t>
      </w:r>
      <w:r w:rsidR="00E54D1F" w:rsidRPr="009F337B">
        <w:rPr>
          <w:szCs w:val="20"/>
          <w:lang w:val="en-US"/>
        </w:rPr>
        <w:t xml:space="preserve"> </w:t>
      </w:r>
      <w:r w:rsidR="004F3C01" w:rsidRPr="009F337B">
        <w:rPr>
          <w:szCs w:val="20"/>
          <w:lang w:val="en-US"/>
        </w:rPr>
        <w:t>of this judgement</w:t>
      </w:r>
      <w:r w:rsidR="0060553A" w:rsidRPr="009F337B">
        <w:rPr>
          <w:szCs w:val="20"/>
          <w:lang w:val="en-US"/>
        </w:rPr>
        <w:t>.</w:t>
      </w:r>
    </w:p>
    <w:p w14:paraId="28110964" w14:textId="77777777" w:rsidR="0060553A" w:rsidRPr="009F337B" w:rsidRDefault="0060553A" w:rsidP="0060553A">
      <w:pPr>
        <w:pStyle w:val="Prrafodelista"/>
        <w:widowControl w:val="0"/>
        <w:tabs>
          <w:tab w:val="center" w:pos="567"/>
        </w:tabs>
        <w:autoSpaceDE w:val="0"/>
        <w:autoSpaceDN w:val="0"/>
        <w:adjustRightInd w:val="0"/>
        <w:ind w:left="0" w:right="-90"/>
        <w:rPr>
          <w:szCs w:val="20"/>
          <w:lang w:val="en-US"/>
        </w:rPr>
      </w:pPr>
    </w:p>
    <w:p w14:paraId="30A20C55" w14:textId="59D81AD6" w:rsidR="0060553A" w:rsidRPr="009F337B" w:rsidRDefault="00BC2078" w:rsidP="00593E37">
      <w:pPr>
        <w:pStyle w:val="Prrafodelista"/>
        <w:widowControl w:val="0"/>
        <w:numPr>
          <w:ilvl w:val="0"/>
          <w:numId w:val="6"/>
        </w:numPr>
        <w:tabs>
          <w:tab w:val="center" w:pos="567"/>
        </w:tabs>
        <w:autoSpaceDE w:val="0"/>
        <w:autoSpaceDN w:val="0"/>
        <w:adjustRightInd w:val="0"/>
        <w:ind w:left="0" w:right="-90" w:hanging="11"/>
        <w:rPr>
          <w:szCs w:val="20"/>
          <w:lang w:val="en-US"/>
        </w:rPr>
      </w:pPr>
      <w:r w:rsidRPr="009F337B">
        <w:rPr>
          <w:szCs w:val="20"/>
          <w:lang w:val="en-US"/>
        </w:rPr>
        <w:t>The State shall provide immediately, through its health care institutions, free psychological and medical care to the victims</w:t>
      </w:r>
      <w:r w:rsidR="003C46A3" w:rsidRPr="009F337B">
        <w:rPr>
          <w:szCs w:val="20"/>
          <w:lang w:val="en-US"/>
        </w:rPr>
        <w:t xml:space="preserve"> and </w:t>
      </w:r>
      <w:r w:rsidR="00BB0DF2" w:rsidRPr="009F337B">
        <w:rPr>
          <w:szCs w:val="20"/>
          <w:lang w:val="en-US"/>
        </w:rPr>
        <w:t>their next of kin</w:t>
      </w:r>
      <w:r w:rsidR="0060553A" w:rsidRPr="009F337B">
        <w:rPr>
          <w:szCs w:val="20"/>
          <w:lang w:val="en-US"/>
        </w:rPr>
        <w:t xml:space="preserve">, </w:t>
      </w:r>
      <w:r w:rsidRPr="009F337B">
        <w:rPr>
          <w:szCs w:val="20"/>
          <w:lang w:val="en-US"/>
        </w:rPr>
        <w:t xml:space="preserve">in the manner and within the time frame established in </w:t>
      </w:r>
      <w:r w:rsidR="00390BAC" w:rsidRPr="009F337B">
        <w:rPr>
          <w:szCs w:val="20"/>
          <w:lang w:val="en-US"/>
        </w:rPr>
        <w:t>210, 212</w:t>
      </w:r>
      <w:r w:rsidR="003C46A3" w:rsidRPr="009F337B">
        <w:rPr>
          <w:szCs w:val="20"/>
          <w:lang w:val="en-US"/>
        </w:rPr>
        <w:t xml:space="preserve"> and </w:t>
      </w:r>
      <w:r w:rsidR="00390BAC" w:rsidRPr="009F337B">
        <w:rPr>
          <w:szCs w:val="20"/>
          <w:lang w:val="en-US"/>
        </w:rPr>
        <w:t>213</w:t>
      </w:r>
      <w:r w:rsidR="00ED7892" w:rsidRPr="009F337B">
        <w:rPr>
          <w:szCs w:val="20"/>
          <w:lang w:val="en-US"/>
        </w:rPr>
        <w:t xml:space="preserve"> </w:t>
      </w:r>
      <w:r w:rsidR="004F3C01" w:rsidRPr="009F337B">
        <w:rPr>
          <w:szCs w:val="20"/>
          <w:lang w:val="en-US"/>
        </w:rPr>
        <w:t>of this judgement</w:t>
      </w:r>
      <w:r w:rsidR="0060553A" w:rsidRPr="009F337B">
        <w:rPr>
          <w:szCs w:val="20"/>
          <w:lang w:val="en-US"/>
        </w:rPr>
        <w:t>.</w:t>
      </w:r>
    </w:p>
    <w:p w14:paraId="14EC5685" w14:textId="77777777" w:rsidR="00E06B74" w:rsidRPr="009F337B" w:rsidRDefault="00E06B74" w:rsidP="00E06B74">
      <w:pPr>
        <w:pStyle w:val="Prrafodelista"/>
        <w:rPr>
          <w:szCs w:val="20"/>
          <w:lang w:val="en-US"/>
        </w:rPr>
      </w:pPr>
    </w:p>
    <w:p w14:paraId="406B524E" w14:textId="0AC3B579" w:rsidR="00E06B74" w:rsidRPr="009F337B" w:rsidRDefault="00BC2078" w:rsidP="00593E37">
      <w:pPr>
        <w:pStyle w:val="Prrafodelista"/>
        <w:widowControl w:val="0"/>
        <w:numPr>
          <w:ilvl w:val="0"/>
          <w:numId w:val="6"/>
        </w:numPr>
        <w:tabs>
          <w:tab w:val="center" w:pos="567"/>
        </w:tabs>
        <w:autoSpaceDE w:val="0"/>
        <w:autoSpaceDN w:val="0"/>
        <w:adjustRightInd w:val="0"/>
        <w:ind w:left="0" w:right="-90" w:hanging="11"/>
        <w:rPr>
          <w:szCs w:val="20"/>
          <w:lang w:val="en-US"/>
        </w:rPr>
      </w:pPr>
      <w:r w:rsidRPr="009F337B">
        <w:rPr>
          <w:szCs w:val="20"/>
          <w:lang w:val="en-US"/>
        </w:rPr>
        <w:t xml:space="preserve">The State shall guarantee, through its health care institutions, that the medical care is provided in the clinic nearest to the victims’ place of residence, and assume the </w:t>
      </w:r>
      <w:r w:rsidR="00391E3C" w:rsidRPr="009F337B">
        <w:rPr>
          <w:szCs w:val="20"/>
          <w:lang w:val="en-US"/>
        </w:rPr>
        <w:t xml:space="preserve">travel </w:t>
      </w:r>
      <w:r w:rsidRPr="009F337B">
        <w:rPr>
          <w:szCs w:val="20"/>
          <w:lang w:val="en-US"/>
        </w:rPr>
        <w:t>costs of those who live far from the clinic</w:t>
      </w:r>
      <w:r w:rsidR="00E06B74" w:rsidRPr="009F337B">
        <w:rPr>
          <w:szCs w:val="20"/>
          <w:lang w:val="en-US"/>
        </w:rPr>
        <w:t xml:space="preserve">, </w:t>
      </w:r>
      <w:r w:rsidR="002E1159" w:rsidRPr="009F337B">
        <w:rPr>
          <w:szCs w:val="20"/>
          <w:lang w:val="en-US"/>
        </w:rPr>
        <w:t>in the terms of paragraph</w:t>
      </w:r>
      <w:r w:rsidR="003C01EF" w:rsidRPr="009F337B">
        <w:rPr>
          <w:szCs w:val="20"/>
          <w:lang w:val="en-US"/>
        </w:rPr>
        <w:t xml:space="preserve"> </w:t>
      </w:r>
      <w:r w:rsidR="00390BAC" w:rsidRPr="009F337B">
        <w:rPr>
          <w:szCs w:val="20"/>
          <w:lang w:val="en-US"/>
        </w:rPr>
        <w:t>211</w:t>
      </w:r>
      <w:r w:rsidR="00E06B74" w:rsidRPr="009F337B">
        <w:rPr>
          <w:szCs w:val="20"/>
          <w:lang w:val="en-US"/>
        </w:rPr>
        <w:t xml:space="preserve"> </w:t>
      </w:r>
      <w:r w:rsidR="004F3C01" w:rsidRPr="009F337B">
        <w:rPr>
          <w:szCs w:val="20"/>
          <w:lang w:val="en-US"/>
        </w:rPr>
        <w:t>of this judgement</w:t>
      </w:r>
      <w:r w:rsidR="00E06B74" w:rsidRPr="009F337B">
        <w:rPr>
          <w:szCs w:val="20"/>
          <w:lang w:val="en-US"/>
        </w:rPr>
        <w:t>.</w:t>
      </w:r>
    </w:p>
    <w:p w14:paraId="0697461D" w14:textId="77777777" w:rsidR="007F1930" w:rsidRPr="009F337B" w:rsidRDefault="007F1930" w:rsidP="007F1930">
      <w:pPr>
        <w:pStyle w:val="Prrafodelista"/>
        <w:rPr>
          <w:szCs w:val="20"/>
          <w:lang w:val="en-US"/>
        </w:rPr>
      </w:pPr>
    </w:p>
    <w:p w14:paraId="4A8A6C15" w14:textId="50740A70" w:rsidR="007F1930" w:rsidRPr="009F337B" w:rsidRDefault="00BC2078" w:rsidP="00593E37">
      <w:pPr>
        <w:pStyle w:val="Prrafodelista"/>
        <w:widowControl w:val="0"/>
        <w:numPr>
          <w:ilvl w:val="0"/>
          <w:numId w:val="6"/>
        </w:numPr>
        <w:tabs>
          <w:tab w:val="center" w:pos="567"/>
        </w:tabs>
        <w:autoSpaceDE w:val="0"/>
        <w:autoSpaceDN w:val="0"/>
        <w:adjustRightInd w:val="0"/>
        <w:ind w:left="0" w:right="-90" w:hanging="11"/>
        <w:rPr>
          <w:szCs w:val="20"/>
          <w:lang w:val="en-US"/>
        </w:rPr>
      </w:pPr>
      <w:bookmarkStart w:id="145" w:name="_Hlk6034681"/>
      <w:r w:rsidRPr="009F337B">
        <w:rPr>
          <w:szCs w:val="20"/>
          <w:lang w:val="en-US"/>
        </w:rPr>
        <w:t xml:space="preserve">The State shall implement mechanisms </w:t>
      </w:r>
      <w:r w:rsidR="00391E3C" w:rsidRPr="009F337B">
        <w:rPr>
          <w:szCs w:val="20"/>
          <w:lang w:val="en-US"/>
        </w:rPr>
        <w:t>to</w:t>
      </w:r>
      <w:r w:rsidRPr="009F337B">
        <w:rPr>
          <w:szCs w:val="20"/>
          <w:lang w:val="en-US"/>
        </w:rPr>
        <w:t xml:space="preserve"> supervis</w:t>
      </w:r>
      <w:r w:rsidR="00391E3C" w:rsidRPr="009F337B">
        <w:rPr>
          <w:szCs w:val="20"/>
          <w:lang w:val="en-US"/>
        </w:rPr>
        <w:t>e</w:t>
      </w:r>
      <w:r w:rsidRPr="009F337B">
        <w:rPr>
          <w:szCs w:val="20"/>
          <w:lang w:val="en-US"/>
        </w:rPr>
        <w:t xml:space="preserve"> and monitor health care services, improve the accessibility, availability and quality of health care services for </w:t>
      </w:r>
      <w:r w:rsidR="00080A1E" w:rsidRPr="009F337B">
        <w:rPr>
          <w:szCs w:val="20"/>
          <w:lang w:val="en-US"/>
        </w:rPr>
        <w:t>people living with HIV</w:t>
      </w:r>
      <w:r w:rsidR="002039C4" w:rsidRPr="009F337B">
        <w:rPr>
          <w:szCs w:val="20"/>
          <w:lang w:val="en-US"/>
        </w:rPr>
        <w:t xml:space="preserve">, </w:t>
      </w:r>
      <w:r w:rsidRPr="009F337B">
        <w:rPr>
          <w:szCs w:val="20"/>
          <w:lang w:val="en-US"/>
        </w:rPr>
        <w:t xml:space="preserve">guarantee the provision of </w:t>
      </w:r>
      <w:r w:rsidR="00AC2165" w:rsidRPr="009F337B">
        <w:rPr>
          <w:szCs w:val="20"/>
          <w:lang w:val="en-US"/>
        </w:rPr>
        <w:t>antiretroviral drugs</w:t>
      </w:r>
      <w:r w:rsidR="003C46A3" w:rsidRPr="009F337B">
        <w:rPr>
          <w:szCs w:val="20"/>
          <w:lang w:val="en-US"/>
        </w:rPr>
        <w:t xml:space="preserve"> and</w:t>
      </w:r>
      <w:r w:rsidRPr="009F337B">
        <w:rPr>
          <w:szCs w:val="20"/>
          <w:lang w:val="en-US"/>
        </w:rPr>
        <w:t xml:space="preserve"> any other medication required by all those affected, offer the population HIV diagnostic tests, implement a training program for health system officials, guarantee adequate medical care for pregnant women living with HIV, and organize a national awareness-raising campaign, </w:t>
      </w:r>
      <w:bookmarkStart w:id="146" w:name="_Hlk6034834"/>
      <w:bookmarkEnd w:id="145"/>
      <w:r w:rsidR="002E1159" w:rsidRPr="009F337B">
        <w:rPr>
          <w:szCs w:val="20"/>
          <w:lang w:val="en-US"/>
        </w:rPr>
        <w:t>in the terms of paragraph</w:t>
      </w:r>
      <w:r w:rsidR="002039C4" w:rsidRPr="009F337B">
        <w:rPr>
          <w:szCs w:val="20"/>
          <w:lang w:val="en-US"/>
        </w:rPr>
        <w:t xml:space="preserve">s </w:t>
      </w:r>
      <w:r w:rsidR="00390BAC" w:rsidRPr="009F337B">
        <w:rPr>
          <w:szCs w:val="20"/>
          <w:lang w:val="en-US"/>
        </w:rPr>
        <w:t>225</w:t>
      </w:r>
      <w:r w:rsidR="002039C4" w:rsidRPr="009F337B">
        <w:rPr>
          <w:szCs w:val="20"/>
          <w:lang w:val="en-US"/>
        </w:rPr>
        <w:t xml:space="preserve"> </w:t>
      </w:r>
      <w:r w:rsidRPr="009F337B">
        <w:rPr>
          <w:szCs w:val="20"/>
          <w:lang w:val="en-US"/>
        </w:rPr>
        <w:t>to</w:t>
      </w:r>
      <w:r w:rsidR="002039C4" w:rsidRPr="009F337B">
        <w:rPr>
          <w:szCs w:val="20"/>
          <w:lang w:val="en-US"/>
        </w:rPr>
        <w:t xml:space="preserve"> </w:t>
      </w:r>
      <w:r w:rsidR="00390BAC" w:rsidRPr="009F337B">
        <w:rPr>
          <w:szCs w:val="20"/>
          <w:lang w:val="en-US"/>
        </w:rPr>
        <w:t>230</w:t>
      </w:r>
      <w:r w:rsidR="005E0561" w:rsidRPr="009F337B">
        <w:rPr>
          <w:szCs w:val="20"/>
          <w:lang w:val="en-US"/>
        </w:rPr>
        <w:t xml:space="preserve"> </w:t>
      </w:r>
      <w:r w:rsidRPr="009F337B">
        <w:rPr>
          <w:szCs w:val="20"/>
          <w:lang w:val="en-US"/>
        </w:rPr>
        <w:t>of this judgment.</w:t>
      </w:r>
      <w:bookmarkEnd w:id="146"/>
    </w:p>
    <w:p w14:paraId="53BFEBE6" w14:textId="77777777" w:rsidR="0060553A" w:rsidRPr="009F337B" w:rsidRDefault="0060553A" w:rsidP="0060553A">
      <w:pPr>
        <w:pStyle w:val="Prrafodelista"/>
        <w:widowControl w:val="0"/>
        <w:tabs>
          <w:tab w:val="center" w:pos="567"/>
        </w:tabs>
        <w:autoSpaceDE w:val="0"/>
        <w:autoSpaceDN w:val="0"/>
        <w:adjustRightInd w:val="0"/>
        <w:ind w:left="0" w:right="-90"/>
        <w:rPr>
          <w:szCs w:val="20"/>
          <w:lang w:val="en-US"/>
        </w:rPr>
      </w:pPr>
    </w:p>
    <w:p w14:paraId="791F4111" w14:textId="028E9437" w:rsidR="0060553A" w:rsidRPr="009F337B" w:rsidRDefault="00BC2078" w:rsidP="00593E37">
      <w:pPr>
        <w:pStyle w:val="Prrafodelista"/>
        <w:widowControl w:val="0"/>
        <w:numPr>
          <w:ilvl w:val="0"/>
          <w:numId w:val="6"/>
        </w:numPr>
        <w:tabs>
          <w:tab w:val="center" w:pos="567"/>
        </w:tabs>
        <w:autoSpaceDE w:val="0"/>
        <w:autoSpaceDN w:val="0"/>
        <w:adjustRightInd w:val="0"/>
        <w:ind w:left="0" w:right="-90" w:hanging="11"/>
        <w:rPr>
          <w:szCs w:val="20"/>
          <w:lang w:val="en-US"/>
        </w:rPr>
      </w:pPr>
      <w:r w:rsidRPr="009F337B">
        <w:rPr>
          <w:szCs w:val="20"/>
          <w:lang w:val="en-US"/>
        </w:rPr>
        <w:t xml:space="preserve">The State shall pay the amounts established in </w:t>
      </w:r>
      <w:r w:rsidR="00C60B17" w:rsidRPr="009F337B">
        <w:rPr>
          <w:szCs w:val="20"/>
          <w:lang w:val="en-US"/>
        </w:rPr>
        <w:t>paragraph</w:t>
      </w:r>
      <w:r w:rsidR="0060553A" w:rsidRPr="009F337B">
        <w:rPr>
          <w:szCs w:val="20"/>
          <w:lang w:val="en-US"/>
        </w:rPr>
        <w:t>s</w:t>
      </w:r>
      <w:r w:rsidR="002039C4" w:rsidRPr="009F337B">
        <w:rPr>
          <w:szCs w:val="20"/>
          <w:lang w:val="en-US"/>
        </w:rPr>
        <w:t xml:space="preserve"> </w:t>
      </w:r>
      <w:r w:rsidR="003772E2" w:rsidRPr="009F337B">
        <w:rPr>
          <w:szCs w:val="20"/>
          <w:lang w:val="en-US"/>
        </w:rPr>
        <w:t>234</w:t>
      </w:r>
      <w:r w:rsidR="005E0561" w:rsidRPr="009F337B">
        <w:rPr>
          <w:szCs w:val="20"/>
          <w:lang w:val="en-US"/>
        </w:rPr>
        <w:t>,</w:t>
      </w:r>
      <w:r w:rsidR="002039C4" w:rsidRPr="009F337B">
        <w:rPr>
          <w:szCs w:val="20"/>
          <w:lang w:val="en-US"/>
        </w:rPr>
        <w:t xml:space="preserve"> </w:t>
      </w:r>
      <w:r w:rsidR="003772E2" w:rsidRPr="009F337B">
        <w:rPr>
          <w:szCs w:val="20"/>
          <w:lang w:val="en-US"/>
        </w:rPr>
        <w:t>239</w:t>
      </w:r>
      <w:r w:rsidR="003C46A3" w:rsidRPr="009F337B">
        <w:rPr>
          <w:szCs w:val="20"/>
          <w:lang w:val="en-US"/>
        </w:rPr>
        <w:t xml:space="preserve"> and </w:t>
      </w:r>
      <w:r w:rsidR="003772E2" w:rsidRPr="009F337B">
        <w:rPr>
          <w:szCs w:val="20"/>
          <w:lang w:val="en-US"/>
        </w:rPr>
        <w:t>243</w:t>
      </w:r>
      <w:r w:rsidR="0060553A" w:rsidRPr="009F337B">
        <w:rPr>
          <w:szCs w:val="20"/>
          <w:lang w:val="en-US"/>
        </w:rPr>
        <w:t xml:space="preserve"> </w:t>
      </w:r>
      <w:r w:rsidR="004F3C01" w:rsidRPr="009F337B">
        <w:rPr>
          <w:szCs w:val="20"/>
          <w:lang w:val="en-US"/>
        </w:rPr>
        <w:t>of this judgement</w:t>
      </w:r>
      <w:r w:rsidR="0060553A" w:rsidRPr="009F337B">
        <w:rPr>
          <w:szCs w:val="20"/>
          <w:lang w:val="en-US"/>
        </w:rPr>
        <w:t xml:space="preserve">, </w:t>
      </w:r>
      <w:r w:rsidRPr="009F337B">
        <w:rPr>
          <w:szCs w:val="20"/>
          <w:lang w:val="en-US"/>
        </w:rPr>
        <w:t>as compensation for</w:t>
      </w:r>
      <w:r w:rsidR="0060553A" w:rsidRPr="009F337B">
        <w:rPr>
          <w:szCs w:val="20"/>
          <w:lang w:val="en-US"/>
        </w:rPr>
        <w:t xml:space="preserve"> </w:t>
      </w:r>
      <w:r w:rsidRPr="009F337B">
        <w:rPr>
          <w:szCs w:val="20"/>
          <w:lang w:val="en-US"/>
        </w:rPr>
        <w:t>p</w:t>
      </w:r>
      <w:r w:rsidR="004F3C01" w:rsidRPr="009F337B">
        <w:rPr>
          <w:szCs w:val="20"/>
          <w:lang w:val="en-US"/>
        </w:rPr>
        <w:t xml:space="preserve">ecuniary </w:t>
      </w:r>
      <w:r w:rsidRPr="009F337B">
        <w:rPr>
          <w:szCs w:val="20"/>
          <w:lang w:val="en-US"/>
        </w:rPr>
        <w:t xml:space="preserve">and non-pecuniary </w:t>
      </w:r>
      <w:r w:rsidR="004F3C01" w:rsidRPr="009F337B">
        <w:rPr>
          <w:szCs w:val="20"/>
          <w:lang w:val="en-US"/>
        </w:rPr>
        <w:t>damage</w:t>
      </w:r>
      <w:r w:rsidR="0060553A" w:rsidRPr="009F337B">
        <w:rPr>
          <w:szCs w:val="20"/>
          <w:lang w:val="en-US"/>
        </w:rPr>
        <w:t xml:space="preserve"> </w:t>
      </w:r>
      <w:r w:rsidRPr="009F337B">
        <w:rPr>
          <w:szCs w:val="20"/>
          <w:lang w:val="en-US"/>
        </w:rPr>
        <w:t xml:space="preserve">and to reimburse </w:t>
      </w:r>
      <w:r w:rsidR="002F541D" w:rsidRPr="009F337B">
        <w:rPr>
          <w:szCs w:val="20"/>
          <w:lang w:val="en-US"/>
        </w:rPr>
        <w:t>costs and expenses</w:t>
      </w:r>
      <w:r w:rsidR="0060553A" w:rsidRPr="009F337B">
        <w:rPr>
          <w:szCs w:val="20"/>
          <w:lang w:val="en-US"/>
        </w:rPr>
        <w:t>.</w:t>
      </w:r>
    </w:p>
    <w:p w14:paraId="3F103225" w14:textId="77777777" w:rsidR="0060553A" w:rsidRPr="009F337B" w:rsidRDefault="0060553A" w:rsidP="0060553A">
      <w:pPr>
        <w:pStyle w:val="Prrafodelista"/>
        <w:widowControl w:val="0"/>
        <w:tabs>
          <w:tab w:val="center" w:pos="567"/>
        </w:tabs>
        <w:autoSpaceDE w:val="0"/>
        <w:autoSpaceDN w:val="0"/>
        <w:adjustRightInd w:val="0"/>
        <w:ind w:left="0" w:right="-90"/>
        <w:rPr>
          <w:szCs w:val="20"/>
          <w:lang w:val="en-US"/>
        </w:rPr>
      </w:pPr>
    </w:p>
    <w:p w14:paraId="6B6090C7" w14:textId="12FA94F0" w:rsidR="0060553A" w:rsidRPr="009F337B" w:rsidRDefault="00BC2078" w:rsidP="00593E37">
      <w:pPr>
        <w:pStyle w:val="Prrafodelista"/>
        <w:widowControl w:val="0"/>
        <w:numPr>
          <w:ilvl w:val="0"/>
          <w:numId w:val="6"/>
        </w:numPr>
        <w:tabs>
          <w:tab w:val="center" w:pos="567"/>
        </w:tabs>
        <w:autoSpaceDE w:val="0"/>
        <w:autoSpaceDN w:val="0"/>
        <w:adjustRightInd w:val="0"/>
        <w:ind w:left="0" w:right="-90" w:hanging="11"/>
        <w:rPr>
          <w:szCs w:val="20"/>
          <w:lang w:val="en-US"/>
        </w:rPr>
      </w:pPr>
      <w:r w:rsidRPr="009F337B">
        <w:rPr>
          <w:szCs w:val="20"/>
          <w:lang w:val="en-US"/>
        </w:rPr>
        <w:t>The State shall reimburse</w:t>
      </w:r>
      <w:r w:rsidR="0060553A" w:rsidRPr="009F337B">
        <w:rPr>
          <w:szCs w:val="20"/>
          <w:lang w:val="en-US"/>
        </w:rPr>
        <w:t xml:space="preserve"> </w:t>
      </w:r>
      <w:r w:rsidRPr="009F337B">
        <w:rPr>
          <w:szCs w:val="20"/>
          <w:lang w:val="en-US"/>
        </w:rPr>
        <w:t xml:space="preserve">the </w:t>
      </w:r>
      <w:r w:rsidR="007327F5" w:rsidRPr="009F337B">
        <w:rPr>
          <w:szCs w:val="20"/>
          <w:lang w:val="en-US"/>
        </w:rPr>
        <w:t>Victims’ Legal Assistance Fund</w:t>
      </w:r>
      <w:r w:rsidR="00AE5F9E" w:rsidRPr="009F337B">
        <w:rPr>
          <w:szCs w:val="20"/>
          <w:lang w:val="en-US"/>
        </w:rPr>
        <w:t xml:space="preserve"> of the Inter-American Court of Human Rights</w:t>
      </w:r>
      <w:r w:rsidRPr="009F337B">
        <w:rPr>
          <w:szCs w:val="20"/>
          <w:lang w:val="en-US"/>
        </w:rPr>
        <w:t xml:space="preserve"> </w:t>
      </w:r>
      <w:r w:rsidR="00C6034E" w:rsidRPr="009F337B">
        <w:rPr>
          <w:szCs w:val="20"/>
          <w:lang w:val="en-US"/>
        </w:rPr>
        <w:t xml:space="preserve">for </w:t>
      </w:r>
      <w:r w:rsidRPr="009F337B">
        <w:rPr>
          <w:szCs w:val="20"/>
          <w:lang w:val="en-US"/>
        </w:rPr>
        <w:t xml:space="preserve">the amount disbursed during the processing of this case, in the terms of </w:t>
      </w:r>
      <w:r w:rsidR="00C60B17" w:rsidRPr="009F337B">
        <w:rPr>
          <w:szCs w:val="20"/>
          <w:lang w:val="en-US"/>
        </w:rPr>
        <w:t>paragraph</w:t>
      </w:r>
      <w:r w:rsidR="0060553A" w:rsidRPr="009F337B">
        <w:rPr>
          <w:szCs w:val="20"/>
          <w:lang w:val="en-US"/>
        </w:rPr>
        <w:t xml:space="preserve"> </w:t>
      </w:r>
      <w:r w:rsidR="003772E2" w:rsidRPr="009F337B">
        <w:rPr>
          <w:szCs w:val="20"/>
          <w:lang w:val="en-US"/>
        </w:rPr>
        <w:t>245</w:t>
      </w:r>
      <w:r w:rsidR="0060553A" w:rsidRPr="009F337B">
        <w:rPr>
          <w:szCs w:val="20"/>
          <w:lang w:val="en-US"/>
        </w:rPr>
        <w:t xml:space="preserve"> </w:t>
      </w:r>
      <w:r w:rsidR="00E92196" w:rsidRPr="009F337B">
        <w:rPr>
          <w:szCs w:val="20"/>
          <w:lang w:val="en-US"/>
        </w:rPr>
        <w:t>of this judgment</w:t>
      </w:r>
      <w:r w:rsidR="0060553A" w:rsidRPr="009F337B">
        <w:rPr>
          <w:szCs w:val="20"/>
          <w:lang w:val="en-US"/>
        </w:rPr>
        <w:t>.</w:t>
      </w:r>
    </w:p>
    <w:p w14:paraId="729F0C3D" w14:textId="77777777" w:rsidR="0060553A" w:rsidRPr="009F337B" w:rsidRDefault="0060553A" w:rsidP="0060553A">
      <w:pPr>
        <w:pStyle w:val="Prrafodelista"/>
        <w:widowControl w:val="0"/>
        <w:tabs>
          <w:tab w:val="center" w:pos="567"/>
        </w:tabs>
        <w:autoSpaceDE w:val="0"/>
        <w:autoSpaceDN w:val="0"/>
        <w:adjustRightInd w:val="0"/>
        <w:ind w:left="0" w:right="-90"/>
        <w:rPr>
          <w:szCs w:val="20"/>
          <w:lang w:val="en-US"/>
        </w:rPr>
      </w:pPr>
    </w:p>
    <w:p w14:paraId="5AA57A38" w14:textId="1546D8AD" w:rsidR="0060553A" w:rsidRPr="009F337B" w:rsidRDefault="00BC2078" w:rsidP="00593E37">
      <w:pPr>
        <w:pStyle w:val="Prrafodelista"/>
        <w:widowControl w:val="0"/>
        <w:numPr>
          <w:ilvl w:val="0"/>
          <w:numId w:val="6"/>
        </w:numPr>
        <w:tabs>
          <w:tab w:val="center" w:pos="567"/>
        </w:tabs>
        <w:autoSpaceDE w:val="0"/>
        <w:autoSpaceDN w:val="0"/>
        <w:adjustRightInd w:val="0"/>
        <w:ind w:left="0" w:right="-90" w:hanging="11"/>
        <w:rPr>
          <w:szCs w:val="20"/>
          <w:lang w:val="en-US"/>
        </w:rPr>
      </w:pPr>
      <w:r w:rsidRPr="009F337B">
        <w:rPr>
          <w:szCs w:val="20"/>
          <w:lang w:val="en-US"/>
        </w:rPr>
        <w:t xml:space="preserve">The State shall, within one year of notification </w:t>
      </w:r>
      <w:r w:rsidR="00E92196" w:rsidRPr="009F337B">
        <w:rPr>
          <w:szCs w:val="20"/>
          <w:lang w:val="en-US"/>
        </w:rPr>
        <w:t>of this judgment</w:t>
      </w:r>
      <w:r w:rsidR="0060553A" w:rsidRPr="009F337B">
        <w:rPr>
          <w:szCs w:val="20"/>
          <w:lang w:val="en-US"/>
        </w:rPr>
        <w:t xml:space="preserve">, </w:t>
      </w:r>
      <w:r w:rsidRPr="009F337B">
        <w:rPr>
          <w:szCs w:val="20"/>
          <w:lang w:val="en-US"/>
        </w:rPr>
        <w:t>provide the Court with a report on the measures adopted to comply with it.</w:t>
      </w:r>
    </w:p>
    <w:p w14:paraId="194E8C24" w14:textId="77777777" w:rsidR="0060553A" w:rsidRPr="009F337B" w:rsidRDefault="0060553A" w:rsidP="0060553A">
      <w:pPr>
        <w:pStyle w:val="Prrafodelista"/>
        <w:widowControl w:val="0"/>
        <w:tabs>
          <w:tab w:val="center" w:pos="567"/>
        </w:tabs>
        <w:autoSpaceDE w:val="0"/>
        <w:autoSpaceDN w:val="0"/>
        <w:adjustRightInd w:val="0"/>
        <w:ind w:left="0" w:right="-90"/>
        <w:rPr>
          <w:szCs w:val="20"/>
          <w:lang w:val="en-US"/>
        </w:rPr>
      </w:pPr>
    </w:p>
    <w:p w14:paraId="7562F3BA" w14:textId="25780255" w:rsidR="0060553A" w:rsidRPr="009F337B" w:rsidRDefault="00AE5F9E" w:rsidP="00593E37">
      <w:pPr>
        <w:pStyle w:val="Prrafodelista"/>
        <w:widowControl w:val="0"/>
        <w:numPr>
          <w:ilvl w:val="0"/>
          <w:numId w:val="6"/>
        </w:numPr>
        <w:tabs>
          <w:tab w:val="center" w:pos="567"/>
        </w:tabs>
        <w:autoSpaceDE w:val="0"/>
        <w:autoSpaceDN w:val="0"/>
        <w:adjustRightInd w:val="0"/>
        <w:ind w:left="0" w:right="-90" w:hanging="11"/>
        <w:rPr>
          <w:szCs w:val="20"/>
          <w:lang w:val="en-US"/>
        </w:rPr>
      </w:pPr>
      <w:r w:rsidRPr="009F337B">
        <w:rPr>
          <w:szCs w:val="20"/>
          <w:lang w:val="en-US"/>
        </w:rPr>
        <w:t>The Court</w:t>
      </w:r>
      <w:r w:rsidR="0060553A" w:rsidRPr="009F337B">
        <w:rPr>
          <w:szCs w:val="20"/>
          <w:lang w:val="en-US"/>
        </w:rPr>
        <w:t xml:space="preserve"> </w:t>
      </w:r>
      <w:r w:rsidR="00BC2078" w:rsidRPr="009F337B">
        <w:rPr>
          <w:szCs w:val="20"/>
          <w:lang w:val="en-US"/>
        </w:rPr>
        <w:t xml:space="preserve">will monitor full compliance with </w:t>
      </w:r>
      <w:r w:rsidR="00E92196" w:rsidRPr="009F337B">
        <w:rPr>
          <w:szCs w:val="20"/>
          <w:lang w:val="en-US"/>
        </w:rPr>
        <w:t>this judgment</w:t>
      </w:r>
      <w:r w:rsidR="0060553A" w:rsidRPr="009F337B">
        <w:rPr>
          <w:szCs w:val="20"/>
          <w:lang w:val="en-US"/>
        </w:rPr>
        <w:t xml:space="preserve">, </w:t>
      </w:r>
      <w:r w:rsidR="00BC2078" w:rsidRPr="009F337B">
        <w:rPr>
          <w:szCs w:val="20"/>
          <w:lang w:val="en-US"/>
        </w:rPr>
        <w:t xml:space="preserve">in exercise of its authority </w:t>
      </w:r>
      <w:r w:rsidR="00BC2078" w:rsidRPr="009F337B">
        <w:rPr>
          <w:szCs w:val="20"/>
          <w:lang w:val="en-US"/>
        </w:rPr>
        <w:lastRenderedPageBreak/>
        <w:t xml:space="preserve">and in fulfillment of its obligations under </w:t>
      </w:r>
      <w:r w:rsidRPr="009F337B">
        <w:rPr>
          <w:szCs w:val="20"/>
          <w:lang w:val="en-US"/>
        </w:rPr>
        <w:t>the American Convention on Human Rights</w:t>
      </w:r>
      <w:r w:rsidR="0060553A" w:rsidRPr="009F337B">
        <w:rPr>
          <w:szCs w:val="20"/>
          <w:lang w:val="en-US"/>
        </w:rPr>
        <w:t>,</w:t>
      </w:r>
      <w:r w:rsidR="003C46A3" w:rsidRPr="009F337B">
        <w:rPr>
          <w:szCs w:val="20"/>
          <w:lang w:val="en-US"/>
        </w:rPr>
        <w:t xml:space="preserve"> and </w:t>
      </w:r>
      <w:r w:rsidR="00BC2078" w:rsidRPr="009F337B">
        <w:rPr>
          <w:szCs w:val="20"/>
          <w:lang w:val="en-US"/>
        </w:rPr>
        <w:t>will close this case when the State has complied fully with it</w:t>
      </w:r>
      <w:r w:rsidR="001A0A53" w:rsidRPr="009F337B">
        <w:rPr>
          <w:szCs w:val="20"/>
          <w:lang w:val="en-US"/>
        </w:rPr>
        <w:t>.</w:t>
      </w:r>
    </w:p>
    <w:p w14:paraId="702D1EAE" w14:textId="77777777" w:rsidR="0060553A" w:rsidRPr="009F337B" w:rsidRDefault="0060553A" w:rsidP="0060553A">
      <w:pPr>
        <w:rPr>
          <w:lang w:val="en-US"/>
        </w:rPr>
      </w:pPr>
    </w:p>
    <w:p w14:paraId="0DFED9A6" w14:textId="73B65DF8" w:rsidR="0060553A" w:rsidRPr="009F337B" w:rsidRDefault="00AE5F9E" w:rsidP="0060553A">
      <w:pPr>
        <w:rPr>
          <w:lang w:val="en-US"/>
        </w:rPr>
      </w:pPr>
      <w:r w:rsidRPr="009F337B">
        <w:rPr>
          <w:lang w:val="en-US"/>
        </w:rPr>
        <w:t>Judge</w:t>
      </w:r>
      <w:r w:rsidR="00DD38ED" w:rsidRPr="009F337B">
        <w:rPr>
          <w:lang w:val="en-US"/>
        </w:rPr>
        <w:t xml:space="preserve"> Eduardo Ferrer Mac-Gregor Poisot </w:t>
      </w:r>
      <w:r w:rsidR="008D4C6C" w:rsidRPr="009F337B">
        <w:rPr>
          <w:lang w:val="en-US"/>
        </w:rPr>
        <w:t>informed</w:t>
      </w:r>
      <w:r w:rsidR="00DD38ED" w:rsidRPr="009F337B">
        <w:rPr>
          <w:lang w:val="en-US"/>
        </w:rPr>
        <w:t xml:space="preserve"> </w:t>
      </w:r>
      <w:r w:rsidRPr="009F337B">
        <w:rPr>
          <w:lang w:val="en-US"/>
        </w:rPr>
        <w:t>the Court</w:t>
      </w:r>
      <w:r w:rsidR="00DD38ED" w:rsidRPr="009F337B">
        <w:rPr>
          <w:lang w:val="en-US"/>
        </w:rPr>
        <w:t xml:space="preserve"> </w:t>
      </w:r>
      <w:r w:rsidR="008D4C6C" w:rsidRPr="009F337B">
        <w:rPr>
          <w:lang w:val="en-US"/>
        </w:rPr>
        <w:t>of his concurring opining, to which</w:t>
      </w:r>
      <w:r w:rsidR="00DD38ED" w:rsidRPr="009F337B">
        <w:rPr>
          <w:lang w:val="en-US"/>
        </w:rPr>
        <w:t xml:space="preserve"> </w:t>
      </w:r>
      <w:r w:rsidRPr="009F337B">
        <w:rPr>
          <w:lang w:val="en-US"/>
        </w:rPr>
        <w:t>Judge</w:t>
      </w:r>
      <w:r w:rsidR="00DD38ED" w:rsidRPr="009F337B">
        <w:rPr>
          <w:lang w:val="en-US"/>
        </w:rPr>
        <w:t xml:space="preserve"> Elizabeth Odio Benito</w:t>
      </w:r>
      <w:r w:rsidR="003C46A3" w:rsidRPr="009F337B">
        <w:rPr>
          <w:lang w:val="en-US"/>
        </w:rPr>
        <w:t xml:space="preserve"> and </w:t>
      </w:r>
      <w:r w:rsidRPr="009F337B">
        <w:rPr>
          <w:lang w:val="en-US"/>
        </w:rPr>
        <w:t>Judge</w:t>
      </w:r>
      <w:r w:rsidR="00DD38ED" w:rsidRPr="009F337B">
        <w:rPr>
          <w:lang w:val="en-US"/>
        </w:rPr>
        <w:t xml:space="preserve"> Patricio Pazmiño Freire</w:t>
      </w:r>
      <w:r w:rsidR="008D4C6C" w:rsidRPr="009F337B">
        <w:rPr>
          <w:lang w:val="en-US"/>
        </w:rPr>
        <w:t xml:space="preserve"> adhered.</w:t>
      </w:r>
      <w:r w:rsidR="00DD38ED" w:rsidRPr="009F337B">
        <w:rPr>
          <w:lang w:val="en-US"/>
        </w:rPr>
        <w:t xml:space="preserve"> </w:t>
      </w:r>
      <w:r w:rsidRPr="009F337B">
        <w:rPr>
          <w:lang w:val="en-US"/>
        </w:rPr>
        <w:t>Judge</w:t>
      </w:r>
      <w:r w:rsidR="00DD38ED" w:rsidRPr="009F337B">
        <w:rPr>
          <w:lang w:val="en-US"/>
        </w:rPr>
        <w:t xml:space="preserve"> Humberto Antonio Sierra Porto </w:t>
      </w:r>
      <w:r w:rsidR="008D4C6C" w:rsidRPr="009F337B">
        <w:rPr>
          <w:lang w:val="en-US"/>
        </w:rPr>
        <w:t>informed the Court of his partially dissenting opinion.</w:t>
      </w:r>
    </w:p>
    <w:p w14:paraId="04F06018" w14:textId="77777777" w:rsidR="0060553A" w:rsidRPr="009F337B" w:rsidRDefault="0060553A" w:rsidP="0060553A">
      <w:pPr>
        <w:rPr>
          <w:szCs w:val="20"/>
          <w:lang w:val="en-US"/>
        </w:rPr>
      </w:pPr>
    </w:p>
    <w:p w14:paraId="2E798517" w14:textId="77777777" w:rsidR="0060553A" w:rsidRPr="009F337B" w:rsidRDefault="0060553A" w:rsidP="0060553A">
      <w:pPr>
        <w:rPr>
          <w:szCs w:val="20"/>
          <w:lang w:val="en-US"/>
        </w:rPr>
      </w:pPr>
    </w:p>
    <w:p w14:paraId="06F391BC" w14:textId="4B869E62" w:rsidR="0060553A" w:rsidRPr="009F337B" w:rsidRDefault="008D4C6C" w:rsidP="0060553A">
      <w:pPr>
        <w:rPr>
          <w:szCs w:val="20"/>
          <w:lang w:val="en-US"/>
        </w:rPr>
      </w:pPr>
      <w:r w:rsidRPr="009F337B">
        <w:rPr>
          <w:szCs w:val="20"/>
          <w:lang w:val="en-US"/>
        </w:rPr>
        <w:t>Done, at</w:t>
      </w:r>
      <w:r w:rsidR="0060553A" w:rsidRPr="009F337B">
        <w:rPr>
          <w:szCs w:val="20"/>
          <w:lang w:val="en-US"/>
        </w:rPr>
        <w:t xml:space="preserve"> San José, Costa Rica, </w:t>
      </w:r>
      <w:r w:rsidRPr="009F337B">
        <w:rPr>
          <w:szCs w:val="20"/>
          <w:lang w:val="en-US"/>
        </w:rPr>
        <w:t xml:space="preserve">on August 23, 2018, in the Spanish language. </w:t>
      </w:r>
    </w:p>
    <w:p w14:paraId="5385CAC3" w14:textId="77777777" w:rsidR="0060553A" w:rsidRPr="009F337B" w:rsidRDefault="0060553A" w:rsidP="0060553A">
      <w:pPr>
        <w:tabs>
          <w:tab w:val="left" w:pos="709"/>
        </w:tabs>
        <w:spacing w:before="240"/>
        <w:rPr>
          <w:lang w:val="en-US"/>
        </w:rPr>
      </w:pPr>
    </w:p>
    <w:p w14:paraId="600D8A34" w14:textId="77777777" w:rsidR="00C571EC" w:rsidRPr="009F337B" w:rsidRDefault="00C571EC">
      <w:pPr>
        <w:spacing w:after="200" w:line="276" w:lineRule="auto"/>
        <w:jc w:val="left"/>
        <w:rPr>
          <w:lang w:val="en-US"/>
        </w:rPr>
      </w:pPr>
      <w:r w:rsidRPr="009F337B">
        <w:rPr>
          <w:lang w:val="en-US"/>
        </w:rPr>
        <w:br w:type="page"/>
      </w:r>
    </w:p>
    <w:tbl>
      <w:tblPr>
        <w:tblStyle w:val="Tablaconcuadrcula"/>
        <w:tblpPr w:leftFromText="141" w:rightFromText="141" w:vertAnchor="text" w:tblpY="1"/>
        <w:tblOverlap w:val="never"/>
        <w:tblW w:w="0" w:type="auto"/>
        <w:tblLayout w:type="fixed"/>
        <w:tblLook w:val="04A0" w:firstRow="1" w:lastRow="0" w:firstColumn="1" w:lastColumn="0" w:noHBand="0" w:noVBand="1"/>
      </w:tblPr>
      <w:tblGrid>
        <w:gridCol w:w="534"/>
        <w:gridCol w:w="26"/>
        <w:gridCol w:w="2950"/>
        <w:gridCol w:w="567"/>
        <w:gridCol w:w="5211"/>
      </w:tblGrid>
      <w:tr w:rsidR="00C571EC" w:rsidRPr="00310E7A" w14:paraId="6FD03B0B" w14:textId="77777777" w:rsidTr="0010522A">
        <w:trPr>
          <w:trHeight w:val="983"/>
        </w:trPr>
        <w:tc>
          <w:tcPr>
            <w:tcW w:w="9288" w:type="dxa"/>
            <w:gridSpan w:val="5"/>
          </w:tcPr>
          <w:p w14:paraId="65AE6E74" w14:textId="2C6A66D2" w:rsidR="00C571EC" w:rsidRPr="009F337B" w:rsidRDefault="00F658A6" w:rsidP="009369B5">
            <w:pPr>
              <w:pStyle w:val="Ttulo1"/>
              <w:spacing w:after="0"/>
              <w:outlineLvl w:val="0"/>
              <w:rPr>
                <w:lang w:val="en-US"/>
              </w:rPr>
            </w:pPr>
            <w:bookmarkStart w:id="147" w:name="_Toc527466507"/>
            <w:r w:rsidRPr="009F337B">
              <w:rPr>
                <w:lang w:val="en-US"/>
              </w:rPr>
              <w:lastRenderedPageBreak/>
              <w:t>AN</w:t>
            </w:r>
            <w:r w:rsidR="0010522A" w:rsidRPr="009F337B">
              <w:rPr>
                <w:lang w:val="en-US"/>
              </w:rPr>
              <w:t>nex</w:t>
            </w:r>
            <w:r w:rsidRPr="009F337B">
              <w:rPr>
                <w:lang w:val="en-US"/>
              </w:rPr>
              <w:t xml:space="preserve"> 1</w:t>
            </w:r>
            <w:r w:rsidR="00C571EC" w:rsidRPr="009F337B">
              <w:rPr>
                <w:lang w:val="en-US"/>
              </w:rPr>
              <w:t xml:space="preserve">. LIST </w:t>
            </w:r>
            <w:r w:rsidR="0010522A" w:rsidRPr="009F337B">
              <w:rPr>
                <w:lang w:val="en-US"/>
              </w:rPr>
              <w:t>OF</w:t>
            </w:r>
            <w:r w:rsidR="009A21C5" w:rsidRPr="009F337B">
              <w:rPr>
                <w:lang w:val="en-US"/>
              </w:rPr>
              <w:t xml:space="preserve"> </w:t>
            </w:r>
            <w:r w:rsidR="003C46A3" w:rsidRPr="009F337B">
              <w:rPr>
                <w:lang w:val="en-US"/>
              </w:rPr>
              <w:t>presumed victims</w:t>
            </w:r>
            <w:r w:rsidRPr="009F337B">
              <w:rPr>
                <w:lang w:val="en-US"/>
              </w:rPr>
              <w:t xml:space="preserve"> </w:t>
            </w:r>
            <w:bookmarkEnd w:id="147"/>
            <w:r w:rsidR="0010522A" w:rsidRPr="009F337B">
              <w:rPr>
                <w:lang w:val="en-US"/>
              </w:rPr>
              <w:t>SUBMITTED BY iachr</w:t>
            </w:r>
          </w:p>
        </w:tc>
      </w:tr>
      <w:tr w:rsidR="00C571EC" w:rsidRPr="00310E7A" w14:paraId="25BF26CC" w14:textId="77777777" w:rsidTr="0010522A">
        <w:tc>
          <w:tcPr>
            <w:tcW w:w="9288" w:type="dxa"/>
            <w:gridSpan w:val="5"/>
          </w:tcPr>
          <w:p w14:paraId="22760C36" w14:textId="45E8FBAD" w:rsidR="00C571EC" w:rsidRPr="009F337B" w:rsidRDefault="00C571EC" w:rsidP="00F608A7">
            <w:pPr>
              <w:jc w:val="center"/>
              <w:rPr>
                <w:b/>
                <w:sz w:val="16"/>
                <w:szCs w:val="16"/>
                <w:lang w:val="en-US"/>
              </w:rPr>
            </w:pPr>
            <w:r w:rsidRPr="009F337B">
              <w:rPr>
                <w:b/>
                <w:sz w:val="16"/>
                <w:szCs w:val="16"/>
                <w:lang w:val="en-US"/>
              </w:rPr>
              <w:t xml:space="preserve">A. </w:t>
            </w:r>
            <w:r w:rsidR="003C46A3" w:rsidRPr="009F337B">
              <w:rPr>
                <w:b/>
                <w:sz w:val="16"/>
                <w:szCs w:val="16"/>
                <w:lang w:val="en-US"/>
              </w:rPr>
              <w:t>PRESUMED VICTIMS</w:t>
            </w:r>
            <w:r w:rsidRPr="009F337B">
              <w:rPr>
                <w:b/>
                <w:sz w:val="16"/>
                <w:szCs w:val="16"/>
                <w:lang w:val="en-US"/>
              </w:rPr>
              <w:t xml:space="preserve"> </w:t>
            </w:r>
            <w:r w:rsidR="00C6034E" w:rsidRPr="009F337B">
              <w:rPr>
                <w:b/>
                <w:sz w:val="16"/>
                <w:szCs w:val="16"/>
                <w:lang w:val="en-US"/>
              </w:rPr>
              <w:t xml:space="preserve"> WHO ARE  DECEASED</w:t>
            </w:r>
          </w:p>
        </w:tc>
      </w:tr>
      <w:tr w:rsidR="00C571EC" w:rsidRPr="009F337B" w14:paraId="38BFD19A" w14:textId="77777777" w:rsidTr="0010522A">
        <w:tc>
          <w:tcPr>
            <w:tcW w:w="534" w:type="dxa"/>
          </w:tcPr>
          <w:p w14:paraId="314015E9" w14:textId="3A0A0A69" w:rsidR="00C571EC" w:rsidRPr="009F337B" w:rsidRDefault="0010522A" w:rsidP="00F608A7">
            <w:pPr>
              <w:jc w:val="center"/>
              <w:rPr>
                <w:b/>
                <w:sz w:val="16"/>
                <w:szCs w:val="16"/>
                <w:lang w:val="en-US"/>
              </w:rPr>
            </w:pPr>
            <w:r w:rsidRPr="009F337B">
              <w:rPr>
                <w:b/>
                <w:sz w:val="16"/>
                <w:szCs w:val="16"/>
                <w:lang w:val="en-US"/>
              </w:rPr>
              <w:t>No.</w:t>
            </w:r>
          </w:p>
        </w:tc>
        <w:tc>
          <w:tcPr>
            <w:tcW w:w="2976" w:type="dxa"/>
            <w:gridSpan w:val="2"/>
          </w:tcPr>
          <w:p w14:paraId="02954F29" w14:textId="37F8B6B8" w:rsidR="00C571EC" w:rsidRPr="009F337B" w:rsidRDefault="0010522A" w:rsidP="00F608A7">
            <w:pPr>
              <w:jc w:val="center"/>
              <w:rPr>
                <w:b/>
                <w:sz w:val="16"/>
                <w:szCs w:val="16"/>
                <w:lang w:val="en-US"/>
              </w:rPr>
            </w:pPr>
            <w:r w:rsidRPr="009F337B">
              <w:rPr>
                <w:b/>
                <w:sz w:val="16"/>
                <w:szCs w:val="16"/>
                <w:lang w:val="en-US"/>
              </w:rPr>
              <w:t>PRESUMED VICTIM</w:t>
            </w:r>
          </w:p>
        </w:tc>
        <w:tc>
          <w:tcPr>
            <w:tcW w:w="567" w:type="dxa"/>
          </w:tcPr>
          <w:p w14:paraId="350A7E42" w14:textId="24750A88" w:rsidR="00C571EC" w:rsidRPr="009F337B" w:rsidRDefault="0010522A" w:rsidP="00F608A7">
            <w:pPr>
              <w:jc w:val="center"/>
              <w:rPr>
                <w:b/>
                <w:sz w:val="16"/>
                <w:szCs w:val="16"/>
                <w:lang w:val="en-US"/>
              </w:rPr>
            </w:pPr>
            <w:r w:rsidRPr="009F337B">
              <w:rPr>
                <w:b/>
                <w:sz w:val="16"/>
                <w:szCs w:val="16"/>
                <w:lang w:val="en-US"/>
              </w:rPr>
              <w:t>No.</w:t>
            </w:r>
          </w:p>
        </w:tc>
        <w:tc>
          <w:tcPr>
            <w:tcW w:w="5211" w:type="dxa"/>
          </w:tcPr>
          <w:p w14:paraId="6E9A83D1" w14:textId="49BF0FBD" w:rsidR="00C571EC" w:rsidRPr="009F337B" w:rsidRDefault="0010522A" w:rsidP="00F608A7">
            <w:pPr>
              <w:jc w:val="center"/>
              <w:rPr>
                <w:b/>
                <w:sz w:val="16"/>
                <w:szCs w:val="16"/>
                <w:lang w:val="en-US"/>
              </w:rPr>
            </w:pPr>
            <w:r w:rsidRPr="009F337B">
              <w:rPr>
                <w:b/>
                <w:sz w:val="16"/>
                <w:szCs w:val="16"/>
                <w:lang w:val="en-US"/>
              </w:rPr>
              <w:t>NEXT OF KIN</w:t>
            </w:r>
          </w:p>
        </w:tc>
      </w:tr>
      <w:tr w:rsidR="00C571EC" w:rsidRPr="009F337B" w14:paraId="64DBCB4D" w14:textId="77777777" w:rsidTr="0010522A">
        <w:tc>
          <w:tcPr>
            <w:tcW w:w="534" w:type="dxa"/>
            <w:vMerge w:val="restart"/>
            <w:vAlign w:val="center"/>
          </w:tcPr>
          <w:p w14:paraId="31D8D158" w14:textId="77777777" w:rsidR="00C571EC" w:rsidRPr="009F337B" w:rsidRDefault="00C571EC" w:rsidP="00F608A7">
            <w:pPr>
              <w:jc w:val="left"/>
              <w:rPr>
                <w:sz w:val="16"/>
                <w:szCs w:val="16"/>
                <w:lang w:val="en-US"/>
              </w:rPr>
            </w:pPr>
            <w:r w:rsidRPr="009F337B">
              <w:rPr>
                <w:sz w:val="16"/>
                <w:szCs w:val="16"/>
                <w:lang w:val="en-US"/>
              </w:rPr>
              <w:t>1</w:t>
            </w:r>
          </w:p>
        </w:tc>
        <w:tc>
          <w:tcPr>
            <w:tcW w:w="2976" w:type="dxa"/>
            <w:gridSpan w:val="2"/>
            <w:vMerge w:val="restart"/>
            <w:vAlign w:val="center"/>
          </w:tcPr>
          <w:p w14:paraId="16124CBF" w14:textId="5AFAFC20" w:rsidR="00C571EC" w:rsidRPr="009F337B" w:rsidRDefault="00C571EC" w:rsidP="00F608A7">
            <w:pPr>
              <w:jc w:val="left"/>
              <w:rPr>
                <w:sz w:val="16"/>
                <w:szCs w:val="16"/>
                <w:lang w:val="en-US"/>
              </w:rPr>
            </w:pPr>
            <w:r w:rsidRPr="009F337B">
              <w:rPr>
                <w:sz w:val="16"/>
                <w:szCs w:val="16"/>
                <w:lang w:val="en-US"/>
              </w:rPr>
              <w:t>Facundo Gómez Reyes</w:t>
            </w:r>
          </w:p>
          <w:p w14:paraId="65E3F2FC" w14:textId="77777777" w:rsidR="009D4A7A" w:rsidRPr="009F337B" w:rsidRDefault="009D4A7A" w:rsidP="00F608A7">
            <w:pPr>
              <w:jc w:val="left"/>
              <w:rPr>
                <w:sz w:val="16"/>
                <w:szCs w:val="16"/>
                <w:lang w:val="en-US"/>
              </w:rPr>
            </w:pPr>
          </w:p>
        </w:tc>
        <w:tc>
          <w:tcPr>
            <w:tcW w:w="567" w:type="dxa"/>
            <w:tcBorders>
              <w:bottom w:val="single" w:sz="4" w:space="0" w:color="auto"/>
            </w:tcBorders>
            <w:vAlign w:val="center"/>
          </w:tcPr>
          <w:p w14:paraId="74ED9B77" w14:textId="77777777" w:rsidR="00C571EC" w:rsidRPr="009F337B" w:rsidRDefault="00C571EC" w:rsidP="00F608A7">
            <w:pPr>
              <w:jc w:val="left"/>
              <w:rPr>
                <w:sz w:val="16"/>
                <w:szCs w:val="16"/>
                <w:lang w:val="en-US"/>
              </w:rPr>
            </w:pPr>
            <w:r w:rsidRPr="009F337B">
              <w:rPr>
                <w:sz w:val="16"/>
                <w:szCs w:val="16"/>
                <w:lang w:val="en-US"/>
              </w:rPr>
              <w:t>1</w:t>
            </w:r>
          </w:p>
        </w:tc>
        <w:tc>
          <w:tcPr>
            <w:tcW w:w="5211" w:type="dxa"/>
            <w:tcBorders>
              <w:bottom w:val="single" w:sz="4" w:space="0" w:color="auto"/>
            </w:tcBorders>
            <w:vAlign w:val="center"/>
          </w:tcPr>
          <w:p w14:paraId="5A720FFA" w14:textId="3CAFB7CB" w:rsidR="00C571EC" w:rsidRPr="006D056E" w:rsidRDefault="00C571EC" w:rsidP="00F608A7">
            <w:pPr>
              <w:jc w:val="left"/>
              <w:rPr>
                <w:sz w:val="16"/>
                <w:szCs w:val="16"/>
                <w:lang w:val="es-CR"/>
              </w:rPr>
            </w:pPr>
            <w:r w:rsidRPr="006D056E">
              <w:rPr>
                <w:sz w:val="16"/>
                <w:szCs w:val="16"/>
                <w:lang w:val="es-CR"/>
              </w:rPr>
              <w:t>M</w:t>
            </w:r>
            <w:r w:rsidR="00C03348" w:rsidRPr="006D056E">
              <w:rPr>
                <w:sz w:val="16"/>
                <w:szCs w:val="16"/>
                <w:lang w:val="es-CR"/>
              </w:rPr>
              <w:t>aría Elena Morales Villafuerte (</w:t>
            </w:r>
            <w:r w:rsidR="0010522A" w:rsidRPr="006D056E">
              <w:rPr>
                <w:sz w:val="16"/>
                <w:szCs w:val="16"/>
                <w:lang w:val="es-CR"/>
              </w:rPr>
              <w:t>Wife</w:t>
            </w:r>
            <w:r w:rsidRPr="006D056E">
              <w:rPr>
                <w:sz w:val="16"/>
                <w:szCs w:val="16"/>
                <w:lang w:val="es-CR"/>
              </w:rPr>
              <w:t>)</w:t>
            </w:r>
          </w:p>
        </w:tc>
      </w:tr>
      <w:tr w:rsidR="00C571EC" w:rsidRPr="009F337B" w14:paraId="5F1CDCEB" w14:textId="77777777" w:rsidTr="0010522A">
        <w:tc>
          <w:tcPr>
            <w:tcW w:w="534" w:type="dxa"/>
            <w:vMerge/>
            <w:vAlign w:val="center"/>
          </w:tcPr>
          <w:p w14:paraId="5F132EE0" w14:textId="77777777" w:rsidR="00C571EC" w:rsidRPr="006D056E" w:rsidRDefault="00C571EC" w:rsidP="00F608A7">
            <w:pPr>
              <w:jc w:val="left"/>
              <w:rPr>
                <w:sz w:val="16"/>
                <w:szCs w:val="16"/>
                <w:lang w:val="es-CR"/>
              </w:rPr>
            </w:pPr>
          </w:p>
        </w:tc>
        <w:tc>
          <w:tcPr>
            <w:tcW w:w="2976" w:type="dxa"/>
            <w:gridSpan w:val="2"/>
            <w:vMerge/>
            <w:vAlign w:val="center"/>
          </w:tcPr>
          <w:p w14:paraId="7DFA2269" w14:textId="77777777" w:rsidR="00C571EC" w:rsidRPr="006D056E" w:rsidRDefault="00C571EC" w:rsidP="00F608A7">
            <w:pPr>
              <w:jc w:val="left"/>
              <w:rPr>
                <w:sz w:val="16"/>
                <w:szCs w:val="16"/>
                <w:lang w:val="es-CR"/>
              </w:rPr>
            </w:pPr>
          </w:p>
        </w:tc>
        <w:tc>
          <w:tcPr>
            <w:tcW w:w="567" w:type="dxa"/>
            <w:tcBorders>
              <w:bottom w:val="single" w:sz="4" w:space="0" w:color="auto"/>
            </w:tcBorders>
            <w:vAlign w:val="center"/>
          </w:tcPr>
          <w:p w14:paraId="00070A96" w14:textId="77777777" w:rsidR="00C571EC" w:rsidRPr="009F337B" w:rsidRDefault="00C571EC" w:rsidP="00F608A7">
            <w:pPr>
              <w:jc w:val="left"/>
              <w:rPr>
                <w:sz w:val="16"/>
                <w:szCs w:val="16"/>
                <w:lang w:val="en-US"/>
              </w:rPr>
            </w:pPr>
            <w:r w:rsidRPr="009F337B">
              <w:rPr>
                <w:sz w:val="16"/>
                <w:szCs w:val="16"/>
                <w:lang w:val="en-US"/>
              </w:rPr>
              <w:t>2</w:t>
            </w:r>
          </w:p>
        </w:tc>
        <w:tc>
          <w:tcPr>
            <w:tcW w:w="5211" w:type="dxa"/>
            <w:tcBorders>
              <w:bottom w:val="single" w:sz="4" w:space="0" w:color="auto"/>
            </w:tcBorders>
            <w:vAlign w:val="center"/>
          </w:tcPr>
          <w:p w14:paraId="292DDA4F" w14:textId="5DB7AF5D" w:rsidR="00C571EC" w:rsidRPr="009F337B" w:rsidRDefault="00C571EC" w:rsidP="00F608A7">
            <w:pPr>
              <w:jc w:val="left"/>
              <w:rPr>
                <w:sz w:val="16"/>
                <w:szCs w:val="16"/>
                <w:lang w:val="en-US"/>
              </w:rPr>
            </w:pPr>
            <w:r w:rsidRPr="009F337B">
              <w:rPr>
                <w:sz w:val="16"/>
                <w:szCs w:val="16"/>
                <w:lang w:val="en-US"/>
              </w:rPr>
              <w:t xml:space="preserve">Brandon David </w:t>
            </w:r>
            <w:r w:rsidR="0002668E" w:rsidRPr="009F337B">
              <w:rPr>
                <w:sz w:val="16"/>
                <w:szCs w:val="16"/>
                <w:lang w:val="en-US"/>
              </w:rPr>
              <w:t xml:space="preserve">Adalberto </w:t>
            </w:r>
            <w:r w:rsidRPr="009F337B">
              <w:rPr>
                <w:sz w:val="16"/>
                <w:szCs w:val="16"/>
                <w:lang w:val="en-US"/>
              </w:rPr>
              <w:t>Gómez Morales (</w:t>
            </w:r>
            <w:r w:rsidR="0010522A" w:rsidRPr="009F337B">
              <w:rPr>
                <w:sz w:val="16"/>
                <w:szCs w:val="16"/>
                <w:lang w:val="en-US"/>
              </w:rPr>
              <w:t>Son</w:t>
            </w:r>
            <w:r w:rsidRPr="009F337B">
              <w:rPr>
                <w:sz w:val="16"/>
                <w:szCs w:val="16"/>
                <w:lang w:val="en-US"/>
              </w:rPr>
              <w:t>)</w:t>
            </w:r>
          </w:p>
        </w:tc>
      </w:tr>
      <w:tr w:rsidR="00C571EC" w:rsidRPr="009F337B" w14:paraId="76682A95" w14:textId="77777777" w:rsidTr="0010522A">
        <w:tc>
          <w:tcPr>
            <w:tcW w:w="534" w:type="dxa"/>
            <w:vAlign w:val="center"/>
          </w:tcPr>
          <w:p w14:paraId="01068D1D" w14:textId="77777777" w:rsidR="00C571EC" w:rsidRPr="009F337B" w:rsidRDefault="00C571EC" w:rsidP="00F608A7">
            <w:pPr>
              <w:jc w:val="left"/>
              <w:rPr>
                <w:sz w:val="16"/>
                <w:szCs w:val="16"/>
                <w:lang w:val="en-US"/>
              </w:rPr>
            </w:pPr>
            <w:r w:rsidRPr="009F337B">
              <w:rPr>
                <w:sz w:val="16"/>
                <w:szCs w:val="16"/>
                <w:lang w:val="en-US"/>
              </w:rPr>
              <w:t>2</w:t>
            </w:r>
          </w:p>
        </w:tc>
        <w:tc>
          <w:tcPr>
            <w:tcW w:w="2976" w:type="dxa"/>
            <w:gridSpan w:val="2"/>
            <w:tcBorders>
              <w:top w:val="single" w:sz="4" w:space="0" w:color="auto"/>
            </w:tcBorders>
            <w:vAlign w:val="center"/>
          </w:tcPr>
          <w:p w14:paraId="73604B9A" w14:textId="69A744CB" w:rsidR="00C571EC" w:rsidRPr="009F337B" w:rsidRDefault="00C571EC" w:rsidP="00F608A7">
            <w:pPr>
              <w:jc w:val="left"/>
              <w:rPr>
                <w:sz w:val="16"/>
                <w:szCs w:val="16"/>
                <w:lang w:val="en-US"/>
              </w:rPr>
            </w:pPr>
            <w:r w:rsidRPr="009F337B">
              <w:rPr>
                <w:sz w:val="16"/>
                <w:szCs w:val="16"/>
                <w:lang w:val="en-US"/>
              </w:rPr>
              <w:t>Reina López Mujica</w:t>
            </w:r>
          </w:p>
        </w:tc>
        <w:tc>
          <w:tcPr>
            <w:tcW w:w="567" w:type="dxa"/>
            <w:tcBorders>
              <w:top w:val="single" w:sz="4" w:space="0" w:color="auto"/>
            </w:tcBorders>
            <w:vAlign w:val="center"/>
          </w:tcPr>
          <w:p w14:paraId="50414A62" w14:textId="77777777" w:rsidR="00C571EC" w:rsidRPr="009F337B" w:rsidRDefault="00C571EC" w:rsidP="00F608A7">
            <w:pPr>
              <w:jc w:val="left"/>
              <w:rPr>
                <w:sz w:val="16"/>
                <w:szCs w:val="16"/>
                <w:lang w:val="en-US"/>
              </w:rPr>
            </w:pPr>
          </w:p>
        </w:tc>
        <w:tc>
          <w:tcPr>
            <w:tcW w:w="5211" w:type="dxa"/>
            <w:tcBorders>
              <w:top w:val="single" w:sz="4" w:space="0" w:color="auto"/>
            </w:tcBorders>
            <w:vAlign w:val="center"/>
          </w:tcPr>
          <w:p w14:paraId="73CF6525" w14:textId="15BED082" w:rsidR="00C571EC" w:rsidRPr="009F337B" w:rsidRDefault="0010522A" w:rsidP="00F608A7">
            <w:pPr>
              <w:jc w:val="left"/>
              <w:rPr>
                <w:sz w:val="16"/>
                <w:szCs w:val="16"/>
                <w:lang w:val="en-US"/>
              </w:rPr>
            </w:pPr>
            <w:r w:rsidRPr="009F337B">
              <w:rPr>
                <w:sz w:val="16"/>
                <w:szCs w:val="16"/>
                <w:lang w:val="en-US"/>
              </w:rPr>
              <w:t>No information available</w:t>
            </w:r>
            <w:r w:rsidR="0097610B" w:rsidRPr="009F337B">
              <w:rPr>
                <w:sz w:val="16"/>
                <w:szCs w:val="16"/>
                <w:lang w:val="en-US"/>
              </w:rPr>
              <w:t>.</w:t>
            </w:r>
          </w:p>
        </w:tc>
      </w:tr>
      <w:tr w:rsidR="00C571EC" w:rsidRPr="009F337B" w14:paraId="00929983" w14:textId="77777777" w:rsidTr="0010522A">
        <w:tc>
          <w:tcPr>
            <w:tcW w:w="534" w:type="dxa"/>
            <w:vMerge w:val="restart"/>
            <w:vAlign w:val="center"/>
          </w:tcPr>
          <w:p w14:paraId="153696C9" w14:textId="77777777" w:rsidR="00C571EC" w:rsidRPr="009F337B" w:rsidRDefault="00C571EC" w:rsidP="00F608A7">
            <w:pPr>
              <w:jc w:val="left"/>
              <w:rPr>
                <w:sz w:val="16"/>
                <w:szCs w:val="16"/>
                <w:lang w:val="en-US"/>
              </w:rPr>
            </w:pPr>
            <w:r w:rsidRPr="009F337B">
              <w:rPr>
                <w:sz w:val="16"/>
                <w:szCs w:val="16"/>
                <w:lang w:val="en-US"/>
              </w:rPr>
              <w:t>3</w:t>
            </w:r>
          </w:p>
        </w:tc>
        <w:tc>
          <w:tcPr>
            <w:tcW w:w="2976" w:type="dxa"/>
            <w:gridSpan w:val="2"/>
            <w:vMerge w:val="restart"/>
            <w:vAlign w:val="center"/>
          </w:tcPr>
          <w:p w14:paraId="6A434BD9" w14:textId="38F1D785" w:rsidR="00C571EC" w:rsidRPr="009F337B" w:rsidRDefault="006B3158" w:rsidP="00F608A7">
            <w:pPr>
              <w:jc w:val="left"/>
              <w:rPr>
                <w:sz w:val="16"/>
                <w:szCs w:val="16"/>
                <w:lang w:val="en-US"/>
              </w:rPr>
            </w:pPr>
            <w:r w:rsidRPr="009F337B">
              <w:rPr>
                <w:sz w:val="16"/>
                <w:szCs w:val="16"/>
                <w:lang w:val="en-US"/>
              </w:rPr>
              <w:t>Ismar Ramí</w:t>
            </w:r>
            <w:r w:rsidR="00C571EC" w:rsidRPr="009F337B">
              <w:rPr>
                <w:sz w:val="16"/>
                <w:szCs w:val="16"/>
                <w:lang w:val="en-US"/>
              </w:rPr>
              <w:t>rez Chajón</w:t>
            </w:r>
          </w:p>
        </w:tc>
        <w:tc>
          <w:tcPr>
            <w:tcW w:w="567" w:type="dxa"/>
            <w:vAlign w:val="center"/>
          </w:tcPr>
          <w:p w14:paraId="32C1B1D4" w14:textId="77777777" w:rsidR="00C571EC" w:rsidRPr="009F337B" w:rsidRDefault="00C571EC" w:rsidP="00F608A7">
            <w:pPr>
              <w:jc w:val="left"/>
              <w:rPr>
                <w:sz w:val="16"/>
                <w:szCs w:val="16"/>
                <w:lang w:val="en-US"/>
              </w:rPr>
            </w:pPr>
            <w:r w:rsidRPr="009F337B">
              <w:rPr>
                <w:sz w:val="16"/>
                <w:szCs w:val="16"/>
                <w:lang w:val="en-US"/>
              </w:rPr>
              <w:t>1</w:t>
            </w:r>
          </w:p>
        </w:tc>
        <w:tc>
          <w:tcPr>
            <w:tcW w:w="5211" w:type="dxa"/>
            <w:vAlign w:val="center"/>
          </w:tcPr>
          <w:p w14:paraId="4BCFDE5E" w14:textId="0FA43668" w:rsidR="00C571EC" w:rsidRPr="006D056E" w:rsidRDefault="00C571EC" w:rsidP="00F608A7">
            <w:pPr>
              <w:jc w:val="left"/>
              <w:rPr>
                <w:sz w:val="16"/>
                <w:szCs w:val="16"/>
                <w:lang w:val="es-CR"/>
              </w:rPr>
            </w:pPr>
            <w:r w:rsidRPr="006D056E">
              <w:rPr>
                <w:sz w:val="16"/>
                <w:szCs w:val="16"/>
                <w:lang w:val="es-CR"/>
              </w:rPr>
              <w:t>María de Jesús Chajón de León (</w:t>
            </w:r>
            <w:r w:rsidR="0010522A" w:rsidRPr="006D056E">
              <w:rPr>
                <w:sz w:val="16"/>
                <w:szCs w:val="16"/>
                <w:lang w:val="es-CR"/>
              </w:rPr>
              <w:t>Mother</w:t>
            </w:r>
            <w:r w:rsidRPr="006D056E">
              <w:rPr>
                <w:sz w:val="16"/>
                <w:szCs w:val="16"/>
                <w:lang w:val="es-CR"/>
              </w:rPr>
              <w:t>)</w:t>
            </w:r>
          </w:p>
        </w:tc>
      </w:tr>
      <w:tr w:rsidR="00C571EC" w:rsidRPr="009F337B" w14:paraId="242B6316" w14:textId="77777777" w:rsidTr="0010522A">
        <w:tc>
          <w:tcPr>
            <w:tcW w:w="534" w:type="dxa"/>
            <w:vMerge/>
            <w:vAlign w:val="center"/>
          </w:tcPr>
          <w:p w14:paraId="1317F682" w14:textId="77777777" w:rsidR="00C571EC" w:rsidRPr="006D056E" w:rsidRDefault="00C571EC" w:rsidP="00F608A7">
            <w:pPr>
              <w:jc w:val="left"/>
              <w:rPr>
                <w:sz w:val="16"/>
                <w:szCs w:val="16"/>
                <w:lang w:val="es-CR"/>
              </w:rPr>
            </w:pPr>
          </w:p>
        </w:tc>
        <w:tc>
          <w:tcPr>
            <w:tcW w:w="2976" w:type="dxa"/>
            <w:gridSpan w:val="2"/>
            <w:vMerge/>
            <w:vAlign w:val="center"/>
          </w:tcPr>
          <w:p w14:paraId="19588A62" w14:textId="77777777" w:rsidR="00C571EC" w:rsidRPr="006D056E" w:rsidRDefault="00C571EC" w:rsidP="00F608A7">
            <w:pPr>
              <w:jc w:val="left"/>
              <w:rPr>
                <w:sz w:val="16"/>
                <w:szCs w:val="16"/>
                <w:lang w:val="es-CR"/>
              </w:rPr>
            </w:pPr>
          </w:p>
        </w:tc>
        <w:tc>
          <w:tcPr>
            <w:tcW w:w="567" w:type="dxa"/>
            <w:vAlign w:val="center"/>
          </w:tcPr>
          <w:p w14:paraId="74C19692" w14:textId="77777777" w:rsidR="00C571EC" w:rsidRPr="009F337B" w:rsidRDefault="00C571EC" w:rsidP="00F608A7">
            <w:pPr>
              <w:jc w:val="left"/>
              <w:rPr>
                <w:sz w:val="16"/>
                <w:szCs w:val="16"/>
                <w:lang w:val="en-US"/>
              </w:rPr>
            </w:pPr>
            <w:r w:rsidRPr="009F337B">
              <w:rPr>
                <w:sz w:val="16"/>
                <w:szCs w:val="16"/>
                <w:lang w:val="en-US"/>
              </w:rPr>
              <w:t>2</w:t>
            </w:r>
          </w:p>
        </w:tc>
        <w:tc>
          <w:tcPr>
            <w:tcW w:w="5211" w:type="dxa"/>
            <w:vAlign w:val="center"/>
          </w:tcPr>
          <w:p w14:paraId="41BA53BD" w14:textId="369AC4D6" w:rsidR="00C571EC" w:rsidRPr="006D056E" w:rsidRDefault="00C571EC" w:rsidP="00F608A7">
            <w:pPr>
              <w:jc w:val="left"/>
              <w:rPr>
                <w:sz w:val="16"/>
                <w:szCs w:val="16"/>
                <w:lang w:val="es-CR"/>
              </w:rPr>
            </w:pPr>
            <w:r w:rsidRPr="006D056E">
              <w:rPr>
                <w:sz w:val="16"/>
                <w:szCs w:val="16"/>
                <w:lang w:val="es-CR"/>
              </w:rPr>
              <w:t>Edna Yolanda Ramírez Chajón (</w:t>
            </w:r>
            <w:r w:rsidR="0010522A" w:rsidRPr="006D056E">
              <w:rPr>
                <w:sz w:val="16"/>
                <w:szCs w:val="16"/>
                <w:lang w:val="es-CR"/>
              </w:rPr>
              <w:t>Sister</w:t>
            </w:r>
            <w:r w:rsidRPr="006D056E">
              <w:rPr>
                <w:sz w:val="16"/>
                <w:szCs w:val="16"/>
                <w:lang w:val="es-CR"/>
              </w:rPr>
              <w:t>)</w:t>
            </w:r>
          </w:p>
        </w:tc>
      </w:tr>
      <w:tr w:rsidR="00C571EC" w:rsidRPr="009F337B" w14:paraId="3EE09F0B" w14:textId="77777777" w:rsidTr="0010522A">
        <w:tc>
          <w:tcPr>
            <w:tcW w:w="534" w:type="dxa"/>
            <w:vMerge/>
            <w:vAlign w:val="center"/>
          </w:tcPr>
          <w:p w14:paraId="2F850C46" w14:textId="77777777" w:rsidR="00C571EC" w:rsidRPr="006D056E" w:rsidRDefault="00C571EC" w:rsidP="00F608A7">
            <w:pPr>
              <w:jc w:val="left"/>
              <w:rPr>
                <w:sz w:val="16"/>
                <w:szCs w:val="16"/>
                <w:lang w:val="es-CR"/>
              </w:rPr>
            </w:pPr>
          </w:p>
        </w:tc>
        <w:tc>
          <w:tcPr>
            <w:tcW w:w="2976" w:type="dxa"/>
            <w:gridSpan w:val="2"/>
            <w:vMerge/>
            <w:vAlign w:val="center"/>
          </w:tcPr>
          <w:p w14:paraId="1E34A5A2" w14:textId="77777777" w:rsidR="00C571EC" w:rsidRPr="006D056E" w:rsidRDefault="00C571EC" w:rsidP="00F608A7">
            <w:pPr>
              <w:jc w:val="left"/>
              <w:rPr>
                <w:sz w:val="16"/>
                <w:szCs w:val="16"/>
                <w:lang w:val="es-CR"/>
              </w:rPr>
            </w:pPr>
          </w:p>
        </w:tc>
        <w:tc>
          <w:tcPr>
            <w:tcW w:w="567" w:type="dxa"/>
            <w:vAlign w:val="center"/>
          </w:tcPr>
          <w:p w14:paraId="64C30746" w14:textId="77777777" w:rsidR="00C571EC" w:rsidRPr="009F337B" w:rsidRDefault="00C571EC" w:rsidP="00F608A7">
            <w:pPr>
              <w:jc w:val="left"/>
              <w:rPr>
                <w:sz w:val="16"/>
                <w:szCs w:val="16"/>
                <w:lang w:val="en-US"/>
              </w:rPr>
            </w:pPr>
            <w:r w:rsidRPr="009F337B">
              <w:rPr>
                <w:sz w:val="16"/>
                <w:szCs w:val="16"/>
                <w:lang w:val="en-US"/>
              </w:rPr>
              <w:t>3</w:t>
            </w:r>
          </w:p>
        </w:tc>
        <w:tc>
          <w:tcPr>
            <w:tcW w:w="5211" w:type="dxa"/>
            <w:vAlign w:val="center"/>
          </w:tcPr>
          <w:p w14:paraId="28FAF6F3" w14:textId="181C833C" w:rsidR="00C571EC" w:rsidRPr="006D056E" w:rsidRDefault="00C571EC" w:rsidP="00F608A7">
            <w:pPr>
              <w:jc w:val="left"/>
              <w:rPr>
                <w:sz w:val="16"/>
                <w:szCs w:val="16"/>
                <w:lang w:val="es-CR"/>
              </w:rPr>
            </w:pPr>
            <w:r w:rsidRPr="006D056E">
              <w:rPr>
                <w:sz w:val="16"/>
                <w:szCs w:val="16"/>
                <w:lang w:val="es-CR"/>
              </w:rPr>
              <w:t>Carlos Fernando Coc Chajón (</w:t>
            </w:r>
            <w:r w:rsidR="0010522A" w:rsidRPr="006D056E">
              <w:rPr>
                <w:sz w:val="16"/>
                <w:szCs w:val="16"/>
                <w:lang w:val="es-CR"/>
              </w:rPr>
              <w:t>Brother</w:t>
            </w:r>
            <w:r w:rsidRPr="006D056E">
              <w:rPr>
                <w:sz w:val="16"/>
                <w:szCs w:val="16"/>
                <w:lang w:val="es-CR"/>
              </w:rPr>
              <w:t>)</w:t>
            </w:r>
          </w:p>
        </w:tc>
      </w:tr>
      <w:tr w:rsidR="00C571EC" w:rsidRPr="009F337B" w14:paraId="40663B7C" w14:textId="77777777" w:rsidTr="0010522A">
        <w:tc>
          <w:tcPr>
            <w:tcW w:w="534" w:type="dxa"/>
            <w:vMerge/>
            <w:vAlign w:val="center"/>
          </w:tcPr>
          <w:p w14:paraId="4A424FDF" w14:textId="77777777" w:rsidR="00C571EC" w:rsidRPr="006D056E" w:rsidRDefault="00C571EC" w:rsidP="00F608A7">
            <w:pPr>
              <w:jc w:val="left"/>
              <w:rPr>
                <w:sz w:val="16"/>
                <w:szCs w:val="16"/>
                <w:lang w:val="es-CR"/>
              </w:rPr>
            </w:pPr>
          </w:p>
        </w:tc>
        <w:tc>
          <w:tcPr>
            <w:tcW w:w="2976" w:type="dxa"/>
            <w:gridSpan w:val="2"/>
            <w:vMerge/>
            <w:vAlign w:val="center"/>
          </w:tcPr>
          <w:p w14:paraId="6CFF06E9" w14:textId="77777777" w:rsidR="00C571EC" w:rsidRPr="006D056E" w:rsidRDefault="00C571EC" w:rsidP="00F608A7">
            <w:pPr>
              <w:jc w:val="left"/>
              <w:rPr>
                <w:sz w:val="16"/>
                <w:szCs w:val="16"/>
                <w:lang w:val="es-CR"/>
              </w:rPr>
            </w:pPr>
          </w:p>
        </w:tc>
        <w:tc>
          <w:tcPr>
            <w:tcW w:w="567" w:type="dxa"/>
            <w:vAlign w:val="center"/>
          </w:tcPr>
          <w:p w14:paraId="0EB8FDE0" w14:textId="77777777" w:rsidR="00C571EC" w:rsidRPr="009F337B" w:rsidRDefault="00C571EC" w:rsidP="00F608A7">
            <w:pPr>
              <w:jc w:val="left"/>
              <w:rPr>
                <w:sz w:val="16"/>
                <w:szCs w:val="16"/>
                <w:lang w:val="en-US"/>
              </w:rPr>
            </w:pPr>
            <w:r w:rsidRPr="009F337B">
              <w:rPr>
                <w:sz w:val="16"/>
                <w:szCs w:val="16"/>
                <w:lang w:val="en-US"/>
              </w:rPr>
              <w:t>4</w:t>
            </w:r>
          </w:p>
        </w:tc>
        <w:tc>
          <w:tcPr>
            <w:tcW w:w="5211" w:type="dxa"/>
            <w:vAlign w:val="center"/>
          </w:tcPr>
          <w:p w14:paraId="69F03D22" w14:textId="65CDCF44" w:rsidR="00C571EC" w:rsidRPr="009F337B" w:rsidRDefault="001F662B" w:rsidP="00F608A7">
            <w:pPr>
              <w:jc w:val="left"/>
              <w:rPr>
                <w:sz w:val="16"/>
                <w:szCs w:val="16"/>
                <w:lang w:val="en-US"/>
              </w:rPr>
            </w:pPr>
            <w:r w:rsidRPr="009F337B">
              <w:rPr>
                <w:sz w:val="16"/>
                <w:szCs w:val="16"/>
                <w:lang w:val="en-US"/>
              </w:rPr>
              <w:t>Ariel Coc</w:t>
            </w:r>
            <w:r w:rsidR="00C571EC" w:rsidRPr="009F337B">
              <w:rPr>
                <w:sz w:val="16"/>
                <w:szCs w:val="16"/>
                <w:lang w:val="en-US"/>
              </w:rPr>
              <w:t xml:space="preserve"> Chajón (</w:t>
            </w:r>
            <w:r w:rsidR="0010522A" w:rsidRPr="009F337B">
              <w:rPr>
                <w:sz w:val="16"/>
                <w:szCs w:val="16"/>
                <w:lang w:val="en-US"/>
              </w:rPr>
              <w:t>Brother</w:t>
            </w:r>
            <w:r w:rsidR="00C571EC" w:rsidRPr="009F337B">
              <w:rPr>
                <w:sz w:val="16"/>
                <w:szCs w:val="16"/>
                <w:lang w:val="en-US"/>
              </w:rPr>
              <w:t>)</w:t>
            </w:r>
          </w:p>
        </w:tc>
      </w:tr>
      <w:tr w:rsidR="00C571EC" w:rsidRPr="009F337B" w14:paraId="4853C20B" w14:textId="77777777" w:rsidTr="0010522A">
        <w:tc>
          <w:tcPr>
            <w:tcW w:w="534" w:type="dxa"/>
            <w:vMerge/>
            <w:vAlign w:val="center"/>
          </w:tcPr>
          <w:p w14:paraId="2D04E0BC" w14:textId="77777777" w:rsidR="00C571EC" w:rsidRPr="009F337B" w:rsidRDefault="00C571EC" w:rsidP="00F608A7">
            <w:pPr>
              <w:jc w:val="left"/>
              <w:rPr>
                <w:sz w:val="16"/>
                <w:szCs w:val="16"/>
                <w:lang w:val="en-US"/>
              </w:rPr>
            </w:pPr>
          </w:p>
        </w:tc>
        <w:tc>
          <w:tcPr>
            <w:tcW w:w="2976" w:type="dxa"/>
            <w:gridSpan w:val="2"/>
            <w:vMerge/>
            <w:vAlign w:val="center"/>
          </w:tcPr>
          <w:p w14:paraId="2F2E5A39" w14:textId="77777777" w:rsidR="00C571EC" w:rsidRPr="009F337B" w:rsidRDefault="00C571EC" w:rsidP="00F608A7">
            <w:pPr>
              <w:jc w:val="left"/>
              <w:rPr>
                <w:sz w:val="16"/>
                <w:szCs w:val="16"/>
                <w:lang w:val="en-US"/>
              </w:rPr>
            </w:pPr>
          </w:p>
        </w:tc>
        <w:tc>
          <w:tcPr>
            <w:tcW w:w="567" w:type="dxa"/>
            <w:vAlign w:val="center"/>
          </w:tcPr>
          <w:p w14:paraId="204812F4" w14:textId="77777777" w:rsidR="00C571EC" w:rsidRPr="009F337B" w:rsidRDefault="00C571EC" w:rsidP="00F608A7">
            <w:pPr>
              <w:jc w:val="left"/>
              <w:rPr>
                <w:sz w:val="16"/>
                <w:szCs w:val="16"/>
                <w:lang w:val="en-US"/>
              </w:rPr>
            </w:pPr>
            <w:r w:rsidRPr="009F337B">
              <w:rPr>
                <w:sz w:val="16"/>
                <w:szCs w:val="16"/>
                <w:lang w:val="en-US"/>
              </w:rPr>
              <w:t>5</w:t>
            </w:r>
          </w:p>
        </w:tc>
        <w:tc>
          <w:tcPr>
            <w:tcW w:w="5211" w:type="dxa"/>
            <w:vAlign w:val="center"/>
          </w:tcPr>
          <w:p w14:paraId="080BD0BE" w14:textId="458C2E1E" w:rsidR="00C571EC" w:rsidRPr="00542AB5" w:rsidRDefault="00C571EC" w:rsidP="00F608A7">
            <w:pPr>
              <w:jc w:val="left"/>
              <w:rPr>
                <w:sz w:val="16"/>
                <w:szCs w:val="16"/>
                <w:lang w:val="es-CR"/>
              </w:rPr>
            </w:pPr>
            <w:r w:rsidRPr="00542AB5">
              <w:rPr>
                <w:sz w:val="16"/>
                <w:szCs w:val="16"/>
                <w:lang w:val="es-CR"/>
              </w:rPr>
              <w:t>Abner Antonio Ramírez Mejía (</w:t>
            </w:r>
            <w:r w:rsidR="0010522A" w:rsidRPr="00542AB5">
              <w:rPr>
                <w:sz w:val="16"/>
                <w:szCs w:val="16"/>
                <w:lang w:val="es-CR"/>
              </w:rPr>
              <w:t>Nephew</w:t>
            </w:r>
            <w:r w:rsidRPr="00542AB5">
              <w:rPr>
                <w:sz w:val="16"/>
                <w:szCs w:val="16"/>
                <w:lang w:val="es-CR"/>
              </w:rPr>
              <w:t>)</w:t>
            </w:r>
          </w:p>
        </w:tc>
      </w:tr>
      <w:tr w:rsidR="00C571EC" w:rsidRPr="009F337B" w14:paraId="5DDECEA8" w14:textId="77777777" w:rsidTr="0010522A">
        <w:tc>
          <w:tcPr>
            <w:tcW w:w="534" w:type="dxa"/>
            <w:vMerge/>
            <w:vAlign w:val="center"/>
          </w:tcPr>
          <w:p w14:paraId="5048029A" w14:textId="77777777" w:rsidR="00C571EC" w:rsidRPr="00542AB5" w:rsidRDefault="00C571EC" w:rsidP="00F608A7">
            <w:pPr>
              <w:jc w:val="left"/>
              <w:rPr>
                <w:sz w:val="16"/>
                <w:szCs w:val="16"/>
                <w:lang w:val="es-CR"/>
              </w:rPr>
            </w:pPr>
          </w:p>
        </w:tc>
        <w:tc>
          <w:tcPr>
            <w:tcW w:w="2976" w:type="dxa"/>
            <w:gridSpan w:val="2"/>
            <w:vMerge/>
            <w:vAlign w:val="center"/>
          </w:tcPr>
          <w:p w14:paraId="7598A948" w14:textId="77777777" w:rsidR="00C571EC" w:rsidRPr="00542AB5" w:rsidRDefault="00C571EC" w:rsidP="00F608A7">
            <w:pPr>
              <w:jc w:val="left"/>
              <w:rPr>
                <w:sz w:val="16"/>
                <w:szCs w:val="16"/>
                <w:lang w:val="es-CR"/>
              </w:rPr>
            </w:pPr>
          </w:p>
        </w:tc>
        <w:tc>
          <w:tcPr>
            <w:tcW w:w="567" w:type="dxa"/>
            <w:vAlign w:val="center"/>
          </w:tcPr>
          <w:p w14:paraId="7CA3191A" w14:textId="77777777" w:rsidR="00C571EC" w:rsidRPr="009F337B" w:rsidRDefault="00C571EC" w:rsidP="00F608A7">
            <w:pPr>
              <w:jc w:val="left"/>
              <w:rPr>
                <w:sz w:val="16"/>
                <w:szCs w:val="16"/>
                <w:lang w:val="en-US"/>
              </w:rPr>
            </w:pPr>
            <w:r w:rsidRPr="009F337B">
              <w:rPr>
                <w:sz w:val="16"/>
                <w:szCs w:val="16"/>
                <w:lang w:val="en-US"/>
              </w:rPr>
              <w:t>6</w:t>
            </w:r>
          </w:p>
        </w:tc>
        <w:tc>
          <w:tcPr>
            <w:tcW w:w="5211" w:type="dxa"/>
            <w:vAlign w:val="center"/>
          </w:tcPr>
          <w:p w14:paraId="1806F482" w14:textId="14BFBD7E" w:rsidR="00C571EC" w:rsidRPr="00542AB5" w:rsidRDefault="00C571EC" w:rsidP="00F608A7">
            <w:pPr>
              <w:jc w:val="left"/>
              <w:rPr>
                <w:sz w:val="16"/>
                <w:szCs w:val="16"/>
                <w:lang w:val="es-CR"/>
              </w:rPr>
            </w:pPr>
            <w:r w:rsidRPr="00542AB5">
              <w:rPr>
                <w:sz w:val="16"/>
                <w:szCs w:val="16"/>
                <w:lang w:val="es-CR"/>
              </w:rPr>
              <w:t>Karla Susely Ramírez Mejía (</w:t>
            </w:r>
            <w:r w:rsidR="0010522A" w:rsidRPr="00542AB5">
              <w:rPr>
                <w:sz w:val="16"/>
                <w:szCs w:val="16"/>
                <w:lang w:val="es-CR"/>
              </w:rPr>
              <w:t>Niece</w:t>
            </w:r>
            <w:r w:rsidRPr="00542AB5">
              <w:rPr>
                <w:sz w:val="16"/>
                <w:szCs w:val="16"/>
                <w:lang w:val="es-CR"/>
              </w:rPr>
              <w:t>)</w:t>
            </w:r>
          </w:p>
        </w:tc>
      </w:tr>
      <w:tr w:rsidR="00C571EC" w:rsidRPr="009F337B" w14:paraId="0C272434" w14:textId="77777777" w:rsidTr="0010522A">
        <w:tc>
          <w:tcPr>
            <w:tcW w:w="534" w:type="dxa"/>
            <w:vMerge/>
            <w:vAlign w:val="center"/>
          </w:tcPr>
          <w:p w14:paraId="47AADC0C" w14:textId="77777777" w:rsidR="00C571EC" w:rsidRPr="00542AB5" w:rsidRDefault="00C571EC" w:rsidP="00F608A7">
            <w:pPr>
              <w:jc w:val="left"/>
              <w:rPr>
                <w:sz w:val="16"/>
                <w:szCs w:val="16"/>
                <w:lang w:val="es-CR"/>
              </w:rPr>
            </w:pPr>
          </w:p>
        </w:tc>
        <w:tc>
          <w:tcPr>
            <w:tcW w:w="2976" w:type="dxa"/>
            <w:gridSpan w:val="2"/>
            <w:vMerge/>
            <w:vAlign w:val="center"/>
          </w:tcPr>
          <w:p w14:paraId="00C88A1C" w14:textId="77777777" w:rsidR="00C571EC" w:rsidRPr="00542AB5" w:rsidRDefault="00C571EC" w:rsidP="00F608A7">
            <w:pPr>
              <w:jc w:val="left"/>
              <w:rPr>
                <w:sz w:val="16"/>
                <w:szCs w:val="16"/>
                <w:lang w:val="es-CR"/>
              </w:rPr>
            </w:pPr>
          </w:p>
        </w:tc>
        <w:tc>
          <w:tcPr>
            <w:tcW w:w="567" w:type="dxa"/>
            <w:vAlign w:val="center"/>
          </w:tcPr>
          <w:p w14:paraId="28670E2B" w14:textId="77777777" w:rsidR="00C571EC" w:rsidRPr="009F337B" w:rsidRDefault="00C571EC" w:rsidP="00F608A7">
            <w:pPr>
              <w:jc w:val="left"/>
              <w:rPr>
                <w:sz w:val="16"/>
                <w:szCs w:val="16"/>
                <w:lang w:val="en-US"/>
              </w:rPr>
            </w:pPr>
            <w:r w:rsidRPr="009F337B">
              <w:rPr>
                <w:sz w:val="16"/>
                <w:szCs w:val="16"/>
                <w:lang w:val="en-US"/>
              </w:rPr>
              <w:t>7</w:t>
            </w:r>
          </w:p>
        </w:tc>
        <w:tc>
          <w:tcPr>
            <w:tcW w:w="5211" w:type="dxa"/>
            <w:vAlign w:val="center"/>
          </w:tcPr>
          <w:p w14:paraId="149751BB" w14:textId="54E1C449" w:rsidR="00C571EC" w:rsidRPr="00542AB5" w:rsidRDefault="00A619AD" w:rsidP="00F608A7">
            <w:pPr>
              <w:jc w:val="left"/>
              <w:rPr>
                <w:sz w:val="16"/>
                <w:szCs w:val="16"/>
                <w:lang w:val="es-CR"/>
              </w:rPr>
            </w:pPr>
            <w:r w:rsidRPr="00542AB5">
              <w:rPr>
                <w:sz w:val="16"/>
                <w:szCs w:val="16"/>
                <w:lang w:val="es-CR"/>
              </w:rPr>
              <w:t>Luis Rolando Cuscul Pivaral (</w:t>
            </w:r>
            <w:r w:rsidR="0010522A" w:rsidRPr="00542AB5">
              <w:rPr>
                <w:sz w:val="16"/>
                <w:szCs w:val="16"/>
                <w:lang w:val="es-CR"/>
              </w:rPr>
              <w:t>Partner</w:t>
            </w:r>
            <w:r w:rsidRPr="00542AB5">
              <w:rPr>
                <w:sz w:val="16"/>
                <w:szCs w:val="16"/>
                <w:lang w:val="es-CR"/>
              </w:rPr>
              <w:t>)</w:t>
            </w:r>
          </w:p>
        </w:tc>
      </w:tr>
      <w:tr w:rsidR="00C571EC" w:rsidRPr="00310E7A" w14:paraId="01881F6C" w14:textId="77777777" w:rsidTr="0010522A">
        <w:tc>
          <w:tcPr>
            <w:tcW w:w="534" w:type="dxa"/>
            <w:vMerge w:val="restart"/>
            <w:vAlign w:val="center"/>
          </w:tcPr>
          <w:p w14:paraId="54A48FA1" w14:textId="77777777" w:rsidR="00C571EC" w:rsidRPr="009F337B" w:rsidRDefault="00C571EC" w:rsidP="00F608A7">
            <w:pPr>
              <w:jc w:val="left"/>
              <w:rPr>
                <w:sz w:val="16"/>
                <w:szCs w:val="16"/>
                <w:lang w:val="en-US"/>
              </w:rPr>
            </w:pPr>
            <w:r w:rsidRPr="009F337B">
              <w:rPr>
                <w:sz w:val="16"/>
                <w:szCs w:val="16"/>
                <w:lang w:val="en-US"/>
              </w:rPr>
              <w:t>4</w:t>
            </w:r>
          </w:p>
        </w:tc>
        <w:tc>
          <w:tcPr>
            <w:tcW w:w="2976" w:type="dxa"/>
            <w:gridSpan w:val="2"/>
            <w:vMerge w:val="restart"/>
            <w:vAlign w:val="center"/>
          </w:tcPr>
          <w:p w14:paraId="4827068A" w14:textId="175EF61A" w:rsidR="00C571EC" w:rsidRPr="009F337B" w:rsidRDefault="00C571EC" w:rsidP="00F608A7">
            <w:pPr>
              <w:jc w:val="left"/>
              <w:rPr>
                <w:sz w:val="16"/>
                <w:szCs w:val="16"/>
                <w:lang w:val="en-US"/>
              </w:rPr>
            </w:pPr>
            <w:r w:rsidRPr="009F337B">
              <w:rPr>
                <w:sz w:val="16"/>
                <w:szCs w:val="16"/>
                <w:lang w:val="en-US"/>
              </w:rPr>
              <w:t>Petrona López Robledo</w:t>
            </w:r>
          </w:p>
        </w:tc>
        <w:tc>
          <w:tcPr>
            <w:tcW w:w="567" w:type="dxa"/>
            <w:vAlign w:val="center"/>
          </w:tcPr>
          <w:p w14:paraId="1C32C5B6" w14:textId="77777777" w:rsidR="00C571EC" w:rsidRPr="009F337B" w:rsidRDefault="00C571EC" w:rsidP="00F608A7">
            <w:pPr>
              <w:jc w:val="left"/>
              <w:rPr>
                <w:sz w:val="16"/>
                <w:szCs w:val="16"/>
                <w:lang w:val="en-US"/>
              </w:rPr>
            </w:pPr>
            <w:r w:rsidRPr="009F337B">
              <w:rPr>
                <w:sz w:val="16"/>
                <w:szCs w:val="16"/>
                <w:lang w:val="en-US"/>
              </w:rPr>
              <w:t>1</w:t>
            </w:r>
          </w:p>
        </w:tc>
        <w:tc>
          <w:tcPr>
            <w:tcW w:w="5211" w:type="dxa"/>
            <w:vAlign w:val="center"/>
          </w:tcPr>
          <w:p w14:paraId="62D787F8" w14:textId="3ACFD02F" w:rsidR="00C571EC" w:rsidRPr="009F337B" w:rsidRDefault="00C571EC" w:rsidP="00F608A7">
            <w:pPr>
              <w:jc w:val="left"/>
              <w:rPr>
                <w:sz w:val="16"/>
                <w:szCs w:val="16"/>
                <w:lang w:val="en-US"/>
              </w:rPr>
            </w:pPr>
            <w:r w:rsidRPr="009F337B">
              <w:rPr>
                <w:sz w:val="16"/>
                <w:szCs w:val="16"/>
                <w:lang w:val="en-US"/>
              </w:rPr>
              <w:t>Marelyn Damaisa Xum López (</w:t>
            </w:r>
            <w:r w:rsidR="0010522A" w:rsidRPr="009F337B">
              <w:rPr>
                <w:sz w:val="16"/>
                <w:szCs w:val="16"/>
                <w:lang w:val="en-US"/>
              </w:rPr>
              <w:t>Daughter</w:t>
            </w:r>
            <w:r w:rsidRPr="009F337B">
              <w:rPr>
                <w:sz w:val="16"/>
                <w:szCs w:val="16"/>
                <w:lang w:val="en-US"/>
              </w:rPr>
              <w:t>)</w:t>
            </w:r>
          </w:p>
        </w:tc>
      </w:tr>
      <w:tr w:rsidR="00C571EC" w:rsidRPr="00310E7A" w14:paraId="28B214F5" w14:textId="77777777" w:rsidTr="0010522A">
        <w:tc>
          <w:tcPr>
            <w:tcW w:w="534" w:type="dxa"/>
            <w:vMerge/>
            <w:vAlign w:val="center"/>
          </w:tcPr>
          <w:p w14:paraId="5E2A1C0B" w14:textId="77777777" w:rsidR="00C571EC" w:rsidRPr="009F337B" w:rsidRDefault="00C571EC" w:rsidP="00F608A7">
            <w:pPr>
              <w:jc w:val="left"/>
              <w:rPr>
                <w:sz w:val="16"/>
                <w:szCs w:val="16"/>
                <w:lang w:val="en-US"/>
              </w:rPr>
            </w:pPr>
          </w:p>
        </w:tc>
        <w:tc>
          <w:tcPr>
            <w:tcW w:w="2976" w:type="dxa"/>
            <w:gridSpan w:val="2"/>
            <w:vMerge/>
            <w:vAlign w:val="center"/>
          </w:tcPr>
          <w:p w14:paraId="1082B97A" w14:textId="77777777" w:rsidR="00C571EC" w:rsidRPr="009F337B" w:rsidRDefault="00C571EC" w:rsidP="00F608A7">
            <w:pPr>
              <w:jc w:val="left"/>
              <w:rPr>
                <w:sz w:val="16"/>
                <w:szCs w:val="16"/>
                <w:lang w:val="en-US"/>
              </w:rPr>
            </w:pPr>
          </w:p>
        </w:tc>
        <w:tc>
          <w:tcPr>
            <w:tcW w:w="567" w:type="dxa"/>
            <w:vAlign w:val="center"/>
          </w:tcPr>
          <w:p w14:paraId="02123658" w14:textId="77777777" w:rsidR="00C571EC" w:rsidRPr="009F337B" w:rsidRDefault="00C571EC" w:rsidP="00F608A7">
            <w:pPr>
              <w:jc w:val="left"/>
              <w:rPr>
                <w:sz w:val="16"/>
                <w:szCs w:val="16"/>
                <w:lang w:val="en-US"/>
              </w:rPr>
            </w:pPr>
            <w:r w:rsidRPr="009F337B">
              <w:rPr>
                <w:sz w:val="16"/>
                <w:szCs w:val="16"/>
                <w:lang w:val="en-US"/>
              </w:rPr>
              <w:t>2</w:t>
            </w:r>
          </w:p>
        </w:tc>
        <w:tc>
          <w:tcPr>
            <w:tcW w:w="5211" w:type="dxa"/>
            <w:vAlign w:val="center"/>
          </w:tcPr>
          <w:p w14:paraId="0FBB8A37" w14:textId="2B8C6E41" w:rsidR="00C571EC" w:rsidRPr="009F337B" w:rsidRDefault="00C571EC" w:rsidP="00F608A7">
            <w:pPr>
              <w:jc w:val="left"/>
              <w:rPr>
                <w:sz w:val="16"/>
                <w:szCs w:val="16"/>
                <w:lang w:val="en-US"/>
              </w:rPr>
            </w:pPr>
            <w:r w:rsidRPr="009F337B">
              <w:rPr>
                <w:sz w:val="16"/>
                <w:szCs w:val="16"/>
                <w:lang w:val="en-US"/>
              </w:rPr>
              <w:t>Juana Sugeidi Xum López (</w:t>
            </w:r>
            <w:r w:rsidR="0010522A" w:rsidRPr="009F337B">
              <w:rPr>
                <w:sz w:val="16"/>
                <w:szCs w:val="16"/>
                <w:lang w:val="en-US"/>
              </w:rPr>
              <w:t>Daughter</w:t>
            </w:r>
            <w:r w:rsidRPr="009F337B">
              <w:rPr>
                <w:sz w:val="16"/>
                <w:szCs w:val="16"/>
                <w:lang w:val="en-US"/>
              </w:rPr>
              <w:t>)</w:t>
            </w:r>
          </w:p>
        </w:tc>
      </w:tr>
      <w:tr w:rsidR="00C571EC" w:rsidRPr="009F337B" w14:paraId="59E764BB" w14:textId="77777777" w:rsidTr="0010522A">
        <w:tc>
          <w:tcPr>
            <w:tcW w:w="534" w:type="dxa"/>
            <w:vMerge/>
            <w:vAlign w:val="center"/>
          </w:tcPr>
          <w:p w14:paraId="52DAD597" w14:textId="77777777" w:rsidR="00C571EC" w:rsidRPr="009F337B" w:rsidRDefault="00C571EC" w:rsidP="00F608A7">
            <w:pPr>
              <w:jc w:val="left"/>
              <w:rPr>
                <w:sz w:val="16"/>
                <w:szCs w:val="16"/>
                <w:lang w:val="en-US"/>
              </w:rPr>
            </w:pPr>
          </w:p>
        </w:tc>
        <w:tc>
          <w:tcPr>
            <w:tcW w:w="2976" w:type="dxa"/>
            <w:gridSpan w:val="2"/>
            <w:vMerge/>
            <w:vAlign w:val="center"/>
          </w:tcPr>
          <w:p w14:paraId="3040F2D9" w14:textId="77777777" w:rsidR="00C571EC" w:rsidRPr="009F337B" w:rsidRDefault="00C571EC" w:rsidP="00F608A7">
            <w:pPr>
              <w:jc w:val="left"/>
              <w:rPr>
                <w:sz w:val="16"/>
                <w:szCs w:val="16"/>
                <w:lang w:val="en-US"/>
              </w:rPr>
            </w:pPr>
          </w:p>
        </w:tc>
        <w:tc>
          <w:tcPr>
            <w:tcW w:w="567" w:type="dxa"/>
            <w:vAlign w:val="center"/>
          </w:tcPr>
          <w:p w14:paraId="46B14560" w14:textId="77777777" w:rsidR="00C571EC" w:rsidRPr="009F337B" w:rsidRDefault="00C571EC" w:rsidP="00F608A7">
            <w:pPr>
              <w:jc w:val="left"/>
              <w:rPr>
                <w:sz w:val="16"/>
                <w:szCs w:val="16"/>
                <w:lang w:val="en-US"/>
              </w:rPr>
            </w:pPr>
            <w:r w:rsidRPr="009F337B">
              <w:rPr>
                <w:sz w:val="16"/>
                <w:szCs w:val="16"/>
                <w:lang w:val="en-US"/>
              </w:rPr>
              <w:t>3</w:t>
            </w:r>
          </w:p>
        </w:tc>
        <w:tc>
          <w:tcPr>
            <w:tcW w:w="5211" w:type="dxa"/>
            <w:vAlign w:val="center"/>
          </w:tcPr>
          <w:p w14:paraId="19BF45D9" w14:textId="2FA2BD7D" w:rsidR="00C571EC" w:rsidRPr="009F337B" w:rsidRDefault="00C571EC" w:rsidP="00F608A7">
            <w:pPr>
              <w:jc w:val="left"/>
              <w:rPr>
                <w:sz w:val="16"/>
                <w:szCs w:val="16"/>
                <w:lang w:val="en-US"/>
              </w:rPr>
            </w:pPr>
            <w:r w:rsidRPr="009F337B">
              <w:rPr>
                <w:sz w:val="16"/>
                <w:szCs w:val="16"/>
                <w:lang w:val="en-US"/>
              </w:rPr>
              <w:t>Marcela Xum Basilio (</w:t>
            </w:r>
            <w:r w:rsidR="0010522A" w:rsidRPr="009F337B">
              <w:rPr>
                <w:sz w:val="16"/>
                <w:szCs w:val="16"/>
                <w:lang w:val="en-US"/>
              </w:rPr>
              <w:t>Aunt</w:t>
            </w:r>
            <w:r w:rsidRPr="009F337B">
              <w:rPr>
                <w:sz w:val="16"/>
                <w:szCs w:val="16"/>
                <w:lang w:val="en-US"/>
              </w:rPr>
              <w:t>)</w:t>
            </w:r>
          </w:p>
        </w:tc>
      </w:tr>
      <w:tr w:rsidR="00C571EC" w:rsidRPr="009F337B" w14:paraId="57367EE6" w14:textId="77777777" w:rsidTr="0010522A">
        <w:tc>
          <w:tcPr>
            <w:tcW w:w="534" w:type="dxa"/>
            <w:vMerge w:val="restart"/>
            <w:vAlign w:val="center"/>
          </w:tcPr>
          <w:p w14:paraId="1D103E0A" w14:textId="77777777" w:rsidR="00C571EC" w:rsidRPr="009F337B" w:rsidRDefault="00C571EC" w:rsidP="00F608A7">
            <w:pPr>
              <w:jc w:val="left"/>
              <w:rPr>
                <w:sz w:val="16"/>
                <w:szCs w:val="16"/>
                <w:lang w:val="en-US"/>
              </w:rPr>
            </w:pPr>
            <w:r w:rsidRPr="009F337B">
              <w:rPr>
                <w:sz w:val="16"/>
                <w:szCs w:val="16"/>
                <w:lang w:val="en-US"/>
              </w:rPr>
              <w:t>5</w:t>
            </w:r>
          </w:p>
        </w:tc>
        <w:tc>
          <w:tcPr>
            <w:tcW w:w="2976" w:type="dxa"/>
            <w:gridSpan w:val="2"/>
            <w:vMerge w:val="restart"/>
            <w:vAlign w:val="center"/>
          </w:tcPr>
          <w:p w14:paraId="1328D2E3" w14:textId="3113FF3D" w:rsidR="00C571EC" w:rsidRPr="009F337B" w:rsidRDefault="00C571EC" w:rsidP="00F608A7">
            <w:pPr>
              <w:jc w:val="left"/>
              <w:rPr>
                <w:sz w:val="16"/>
                <w:szCs w:val="16"/>
                <w:lang w:val="en-US"/>
              </w:rPr>
            </w:pPr>
            <w:r w:rsidRPr="009F337B">
              <w:rPr>
                <w:sz w:val="16"/>
                <w:szCs w:val="16"/>
                <w:lang w:val="en-US"/>
              </w:rPr>
              <w:t>Rita Mariana Dubón Orozco</w:t>
            </w:r>
          </w:p>
        </w:tc>
        <w:tc>
          <w:tcPr>
            <w:tcW w:w="567" w:type="dxa"/>
            <w:vAlign w:val="center"/>
          </w:tcPr>
          <w:p w14:paraId="202F0C5C" w14:textId="77777777" w:rsidR="00C571EC" w:rsidRPr="009F337B" w:rsidRDefault="00C571EC" w:rsidP="00F608A7">
            <w:pPr>
              <w:jc w:val="left"/>
              <w:rPr>
                <w:sz w:val="16"/>
                <w:szCs w:val="16"/>
                <w:lang w:val="en-US"/>
              </w:rPr>
            </w:pPr>
            <w:r w:rsidRPr="009F337B">
              <w:rPr>
                <w:sz w:val="16"/>
                <w:szCs w:val="16"/>
                <w:lang w:val="en-US"/>
              </w:rPr>
              <w:t>1</w:t>
            </w:r>
          </w:p>
        </w:tc>
        <w:tc>
          <w:tcPr>
            <w:tcW w:w="5211" w:type="dxa"/>
            <w:vAlign w:val="center"/>
          </w:tcPr>
          <w:p w14:paraId="47F9DA3F" w14:textId="305EF2BB" w:rsidR="00C571EC" w:rsidRPr="009F337B" w:rsidRDefault="00C571EC" w:rsidP="00F608A7">
            <w:pPr>
              <w:jc w:val="left"/>
              <w:rPr>
                <w:sz w:val="16"/>
                <w:szCs w:val="16"/>
                <w:lang w:val="en-US"/>
              </w:rPr>
            </w:pPr>
            <w:r w:rsidRPr="009F337B">
              <w:rPr>
                <w:sz w:val="16"/>
                <w:szCs w:val="16"/>
                <w:lang w:val="en-US"/>
              </w:rPr>
              <w:t>Rina Haydeé Landaverde (</w:t>
            </w:r>
            <w:r w:rsidR="0010522A" w:rsidRPr="009F337B">
              <w:rPr>
                <w:sz w:val="16"/>
                <w:szCs w:val="16"/>
                <w:lang w:val="en-US"/>
              </w:rPr>
              <w:t>Friend</w:t>
            </w:r>
            <w:r w:rsidRPr="009F337B">
              <w:rPr>
                <w:sz w:val="16"/>
                <w:szCs w:val="16"/>
                <w:lang w:val="en-US"/>
              </w:rPr>
              <w:t>)</w:t>
            </w:r>
          </w:p>
        </w:tc>
      </w:tr>
      <w:tr w:rsidR="00C571EC" w:rsidRPr="009F337B" w14:paraId="5267997D" w14:textId="77777777" w:rsidTr="0010522A">
        <w:tc>
          <w:tcPr>
            <w:tcW w:w="534" w:type="dxa"/>
            <w:vMerge/>
            <w:vAlign w:val="center"/>
          </w:tcPr>
          <w:p w14:paraId="60AF197D" w14:textId="77777777" w:rsidR="00C571EC" w:rsidRPr="009F337B" w:rsidRDefault="00C571EC" w:rsidP="00F608A7">
            <w:pPr>
              <w:jc w:val="left"/>
              <w:rPr>
                <w:sz w:val="16"/>
                <w:szCs w:val="16"/>
                <w:lang w:val="en-US"/>
              </w:rPr>
            </w:pPr>
          </w:p>
        </w:tc>
        <w:tc>
          <w:tcPr>
            <w:tcW w:w="2976" w:type="dxa"/>
            <w:gridSpan w:val="2"/>
            <w:vMerge/>
            <w:vAlign w:val="center"/>
          </w:tcPr>
          <w:p w14:paraId="3871CBBE" w14:textId="77777777" w:rsidR="00C571EC" w:rsidRPr="009F337B" w:rsidRDefault="00C571EC" w:rsidP="00F608A7">
            <w:pPr>
              <w:jc w:val="left"/>
              <w:rPr>
                <w:sz w:val="16"/>
                <w:szCs w:val="16"/>
                <w:lang w:val="en-US"/>
              </w:rPr>
            </w:pPr>
          </w:p>
        </w:tc>
        <w:tc>
          <w:tcPr>
            <w:tcW w:w="567" w:type="dxa"/>
            <w:vAlign w:val="center"/>
          </w:tcPr>
          <w:p w14:paraId="00A2111E" w14:textId="77777777" w:rsidR="00C571EC" w:rsidRPr="009F337B" w:rsidRDefault="00C571EC" w:rsidP="00F608A7">
            <w:pPr>
              <w:jc w:val="left"/>
              <w:rPr>
                <w:sz w:val="16"/>
                <w:szCs w:val="16"/>
                <w:lang w:val="en-US"/>
              </w:rPr>
            </w:pPr>
            <w:r w:rsidRPr="009F337B">
              <w:rPr>
                <w:sz w:val="16"/>
                <w:szCs w:val="16"/>
                <w:lang w:val="en-US"/>
              </w:rPr>
              <w:t>2</w:t>
            </w:r>
          </w:p>
        </w:tc>
        <w:tc>
          <w:tcPr>
            <w:tcW w:w="5211" w:type="dxa"/>
            <w:vAlign w:val="center"/>
          </w:tcPr>
          <w:p w14:paraId="64775E40" w14:textId="2BC39D8F" w:rsidR="00C571EC" w:rsidRPr="00542AB5" w:rsidRDefault="00C571EC" w:rsidP="00F608A7">
            <w:pPr>
              <w:jc w:val="left"/>
              <w:rPr>
                <w:sz w:val="16"/>
                <w:szCs w:val="16"/>
                <w:lang w:val="es-CR"/>
              </w:rPr>
            </w:pPr>
            <w:r w:rsidRPr="00542AB5">
              <w:rPr>
                <w:sz w:val="16"/>
                <w:szCs w:val="16"/>
                <w:lang w:val="es-CR"/>
              </w:rPr>
              <w:t>Luz Imelda Lucas de León (</w:t>
            </w:r>
            <w:r w:rsidR="0010522A" w:rsidRPr="00542AB5">
              <w:rPr>
                <w:sz w:val="16"/>
                <w:szCs w:val="16"/>
                <w:lang w:val="es-CR"/>
              </w:rPr>
              <w:t>Friend</w:t>
            </w:r>
            <w:r w:rsidRPr="00542AB5">
              <w:rPr>
                <w:sz w:val="16"/>
                <w:szCs w:val="16"/>
                <w:lang w:val="es-CR"/>
              </w:rPr>
              <w:t>)</w:t>
            </w:r>
          </w:p>
        </w:tc>
      </w:tr>
      <w:tr w:rsidR="00C571EC" w:rsidRPr="009F337B" w14:paraId="45C5ADA1" w14:textId="77777777" w:rsidTr="0010522A">
        <w:tc>
          <w:tcPr>
            <w:tcW w:w="534" w:type="dxa"/>
            <w:vMerge/>
            <w:vAlign w:val="center"/>
          </w:tcPr>
          <w:p w14:paraId="6B78265A" w14:textId="77777777" w:rsidR="00C571EC" w:rsidRPr="00542AB5" w:rsidRDefault="00C571EC" w:rsidP="00F608A7">
            <w:pPr>
              <w:jc w:val="left"/>
              <w:rPr>
                <w:sz w:val="16"/>
                <w:szCs w:val="16"/>
                <w:lang w:val="es-CR"/>
              </w:rPr>
            </w:pPr>
          </w:p>
        </w:tc>
        <w:tc>
          <w:tcPr>
            <w:tcW w:w="2976" w:type="dxa"/>
            <w:gridSpan w:val="2"/>
            <w:vMerge/>
            <w:vAlign w:val="center"/>
          </w:tcPr>
          <w:p w14:paraId="7B6431A5" w14:textId="77777777" w:rsidR="00C571EC" w:rsidRPr="00542AB5" w:rsidRDefault="00C571EC" w:rsidP="00F608A7">
            <w:pPr>
              <w:jc w:val="left"/>
              <w:rPr>
                <w:sz w:val="16"/>
                <w:szCs w:val="16"/>
                <w:lang w:val="es-CR"/>
              </w:rPr>
            </w:pPr>
          </w:p>
        </w:tc>
        <w:tc>
          <w:tcPr>
            <w:tcW w:w="567" w:type="dxa"/>
            <w:vAlign w:val="center"/>
          </w:tcPr>
          <w:p w14:paraId="4DD176CF" w14:textId="77777777" w:rsidR="00C571EC" w:rsidRPr="009F337B" w:rsidRDefault="00C571EC" w:rsidP="00F608A7">
            <w:pPr>
              <w:jc w:val="left"/>
              <w:rPr>
                <w:sz w:val="16"/>
                <w:szCs w:val="16"/>
                <w:lang w:val="en-US"/>
              </w:rPr>
            </w:pPr>
            <w:r w:rsidRPr="009F337B">
              <w:rPr>
                <w:sz w:val="16"/>
                <w:szCs w:val="16"/>
                <w:lang w:val="en-US"/>
              </w:rPr>
              <w:t>3</w:t>
            </w:r>
          </w:p>
        </w:tc>
        <w:tc>
          <w:tcPr>
            <w:tcW w:w="5211" w:type="dxa"/>
            <w:vAlign w:val="center"/>
          </w:tcPr>
          <w:p w14:paraId="77C7C461" w14:textId="7680145F" w:rsidR="00C571EC" w:rsidRPr="009F337B" w:rsidRDefault="00C571EC" w:rsidP="00F608A7">
            <w:pPr>
              <w:jc w:val="left"/>
              <w:rPr>
                <w:sz w:val="16"/>
                <w:szCs w:val="16"/>
                <w:lang w:val="en-US"/>
              </w:rPr>
            </w:pPr>
            <w:r w:rsidRPr="009F337B">
              <w:rPr>
                <w:sz w:val="16"/>
                <w:szCs w:val="16"/>
                <w:lang w:val="en-US"/>
              </w:rPr>
              <w:t>Gladys Miner</w:t>
            </w:r>
            <w:r w:rsidR="00631245" w:rsidRPr="009F337B">
              <w:rPr>
                <w:sz w:val="16"/>
                <w:szCs w:val="16"/>
                <w:lang w:val="en-US"/>
              </w:rPr>
              <w:t>b</w:t>
            </w:r>
            <w:r w:rsidRPr="009F337B">
              <w:rPr>
                <w:sz w:val="16"/>
                <w:szCs w:val="16"/>
                <w:lang w:val="en-US"/>
              </w:rPr>
              <w:t>a Ch</w:t>
            </w:r>
            <w:r w:rsidR="00B65941" w:rsidRPr="009F337B">
              <w:rPr>
                <w:sz w:val="16"/>
                <w:szCs w:val="16"/>
                <w:lang w:val="en-US"/>
              </w:rPr>
              <w:t>á</w:t>
            </w:r>
            <w:r w:rsidRPr="009F337B">
              <w:rPr>
                <w:sz w:val="16"/>
                <w:szCs w:val="16"/>
                <w:lang w:val="en-US"/>
              </w:rPr>
              <w:t>vez Juárez (</w:t>
            </w:r>
            <w:r w:rsidR="0010522A" w:rsidRPr="009F337B">
              <w:rPr>
                <w:sz w:val="16"/>
                <w:szCs w:val="16"/>
                <w:lang w:val="en-US"/>
              </w:rPr>
              <w:t>Friend</w:t>
            </w:r>
            <w:r w:rsidRPr="009F337B">
              <w:rPr>
                <w:sz w:val="16"/>
                <w:szCs w:val="16"/>
                <w:lang w:val="en-US"/>
              </w:rPr>
              <w:t>)</w:t>
            </w:r>
          </w:p>
        </w:tc>
      </w:tr>
      <w:tr w:rsidR="00C571EC" w:rsidRPr="009F337B" w14:paraId="74102D5B" w14:textId="77777777" w:rsidTr="0010522A">
        <w:tc>
          <w:tcPr>
            <w:tcW w:w="534" w:type="dxa"/>
            <w:vAlign w:val="center"/>
          </w:tcPr>
          <w:p w14:paraId="4BA2E503" w14:textId="77777777" w:rsidR="00C571EC" w:rsidRPr="009F337B" w:rsidRDefault="00C571EC" w:rsidP="00F608A7">
            <w:pPr>
              <w:jc w:val="left"/>
              <w:rPr>
                <w:sz w:val="16"/>
                <w:szCs w:val="16"/>
                <w:lang w:val="en-US"/>
              </w:rPr>
            </w:pPr>
            <w:r w:rsidRPr="009F337B">
              <w:rPr>
                <w:sz w:val="16"/>
                <w:szCs w:val="16"/>
                <w:lang w:val="en-US"/>
              </w:rPr>
              <w:t>6</w:t>
            </w:r>
          </w:p>
        </w:tc>
        <w:tc>
          <w:tcPr>
            <w:tcW w:w="2976" w:type="dxa"/>
            <w:gridSpan w:val="2"/>
            <w:vAlign w:val="center"/>
          </w:tcPr>
          <w:p w14:paraId="433870AB" w14:textId="67339F0D" w:rsidR="00C571EC" w:rsidRPr="009F337B" w:rsidRDefault="00C571EC" w:rsidP="00F608A7">
            <w:pPr>
              <w:jc w:val="left"/>
              <w:rPr>
                <w:sz w:val="16"/>
                <w:szCs w:val="16"/>
                <w:lang w:val="en-US"/>
              </w:rPr>
            </w:pPr>
            <w:r w:rsidRPr="009F337B">
              <w:rPr>
                <w:sz w:val="16"/>
                <w:szCs w:val="16"/>
                <w:lang w:val="en-US"/>
              </w:rPr>
              <w:t xml:space="preserve">Luis Edwin Cruz </w:t>
            </w:r>
            <w:r w:rsidR="006F5D7B" w:rsidRPr="009F337B">
              <w:rPr>
                <w:sz w:val="16"/>
                <w:szCs w:val="16"/>
                <w:lang w:val="en-US"/>
              </w:rPr>
              <w:t>Gramajo</w:t>
            </w:r>
          </w:p>
        </w:tc>
        <w:tc>
          <w:tcPr>
            <w:tcW w:w="567" w:type="dxa"/>
            <w:vAlign w:val="center"/>
          </w:tcPr>
          <w:p w14:paraId="67471C05" w14:textId="40AC54EB" w:rsidR="00C571EC" w:rsidRPr="009F337B" w:rsidRDefault="00C571EC" w:rsidP="00F608A7">
            <w:pPr>
              <w:jc w:val="left"/>
              <w:rPr>
                <w:sz w:val="16"/>
                <w:szCs w:val="16"/>
                <w:lang w:val="en-US"/>
              </w:rPr>
            </w:pPr>
          </w:p>
        </w:tc>
        <w:tc>
          <w:tcPr>
            <w:tcW w:w="5211" w:type="dxa"/>
            <w:vAlign w:val="center"/>
          </w:tcPr>
          <w:p w14:paraId="2E0AEC18" w14:textId="5EBD54AF" w:rsidR="00C571EC" w:rsidRPr="009F337B" w:rsidRDefault="0010522A" w:rsidP="00F608A7">
            <w:pPr>
              <w:jc w:val="left"/>
              <w:rPr>
                <w:sz w:val="16"/>
                <w:szCs w:val="16"/>
                <w:lang w:val="en-US"/>
              </w:rPr>
            </w:pPr>
            <w:r w:rsidRPr="009F337B">
              <w:rPr>
                <w:sz w:val="16"/>
                <w:szCs w:val="16"/>
                <w:lang w:val="en-US"/>
              </w:rPr>
              <w:t>No information available</w:t>
            </w:r>
            <w:r w:rsidR="0097610B" w:rsidRPr="009F337B">
              <w:rPr>
                <w:sz w:val="16"/>
                <w:szCs w:val="16"/>
                <w:lang w:val="en-US"/>
              </w:rPr>
              <w:t>.</w:t>
            </w:r>
          </w:p>
        </w:tc>
      </w:tr>
      <w:tr w:rsidR="00C571EC" w:rsidRPr="009F337B" w14:paraId="7D718E5C" w14:textId="77777777" w:rsidTr="0010522A">
        <w:tc>
          <w:tcPr>
            <w:tcW w:w="534" w:type="dxa"/>
            <w:vMerge w:val="restart"/>
            <w:vAlign w:val="center"/>
          </w:tcPr>
          <w:p w14:paraId="01F22605" w14:textId="77777777" w:rsidR="00C571EC" w:rsidRPr="009F337B" w:rsidRDefault="00C571EC" w:rsidP="00F608A7">
            <w:pPr>
              <w:jc w:val="left"/>
              <w:rPr>
                <w:sz w:val="16"/>
                <w:szCs w:val="16"/>
                <w:lang w:val="en-US"/>
              </w:rPr>
            </w:pPr>
            <w:r w:rsidRPr="009F337B">
              <w:rPr>
                <w:sz w:val="16"/>
                <w:szCs w:val="16"/>
                <w:lang w:val="en-US"/>
              </w:rPr>
              <w:t>7</w:t>
            </w:r>
          </w:p>
        </w:tc>
        <w:tc>
          <w:tcPr>
            <w:tcW w:w="2976" w:type="dxa"/>
            <w:gridSpan w:val="2"/>
            <w:vMerge w:val="restart"/>
            <w:vAlign w:val="center"/>
          </w:tcPr>
          <w:p w14:paraId="41A9518D" w14:textId="42699209" w:rsidR="00C571EC" w:rsidRPr="009F337B" w:rsidRDefault="00C571EC" w:rsidP="00F608A7">
            <w:pPr>
              <w:jc w:val="left"/>
              <w:rPr>
                <w:sz w:val="16"/>
                <w:szCs w:val="16"/>
                <w:lang w:val="en-US"/>
              </w:rPr>
            </w:pPr>
            <w:r w:rsidRPr="009F337B">
              <w:rPr>
                <w:sz w:val="16"/>
                <w:szCs w:val="16"/>
                <w:lang w:val="en-US"/>
              </w:rPr>
              <w:t>María Blanca Va</w:t>
            </w:r>
            <w:r w:rsidR="005A4F13" w:rsidRPr="009F337B">
              <w:rPr>
                <w:sz w:val="16"/>
                <w:szCs w:val="16"/>
                <w:lang w:val="en-US"/>
              </w:rPr>
              <w:t>í</w:t>
            </w:r>
            <w:r w:rsidR="004356CE" w:rsidRPr="009F337B">
              <w:rPr>
                <w:sz w:val="16"/>
                <w:szCs w:val="16"/>
                <w:lang w:val="en-US"/>
              </w:rPr>
              <w:t>l</w:t>
            </w:r>
            <w:r w:rsidRPr="009F337B">
              <w:rPr>
                <w:sz w:val="16"/>
                <w:szCs w:val="16"/>
                <w:lang w:val="en-US"/>
              </w:rPr>
              <w:t xml:space="preserve"> López</w:t>
            </w:r>
          </w:p>
        </w:tc>
        <w:tc>
          <w:tcPr>
            <w:tcW w:w="567" w:type="dxa"/>
            <w:vAlign w:val="center"/>
          </w:tcPr>
          <w:p w14:paraId="17AA6FDC" w14:textId="77777777" w:rsidR="00C571EC" w:rsidRPr="009F337B" w:rsidRDefault="00C571EC" w:rsidP="00F608A7">
            <w:pPr>
              <w:jc w:val="left"/>
              <w:rPr>
                <w:sz w:val="16"/>
                <w:szCs w:val="16"/>
                <w:lang w:val="en-US"/>
              </w:rPr>
            </w:pPr>
            <w:r w:rsidRPr="009F337B">
              <w:rPr>
                <w:sz w:val="16"/>
                <w:szCs w:val="16"/>
                <w:lang w:val="en-US"/>
              </w:rPr>
              <w:t>1</w:t>
            </w:r>
          </w:p>
        </w:tc>
        <w:tc>
          <w:tcPr>
            <w:tcW w:w="5211" w:type="dxa"/>
            <w:vAlign w:val="center"/>
          </w:tcPr>
          <w:p w14:paraId="0092090B" w14:textId="68583FA2" w:rsidR="00C571EC" w:rsidRPr="009F337B" w:rsidRDefault="00666842" w:rsidP="00F608A7">
            <w:pPr>
              <w:jc w:val="left"/>
              <w:rPr>
                <w:sz w:val="16"/>
                <w:szCs w:val="16"/>
                <w:lang w:val="en-US"/>
              </w:rPr>
            </w:pPr>
            <w:r w:rsidRPr="009F337B">
              <w:rPr>
                <w:sz w:val="16"/>
                <w:szCs w:val="16"/>
                <w:lang w:val="en-US"/>
              </w:rPr>
              <w:t>Javier Pérez (</w:t>
            </w:r>
            <w:r w:rsidR="0010522A" w:rsidRPr="009F337B">
              <w:rPr>
                <w:sz w:val="16"/>
                <w:szCs w:val="16"/>
                <w:lang w:val="en-US"/>
              </w:rPr>
              <w:t>Husband</w:t>
            </w:r>
            <w:r w:rsidR="00C571EC" w:rsidRPr="009F337B">
              <w:rPr>
                <w:sz w:val="16"/>
                <w:szCs w:val="16"/>
                <w:lang w:val="en-US"/>
              </w:rPr>
              <w:t>)</w:t>
            </w:r>
          </w:p>
        </w:tc>
      </w:tr>
      <w:tr w:rsidR="00C571EC" w:rsidRPr="009F337B" w14:paraId="09E4452B" w14:textId="77777777" w:rsidTr="0010522A">
        <w:tc>
          <w:tcPr>
            <w:tcW w:w="534" w:type="dxa"/>
            <w:vMerge/>
            <w:vAlign w:val="center"/>
          </w:tcPr>
          <w:p w14:paraId="086F5570" w14:textId="77777777" w:rsidR="00C571EC" w:rsidRPr="009F337B" w:rsidRDefault="00C571EC" w:rsidP="00F608A7">
            <w:pPr>
              <w:jc w:val="left"/>
              <w:rPr>
                <w:sz w:val="16"/>
                <w:szCs w:val="16"/>
                <w:lang w:val="en-US"/>
              </w:rPr>
            </w:pPr>
          </w:p>
        </w:tc>
        <w:tc>
          <w:tcPr>
            <w:tcW w:w="2976" w:type="dxa"/>
            <w:gridSpan w:val="2"/>
            <w:vMerge/>
            <w:vAlign w:val="center"/>
          </w:tcPr>
          <w:p w14:paraId="322D6BDA" w14:textId="77777777" w:rsidR="00C571EC" w:rsidRPr="009F337B" w:rsidRDefault="00C571EC" w:rsidP="00F608A7">
            <w:pPr>
              <w:jc w:val="left"/>
              <w:rPr>
                <w:sz w:val="16"/>
                <w:szCs w:val="16"/>
                <w:lang w:val="en-US"/>
              </w:rPr>
            </w:pPr>
          </w:p>
        </w:tc>
        <w:tc>
          <w:tcPr>
            <w:tcW w:w="567" w:type="dxa"/>
            <w:vAlign w:val="center"/>
          </w:tcPr>
          <w:p w14:paraId="138F4C96" w14:textId="77777777" w:rsidR="00C571EC" w:rsidRPr="009F337B" w:rsidRDefault="00C571EC" w:rsidP="00F608A7">
            <w:pPr>
              <w:jc w:val="left"/>
              <w:rPr>
                <w:sz w:val="16"/>
                <w:szCs w:val="16"/>
                <w:lang w:val="en-US"/>
              </w:rPr>
            </w:pPr>
            <w:r w:rsidRPr="009F337B">
              <w:rPr>
                <w:sz w:val="16"/>
                <w:szCs w:val="16"/>
                <w:lang w:val="en-US"/>
              </w:rPr>
              <w:t>2</w:t>
            </w:r>
          </w:p>
        </w:tc>
        <w:tc>
          <w:tcPr>
            <w:tcW w:w="5211" w:type="dxa"/>
            <w:vAlign w:val="center"/>
          </w:tcPr>
          <w:p w14:paraId="7B79C76B" w14:textId="51FC5EF2" w:rsidR="00C571EC" w:rsidRPr="009F337B" w:rsidRDefault="00C571EC" w:rsidP="00F608A7">
            <w:pPr>
              <w:jc w:val="left"/>
              <w:rPr>
                <w:sz w:val="16"/>
                <w:szCs w:val="16"/>
                <w:lang w:val="en-US"/>
              </w:rPr>
            </w:pPr>
            <w:r w:rsidRPr="009F337B">
              <w:rPr>
                <w:sz w:val="16"/>
                <w:szCs w:val="16"/>
                <w:lang w:val="en-US"/>
              </w:rPr>
              <w:t>Antonio Va</w:t>
            </w:r>
            <w:r w:rsidR="006B3158" w:rsidRPr="009F337B">
              <w:rPr>
                <w:sz w:val="16"/>
                <w:szCs w:val="16"/>
                <w:lang w:val="en-US"/>
              </w:rPr>
              <w:t>í</w:t>
            </w:r>
            <w:r w:rsidRPr="009F337B">
              <w:rPr>
                <w:sz w:val="16"/>
                <w:szCs w:val="16"/>
                <w:lang w:val="en-US"/>
              </w:rPr>
              <w:t>l Molina (</w:t>
            </w:r>
            <w:r w:rsidR="0010522A" w:rsidRPr="009F337B">
              <w:rPr>
                <w:sz w:val="16"/>
                <w:szCs w:val="16"/>
                <w:lang w:val="en-US"/>
              </w:rPr>
              <w:t>Father</w:t>
            </w:r>
            <w:r w:rsidRPr="009F337B">
              <w:rPr>
                <w:sz w:val="16"/>
                <w:szCs w:val="16"/>
                <w:lang w:val="en-US"/>
              </w:rPr>
              <w:t>)</w:t>
            </w:r>
          </w:p>
        </w:tc>
      </w:tr>
      <w:tr w:rsidR="00C571EC" w:rsidRPr="00310E7A" w14:paraId="63E7BC36" w14:textId="77777777" w:rsidTr="0010522A">
        <w:tc>
          <w:tcPr>
            <w:tcW w:w="534" w:type="dxa"/>
            <w:vMerge/>
            <w:vAlign w:val="center"/>
          </w:tcPr>
          <w:p w14:paraId="153E2850" w14:textId="77777777" w:rsidR="00C571EC" w:rsidRPr="009F337B" w:rsidRDefault="00C571EC" w:rsidP="00F608A7">
            <w:pPr>
              <w:jc w:val="left"/>
              <w:rPr>
                <w:sz w:val="16"/>
                <w:szCs w:val="16"/>
                <w:lang w:val="en-US"/>
              </w:rPr>
            </w:pPr>
          </w:p>
        </w:tc>
        <w:tc>
          <w:tcPr>
            <w:tcW w:w="2976" w:type="dxa"/>
            <w:gridSpan w:val="2"/>
            <w:vMerge/>
            <w:vAlign w:val="center"/>
          </w:tcPr>
          <w:p w14:paraId="0C9D468E" w14:textId="77777777" w:rsidR="00C571EC" w:rsidRPr="009F337B" w:rsidRDefault="00C571EC" w:rsidP="00F608A7">
            <w:pPr>
              <w:jc w:val="left"/>
              <w:rPr>
                <w:sz w:val="16"/>
                <w:szCs w:val="16"/>
                <w:lang w:val="en-US"/>
              </w:rPr>
            </w:pPr>
          </w:p>
        </w:tc>
        <w:tc>
          <w:tcPr>
            <w:tcW w:w="567" w:type="dxa"/>
            <w:vAlign w:val="center"/>
          </w:tcPr>
          <w:p w14:paraId="08A85FA0" w14:textId="77777777" w:rsidR="00C571EC" w:rsidRPr="009F337B" w:rsidRDefault="00C571EC" w:rsidP="00F608A7">
            <w:pPr>
              <w:jc w:val="left"/>
              <w:rPr>
                <w:sz w:val="16"/>
                <w:szCs w:val="16"/>
                <w:lang w:val="en-US"/>
              </w:rPr>
            </w:pPr>
            <w:r w:rsidRPr="009F337B">
              <w:rPr>
                <w:sz w:val="16"/>
                <w:szCs w:val="16"/>
                <w:lang w:val="en-US"/>
              </w:rPr>
              <w:t>3</w:t>
            </w:r>
          </w:p>
        </w:tc>
        <w:tc>
          <w:tcPr>
            <w:tcW w:w="5211" w:type="dxa"/>
            <w:vAlign w:val="center"/>
          </w:tcPr>
          <w:p w14:paraId="3E692CC8" w14:textId="3C667620" w:rsidR="00C571EC" w:rsidRPr="009F337B" w:rsidRDefault="00A3363E" w:rsidP="00F608A7">
            <w:pPr>
              <w:jc w:val="left"/>
              <w:rPr>
                <w:sz w:val="16"/>
                <w:szCs w:val="16"/>
                <w:lang w:val="en-US"/>
              </w:rPr>
            </w:pPr>
            <w:r w:rsidRPr="009F337B">
              <w:rPr>
                <w:sz w:val="16"/>
                <w:szCs w:val="16"/>
                <w:lang w:val="en-US"/>
              </w:rPr>
              <w:t>Lexana Rosbety Pérez Va</w:t>
            </w:r>
            <w:r w:rsidR="005A4F13" w:rsidRPr="009F337B">
              <w:rPr>
                <w:sz w:val="16"/>
                <w:szCs w:val="16"/>
                <w:lang w:val="en-US"/>
              </w:rPr>
              <w:t>í</w:t>
            </w:r>
            <w:r w:rsidR="00C571EC" w:rsidRPr="009F337B">
              <w:rPr>
                <w:sz w:val="16"/>
                <w:szCs w:val="16"/>
                <w:lang w:val="en-US"/>
              </w:rPr>
              <w:t>l (</w:t>
            </w:r>
            <w:r w:rsidR="0010522A" w:rsidRPr="009F337B">
              <w:rPr>
                <w:sz w:val="16"/>
                <w:szCs w:val="16"/>
                <w:lang w:val="en-US"/>
              </w:rPr>
              <w:t>Daughter</w:t>
            </w:r>
            <w:r w:rsidR="00C571EC" w:rsidRPr="009F337B">
              <w:rPr>
                <w:sz w:val="16"/>
                <w:szCs w:val="16"/>
                <w:lang w:val="en-US"/>
              </w:rPr>
              <w:t>)</w:t>
            </w:r>
          </w:p>
        </w:tc>
      </w:tr>
      <w:tr w:rsidR="00C571EC" w:rsidRPr="009F337B" w14:paraId="2E759F69" w14:textId="77777777" w:rsidTr="0010522A">
        <w:tc>
          <w:tcPr>
            <w:tcW w:w="534" w:type="dxa"/>
            <w:vMerge/>
            <w:vAlign w:val="center"/>
          </w:tcPr>
          <w:p w14:paraId="4C2C4F5D" w14:textId="77777777" w:rsidR="00C571EC" w:rsidRPr="009F337B" w:rsidRDefault="00C571EC" w:rsidP="00F608A7">
            <w:pPr>
              <w:jc w:val="left"/>
              <w:rPr>
                <w:sz w:val="16"/>
                <w:szCs w:val="16"/>
                <w:lang w:val="en-US"/>
              </w:rPr>
            </w:pPr>
          </w:p>
        </w:tc>
        <w:tc>
          <w:tcPr>
            <w:tcW w:w="2976" w:type="dxa"/>
            <w:gridSpan w:val="2"/>
            <w:vMerge/>
            <w:vAlign w:val="center"/>
          </w:tcPr>
          <w:p w14:paraId="5AED8444" w14:textId="77777777" w:rsidR="00C571EC" w:rsidRPr="009F337B" w:rsidRDefault="00C571EC" w:rsidP="00F608A7">
            <w:pPr>
              <w:jc w:val="left"/>
              <w:rPr>
                <w:sz w:val="16"/>
                <w:szCs w:val="16"/>
                <w:lang w:val="en-US"/>
              </w:rPr>
            </w:pPr>
          </w:p>
        </w:tc>
        <w:tc>
          <w:tcPr>
            <w:tcW w:w="567" w:type="dxa"/>
            <w:vAlign w:val="center"/>
          </w:tcPr>
          <w:p w14:paraId="64F80A9B" w14:textId="77777777" w:rsidR="00C571EC" w:rsidRPr="009F337B" w:rsidRDefault="00C571EC" w:rsidP="00F608A7">
            <w:pPr>
              <w:jc w:val="left"/>
              <w:rPr>
                <w:sz w:val="16"/>
                <w:szCs w:val="16"/>
                <w:lang w:val="en-US"/>
              </w:rPr>
            </w:pPr>
            <w:r w:rsidRPr="009F337B">
              <w:rPr>
                <w:sz w:val="16"/>
                <w:szCs w:val="16"/>
                <w:lang w:val="en-US"/>
              </w:rPr>
              <w:t>4</w:t>
            </w:r>
          </w:p>
        </w:tc>
        <w:tc>
          <w:tcPr>
            <w:tcW w:w="5211" w:type="dxa"/>
            <w:vAlign w:val="center"/>
          </w:tcPr>
          <w:p w14:paraId="1ABBB759" w14:textId="02101A01" w:rsidR="00C571EC" w:rsidRPr="00542AB5" w:rsidRDefault="00C571EC" w:rsidP="00F608A7">
            <w:pPr>
              <w:jc w:val="left"/>
              <w:rPr>
                <w:sz w:val="16"/>
                <w:szCs w:val="16"/>
                <w:lang w:val="es-CR"/>
              </w:rPr>
            </w:pPr>
            <w:r w:rsidRPr="00542AB5">
              <w:rPr>
                <w:sz w:val="16"/>
                <w:szCs w:val="16"/>
                <w:lang w:val="es-CR"/>
              </w:rPr>
              <w:t>Alba Azucen</w:t>
            </w:r>
            <w:r w:rsidR="00434CC1" w:rsidRPr="00542AB5">
              <w:rPr>
                <w:sz w:val="16"/>
                <w:szCs w:val="16"/>
                <w:lang w:val="es-CR"/>
              </w:rPr>
              <w:t>a Va</w:t>
            </w:r>
            <w:r w:rsidR="005A4F13" w:rsidRPr="00542AB5">
              <w:rPr>
                <w:sz w:val="16"/>
                <w:szCs w:val="16"/>
                <w:lang w:val="es-CR"/>
              </w:rPr>
              <w:t>í</w:t>
            </w:r>
            <w:r w:rsidRPr="00542AB5">
              <w:rPr>
                <w:sz w:val="16"/>
                <w:szCs w:val="16"/>
                <w:lang w:val="es-CR"/>
              </w:rPr>
              <w:t>l López (</w:t>
            </w:r>
            <w:r w:rsidR="0010522A" w:rsidRPr="00542AB5">
              <w:rPr>
                <w:sz w:val="16"/>
                <w:szCs w:val="16"/>
                <w:lang w:val="es-CR"/>
              </w:rPr>
              <w:t>Sister</w:t>
            </w:r>
            <w:r w:rsidRPr="00542AB5">
              <w:rPr>
                <w:sz w:val="16"/>
                <w:szCs w:val="16"/>
                <w:lang w:val="es-CR"/>
              </w:rPr>
              <w:t>)</w:t>
            </w:r>
          </w:p>
        </w:tc>
      </w:tr>
      <w:tr w:rsidR="00C571EC" w:rsidRPr="009F337B" w14:paraId="6730B46D" w14:textId="77777777" w:rsidTr="0010522A">
        <w:tc>
          <w:tcPr>
            <w:tcW w:w="534" w:type="dxa"/>
            <w:vMerge/>
            <w:vAlign w:val="center"/>
          </w:tcPr>
          <w:p w14:paraId="71713CF5" w14:textId="77777777" w:rsidR="00C571EC" w:rsidRPr="00542AB5" w:rsidRDefault="00C571EC" w:rsidP="00F608A7">
            <w:pPr>
              <w:jc w:val="left"/>
              <w:rPr>
                <w:sz w:val="16"/>
                <w:szCs w:val="16"/>
                <w:lang w:val="es-CR"/>
              </w:rPr>
            </w:pPr>
          </w:p>
        </w:tc>
        <w:tc>
          <w:tcPr>
            <w:tcW w:w="2976" w:type="dxa"/>
            <w:gridSpan w:val="2"/>
            <w:vMerge/>
            <w:vAlign w:val="center"/>
          </w:tcPr>
          <w:p w14:paraId="203C7D97" w14:textId="77777777" w:rsidR="00C571EC" w:rsidRPr="00542AB5" w:rsidRDefault="00C571EC" w:rsidP="00F608A7">
            <w:pPr>
              <w:jc w:val="left"/>
              <w:rPr>
                <w:sz w:val="16"/>
                <w:szCs w:val="16"/>
                <w:lang w:val="es-CR"/>
              </w:rPr>
            </w:pPr>
          </w:p>
        </w:tc>
        <w:tc>
          <w:tcPr>
            <w:tcW w:w="567" w:type="dxa"/>
            <w:vAlign w:val="center"/>
          </w:tcPr>
          <w:p w14:paraId="4BAAC3A0" w14:textId="77777777" w:rsidR="00C571EC" w:rsidRPr="009F337B" w:rsidRDefault="00C571EC" w:rsidP="00F608A7">
            <w:pPr>
              <w:jc w:val="left"/>
              <w:rPr>
                <w:sz w:val="16"/>
                <w:szCs w:val="16"/>
                <w:lang w:val="en-US"/>
              </w:rPr>
            </w:pPr>
            <w:r w:rsidRPr="009F337B">
              <w:rPr>
                <w:sz w:val="16"/>
                <w:szCs w:val="16"/>
                <w:lang w:val="en-US"/>
              </w:rPr>
              <w:t>5</w:t>
            </w:r>
          </w:p>
        </w:tc>
        <w:tc>
          <w:tcPr>
            <w:tcW w:w="5211" w:type="dxa"/>
            <w:vAlign w:val="center"/>
          </w:tcPr>
          <w:p w14:paraId="711FACAF" w14:textId="4079968C" w:rsidR="00C571EC" w:rsidRPr="00542AB5" w:rsidRDefault="00434CC1" w:rsidP="00F608A7">
            <w:pPr>
              <w:jc w:val="left"/>
              <w:rPr>
                <w:sz w:val="16"/>
                <w:szCs w:val="16"/>
                <w:lang w:val="es-CR"/>
              </w:rPr>
            </w:pPr>
            <w:r w:rsidRPr="00542AB5">
              <w:rPr>
                <w:sz w:val="16"/>
                <w:szCs w:val="16"/>
                <w:lang w:val="es-CR"/>
              </w:rPr>
              <w:t>América Leticia Va</w:t>
            </w:r>
            <w:r w:rsidR="005A4F13" w:rsidRPr="00542AB5">
              <w:rPr>
                <w:sz w:val="16"/>
                <w:szCs w:val="16"/>
                <w:lang w:val="es-CR"/>
              </w:rPr>
              <w:t>í</w:t>
            </w:r>
            <w:r w:rsidR="00C571EC" w:rsidRPr="00542AB5">
              <w:rPr>
                <w:sz w:val="16"/>
                <w:szCs w:val="16"/>
                <w:lang w:val="es-CR"/>
              </w:rPr>
              <w:t>l López (</w:t>
            </w:r>
            <w:r w:rsidR="0010522A" w:rsidRPr="00542AB5">
              <w:rPr>
                <w:sz w:val="16"/>
                <w:szCs w:val="16"/>
                <w:lang w:val="es-CR"/>
              </w:rPr>
              <w:t>Sister</w:t>
            </w:r>
            <w:r w:rsidR="00C571EC" w:rsidRPr="00542AB5">
              <w:rPr>
                <w:sz w:val="16"/>
                <w:szCs w:val="16"/>
                <w:lang w:val="es-CR"/>
              </w:rPr>
              <w:t>)</w:t>
            </w:r>
          </w:p>
        </w:tc>
      </w:tr>
      <w:tr w:rsidR="00C571EC" w:rsidRPr="009F337B" w14:paraId="2EA4854A" w14:textId="77777777" w:rsidTr="0010522A">
        <w:tc>
          <w:tcPr>
            <w:tcW w:w="534" w:type="dxa"/>
            <w:vMerge/>
            <w:vAlign w:val="center"/>
          </w:tcPr>
          <w:p w14:paraId="5286A75E" w14:textId="77777777" w:rsidR="00C571EC" w:rsidRPr="00542AB5" w:rsidRDefault="00C571EC" w:rsidP="00F608A7">
            <w:pPr>
              <w:jc w:val="left"/>
              <w:rPr>
                <w:sz w:val="16"/>
                <w:szCs w:val="16"/>
                <w:lang w:val="es-CR"/>
              </w:rPr>
            </w:pPr>
          </w:p>
        </w:tc>
        <w:tc>
          <w:tcPr>
            <w:tcW w:w="2976" w:type="dxa"/>
            <w:gridSpan w:val="2"/>
            <w:vMerge/>
            <w:vAlign w:val="center"/>
          </w:tcPr>
          <w:p w14:paraId="12CF9EF6" w14:textId="77777777" w:rsidR="00C571EC" w:rsidRPr="00542AB5" w:rsidRDefault="00C571EC" w:rsidP="00F608A7">
            <w:pPr>
              <w:jc w:val="left"/>
              <w:rPr>
                <w:sz w:val="16"/>
                <w:szCs w:val="16"/>
                <w:lang w:val="es-CR"/>
              </w:rPr>
            </w:pPr>
          </w:p>
        </w:tc>
        <w:tc>
          <w:tcPr>
            <w:tcW w:w="567" w:type="dxa"/>
            <w:vAlign w:val="center"/>
          </w:tcPr>
          <w:p w14:paraId="421206BA" w14:textId="77777777" w:rsidR="00C571EC" w:rsidRPr="009F337B" w:rsidRDefault="00C571EC" w:rsidP="00F608A7">
            <w:pPr>
              <w:jc w:val="left"/>
              <w:rPr>
                <w:sz w:val="16"/>
                <w:szCs w:val="16"/>
                <w:lang w:val="en-US"/>
              </w:rPr>
            </w:pPr>
            <w:r w:rsidRPr="009F337B">
              <w:rPr>
                <w:sz w:val="16"/>
                <w:szCs w:val="16"/>
                <w:lang w:val="en-US"/>
              </w:rPr>
              <w:t>6</w:t>
            </w:r>
          </w:p>
        </w:tc>
        <w:tc>
          <w:tcPr>
            <w:tcW w:w="5211" w:type="dxa"/>
            <w:vAlign w:val="center"/>
          </w:tcPr>
          <w:p w14:paraId="4898F2B9" w14:textId="3496D36C" w:rsidR="00C571EC" w:rsidRPr="009F337B" w:rsidRDefault="00434CC1" w:rsidP="00F608A7">
            <w:pPr>
              <w:jc w:val="left"/>
              <w:rPr>
                <w:sz w:val="16"/>
                <w:szCs w:val="16"/>
                <w:lang w:val="en-US"/>
              </w:rPr>
            </w:pPr>
            <w:r w:rsidRPr="009F337B">
              <w:rPr>
                <w:sz w:val="16"/>
                <w:szCs w:val="16"/>
                <w:lang w:val="en-US"/>
              </w:rPr>
              <w:t>Marvin Antonio Va</w:t>
            </w:r>
            <w:r w:rsidR="005A4F13" w:rsidRPr="009F337B">
              <w:rPr>
                <w:sz w:val="16"/>
                <w:szCs w:val="16"/>
                <w:lang w:val="en-US"/>
              </w:rPr>
              <w:t>í</w:t>
            </w:r>
            <w:r w:rsidR="00C571EC" w:rsidRPr="009F337B">
              <w:rPr>
                <w:sz w:val="16"/>
                <w:szCs w:val="16"/>
                <w:lang w:val="en-US"/>
              </w:rPr>
              <w:t>l López (</w:t>
            </w:r>
            <w:r w:rsidR="0010522A" w:rsidRPr="009F337B">
              <w:rPr>
                <w:sz w:val="16"/>
                <w:szCs w:val="16"/>
                <w:lang w:val="en-US"/>
              </w:rPr>
              <w:t>Brother</w:t>
            </w:r>
            <w:r w:rsidR="00C571EC" w:rsidRPr="009F337B">
              <w:rPr>
                <w:sz w:val="16"/>
                <w:szCs w:val="16"/>
                <w:lang w:val="en-US"/>
              </w:rPr>
              <w:t>)</w:t>
            </w:r>
          </w:p>
        </w:tc>
      </w:tr>
      <w:tr w:rsidR="00C571EC" w:rsidRPr="009F337B" w14:paraId="6BD7B2B6" w14:textId="77777777" w:rsidTr="0010522A">
        <w:tc>
          <w:tcPr>
            <w:tcW w:w="534" w:type="dxa"/>
            <w:vMerge/>
            <w:tcBorders>
              <w:bottom w:val="single" w:sz="4" w:space="0" w:color="auto"/>
            </w:tcBorders>
            <w:vAlign w:val="center"/>
          </w:tcPr>
          <w:p w14:paraId="789A38CD" w14:textId="77777777" w:rsidR="00C571EC" w:rsidRPr="009F337B" w:rsidRDefault="00C571EC" w:rsidP="00F608A7">
            <w:pPr>
              <w:jc w:val="left"/>
              <w:rPr>
                <w:sz w:val="16"/>
                <w:szCs w:val="16"/>
                <w:lang w:val="en-US"/>
              </w:rPr>
            </w:pPr>
          </w:p>
        </w:tc>
        <w:tc>
          <w:tcPr>
            <w:tcW w:w="2976" w:type="dxa"/>
            <w:gridSpan w:val="2"/>
            <w:vMerge/>
            <w:tcBorders>
              <w:bottom w:val="single" w:sz="4" w:space="0" w:color="auto"/>
            </w:tcBorders>
            <w:vAlign w:val="center"/>
          </w:tcPr>
          <w:p w14:paraId="4F821745" w14:textId="77777777" w:rsidR="00C571EC" w:rsidRPr="009F337B" w:rsidRDefault="00C571EC" w:rsidP="00F608A7">
            <w:pPr>
              <w:jc w:val="left"/>
              <w:rPr>
                <w:sz w:val="16"/>
                <w:szCs w:val="16"/>
                <w:lang w:val="en-US"/>
              </w:rPr>
            </w:pPr>
          </w:p>
        </w:tc>
        <w:tc>
          <w:tcPr>
            <w:tcW w:w="567" w:type="dxa"/>
            <w:tcBorders>
              <w:bottom w:val="single" w:sz="4" w:space="0" w:color="auto"/>
            </w:tcBorders>
            <w:vAlign w:val="center"/>
          </w:tcPr>
          <w:p w14:paraId="4CC38337" w14:textId="77777777" w:rsidR="00C571EC" w:rsidRPr="009F337B" w:rsidRDefault="00C571EC" w:rsidP="00F608A7">
            <w:pPr>
              <w:jc w:val="left"/>
              <w:rPr>
                <w:sz w:val="16"/>
                <w:szCs w:val="16"/>
                <w:lang w:val="en-US"/>
              </w:rPr>
            </w:pPr>
            <w:r w:rsidRPr="009F337B">
              <w:rPr>
                <w:sz w:val="16"/>
                <w:szCs w:val="16"/>
                <w:lang w:val="en-US"/>
              </w:rPr>
              <w:t>7</w:t>
            </w:r>
          </w:p>
        </w:tc>
        <w:tc>
          <w:tcPr>
            <w:tcW w:w="5211" w:type="dxa"/>
            <w:tcBorders>
              <w:bottom w:val="single" w:sz="4" w:space="0" w:color="auto"/>
            </w:tcBorders>
            <w:vAlign w:val="center"/>
          </w:tcPr>
          <w:p w14:paraId="038DA3F5" w14:textId="00605ED5" w:rsidR="00C571EC" w:rsidRPr="00542AB5" w:rsidRDefault="00434CC1" w:rsidP="00F608A7">
            <w:pPr>
              <w:jc w:val="left"/>
              <w:rPr>
                <w:sz w:val="16"/>
                <w:szCs w:val="16"/>
                <w:lang w:val="es-CR"/>
              </w:rPr>
            </w:pPr>
            <w:r w:rsidRPr="00542AB5">
              <w:rPr>
                <w:sz w:val="16"/>
                <w:szCs w:val="16"/>
                <w:lang w:val="es-CR"/>
              </w:rPr>
              <w:t>Krizia Vanessa Va</w:t>
            </w:r>
            <w:r w:rsidR="005A4F13" w:rsidRPr="00542AB5">
              <w:rPr>
                <w:sz w:val="16"/>
                <w:szCs w:val="16"/>
                <w:lang w:val="es-CR"/>
              </w:rPr>
              <w:t>í</w:t>
            </w:r>
            <w:r w:rsidR="00C571EC" w:rsidRPr="00542AB5">
              <w:rPr>
                <w:sz w:val="16"/>
                <w:szCs w:val="16"/>
                <w:lang w:val="es-CR"/>
              </w:rPr>
              <w:t>l Aguilar (</w:t>
            </w:r>
            <w:r w:rsidR="0010522A" w:rsidRPr="00542AB5">
              <w:rPr>
                <w:sz w:val="16"/>
                <w:szCs w:val="16"/>
                <w:lang w:val="es-CR"/>
              </w:rPr>
              <w:t>Niece</w:t>
            </w:r>
            <w:r w:rsidR="00C571EC" w:rsidRPr="00542AB5">
              <w:rPr>
                <w:sz w:val="16"/>
                <w:szCs w:val="16"/>
                <w:lang w:val="es-CR"/>
              </w:rPr>
              <w:t>)</w:t>
            </w:r>
          </w:p>
        </w:tc>
      </w:tr>
      <w:tr w:rsidR="007F3128" w:rsidRPr="009F337B" w14:paraId="0F7CA14B" w14:textId="77777777" w:rsidTr="0010522A">
        <w:tc>
          <w:tcPr>
            <w:tcW w:w="534" w:type="dxa"/>
            <w:tcBorders>
              <w:bottom w:val="nil"/>
            </w:tcBorders>
            <w:vAlign w:val="center"/>
          </w:tcPr>
          <w:p w14:paraId="4AD77348" w14:textId="247CAA46" w:rsidR="007F3128" w:rsidRPr="009F337B" w:rsidRDefault="007F3128" w:rsidP="00F608A7">
            <w:pPr>
              <w:jc w:val="left"/>
              <w:rPr>
                <w:sz w:val="16"/>
                <w:szCs w:val="16"/>
                <w:lang w:val="en-US"/>
              </w:rPr>
            </w:pPr>
            <w:r w:rsidRPr="009F337B">
              <w:rPr>
                <w:sz w:val="16"/>
                <w:szCs w:val="16"/>
                <w:lang w:val="en-US"/>
              </w:rPr>
              <w:t>8</w:t>
            </w:r>
          </w:p>
        </w:tc>
        <w:tc>
          <w:tcPr>
            <w:tcW w:w="2976" w:type="dxa"/>
            <w:gridSpan w:val="2"/>
            <w:tcBorders>
              <w:bottom w:val="nil"/>
            </w:tcBorders>
            <w:vAlign w:val="center"/>
          </w:tcPr>
          <w:p w14:paraId="466E7363" w14:textId="671434B7" w:rsidR="003E310A" w:rsidRPr="009F337B" w:rsidRDefault="007F3128" w:rsidP="00F608A7">
            <w:pPr>
              <w:jc w:val="left"/>
              <w:rPr>
                <w:sz w:val="16"/>
                <w:szCs w:val="16"/>
                <w:lang w:val="en-US"/>
              </w:rPr>
            </w:pPr>
            <w:r w:rsidRPr="009F337B">
              <w:rPr>
                <w:sz w:val="16"/>
                <w:szCs w:val="16"/>
                <w:lang w:val="en-US"/>
              </w:rPr>
              <w:t>Alberto Quiché Cuxeva</w:t>
            </w:r>
          </w:p>
        </w:tc>
        <w:tc>
          <w:tcPr>
            <w:tcW w:w="567" w:type="dxa"/>
            <w:tcBorders>
              <w:bottom w:val="single" w:sz="4" w:space="0" w:color="auto"/>
            </w:tcBorders>
            <w:vAlign w:val="center"/>
          </w:tcPr>
          <w:p w14:paraId="164D7BD4" w14:textId="1E0C23D0" w:rsidR="007F3128" w:rsidRPr="009F337B" w:rsidRDefault="007F3128" w:rsidP="00F608A7">
            <w:pPr>
              <w:jc w:val="left"/>
              <w:rPr>
                <w:sz w:val="16"/>
                <w:szCs w:val="16"/>
                <w:lang w:val="en-US"/>
              </w:rPr>
            </w:pPr>
            <w:r w:rsidRPr="009F337B">
              <w:rPr>
                <w:sz w:val="16"/>
                <w:szCs w:val="16"/>
                <w:lang w:val="en-US"/>
              </w:rPr>
              <w:t>1</w:t>
            </w:r>
          </w:p>
        </w:tc>
        <w:tc>
          <w:tcPr>
            <w:tcW w:w="5211" w:type="dxa"/>
            <w:tcBorders>
              <w:bottom w:val="single" w:sz="4" w:space="0" w:color="auto"/>
            </w:tcBorders>
            <w:vAlign w:val="center"/>
          </w:tcPr>
          <w:p w14:paraId="359425D8" w14:textId="28FE1045" w:rsidR="007F3128" w:rsidRPr="009F337B" w:rsidRDefault="007F3128" w:rsidP="00F608A7">
            <w:pPr>
              <w:jc w:val="left"/>
              <w:rPr>
                <w:sz w:val="16"/>
                <w:szCs w:val="16"/>
                <w:lang w:val="en-US"/>
              </w:rPr>
            </w:pPr>
            <w:r w:rsidRPr="009F337B">
              <w:rPr>
                <w:sz w:val="16"/>
                <w:szCs w:val="16"/>
                <w:lang w:val="en-US"/>
              </w:rPr>
              <w:t>Marisela Quiché Gualip (</w:t>
            </w:r>
            <w:r w:rsidR="0010522A" w:rsidRPr="009F337B">
              <w:rPr>
                <w:sz w:val="16"/>
                <w:szCs w:val="16"/>
                <w:lang w:val="en-US"/>
              </w:rPr>
              <w:t>Daughter</w:t>
            </w:r>
            <w:r w:rsidRPr="009F337B">
              <w:rPr>
                <w:sz w:val="16"/>
                <w:szCs w:val="16"/>
                <w:lang w:val="en-US"/>
              </w:rPr>
              <w:t>)</w:t>
            </w:r>
          </w:p>
        </w:tc>
      </w:tr>
      <w:tr w:rsidR="007F3128" w:rsidRPr="009F337B" w14:paraId="200EC028" w14:textId="77777777" w:rsidTr="0010522A">
        <w:tc>
          <w:tcPr>
            <w:tcW w:w="534" w:type="dxa"/>
            <w:tcBorders>
              <w:top w:val="nil"/>
              <w:left w:val="single" w:sz="4" w:space="0" w:color="auto"/>
              <w:bottom w:val="nil"/>
              <w:right w:val="single" w:sz="4" w:space="0" w:color="auto"/>
            </w:tcBorders>
            <w:vAlign w:val="center"/>
          </w:tcPr>
          <w:p w14:paraId="3B447B36" w14:textId="6C24EF8D" w:rsidR="007F3128" w:rsidRPr="009F337B" w:rsidRDefault="007F3128" w:rsidP="00F608A7">
            <w:pPr>
              <w:jc w:val="left"/>
              <w:rPr>
                <w:sz w:val="16"/>
                <w:szCs w:val="16"/>
                <w:lang w:val="en-US"/>
              </w:rPr>
            </w:pPr>
          </w:p>
        </w:tc>
        <w:tc>
          <w:tcPr>
            <w:tcW w:w="2976" w:type="dxa"/>
            <w:gridSpan w:val="2"/>
            <w:tcBorders>
              <w:top w:val="nil"/>
              <w:left w:val="single" w:sz="4" w:space="0" w:color="auto"/>
              <w:bottom w:val="nil"/>
              <w:right w:val="single" w:sz="4" w:space="0" w:color="auto"/>
            </w:tcBorders>
            <w:vAlign w:val="center"/>
          </w:tcPr>
          <w:p w14:paraId="4D378C9A" w14:textId="77777777" w:rsidR="007F3128" w:rsidRPr="009F337B" w:rsidRDefault="007F3128" w:rsidP="00F608A7">
            <w:pPr>
              <w:jc w:val="left"/>
              <w:rPr>
                <w:sz w:val="16"/>
                <w:szCs w:val="16"/>
                <w:lang w:val="en-US"/>
              </w:rPr>
            </w:pPr>
          </w:p>
        </w:tc>
        <w:tc>
          <w:tcPr>
            <w:tcW w:w="567" w:type="dxa"/>
            <w:tcBorders>
              <w:left w:val="single" w:sz="4" w:space="0" w:color="auto"/>
              <w:bottom w:val="single" w:sz="4" w:space="0" w:color="auto"/>
            </w:tcBorders>
            <w:vAlign w:val="center"/>
          </w:tcPr>
          <w:p w14:paraId="6719BC72" w14:textId="52C6ABD7" w:rsidR="007F3128" w:rsidRPr="009F337B" w:rsidRDefault="007F3128" w:rsidP="00F608A7">
            <w:pPr>
              <w:jc w:val="left"/>
              <w:rPr>
                <w:sz w:val="16"/>
                <w:szCs w:val="16"/>
                <w:lang w:val="en-US"/>
              </w:rPr>
            </w:pPr>
            <w:r w:rsidRPr="009F337B">
              <w:rPr>
                <w:sz w:val="16"/>
                <w:szCs w:val="16"/>
                <w:lang w:val="en-US"/>
              </w:rPr>
              <w:t>2</w:t>
            </w:r>
          </w:p>
        </w:tc>
        <w:tc>
          <w:tcPr>
            <w:tcW w:w="5211" w:type="dxa"/>
            <w:tcBorders>
              <w:bottom w:val="single" w:sz="4" w:space="0" w:color="auto"/>
            </w:tcBorders>
            <w:vAlign w:val="center"/>
          </w:tcPr>
          <w:p w14:paraId="615F4CB6" w14:textId="1A39C503" w:rsidR="007F3128" w:rsidRPr="009F337B" w:rsidRDefault="007F3128" w:rsidP="00F608A7">
            <w:pPr>
              <w:jc w:val="left"/>
              <w:rPr>
                <w:sz w:val="16"/>
                <w:szCs w:val="16"/>
                <w:lang w:val="en-US"/>
              </w:rPr>
            </w:pPr>
            <w:r w:rsidRPr="009F337B">
              <w:rPr>
                <w:sz w:val="16"/>
                <w:szCs w:val="16"/>
                <w:lang w:val="en-US"/>
              </w:rPr>
              <w:t>Víctor Quiché Ramírez (</w:t>
            </w:r>
            <w:r w:rsidR="0010522A" w:rsidRPr="009F337B">
              <w:rPr>
                <w:sz w:val="16"/>
                <w:szCs w:val="16"/>
                <w:lang w:val="en-US"/>
              </w:rPr>
              <w:t>Father</w:t>
            </w:r>
            <w:r w:rsidRPr="009F337B">
              <w:rPr>
                <w:sz w:val="16"/>
                <w:szCs w:val="16"/>
                <w:lang w:val="en-US"/>
              </w:rPr>
              <w:t>)</w:t>
            </w:r>
          </w:p>
        </w:tc>
      </w:tr>
      <w:tr w:rsidR="007F3128" w:rsidRPr="009F337B" w14:paraId="1732EF7A" w14:textId="77777777" w:rsidTr="0010522A">
        <w:tc>
          <w:tcPr>
            <w:tcW w:w="534" w:type="dxa"/>
            <w:tcBorders>
              <w:top w:val="nil"/>
              <w:left w:val="single" w:sz="4" w:space="0" w:color="auto"/>
              <w:bottom w:val="nil"/>
              <w:right w:val="single" w:sz="4" w:space="0" w:color="auto"/>
            </w:tcBorders>
            <w:vAlign w:val="center"/>
          </w:tcPr>
          <w:p w14:paraId="70EE706E" w14:textId="77777777" w:rsidR="007F3128" w:rsidRPr="009F337B" w:rsidRDefault="007F3128" w:rsidP="00F608A7">
            <w:pPr>
              <w:jc w:val="left"/>
              <w:rPr>
                <w:sz w:val="16"/>
                <w:szCs w:val="16"/>
                <w:lang w:val="en-US"/>
              </w:rPr>
            </w:pPr>
          </w:p>
        </w:tc>
        <w:tc>
          <w:tcPr>
            <w:tcW w:w="2976" w:type="dxa"/>
            <w:gridSpan w:val="2"/>
            <w:tcBorders>
              <w:top w:val="nil"/>
              <w:left w:val="single" w:sz="4" w:space="0" w:color="auto"/>
              <w:bottom w:val="nil"/>
              <w:right w:val="single" w:sz="4" w:space="0" w:color="auto"/>
            </w:tcBorders>
            <w:vAlign w:val="center"/>
          </w:tcPr>
          <w:p w14:paraId="065C2B1E" w14:textId="77777777" w:rsidR="007F3128" w:rsidRPr="009F337B" w:rsidRDefault="007F3128" w:rsidP="00F608A7">
            <w:pPr>
              <w:jc w:val="left"/>
              <w:rPr>
                <w:sz w:val="16"/>
                <w:szCs w:val="16"/>
                <w:lang w:val="en-US"/>
              </w:rPr>
            </w:pPr>
          </w:p>
        </w:tc>
        <w:tc>
          <w:tcPr>
            <w:tcW w:w="567" w:type="dxa"/>
            <w:tcBorders>
              <w:left w:val="single" w:sz="4" w:space="0" w:color="auto"/>
              <w:bottom w:val="single" w:sz="4" w:space="0" w:color="auto"/>
            </w:tcBorders>
            <w:vAlign w:val="center"/>
          </w:tcPr>
          <w:p w14:paraId="18EEDAD1" w14:textId="2ABB49AC" w:rsidR="007F3128" w:rsidRPr="009F337B" w:rsidRDefault="007F3128" w:rsidP="00F608A7">
            <w:pPr>
              <w:jc w:val="left"/>
              <w:rPr>
                <w:sz w:val="16"/>
                <w:szCs w:val="16"/>
                <w:lang w:val="en-US"/>
              </w:rPr>
            </w:pPr>
            <w:r w:rsidRPr="009F337B">
              <w:rPr>
                <w:sz w:val="16"/>
                <w:szCs w:val="16"/>
                <w:lang w:val="en-US"/>
              </w:rPr>
              <w:t>3</w:t>
            </w:r>
          </w:p>
        </w:tc>
        <w:tc>
          <w:tcPr>
            <w:tcW w:w="5211" w:type="dxa"/>
            <w:tcBorders>
              <w:bottom w:val="single" w:sz="4" w:space="0" w:color="auto"/>
            </w:tcBorders>
            <w:vAlign w:val="center"/>
          </w:tcPr>
          <w:p w14:paraId="1E4D5141" w14:textId="7430A9F5" w:rsidR="007F3128" w:rsidRPr="009F337B" w:rsidRDefault="007F3128" w:rsidP="00F608A7">
            <w:pPr>
              <w:jc w:val="left"/>
              <w:rPr>
                <w:sz w:val="16"/>
                <w:szCs w:val="16"/>
                <w:lang w:val="en-US"/>
              </w:rPr>
            </w:pPr>
            <w:r w:rsidRPr="009F337B">
              <w:rPr>
                <w:sz w:val="16"/>
                <w:szCs w:val="16"/>
                <w:lang w:val="en-US"/>
              </w:rPr>
              <w:t>Manuela Cuxeva García (</w:t>
            </w:r>
            <w:r w:rsidR="0010522A" w:rsidRPr="009F337B">
              <w:rPr>
                <w:sz w:val="16"/>
                <w:szCs w:val="16"/>
                <w:lang w:val="en-US"/>
              </w:rPr>
              <w:t>Mother</w:t>
            </w:r>
            <w:r w:rsidRPr="009F337B">
              <w:rPr>
                <w:sz w:val="16"/>
                <w:szCs w:val="16"/>
                <w:lang w:val="en-US"/>
              </w:rPr>
              <w:t>)</w:t>
            </w:r>
          </w:p>
        </w:tc>
      </w:tr>
      <w:tr w:rsidR="007F3128" w:rsidRPr="009F337B" w14:paraId="19DB1698" w14:textId="77777777" w:rsidTr="0010522A">
        <w:tc>
          <w:tcPr>
            <w:tcW w:w="534" w:type="dxa"/>
            <w:tcBorders>
              <w:top w:val="nil"/>
              <w:left w:val="single" w:sz="4" w:space="0" w:color="auto"/>
              <w:bottom w:val="nil"/>
              <w:right w:val="single" w:sz="4" w:space="0" w:color="auto"/>
            </w:tcBorders>
            <w:vAlign w:val="center"/>
          </w:tcPr>
          <w:p w14:paraId="1819CC07" w14:textId="77777777" w:rsidR="007F3128" w:rsidRPr="009F337B" w:rsidRDefault="007F3128" w:rsidP="00F608A7">
            <w:pPr>
              <w:jc w:val="left"/>
              <w:rPr>
                <w:sz w:val="16"/>
                <w:szCs w:val="16"/>
                <w:lang w:val="en-US"/>
              </w:rPr>
            </w:pPr>
          </w:p>
        </w:tc>
        <w:tc>
          <w:tcPr>
            <w:tcW w:w="2976" w:type="dxa"/>
            <w:gridSpan w:val="2"/>
            <w:tcBorders>
              <w:top w:val="nil"/>
              <w:left w:val="single" w:sz="4" w:space="0" w:color="auto"/>
              <w:bottom w:val="nil"/>
              <w:right w:val="single" w:sz="4" w:space="0" w:color="auto"/>
            </w:tcBorders>
            <w:vAlign w:val="center"/>
          </w:tcPr>
          <w:p w14:paraId="30B4DE91" w14:textId="77777777" w:rsidR="007F3128" w:rsidRPr="009F337B" w:rsidRDefault="007F3128" w:rsidP="00F608A7">
            <w:pPr>
              <w:jc w:val="left"/>
              <w:rPr>
                <w:sz w:val="16"/>
                <w:szCs w:val="16"/>
                <w:lang w:val="en-US"/>
              </w:rPr>
            </w:pPr>
          </w:p>
        </w:tc>
        <w:tc>
          <w:tcPr>
            <w:tcW w:w="567" w:type="dxa"/>
            <w:tcBorders>
              <w:left w:val="single" w:sz="4" w:space="0" w:color="auto"/>
              <w:bottom w:val="single" w:sz="4" w:space="0" w:color="auto"/>
            </w:tcBorders>
            <w:vAlign w:val="center"/>
          </w:tcPr>
          <w:p w14:paraId="25CB3918" w14:textId="6E061AE8" w:rsidR="007F3128" w:rsidRPr="009F337B" w:rsidRDefault="007F3128" w:rsidP="00F608A7">
            <w:pPr>
              <w:jc w:val="left"/>
              <w:rPr>
                <w:sz w:val="16"/>
                <w:szCs w:val="16"/>
                <w:lang w:val="en-US"/>
              </w:rPr>
            </w:pPr>
            <w:r w:rsidRPr="009F337B">
              <w:rPr>
                <w:sz w:val="16"/>
                <w:szCs w:val="16"/>
                <w:lang w:val="en-US"/>
              </w:rPr>
              <w:t>4</w:t>
            </w:r>
          </w:p>
        </w:tc>
        <w:tc>
          <w:tcPr>
            <w:tcW w:w="5211" w:type="dxa"/>
            <w:tcBorders>
              <w:bottom w:val="single" w:sz="4" w:space="0" w:color="auto"/>
            </w:tcBorders>
            <w:vAlign w:val="center"/>
          </w:tcPr>
          <w:p w14:paraId="005A0E16" w14:textId="45E853B0" w:rsidR="007F3128" w:rsidRPr="009F337B" w:rsidRDefault="007F3128" w:rsidP="00F608A7">
            <w:pPr>
              <w:jc w:val="left"/>
              <w:rPr>
                <w:sz w:val="16"/>
                <w:szCs w:val="16"/>
                <w:lang w:val="en-US"/>
              </w:rPr>
            </w:pPr>
            <w:r w:rsidRPr="009F337B">
              <w:rPr>
                <w:sz w:val="16"/>
                <w:szCs w:val="16"/>
                <w:lang w:val="en-US"/>
              </w:rPr>
              <w:t>Lucía Quiché Cuxeva (</w:t>
            </w:r>
            <w:r w:rsidR="0010522A" w:rsidRPr="009F337B">
              <w:rPr>
                <w:sz w:val="16"/>
                <w:szCs w:val="16"/>
                <w:lang w:val="en-US"/>
              </w:rPr>
              <w:t>Sister</w:t>
            </w:r>
            <w:r w:rsidRPr="009F337B">
              <w:rPr>
                <w:sz w:val="16"/>
                <w:szCs w:val="16"/>
                <w:lang w:val="en-US"/>
              </w:rPr>
              <w:t>)</w:t>
            </w:r>
          </w:p>
        </w:tc>
      </w:tr>
      <w:tr w:rsidR="00F658A6" w:rsidRPr="009F337B" w14:paraId="0E4983CF" w14:textId="77777777" w:rsidTr="0010522A">
        <w:tc>
          <w:tcPr>
            <w:tcW w:w="9288" w:type="dxa"/>
            <w:gridSpan w:val="5"/>
            <w:tcBorders>
              <w:right w:val="single" w:sz="4" w:space="0" w:color="auto"/>
            </w:tcBorders>
            <w:vAlign w:val="center"/>
          </w:tcPr>
          <w:p w14:paraId="6D9BD50F" w14:textId="4E79867D" w:rsidR="00F658A6" w:rsidRPr="009F337B" w:rsidRDefault="00F658A6" w:rsidP="00F608A7">
            <w:pPr>
              <w:jc w:val="center"/>
              <w:rPr>
                <w:sz w:val="16"/>
                <w:szCs w:val="16"/>
                <w:lang w:val="en-US"/>
              </w:rPr>
            </w:pPr>
            <w:r w:rsidRPr="009F337B">
              <w:rPr>
                <w:b/>
                <w:sz w:val="16"/>
                <w:szCs w:val="16"/>
                <w:lang w:val="en-US"/>
              </w:rPr>
              <w:t xml:space="preserve">B. </w:t>
            </w:r>
            <w:r w:rsidR="0010522A" w:rsidRPr="009F337B">
              <w:rPr>
                <w:b/>
                <w:sz w:val="16"/>
                <w:szCs w:val="16"/>
                <w:lang w:val="en-US"/>
              </w:rPr>
              <w:t>SURVIVING PRESUMED VICTIMS</w:t>
            </w:r>
          </w:p>
        </w:tc>
      </w:tr>
      <w:tr w:rsidR="00F658A6" w:rsidRPr="009F337B" w14:paraId="73FDB218" w14:textId="77777777" w:rsidTr="0010522A">
        <w:tc>
          <w:tcPr>
            <w:tcW w:w="560" w:type="dxa"/>
            <w:gridSpan w:val="2"/>
            <w:vAlign w:val="center"/>
          </w:tcPr>
          <w:p w14:paraId="5E9E794C" w14:textId="5EF2FC71" w:rsidR="00F658A6" w:rsidRPr="009F337B" w:rsidRDefault="0010522A" w:rsidP="00F608A7">
            <w:pPr>
              <w:jc w:val="center"/>
              <w:rPr>
                <w:b/>
                <w:sz w:val="16"/>
                <w:szCs w:val="16"/>
                <w:lang w:val="en-US"/>
              </w:rPr>
            </w:pPr>
            <w:r w:rsidRPr="009F337B">
              <w:rPr>
                <w:b/>
                <w:sz w:val="16"/>
                <w:szCs w:val="16"/>
                <w:lang w:val="en-US"/>
              </w:rPr>
              <w:t>No.</w:t>
            </w:r>
          </w:p>
        </w:tc>
        <w:tc>
          <w:tcPr>
            <w:tcW w:w="2950" w:type="dxa"/>
            <w:tcBorders>
              <w:top w:val="single" w:sz="4" w:space="0" w:color="auto"/>
            </w:tcBorders>
            <w:vAlign w:val="center"/>
          </w:tcPr>
          <w:p w14:paraId="00A046AF" w14:textId="3D42B72D" w:rsidR="00F658A6" w:rsidRPr="009F337B" w:rsidRDefault="0010522A" w:rsidP="00F608A7">
            <w:pPr>
              <w:jc w:val="center"/>
              <w:rPr>
                <w:b/>
                <w:sz w:val="16"/>
                <w:szCs w:val="16"/>
                <w:lang w:val="en-US"/>
              </w:rPr>
            </w:pPr>
            <w:r w:rsidRPr="009F337B">
              <w:rPr>
                <w:b/>
                <w:sz w:val="16"/>
                <w:szCs w:val="16"/>
                <w:lang w:val="en-US"/>
              </w:rPr>
              <w:t>PRESUMED VICTIM</w:t>
            </w:r>
          </w:p>
        </w:tc>
        <w:tc>
          <w:tcPr>
            <w:tcW w:w="567" w:type="dxa"/>
            <w:tcBorders>
              <w:top w:val="single" w:sz="4" w:space="0" w:color="auto"/>
            </w:tcBorders>
            <w:vAlign w:val="center"/>
          </w:tcPr>
          <w:p w14:paraId="1FC45489" w14:textId="59136635" w:rsidR="00F658A6" w:rsidRPr="009F337B" w:rsidRDefault="0010522A" w:rsidP="00F608A7">
            <w:pPr>
              <w:jc w:val="center"/>
              <w:rPr>
                <w:b/>
                <w:sz w:val="16"/>
                <w:szCs w:val="16"/>
                <w:lang w:val="en-US"/>
              </w:rPr>
            </w:pPr>
            <w:r w:rsidRPr="009F337B">
              <w:rPr>
                <w:b/>
                <w:sz w:val="16"/>
                <w:szCs w:val="16"/>
                <w:lang w:val="en-US"/>
              </w:rPr>
              <w:t>No.</w:t>
            </w:r>
          </w:p>
        </w:tc>
        <w:tc>
          <w:tcPr>
            <w:tcW w:w="5211" w:type="dxa"/>
            <w:tcBorders>
              <w:top w:val="single" w:sz="4" w:space="0" w:color="auto"/>
            </w:tcBorders>
            <w:vAlign w:val="center"/>
          </w:tcPr>
          <w:p w14:paraId="49EBBEA6" w14:textId="7B4EF16F" w:rsidR="00F658A6" w:rsidRPr="009F337B" w:rsidRDefault="0010522A" w:rsidP="00F608A7">
            <w:pPr>
              <w:jc w:val="center"/>
              <w:rPr>
                <w:b/>
                <w:sz w:val="16"/>
                <w:szCs w:val="16"/>
                <w:lang w:val="en-US"/>
              </w:rPr>
            </w:pPr>
            <w:r w:rsidRPr="009F337B">
              <w:rPr>
                <w:b/>
                <w:sz w:val="16"/>
                <w:szCs w:val="16"/>
                <w:lang w:val="en-US"/>
              </w:rPr>
              <w:t>NEXT OF KIN</w:t>
            </w:r>
          </w:p>
        </w:tc>
      </w:tr>
      <w:tr w:rsidR="007F3128" w:rsidRPr="00310E7A" w14:paraId="170CE45C" w14:textId="77777777" w:rsidTr="0010522A">
        <w:tc>
          <w:tcPr>
            <w:tcW w:w="560" w:type="dxa"/>
            <w:gridSpan w:val="2"/>
            <w:vMerge w:val="restart"/>
            <w:vAlign w:val="center"/>
          </w:tcPr>
          <w:p w14:paraId="4CEFDF9C" w14:textId="59E7A350" w:rsidR="007F3128" w:rsidRPr="009F337B" w:rsidRDefault="007F3128" w:rsidP="00F608A7">
            <w:pPr>
              <w:jc w:val="left"/>
              <w:rPr>
                <w:sz w:val="16"/>
                <w:szCs w:val="16"/>
                <w:lang w:val="en-US"/>
              </w:rPr>
            </w:pPr>
            <w:r w:rsidRPr="009F337B">
              <w:rPr>
                <w:sz w:val="16"/>
                <w:szCs w:val="16"/>
                <w:lang w:val="en-US"/>
              </w:rPr>
              <w:t>9</w:t>
            </w:r>
          </w:p>
        </w:tc>
        <w:tc>
          <w:tcPr>
            <w:tcW w:w="2950" w:type="dxa"/>
            <w:vMerge w:val="restart"/>
            <w:tcBorders>
              <w:top w:val="single" w:sz="4" w:space="0" w:color="auto"/>
            </w:tcBorders>
            <w:vAlign w:val="center"/>
          </w:tcPr>
          <w:p w14:paraId="2962484D" w14:textId="0D373B55" w:rsidR="007F3128" w:rsidRPr="009F337B" w:rsidRDefault="007F3128" w:rsidP="00F608A7">
            <w:pPr>
              <w:jc w:val="left"/>
              <w:rPr>
                <w:sz w:val="16"/>
                <w:szCs w:val="16"/>
                <w:lang w:val="en-US"/>
              </w:rPr>
            </w:pPr>
            <w:r w:rsidRPr="009F337B">
              <w:rPr>
                <w:sz w:val="16"/>
                <w:szCs w:val="16"/>
                <w:lang w:val="en-US"/>
              </w:rPr>
              <w:t xml:space="preserve">Guadalupe </w:t>
            </w:r>
            <w:r w:rsidR="00DD78FD" w:rsidRPr="009F337B">
              <w:rPr>
                <w:sz w:val="16"/>
                <w:szCs w:val="16"/>
                <w:lang w:val="en-US"/>
              </w:rPr>
              <w:t>Herminia Cayaxo</w:t>
            </w:r>
            <w:r w:rsidRPr="009F337B">
              <w:rPr>
                <w:sz w:val="16"/>
                <w:szCs w:val="16"/>
                <w:lang w:val="en-US"/>
              </w:rPr>
              <w:t>n García</w:t>
            </w:r>
          </w:p>
        </w:tc>
        <w:tc>
          <w:tcPr>
            <w:tcW w:w="567" w:type="dxa"/>
            <w:tcBorders>
              <w:top w:val="single" w:sz="4" w:space="0" w:color="auto"/>
            </w:tcBorders>
            <w:vAlign w:val="center"/>
          </w:tcPr>
          <w:p w14:paraId="3A7C89A4" w14:textId="77777777" w:rsidR="007F3128" w:rsidRPr="009F337B" w:rsidRDefault="007F3128" w:rsidP="00F608A7">
            <w:pPr>
              <w:jc w:val="left"/>
              <w:rPr>
                <w:sz w:val="16"/>
                <w:szCs w:val="16"/>
                <w:lang w:val="en-US"/>
              </w:rPr>
            </w:pPr>
            <w:r w:rsidRPr="009F337B">
              <w:rPr>
                <w:sz w:val="16"/>
                <w:szCs w:val="16"/>
                <w:lang w:val="en-US"/>
              </w:rPr>
              <w:t>1</w:t>
            </w:r>
          </w:p>
        </w:tc>
        <w:tc>
          <w:tcPr>
            <w:tcW w:w="5211" w:type="dxa"/>
            <w:tcBorders>
              <w:top w:val="single" w:sz="4" w:space="0" w:color="auto"/>
            </w:tcBorders>
            <w:vAlign w:val="center"/>
          </w:tcPr>
          <w:p w14:paraId="56B91FFC" w14:textId="346DD8BC" w:rsidR="007F3128" w:rsidRPr="009F337B" w:rsidRDefault="007F3128" w:rsidP="00F608A7">
            <w:pPr>
              <w:jc w:val="left"/>
              <w:rPr>
                <w:sz w:val="16"/>
                <w:szCs w:val="16"/>
                <w:lang w:val="en-US"/>
              </w:rPr>
            </w:pPr>
            <w:r w:rsidRPr="009F337B">
              <w:rPr>
                <w:sz w:val="16"/>
                <w:szCs w:val="16"/>
                <w:lang w:val="en-US"/>
              </w:rPr>
              <w:t>Rafael de León (</w:t>
            </w:r>
            <w:r w:rsidR="0010522A" w:rsidRPr="009F337B">
              <w:rPr>
                <w:sz w:val="16"/>
                <w:szCs w:val="16"/>
                <w:lang w:val="en-US"/>
              </w:rPr>
              <w:t>died of</w:t>
            </w:r>
            <w:r w:rsidRPr="009F337B">
              <w:rPr>
                <w:sz w:val="16"/>
                <w:szCs w:val="16"/>
                <w:lang w:val="en-US"/>
              </w:rPr>
              <w:t xml:space="preserve"> </w:t>
            </w:r>
            <w:r w:rsidR="00CA11F6" w:rsidRPr="009F337B">
              <w:rPr>
                <w:sz w:val="16"/>
                <w:szCs w:val="16"/>
                <w:lang w:val="en-US"/>
              </w:rPr>
              <w:t>HIV</w:t>
            </w:r>
            <w:r w:rsidRPr="009F337B">
              <w:rPr>
                <w:sz w:val="16"/>
                <w:szCs w:val="16"/>
                <w:lang w:val="en-US"/>
              </w:rPr>
              <w:t>)</w:t>
            </w:r>
          </w:p>
        </w:tc>
      </w:tr>
      <w:tr w:rsidR="007F3128" w:rsidRPr="009F337B" w14:paraId="4C863EB3" w14:textId="77777777" w:rsidTr="0010522A">
        <w:tc>
          <w:tcPr>
            <w:tcW w:w="560" w:type="dxa"/>
            <w:gridSpan w:val="2"/>
            <w:vMerge/>
            <w:vAlign w:val="center"/>
          </w:tcPr>
          <w:p w14:paraId="64A160C8" w14:textId="77777777" w:rsidR="007F3128" w:rsidRPr="009F337B" w:rsidRDefault="007F3128" w:rsidP="00F608A7">
            <w:pPr>
              <w:jc w:val="left"/>
              <w:rPr>
                <w:sz w:val="16"/>
                <w:szCs w:val="16"/>
                <w:lang w:val="en-US"/>
              </w:rPr>
            </w:pPr>
          </w:p>
        </w:tc>
        <w:tc>
          <w:tcPr>
            <w:tcW w:w="2950" w:type="dxa"/>
            <w:vMerge/>
            <w:vAlign w:val="center"/>
          </w:tcPr>
          <w:p w14:paraId="1E0ABDD0" w14:textId="77777777" w:rsidR="007F3128" w:rsidRPr="009F337B" w:rsidRDefault="007F3128" w:rsidP="00F608A7">
            <w:pPr>
              <w:jc w:val="left"/>
              <w:rPr>
                <w:sz w:val="16"/>
                <w:szCs w:val="16"/>
                <w:lang w:val="en-US"/>
              </w:rPr>
            </w:pPr>
          </w:p>
        </w:tc>
        <w:tc>
          <w:tcPr>
            <w:tcW w:w="567" w:type="dxa"/>
            <w:vAlign w:val="center"/>
          </w:tcPr>
          <w:p w14:paraId="1D209048" w14:textId="77777777" w:rsidR="007F3128" w:rsidRPr="009F337B" w:rsidRDefault="007F3128" w:rsidP="00F608A7">
            <w:pPr>
              <w:jc w:val="left"/>
              <w:rPr>
                <w:sz w:val="16"/>
                <w:szCs w:val="16"/>
                <w:lang w:val="en-US"/>
              </w:rPr>
            </w:pPr>
            <w:r w:rsidRPr="009F337B">
              <w:rPr>
                <w:sz w:val="16"/>
                <w:szCs w:val="16"/>
                <w:lang w:val="en-US"/>
              </w:rPr>
              <w:t>2</w:t>
            </w:r>
          </w:p>
        </w:tc>
        <w:tc>
          <w:tcPr>
            <w:tcW w:w="5211" w:type="dxa"/>
            <w:vAlign w:val="center"/>
          </w:tcPr>
          <w:p w14:paraId="054BEB15" w14:textId="10AB4822" w:rsidR="007F3128" w:rsidRPr="009F337B" w:rsidRDefault="00EE26FD" w:rsidP="00F608A7">
            <w:pPr>
              <w:jc w:val="left"/>
              <w:rPr>
                <w:sz w:val="16"/>
                <w:szCs w:val="16"/>
                <w:lang w:val="en-US"/>
              </w:rPr>
            </w:pPr>
            <w:r w:rsidRPr="009F337B">
              <w:rPr>
                <w:sz w:val="16"/>
                <w:szCs w:val="16"/>
                <w:lang w:val="en-US"/>
              </w:rPr>
              <w:t>Sandra Judith Pérez Cayaxo</w:t>
            </w:r>
            <w:r w:rsidR="007F3128" w:rsidRPr="009F337B">
              <w:rPr>
                <w:sz w:val="16"/>
                <w:szCs w:val="16"/>
                <w:lang w:val="en-US"/>
              </w:rPr>
              <w:t>n (</w:t>
            </w:r>
            <w:r w:rsidR="0010522A" w:rsidRPr="009F337B">
              <w:rPr>
                <w:sz w:val="16"/>
                <w:szCs w:val="16"/>
                <w:lang w:val="en-US"/>
              </w:rPr>
              <w:t>Daughter</w:t>
            </w:r>
            <w:r w:rsidR="007F3128" w:rsidRPr="009F337B">
              <w:rPr>
                <w:sz w:val="16"/>
                <w:szCs w:val="16"/>
                <w:lang w:val="en-US"/>
              </w:rPr>
              <w:t>)</w:t>
            </w:r>
          </w:p>
        </w:tc>
      </w:tr>
      <w:tr w:rsidR="007F3128" w:rsidRPr="009F337B" w14:paraId="2752B9C5" w14:textId="77777777" w:rsidTr="0010522A">
        <w:tc>
          <w:tcPr>
            <w:tcW w:w="560" w:type="dxa"/>
            <w:gridSpan w:val="2"/>
            <w:vMerge/>
            <w:vAlign w:val="center"/>
          </w:tcPr>
          <w:p w14:paraId="55202A19" w14:textId="77777777" w:rsidR="007F3128" w:rsidRPr="009F337B" w:rsidRDefault="007F3128" w:rsidP="00F608A7">
            <w:pPr>
              <w:jc w:val="left"/>
              <w:rPr>
                <w:sz w:val="16"/>
                <w:szCs w:val="16"/>
                <w:lang w:val="en-US"/>
              </w:rPr>
            </w:pPr>
          </w:p>
        </w:tc>
        <w:tc>
          <w:tcPr>
            <w:tcW w:w="2950" w:type="dxa"/>
            <w:vMerge/>
            <w:vAlign w:val="center"/>
          </w:tcPr>
          <w:p w14:paraId="4DFBEF73" w14:textId="77777777" w:rsidR="007F3128" w:rsidRPr="009F337B" w:rsidRDefault="007F3128" w:rsidP="00F608A7">
            <w:pPr>
              <w:jc w:val="left"/>
              <w:rPr>
                <w:sz w:val="16"/>
                <w:szCs w:val="16"/>
                <w:lang w:val="en-US"/>
              </w:rPr>
            </w:pPr>
          </w:p>
        </w:tc>
        <w:tc>
          <w:tcPr>
            <w:tcW w:w="567" w:type="dxa"/>
            <w:vAlign w:val="center"/>
          </w:tcPr>
          <w:p w14:paraId="551DFDF8" w14:textId="77777777" w:rsidR="007F3128" w:rsidRPr="009F337B" w:rsidRDefault="007F3128" w:rsidP="00F608A7">
            <w:pPr>
              <w:jc w:val="left"/>
              <w:rPr>
                <w:sz w:val="16"/>
                <w:szCs w:val="16"/>
                <w:lang w:val="en-US"/>
              </w:rPr>
            </w:pPr>
            <w:r w:rsidRPr="009F337B">
              <w:rPr>
                <w:sz w:val="16"/>
                <w:szCs w:val="16"/>
                <w:lang w:val="en-US"/>
              </w:rPr>
              <w:t>3</w:t>
            </w:r>
          </w:p>
        </w:tc>
        <w:tc>
          <w:tcPr>
            <w:tcW w:w="5211" w:type="dxa"/>
            <w:vAlign w:val="center"/>
          </w:tcPr>
          <w:p w14:paraId="7AA50236" w14:textId="5B3FF175" w:rsidR="007F3128" w:rsidRPr="009F337B" w:rsidRDefault="00EE26FD" w:rsidP="00F608A7">
            <w:pPr>
              <w:jc w:val="left"/>
              <w:rPr>
                <w:sz w:val="16"/>
                <w:szCs w:val="16"/>
                <w:lang w:val="en-US"/>
              </w:rPr>
            </w:pPr>
            <w:r w:rsidRPr="009F337B">
              <w:rPr>
                <w:sz w:val="16"/>
                <w:szCs w:val="16"/>
                <w:lang w:val="en-US"/>
              </w:rPr>
              <w:t>Guadalupe Pérez Cayaxo</w:t>
            </w:r>
            <w:r w:rsidR="007F3128" w:rsidRPr="009F337B">
              <w:rPr>
                <w:sz w:val="16"/>
                <w:szCs w:val="16"/>
                <w:lang w:val="en-US"/>
              </w:rPr>
              <w:t>n (</w:t>
            </w:r>
            <w:r w:rsidR="0010522A" w:rsidRPr="009F337B">
              <w:rPr>
                <w:sz w:val="16"/>
                <w:szCs w:val="16"/>
                <w:lang w:val="en-US"/>
              </w:rPr>
              <w:t>Daughter</w:t>
            </w:r>
            <w:r w:rsidR="007F3128" w:rsidRPr="009F337B">
              <w:rPr>
                <w:sz w:val="16"/>
                <w:szCs w:val="16"/>
                <w:lang w:val="en-US"/>
              </w:rPr>
              <w:t>)</w:t>
            </w:r>
          </w:p>
        </w:tc>
      </w:tr>
      <w:tr w:rsidR="007F3128" w:rsidRPr="009F337B" w14:paraId="3DA08774" w14:textId="77777777" w:rsidTr="0010522A">
        <w:tc>
          <w:tcPr>
            <w:tcW w:w="560" w:type="dxa"/>
            <w:gridSpan w:val="2"/>
            <w:vMerge/>
            <w:vAlign w:val="center"/>
          </w:tcPr>
          <w:p w14:paraId="2BAD807A" w14:textId="77777777" w:rsidR="007F3128" w:rsidRPr="009F337B" w:rsidRDefault="007F3128" w:rsidP="00F608A7">
            <w:pPr>
              <w:jc w:val="left"/>
              <w:rPr>
                <w:sz w:val="16"/>
                <w:szCs w:val="16"/>
                <w:lang w:val="en-US"/>
              </w:rPr>
            </w:pPr>
          </w:p>
        </w:tc>
        <w:tc>
          <w:tcPr>
            <w:tcW w:w="2950" w:type="dxa"/>
            <w:vMerge/>
            <w:vAlign w:val="center"/>
          </w:tcPr>
          <w:p w14:paraId="3A268DDB" w14:textId="77777777" w:rsidR="007F3128" w:rsidRPr="009F337B" w:rsidRDefault="007F3128" w:rsidP="00F608A7">
            <w:pPr>
              <w:jc w:val="left"/>
              <w:rPr>
                <w:sz w:val="16"/>
                <w:szCs w:val="16"/>
                <w:lang w:val="en-US"/>
              </w:rPr>
            </w:pPr>
          </w:p>
        </w:tc>
        <w:tc>
          <w:tcPr>
            <w:tcW w:w="567" w:type="dxa"/>
            <w:vAlign w:val="center"/>
          </w:tcPr>
          <w:p w14:paraId="741CD39C" w14:textId="77777777" w:rsidR="007F3128" w:rsidRPr="009F337B" w:rsidRDefault="007F3128" w:rsidP="00F608A7">
            <w:pPr>
              <w:jc w:val="left"/>
              <w:rPr>
                <w:sz w:val="16"/>
                <w:szCs w:val="16"/>
                <w:lang w:val="en-US"/>
              </w:rPr>
            </w:pPr>
            <w:r w:rsidRPr="009F337B">
              <w:rPr>
                <w:sz w:val="16"/>
                <w:szCs w:val="16"/>
                <w:lang w:val="en-US"/>
              </w:rPr>
              <w:t>4</w:t>
            </w:r>
          </w:p>
        </w:tc>
        <w:tc>
          <w:tcPr>
            <w:tcW w:w="5211" w:type="dxa"/>
            <w:vAlign w:val="center"/>
          </w:tcPr>
          <w:p w14:paraId="10EF0BB3" w14:textId="2240C417" w:rsidR="007F3128" w:rsidRPr="009F337B" w:rsidRDefault="00EE26FD" w:rsidP="00F608A7">
            <w:pPr>
              <w:jc w:val="left"/>
              <w:rPr>
                <w:sz w:val="16"/>
                <w:szCs w:val="16"/>
                <w:lang w:val="en-US"/>
              </w:rPr>
            </w:pPr>
            <w:r w:rsidRPr="009F337B">
              <w:rPr>
                <w:sz w:val="16"/>
                <w:szCs w:val="16"/>
                <w:lang w:val="en-US"/>
              </w:rPr>
              <w:t>Yensi Pérez Cayaxo</w:t>
            </w:r>
            <w:r w:rsidR="007F3128" w:rsidRPr="009F337B">
              <w:rPr>
                <w:sz w:val="16"/>
                <w:szCs w:val="16"/>
                <w:lang w:val="en-US"/>
              </w:rPr>
              <w:t>n (</w:t>
            </w:r>
            <w:r w:rsidR="0010522A" w:rsidRPr="009F337B">
              <w:rPr>
                <w:sz w:val="16"/>
                <w:szCs w:val="16"/>
                <w:lang w:val="en-US"/>
              </w:rPr>
              <w:t>Daughter</w:t>
            </w:r>
            <w:r w:rsidR="007F3128" w:rsidRPr="009F337B">
              <w:rPr>
                <w:sz w:val="16"/>
                <w:szCs w:val="16"/>
                <w:lang w:val="en-US"/>
              </w:rPr>
              <w:t>)</w:t>
            </w:r>
          </w:p>
        </w:tc>
      </w:tr>
      <w:tr w:rsidR="007F3128" w:rsidRPr="009F337B" w14:paraId="26131500" w14:textId="77777777" w:rsidTr="0010522A">
        <w:tc>
          <w:tcPr>
            <w:tcW w:w="560" w:type="dxa"/>
            <w:gridSpan w:val="2"/>
            <w:vMerge/>
            <w:vAlign w:val="center"/>
          </w:tcPr>
          <w:p w14:paraId="5279342C" w14:textId="77777777" w:rsidR="007F3128" w:rsidRPr="009F337B" w:rsidRDefault="007F3128" w:rsidP="00F608A7">
            <w:pPr>
              <w:jc w:val="left"/>
              <w:rPr>
                <w:sz w:val="16"/>
                <w:szCs w:val="16"/>
                <w:lang w:val="en-US"/>
              </w:rPr>
            </w:pPr>
          </w:p>
        </w:tc>
        <w:tc>
          <w:tcPr>
            <w:tcW w:w="2950" w:type="dxa"/>
            <w:vMerge/>
            <w:vAlign w:val="center"/>
          </w:tcPr>
          <w:p w14:paraId="0ED35D52" w14:textId="77777777" w:rsidR="007F3128" w:rsidRPr="009F337B" w:rsidRDefault="007F3128" w:rsidP="00F608A7">
            <w:pPr>
              <w:jc w:val="left"/>
              <w:rPr>
                <w:sz w:val="16"/>
                <w:szCs w:val="16"/>
                <w:lang w:val="en-US"/>
              </w:rPr>
            </w:pPr>
          </w:p>
        </w:tc>
        <w:tc>
          <w:tcPr>
            <w:tcW w:w="567" w:type="dxa"/>
            <w:vAlign w:val="center"/>
          </w:tcPr>
          <w:p w14:paraId="5DAFC464" w14:textId="77777777" w:rsidR="007F3128" w:rsidRPr="009F337B" w:rsidRDefault="007F3128" w:rsidP="00F608A7">
            <w:pPr>
              <w:jc w:val="left"/>
              <w:rPr>
                <w:sz w:val="16"/>
                <w:szCs w:val="16"/>
                <w:lang w:val="en-US"/>
              </w:rPr>
            </w:pPr>
            <w:r w:rsidRPr="009F337B">
              <w:rPr>
                <w:sz w:val="16"/>
                <w:szCs w:val="16"/>
                <w:lang w:val="en-US"/>
              </w:rPr>
              <w:t>5</w:t>
            </w:r>
          </w:p>
        </w:tc>
        <w:tc>
          <w:tcPr>
            <w:tcW w:w="5211" w:type="dxa"/>
            <w:vAlign w:val="center"/>
          </w:tcPr>
          <w:p w14:paraId="3B0E139C" w14:textId="1AAD8F1C" w:rsidR="007F3128" w:rsidRPr="009F337B" w:rsidRDefault="00EE26FD" w:rsidP="00F608A7">
            <w:pPr>
              <w:jc w:val="left"/>
              <w:rPr>
                <w:sz w:val="16"/>
                <w:szCs w:val="16"/>
                <w:lang w:val="en-US"/>
              </w:rPr>
            </w:pPr>
            <w:r w:rsidRPr="009F337B">
              <w:rPr>
                <w:sz w:val="16"/>
                <w:szCs w:val="16"/>
                <w:lang w:val="en-US"/>
              </w:rPr>
              <w:t>Neftalí Cayaxo</w:t>
            </w:r>
            <w:r w:rsidR="007F3128" w:rsidRPr="009F337B">
              <w:rPr>
                <w:sz w:val="16"/>
                <w:szCs w:val="16"/>
                <w:lang w:val="en-US"/>
              </w:rPr>
              <w:t xml:space="preserve">n </w:t>
            </w:r>
            <w:r w:rsidRPr="009F337B">
              <w:rPr>
                <w:sz w:val="16"/>
                <w:szCs w:val="16"/>
                <w:lang w:val="en-US"/>
              </w:rPr>
              <w:t xml:space="preserve">Pérez </w:t>
            </w:r>
            <w:r w:rsidR="007F3128" w:rsidRPr="009F337B">
              <w:rPr>
                <w:sz w:val="16"/>
                <w:szCs w:val="16"/>
                <w:lang w:val="en-US"/>
              </w:rPr>
              <w:t>(</w:t>
            </w:r>
            <w:r w:rsidR="0010522A" w:rsidRPr="009F337B">
              <w:rPr>
                <w:sz w:val="16"/>
                <w:szCs w:val="16"/>
                <w:lang w:val="en-US"/>
              </w:rPr>
              <w:t>Father</w:t>
            </w:r>
            <w:r w:rsidR="007F3128" w:rsidRPr="009F337B">
              <w:rPr>
                <w:sz w:val="16"/>
                <w:szCs w:val="16"/>
                <w:lang w:val="en-US"/>
              </w:rPr>
              <w:t>)</w:t>
            </w:r>
          </w:p>
        </w:tc>
      </w:tr>
      <w:tr w:rsidR="007F3128" w:rsidRPr="009F337B" w14:paraId="790569C6" w14:textId="77777777" w:rsidTr="0010522A">
        <w:tc>
          <w:tcPr>
            <w:tcW w:w="560" w:type="dxa"/>
            <w:gridSpan w:val="2"/>
            <w:vMerge/>
            <w:vAlign w:val="center"/>
          </w:tcPr>
          <w:p w14:paraId="451965DC" w14:textId="77777777" w:rsidR="007F3128" w:rsidRPr="009F337B" w:rsidRDefault="007F3128" w:rsidP="00F608A7">
            <w:pPr>
              <w:jc w:val="left"/>
              <w:rPr>
                <w:sz w:val="16"/>
                <w:szCs w:val="16"/>
                <w:lang w:val="en-US"/>
              </w:rPr>
            </w:pPr>
          </w:p>
        </w:tc>
        <w:tc>
          <w:tcPr>
            <w:tcW w:w="2950" w:type="dxa"/>
            <w:vMerge/>
            <w:vAlign w:val="center"/>
          </w:tcPr>
          <w:p w14:paraId="7A657FFC" w14:textId="77777777" w:rsidR="007F3128" w:rsidRPr="009F337B" w:rsidRDefault="007F3128" w:rsidP="00F608A7">
            <w:pPr>
              <w:jc w:val="left"/>
              <w:rPr>
                <w:sz w:val="16"/>
                <w:szCs w:val="16"/>
                <w:lang w:val="en-US"/>
              </w:rPr>
            </w:pPr>
          </w:p>
        </w:tc>
        <w:tc>
          <w:tcPr>
            <w:tcW w:w="567" w:type="dxa"/>
            <w:vAlign w:val="center"/>
          </w:tcPr>
          <w:p w14:paraId="22EBE94D" w14:textId="77777777" w:rsidR="007F3128" w:rsidRPr="009F337B" w:rsidRDefault="007F3128" w:rsidP="00F608A7">
            <w:pPr>
              <w:jc w:val="left"/>
              <w:rPr>
                <w:sz w:val="16"/>
                <w:szCs w:val="16"/>
                <w:lang w:val="en-US"/>
              </w:rPr>
            </w:pPr>
            <w:r w:rsidRPr="009F337B">
              <w:rPr>
                <w:sz w:val="16"/>
                <w:szCs w:val="16"/>
                <w:lang w:val="en-US"/>
              </w:rPr>
              <w:t>6</w:t>
            </w:r>
          </w:p>
        </w:tc>
        <w:tc>
          <w:tcPr>
            <w:tcW w:w="5211" w:type="dxa"/>
            <w:vAlign w:val="center"/>
          </w:tcPr>
          <w:p w14:paraId="4F61E119" w14:textId="19AFC15E" w:rsidR="007F3128" w:rsidRPr="009F337B" w:rsidRDefault="007F3128" w:rsidP="00F608A7">
            <w:pPr>
              <w:jc w:val="left"/>
              <w:rPr>
                <w:sz w:val="16"/>
                <w:szCs w:val="16"/>
                <w:lang w:val="en-US"/>
              </w:rPr>
            </w:pPr>
            <w:r w:rsidRPr="009F337B">
              <w:rPr>
                <w:sz w:val="16"/>
                <w:szCs w:val="16"/>
                <w:lang w:val="en-US"/>
              </w:rPr>
              <w:t>Cruz García Ramos (</w:t>
            </w:r>
            <w:r w:rsidR="0010522A" w:rsidRPr="009F337B">
              <w:rPr>
                <w:sz w:val="16"/>
                <w:szCs w:val="16"/>
                <w:lang w:val="en-US"/>
              </w:rPr>
              <w:t>Mother</w:t>
            </w:r>
            <w:r w:rsidRPr="009F337B">
              <w:rPr>
                <w:sz w:val="16"/>
                <w:szCs w:val="16"/>
                <w:lang w:val="en-US"/>
              </w:rPr>
              <w:t>)</w:t>
            </w:r>
          </w:p>
        </w:tc>
      </w:tr>
      <w:tr w:rsidR="007F3128" w:rsidRPr="009F337B" w14:paraId="19F562E7" w14:textId="77777777" w:rsidTr="0010522A">
        <w:tc>
          <w:tcPr>
            <w:tcW w:w="560" w:type="dxa"/>
            <w:gridSpan w:val="2"/>
            <w:vMerge w:val="restart"/>
            <w:vAlign w:val="center"/>
          </w:tcPr>
          <w:p w14:paraId="5FB7CE22" w14:textId="5D3185EE" w:rsidR="007F3128" w:rsidRPr="009F337B" w:rsidRDefault="007F3128" w:rsidP="00F608A7">
            <w:pPr>
              <w:jc w:val="left"/>
              <w:rPr>
                <w:sz w:val="16"/>
                <w:szCs w:val="16"/>
                <w:lang w:val="en-US"/>
              </w:rPr>
            </w:pPr>
            <w:r w:rsidRPr="009F337B">
              <w:rPr>
                <w:sz w:val="16"/>
                <w:szCs w:val="16"/>
                <w:lang w:val="en-US"/>
              </w:rPr>
              <w:t>10</w:t>
            </w:r>
          </w:p>
        </w:tc>
        <w:tc>
          <w:tcPr>
            <w:tcW w:w="2950" w:type="dxa"/>
            <w:vMerge w:val="restart"/>
            <w:vAlign w:val="center"/>
          </w:tcPr>
          <w:p w14:paraId="296BDC46" w14:textId="1AEBE01B" w:rsidR="007F3128" w:rsidRPr="009F337B" w:rsidRDefault="007F3128" w:rsidP="00F608A7">
            <w:pPr>
              <w:jc w:val="left"/>
              <w:rPr>
                <w:sz w:val="16"/>
                <w:szCs w:val="16"/>
                <w:lang w:val="en-US"/>
              </w:rPr>
            </w:pPr>
            <w:r w:rsidRPr="009F337B">
              <w:rPr>
                <w:sz w:val="16"/>
                <w:szCs w:val="16"/>
                <w:lang w:val="en-US"/>
              </w:rPr>
              <w:t>José Rubén Delgado López</w:t>
            </w:r>
          </w:p>
        </w:tc>
        <w:tc>
          <w:tcPr>
            <w:tcW w:w="567" w:type="dxa"/>
            <w:vAlign w:val="center"/>
          </w:tcPr>
          <w:p w14:paraId="29EE2ED1" w14:textId="77777777" w:rsidR="007F3128" w:rsidRPr="009F337B" w:rsidRDefault="007F3128" w:rsidP="00F608A7">
            <w:pPr>
              <w:jc w:val="left"/>
              <w:rPr>
                <w:sz w:val="16"/>
                <w:szCs w:val="16"/>
                <w:lang w:val="en-US"/>
              </w:rPr>
            </w:pPr>
            <w:r w:rsidRPr="009F337B">
              <w:rPr>
                <w:sz w:val="16"/>
                <w:szCs w:val="16"/>
                <w:lang w:val="en-US"/>
              </w:rPr>
              <w:t>1</w:t>
            </w:r>
          </w:p>
        </w:tc>
        <w:tc>
          <w:tcPr>
            <w:tcW w:w="5211" w:type="dxa"/>
            <w:vAlign w:val="center"/>
          </w:tcPr>
          <w:p w14:paraId="3186C30C" w14:textId="5175C4FE" w:rsidR="007F3128" w:rsidRPr="009F337B" w:rsidRDefault="007F3128" w:rsidP="00F608A7">
            <w:pPr>
              <w:jc w:val="left"/>
              <w:rPr>
                <w:sz w:val="16"/>
                <w:szCs w:val="16"/>
                <w:lang w:val="en-US"/>
              </w:rPr>
            </w:pPr>
            <w:r w:rsidRPr="009F337B">
              <w:rPr>
                <w:sz w:val="16"/>
                <w:szCs w:val="16"/>
                <w:lang w:val="en-US"/>
              </w:rPr>
              <w:t>Antonio Miranda Méndez (</w:t>
            </w:r>
            <w:r w:rsidR="0010522A" w:rsidRPr="009F337B">
              <w:rPr>
                <w:sz w:val="16"/>
                <w:szCs w:val="16"/>
                <w:lang w:val="en-US"/>
              </w:rPr>
              <w:t>Brother</w:t>
            </w:r>
            <w:r w:rsidRPr="009F337B">
              <w:rPr>
                <w:sz w:val="16"/>
                <w:szCs w:val="16"/>
                <w:lang w:val="en-US"/>
              </w:rPr>
              <w:t>)</w:t>
            </w:r>
          </w:p>
        </w:tc>
      </w:tr>
      <w:tr w:rsidR="007F3128" w:rsidRPr="009F337B" w14:paraId="7506950E" w14:textId="77777777" w:rsidTr="0010522A">
        <w:tc>
          <w:tcPr>
            <w:tcW w:w="560" w:type="dxa"/>
            <w:gridSpan w:val="2"/>
            <w:vMerge/>
            <w:vAlign w:val="center"/>
          </w:tcPr>
          <w:p w14:paraId="75DFEC97" w14:textId="77777777" w:rsidR="007F3128" w:rsidRPr="009F337B" w:rsidRDefault="007F3128" w:rsidP="00F608A7">
            <w:pPr>
              <w:jc w:val="left"/>
              <w:rPr>
                <w:sz w:val="16"/>
                <w:szCs w:val="16"/>
                <w:lang w:val="en-US"/>
              </w:rPr>
            </w:pPr>
          </w:p>
        </w:tc>
        <w:tc>
          <w:tcPr>
            <w:tcW w:w="2950" w:type="dxa"/>
            <w:vMerge/>
            <w:vAlign w:val="center"/>
          </w:tcPr>
          <w:p w14:paraId="2A84514C" w14:textId="77777777" w:rsidR="007F3128" w:rsidRPr="009F337B" w:rsidRDefault="007F3128" w:rsidP="00F608A7">
            <w:pPr>
              <w:jc w:val="left"/>
              <w:rPr>
                <w:sz w:val="16"/>
                <w:szCs w:val="16"/>
                <w:lang w:val="en-US"/>
              </w:rPr>
            </w:pPr>
          </w:p>
        </w:tc>
        <w:tc>
          <w:tcPr>
            <w:tcW w:w="567" w:type="dxa"/>
            <w:vAlign w:val="center"/>
          </w:tcPr>
          <w:p w14:paraId="312F8E6D" w14:textId="77777777" w:rsidR="007F3128" w:rsidRPr="009F337B" w:rsidRDefault="007F3128" w:rsidP="00F608A7">
            <w:pPr>
              <w:jc w:val="left"/>
              <w:rPr>
                <w:sz w:val="16"/>
                <w:szCs w:val="16"/>
                <w:lang w:val="en-US"/>
              </w:rPr>
            </w:pPr>
            <w:r w:rsidRPr="009F337B">
              <w:rPr>
                <w:sz w:val="16"/>
                <w:szCs w:val="16"/>
                <w:lang w:val="en-US"/>
              </w:rPr>
              <w:t>2</w:t>
            </w:r>
          </w:p>
        </w:tc>
        <w:tc>
          <w:tcPr>
            <w:tcW w:w="5211" w:type="dxa"/>
            <w:vAlign w:val="center"/>
          </w:tcPr>
          <w:p w14:paraId="0877BFD2" w14:textId="115BDFA5" w:rsidR="007F3128" w:rsidRPr="00542AB5" w:rsidRDefault="007F3128" w:rsidP="00F608A7">
            <w:pPr>
              <w:jc w:val="left"/>
              <w:rPr>
                <w:sz w:val="16"/>
                <w:szCs w:val="16"/>
                <w:lang w:val="es-CR"/>
              </w:rPr>
            </w:pPr>
            <w:r w:rsidRPr="00542AB5">
              <w:rPr>
                <w:sz w:val="16"/>
                <w:szCs w:val="16"/>
                <w:lang w:val="es-CR"/>
              </w:rPr>
              <w:t>Magdalena López de Miranda (</w:t>
            </w:r>
            <w:r w:rsidR="00C6034E" w:rsidRPr="00542AB5">
              <w:rPr>
                <w:sz w:val="16"/>
                <w:szCs w:val="16"/>
                <w:lang w:val="es-CR"/>
              </w:rPr>
              <w:t>Sister-in-law</w:t>
            </w:r>
            <w:r w:rsidRPr="00542AB5">
              <w:rPr>
                <w:sz w:val="16"/>
                <w:szCs w:val="16"/>
                <w:lang w:val="es-CR"/>
              </w:rPr>
              <w:t>)</w:t>
            </w:r>
          </w:p>
        </w:tc>
      </w:tr>
      <w:tr w:rsidR="007F3128" w:rsidRPr="009F337B" w14:paraId="140C049A" w14:textId="77777777" w:rsidTr="0010522A">
        <w:tc>
          <w:tcPr>
            <w:tcW w:w="560" w:type="dxa"/>
            <w:gridSpan w:val="2"/>
            <w:vMerge/>
            <w:vAlign w:val="center"/>
          </w:tcPr>
          <w:p w14:paraId="18913C04" w14:textId="77777777" w:rsidR="007F3128" w:rsidRPr="00542AB5" w:rsidRDefault="007F3128" w:rsidP="00F608A7">
            <w:pPr>
              <w:jc w:val="left"/>
              <w:rPr>
                <w:sz w:val="16"/>
                <w:szCs w:val="16"/>
                <w:lang w:val="es-CR"/>
              </w:rPr>
            </w:pPr>
          </w:p>
        </w:tc>
        <w:tc>
          <w:tcPr>
            <w:tcW w:w="2950" w:type="dxa"/>
            <w:vMerge/>
            <w:vAlign w:val="center"/>
          </w:tcPr>
          <w:p w14:paraId="16B81795" w14:textId="77777777" w:rsidR="007F3128" w:rsidRPr="00542AB5" w:rsidRDefault="007F3128" w:rsidP="00F608A7">
            <w:pPr>
              <w:jc w:val="left"/>
              <w:rPr>
                <w:sz w:val="16"/>
                <w:szCs w:val="16"/>
                <w:lang w:val="es-CR"/>
              </w:rPr>
            </w:pPr>
          </w:p>
        </w:tc>
        <w:tc>
          <w:tcPr>
            <w:tcW w:w="567" w:type="dxa"/>
            <w:vAlign w:val="center"/>
          </w:tcPr>
          <w:p w14:paraId="2F6D7676" w14:textId="77777777" w:rsidR="007F3128" w:rsidRPr="009F337B" w:rsidRDefault="007F3128" w:rsidP="00F608A7">
            <w:pPr>
              <w:jc w:val="left"/>
              <w:rPr>
                <w:sz w:val="16"/>
                <w:szCs w:val="16"/>
                <w:lang w:val="en-US"/>
              </w:rPr>
            </w:pPr>
            <w:r w:rsidRPr="009F337B">
              <w:rPr>
                <w:sz w:val="16"/>
                <w:szCs w:val="16"/>
                <w:lang w:val="en-US"/>
              </w:rPr>
              <w:t>3</w:t>
            </w:r>
          </w:p>
        </w:tc>
        <w:tc>
          <w:tcPr>
            <w:tcW w:w="5211" w:type="dxa"/>
            <w:vAlign w:val="center"/>
          </w:tcPr>
          <w:p w14:paraId="156663B6" w14:textId="73FAFF76" w:rsidR="007F3128" w:rsidRPr="009F337B" w:rsidRDefault="007F3128" w:rsidP="00F608A7">
            <w:pPr>
              <w:jc w:val="left"/>
              <w:rPr>
                <w:sz w:val="16"/>
                <w:szCs w:val="16"/>
                <w:lang w:val="en-US"/>
              </w:rPr>
            </w:pPr>
            <w:r w:rsidRPr="009F337B">
              <w:rPr>
                <w:sz w:val="16"/>
                <w:szCs w:val="16"/>
                <w:lang w:val="en-US"/>
              </w:rPr>
              <w:t>Héctor Delgado Pérez (</w:t>
            </w:r>
            <w:r w:rsidR="0010522A" w:rsidRPr="009F337B">
              <w:rPr>
                <w:sz w:val="16"/>
                <w:szCs w:val="16"/>
                <w:lang w:val="en-US"/>
              </w:rPr>
              <w:t>Son</w:t>
            </w:r>
            <w:r w:rsidRPr="009F337B">
              <w:rPr>
                <w:sz w:val="16"/>
                <w:szCs w:val="16"/>
                <w:lang w:val="en-US"/>
              </w:rPr>
              <w:t>)</w:t>
            </w:r>
          </w:p>
        </w:tc>
      </w:tr>
      <w:tr w:rsidR="007F3128" w:rsidRPr="009F337B" w14:paraId="531119BE" w14:textId="77777777" w:rsidTr="0010522A">
        <w:tc>
          <w:tcPr>
            <w:tcW w:w="560" w:type="dxa"/>
            <w:gridSpan w:val="2"/>
            <w:vMerge/>
            <w:vAlign w:val="center"/>
          </w:tcPr>
          <w:p w14:paraId="2C19465D" w14:textId="77777777" w:rsidR="007F3128" w:rsidRPr="009F337B" w:rsidRDefault="007F3128" w:rsidP="00F608A7">
            <w:pPr>
              <w:jc w:val="left"/>
              <w:rPr>
                <w:sz w:val="16"/>
                <w:szCs w:val="16"/>
                <w:lang w:val="en-US"/>
              </w:rPr>
            </w:pPr>
          </w:p>
        </w:tc>
        <w:tc>
          <w:tcPr>
            <w:tcW w:w="2950" w:type="dxa"/>
            <w:vMerge/>
            <w:vAlign w:val="center"/>
          </w:tcPr>
          <w:p w14:paraId="60AD1D06" w14:textId="77777777" w:rsidR="007F3128" w:rsidRPr="009F337B" w:rsidRDefault="007F3128" w:rsidP="00F608A7">
            <w:pPr>
              <w:jc w:val="left"/>
              <w:rPr>
                <w:sz w:val="16"/>
                <w:szCs w:val="16"/>
                <w:lang w:val="en-US"/>
              </w:rPr>
            </w:pPr>
          </w:p>
        </w:tc>
        <w:tc>
          <w:tcPr>
            <w:tcW w:w="567" w:type="dxa"/>
            <w:vAlign w:val="center"/>
          </w:tcPr>
          <w:p w14:paraId="6C3F54B5" w14:textId="77777777" w:rsidR="007F3128" w:rsidRPr="009F337B" w:rsidRDefault="007F3128" w:rsidP="00F608A7">
            <w:pPr>
              <w:jc w:val="left"/>
              <w:rPr>
                <w:sz w:val="16"/>
                <w:szCs w:val="16"/>
                <w:lang w:val="en-US"/>
              </w:rPr>
            </w:pPr>
            <w:r w:rsidRPr="009F337B">
              <w:rPr>
                <w:sz w:val="16"/>
                <w:szCs w:val="16"/>
                <w:lang w:val="en-US"/>
              </w:rPr>
              <w:t>4</w:t>
            </w:r>
          </w:p>
        </w:tc>
        <w:tc>
          <w:tcPr>
            <w:tcW w:w="5211" w:type="dxa"/>
            <w:vAlign w:val="center"/>
          </w:tcPr>
          <w:p w14:paraId="54A18250" w14:textId="2305A865" w:rsidR="007F3128" w:rsidRPr="009F337B" w:rsidRDefault="007F3128" w:rsidP="00F608A7">
            <w:pPr>
              <w:jc w:val="left"/>
              <w:rPr>
                <w:sz w:val="16"/>
                <w:szCs w:val="16"/>
                <w:lang w:val="en-US"/>
              </w:rPr>
            </w:pPr>
            <w:r w:rsidRPr="009F337B">
              <w:rPr>
                <w:sz w:val="16"/>
                <w:szCs w:val="16"/>
                <w:lang w:val="en-US"/>
              </w:rPr>
              <w:t>Francisco Delgado Pérez (</w:t>
            </w:r>
            <w:r w:rsidR="0010522A" w:rsidRPr="009F337B">
              <w:rPr>
                <w:sz w:val="16"/>
                <w:szCs w:val="16"/>
                <w:lang w:val="en-US"/>
              </w:rPr>
              <w:t>Son</w:t>
            </w:r>
            <w:r w:rsidRPr="009F337B">
              <w:rPr>
                <w:sz w:val="16"/>
                <w:szCs w:val="16"/>
                <w:lang w:val="en-US"/>
              </w:rPr>
              <w:t>)</w:t>
            </w:r>
          </w:p>
        </w:tc>
      </w:tr>
      <w:tr w:rsidR="007F3128" w:rsidRPr="009F337B" w14:paraId="4FB715D2" w14:textId="77777777" w:rsidTr="0010522A">
        <w:tc>
          <w:tcPr>
            <w:tcW w:w="560" w:type="dxa"/>
            <w:gridSpan w:val="2"/>
            <w:vMerge/>
            <w:vAlign w:val="center"/>
          </w:tcPr>
          <w:p w14:paraId="52157054" w14:textId="77777777" w:rsidR="007F3128" w:rsidRPr="009F337B" w:rsidRDefault="007F3128" w:rsidP="00F608A7">
            <w:pPr>
              <w:jc w:val="left"/>
              <w:rPr>
                <w:sz w:val="16"/>
                <w:szCs w:val="16"/>
                <w:lang w:val="en-US"/>
              </w:rPr>
            </w:pPr>
          </w:p>
        </w:tc>
        <w:tc>
          <w:tcPr>
            <w:tcW w:w="2950" w:type="dxa"/>
            <w:vMerge/>
            <w:vAlign w:val="center"/>
          </w:tcPr>
          <w:p w14:paraId="1B832C59" w14:textId="77777777" w:rsidR="007F3128" w:rsidRPr="009F337B" w:rsidRDefault="007F3128" w:rsidP="00F608A7">
            <w:pPr>
              <w:jc w:val="left"/>
              <w:rPr>
                <w:sz w:val="16"/>
                <w:szCs w:val="16"/>
                <w:lang w:val="en-US"/>
              </w:rPr>
            </w:pPr>
          </w:p>
        </w:tc>
        <w:tc>
          <w:tcPr>
            <w:tcW w:w="567" w:type="dxa"/>
            <w:vAlign w:val="center"/>
          </w:tcPr>
          <w:p w14:paraId="1249000B" w14:textId="77777777" w:rsidR="007F3128" w:rsidRPr="009F337B" w:rsidRDefault="007F3128" w:rsidP="00F608A7">
            <w:pPr>
              <w:jc w:val="left"/>
              <w:rPr>
                <w:sz w:val="16"/>
                <w:szCs w:val="16"/>
                <w:lang w:val="en-US"/>
              </w:rPr>
            </w:pPr>
            <w:r w:rsidRPr="009F337B">
              <w:rPr>
                <w:sz w:val="16"/>
                <w:szCs w:val="16"/>
                <w:lang w:val="en-US"/>
              </w:rPr>
              <w:t>5</w:t>
            </w:r>
          </w:p>
        </w:tc>
        <w:tc>
          <w:tcPr>
            <w:tcW w:w="5211" w:type="dxa"/>
            <w:vAlign w:val="center"/>
          </w:tcPr>
          <w:p w14:paraId="159351D5" w14:textId="2E0EE9EA" w:rsidR="007F3128" w:rsidRPr="00542AB5" w:rsidRDefault="007F3128" w:rsidP="00F608A7">
            <w:pPr>
              <w:jc w:val="left"/>
              <w:rPr>
                <w:sz w:val="16"/>
                <w:szCs w:val="16"/>
                <w:lang w:val="es-CR"/>
              </w:rPr>
            </w:pPr>
            <w:r w:rsidRPr="00542AB5">
              <w:rPr>
                <w:sz w:val="16"/>
                <w:szCs w:val="16"/>
                <w:lang w:val="es-CR"/>
              </w:rPr>
              <w:t>Lidia Mirtala Miranda López (</w:t>
            </w:r>
            <w:r w:rsidR="0010522A" w:rsidRPr="00542AB5">
              <w:rPr>
                <w:sz w:val="16"/>
                <w:szCs w:val="16"/>
                <w:lang w:val="es-CR"/>
              </w:rPr>
              <w:t>Niece</w:t>
            </w:r>
            <w:r w:rsidRPr="00542AB5">
              <w:rPr>
                <w:sz w:val="16"/>
                <w:szCs w:val="16"/>
                <w:lang w:val="es-CR"/>
              </w:rPr>
              <w:t>)</w:t>
            </w:r>
          </w:p>
        </w:tc>
      </w:tr>
      <w:tr w:rsidR="007F3128" w:rsidRPr="00310E7A" w14:paraId="5D84652D" w14:textId="77777777" w:rsidTr="0010522A">
        <w:tc>
          <w:tcPr>
            <w:tcW w:w="560" w:type="dxa"/>
            <w:gridSpan w:val="2"/>
            <w:vMerge w:val="restart"/>
            <w:vAlign w:val="center"/>
          </w:tcPr>
          <w:p w14:paraId="3DCCF108" w14:textId="47FA102E" w:rsidR="007F3128" w:rsidRPr="009F337B" w:rsidRDefault="007F3128" w:rsidP="00F608A7">
            <w:pPr>
              <w:jc w:val="left"/>
              <w:rPr>
                <w:sz w:val="16"/>
                <w:szCs w:val="16"/>
                <w:lang w:val="en-US"/>
              </w:rPr>
            </w:pPr>
            <w:r w:rsidRPr="009F337B">
              <w:rPr>
                <w:sz w:val="16"/>
                <w:szCs w:val="16"/>
                <w:lang w:val="en-US"/>
              </w:rPr>
              <w:t>11</w:t>
            </w:r>
          </w:p>
        </w:tc>
        <w:tc>
          <w:tcPr>
            <w:tcW w:w="2950" w:type="dxa"/>
            <w:vMerge w:val="restart"/>
            <w:vAlign w:val="center"/>
          </w:tcPr>
          <w:p w14:paraId="7A478E47" w14:textId="6601366F" w:rsidR="007F3128" w:rsidRPr="009F337B" w:rsidRDefault="0059761F" w:rsidP="00F608A7">
            <w:pPr>
              <w:jc w:val="left"/>
              <w:rPr>
                <w:sz w:val="16"/>
                <w:szCs w:val="16"/>
                <w:lang w:val="en-US"/>
              </w:rPr>
            </w:pPr>
            <w:r w:rsidRPr="009F337B">
              <w:rPr>
                <w:sz w:val="16"/>
                <w:szCs w:val="16"/>
                <w:lang w:val="en-US"/>
              </w:rPr>
              <w:t>Elsa Miriam Estrada Ruí</w:t>
            </w:r>
            <w:r w:rsidR="007F3128" w:rsidRPr="009F337B">
              <w:rPr>
                <w:sz w:val="16"/>
                <w:szCs w:val="16"/>
                <w:lang w:val="en-US"/>
              </w:rPr>
              <w:t>z</w:t>
            </w:r>
          </w:p>
        </w:tc>
        <w:tc>
          <w:tcPr>
            <w:tcW w:w="567" w:type="dxa"/>
            <w:vAlign w:val="center"/>
          </w:tcPr>
          <w:p w14:paraId="262A39D9" w14:textId="77777777" w:rsidR="007F3128" w:rsidRPr="009F337B" w:rsidRDefault="007F3128" w:rsidP="00F608A7">
            <w:pPr>
              <w:jc w:val="left"/>
              <w:rPr>
                <w:sz w:val="16"/>
                <w:szCs w:val="16"/>
                <w:lang w:val="en-US"/>
              </w:rPr>
            </w:pPr>
            <w:r w:rsidRPr="009F337B">
              <w:rPr>
                <w:sz w:val="16"/>
                <w:szCs w:val="16"/>
                <w:lang w:val="en-US"/>
              </w:rPr>
              <w:t>1</w:t>
            </w:r>
          </w:p>
        </w:tc>
        <w:tc>
          <w:tcPr>
            <w:tcW w:w="5211" w:type="dxa"/>
            <w:vAlign w:val="center"/>
          </w:tcPr>
          <w:p w14:paraId="3CF9FDA5" w14:textId="2006C6F6" w:rsidR="007F3128" w:rsidRPr="009F337B" w:rsidRDefault="007F3128" w:rsidP="00F608A7">
            <w:pPr>
              <w:jc w:val="left"/>
              <w:rPr>
                <w:sz w:val="16"/>
                <w:szCs w:val="16"/>
                <w:lang w:val="en-US"/>
              </w:rPr>
            </w:pPr>
            <w:r w:rsidRPr="009F337B">
              <w:rPr>
                <w:sz w:val="16"/>
                <w:szCs w:val="16"/>
                <w:lang w:val="en-US"/>
              </w:rPr>
              <w:t>José Luis Hernández (</w:t>
            </w:r>
            <w:r w:rsidR="0010522A" w:rsidRPr="009F337B">
              <w:rPr>
                <w:sz w:val="16"/>
                <w:szCs w:val="16"/>
                <w:lang w:val="en-US"/>
              </w:rPr>
              <w:t>Husband, deceased</w:t>
            </w:r>
            <w:r w:rsidRPr="009F337B">
              <w:rPr>
                <w:sz w:val="16"/>
                <w:szCs w:val="16"/>
                <w:lang w:val="en-US"/>
              </w:rPr>
              <w:t>)</w:t>
            </w:r>
          </w:p>
        </w:tc>
      </w:tr>
      <w:tr w:rsidR="007F3128" w:rsidRPr="009F337B" w14:paraId="3EC206A2" w14:textId="77777777" w:rsidTr="0010522A">
        <w:tc>
          <w:tcPr>
            <w:tcW w:w="560" w:type="dxa"/>
            <w:gridSpan w:val="2"/>
            <w:vMerge/>
            <w:vAlign w:val="center"/>
          </w:tcPr>
          <w:p w14:paraId="3B2A5F11" w14:textId="77777777" w:rsidR="007F3128" w:rsidRPr="009F337B" w:rsidRDefault="007F3128" w:rsidP="00F608A7">
            <w:pPr>
              <w:jc w:val="left"/>
              <w:rPr>
                <w:sz w:val="16"/>
                <w:szCs w:val="16"/>
                <w:lang w:val="en-US"/>
              </w:rPr>
            </w:pPr>
          </w:p>
        </w:tc>
        <w:tc>
          <w:tcPr>
            <w:tcW w:w="2950" w:type="dxa"/>
            <w:vMerge/>
            <w:vAlign w:val="center"/>
          </w:tcPr>
          <w:p w14:paraId="638DE258" w14:textId="77777777" w:rsidR="007F3128" w:rsidRPr="009F337B" w:rsidRDefault="007F3128" w:rsidP="00F608A7">
            <w:pPr>
              <w:jc w:val="left"/>
              <w:rPr>
                <w:sz w:val="16"/>
                <w:szCs w:val="16"/>
                <w:lang w:val="en-US"/>
              </w:rPr>
            </w:pPr>
          </w:p>
        </w:tc>
        <w:tc>
          <w:tcPr>
            <w:tcW w:w="567" w:type="dxa"/>
            <w:vAlign w:val="center"/>
          </w:tcPr>
          <w:p w14:paraId="55313BA2" w14:textId="77777777" w:rsidR="007F3128" w:rsidRPr="009F337B" w:rsidRDefault="007F3128" w:rsidP="00F608A7">
            <w:pPr>
              <w:jc w:val="left"/>
              <w:rPr>
                <w:sz w:val="16"/>
                <w:szCs w:val="16"/>
                <w:lang w:val="en-US"/>
              </w:rPr>
            </w:pPr>
            <w:r w:rsidRPr="009F337B">
              <w:rPr>
                <w:sz w:val="16"/>
                <w:szCs w:val="16"/>
                <w:lang w:val="en-US"/>
              </w:rPr>
              <w:t>2</w:t>
            </w:r>
          </w:p>
        </w:tc>
        <w:tc>
          <w:tcPr>
            <w:tcW w:w="5211" w:type="dxa"/>
            <w:vAlign w:val="center"/>
          </w:tcPr>
          <w:p w14:paraId="5CC9A4BE" w14:textId="5BA11DBB" w:rsidR="007F3128" w:rsidRPr="009F337B" w:rsidRDefault="007F3128" w:rsidP="00F608A7">
            <w:pPr>
              <w:jc w:val="left"/>
              <w:rPr>
                <w:sz w:val="16"/>
                <w:szCs w:val="16"/>
                <w:lang w:val="en-US"/>
              </w:rPr>
            </w:pPr>
            <w:r w:rsidRPr="009F337B">
              <w:rPr>
                <w:sz w:val="16"/>
                <w:szCs w:val="16"/>
                <w:lang w:val="en-US"/>
              </w:rPr>
              <w:t>María Herlinda Ru</w:t>
            </w:r>
            <w:r w:rsidR="002F7207" w:rsidRPr="009F337B">
              <w:rPr>
                <w:sz w:val="16"/>
                <w:szCs w:val="16"/>
                <w:lang w:val="en-US"/>
              </w:rPr>
              <w:t>í</w:t>
            </w:r>
            <w:r w:rsidRPr="009F337B">
              <w:rPr>
                <w:sz w:val="16"/>
                <w:szCs w:val="16"/>
                <w:lang w:val="en-US"/>
              </w:rPr>
              <w:t>z (</w:t>
            </w:r>
            <w:r w:rsidR="0010522A" w:rsidRPr="009F337B">
              <w:rPr>
                <w:sz w:val="16"/>
                <w:szCs w:val="16"/>
                <w:lang w:val="en-US"/>
              </w:rPr>
              <w:t>Mother</w:t>
            </w:r>
            <w:r w:rsidRPr="009F337B">
              <w:rPr>
                <w:sz w:val="16"/>
                <w:szCs w:val="16"/>
                <w:lang w:val="en-US"/>
              </w:rPr>
              <w:t>)</w:t>
            </w:r>
          </w:p>
        </w:tc>
      </w:tr>
      <w:tr w:rsidR="007F3128" w:rsidRPr="009F337B" w14:paraId="4CFDCBEF" w14:textId="77777777" w:rsidTr="0010522A">
        <w:tc>
          <w:tcPr>
            <w:tcW w:w="560" w:type="dxa"/>
            <w:gridSpan w:val="2"/>
            <w:vMerge/>
            <w:vAlign w:val="center"/>
          </w:tcPr>
          <w:p w14:paraId="34854720" w14:textId="77777777" w:rsidR="007F3128" w:rsidRPr="009F337B" w:rsidRDefault="007F3128" w:rsidP="00F608A7">
            <w:pPr>
              <w:jc w:val="left"/>
              <w:rPr>
                <w:sz w:val="16"/>
                <w:szCs w:val="16"/>
                <w:lang w:val="en-US"/>
              </w:rPr>
            </w:pPr>
          </w:p>
        </w:tc>
        <w:tc>
          <w:tcPr>
            <w:tcW w:w="2950" w:type="dxa"/>
            <w:vMerge/>
            <w:vAlign w:val="center"/>
          </w:tcPr>
          <w:p w14:paraId="78065B08" w14:textId="77777777" w:rsidR="007F3128" w:rsidRPr="009F337B" w:rsidRDefault="007F3128" w:rsidP="00F608A7">
            <w:pPr>
              <w:jc w:val="left"/>
              <w:rPr>
                <w:sz w:val="16"/>
                <w:szCs w:val="16"/>
                <w:lang w:val="en-US"/>
              </w:rPr>
            </w:pPr>
          </w:p>
        </w:tc>
        <w:tc>
          <w:tcPr>
            <w:tcW w:w="567" w:type="dxa"/>
            <w:vAlign w:val="center"/>
          </w:tcPr>
          <w:p w14:paraId="26DF3BE4" w14:textId="77777777" w:rsidR="007F3128" w:rsidRPr="009F337B" w:rsidRDefault="007F3128" w:rsidP="00F608A7">
            <w:pPr>
              <w:jc w:val="left"/>
              <w:rPr>
                <w:sz w:val="16"/>
                <w:szCs w:val="16"/>
                <w:lang w:val="en-US"/>
              </w:rPr>
            </w:pPr>
            <w:r w:rsidRPr="009F337B">
              <w:rPr>
                <w:sz w:val="16"/>
                <w:szCs w:val="16"/>
                <w:lang w:val="en-US"/>
              </w:rPr>
              <w:t>3</w:t>
            </w:r>
          </w:p>
        </w:tc>
        <w:tc>
          <w:tcPr>
            <w:tcW w:w="5211" w:type="dxa"/>
            <w:vAlign w:val="center"/>
          </w:tcPr>
          <w:p w14:paraId="5D096894" w14:textId="2FBEC177" w:rsidR="007F3128" w:rsidRPr="00542AB5" w:rsidRDefault="00CE410B" w:rsidP="00F608A7">
            <w:pPr>
              <w:jc w:val="left"/>
              <w:rPr>
                <w:sz w:val="16"/>
                <w:szCs w:val="16"/>
                <w:lang w:val="es-CR"/>
              </w:rPr>
            </w:pPr>
            <w:r w:rsidRPr="00542AB5">
              <w:rPr>
                <w:sz w:val="16"/>
                <w:szCs w:val="16"/>
                <w:lang w:val="es-CR"/>
              </w:rPr>
              <w:t>Luis Alberto Hernández Estrada (</w:t>
            </w:r>
            <w:r w:rsidR="0010522A" w:rsidRPr="00542AB5">
              <w:rPr>
                <w:sz w:val="16"/>
                <w:szCs w:val="16"/>
                <w:lang w:val="es-CR"/>
              </w:rPr>
              <w:t>Brother</w:t>
            </w:r>
            <w:r w:rsidRPr="00542AB5">
              <w:rPr>
                <w:sz w:val="16"/>
                <w:szCs w:val="16"/>
                <w:lang w:val="es-CR"/>
              </w:rPr>
              <w:t>)</w:t>
            </w:r>
          </w:p>
        </w:tc>
      </w:tr>
      <w:tr w:rsidR="007F3128" w:rsidRPr="009F337B" w14:paraId="23950CF5" w14:textId="77777777" w:rsidTr="0010522A">
        <w:tc>
          <w:tcPr>
            <w:tcW w:w="560" w:type="dxa"/>
            <w:gridSpan w:val="2"/>
            <w:vMerge/>
            <w:vAlign w:val="center"/>
          </w:tcPr>
          <w:p w14:paraId="3F856551" w14:textId="77777777" w:rsidR="007F3128" w:rsidRPr="00542AB5" w:rsidRDefault="007F3128" w:rsidP="00F608A7">
            <w:pPr>
              <w:jc w:val="left"/>
              <w:rPr>
                <w:sz w:val="16"/>
                <w:szCs w:val="16"/>
                <w:lang w:val="es-CR"/>
              </w:rPr>
            </w:pPr>
          </w:p>
        </w:tc>
        <w:tc>
          <w:tcPr>
            <w:tcW w:w="2950" w:type="dxa"/>
            <w:vMerge/>
            <w:vAlign w:val="center"/>
          </w:tcPr>
          <w:p w14:paraId="7B8CB7ED" w14:textId="77777777" w:rsidR="007F3128" w:rsidRPr="00542AB5" w:rsidRDefault="007F3128" w:rsidP="00F608A7">
            <w:pPr>
              <w:jc w:val="left"/>
              <w:rPr>
                <w:sz w:val="16"/>
                <w:szCs w:val="16"/>
                <w:lang w:val="es-CR"/>
              </w:rPr>
            </w:pPr>
          </w:p>
        </w:tc>
        <w:tc>
          <w:tcPr>
            <w:tcW w:w="567" w:type="dxa"/>
            <w:vAlign w:val="center"/>
          </w:tcPr>
          <w:p w14:paraId="607907B1" w14:textId="77777777" w:rsidR="007F3128" w:rsidRPr="009F337B" w:rsidRDefault="007F3128" w:rsidP="00F608A7">
            <w:pPr>
              <w:jc w:val="left"/>
              <w:rPr>
                <w:sz w:val="16"/>
                <w:szCs w:val="16"/>
                <w:lang w:val="en-US"/>
              </w:rPr>
            </w:pPr>
            <w:r w:rsidRPr="009F337B">
              <w:rPr>
                <w:sz w:val="16"/>
                <w:szCs w:val="16"/>
                <w:lang w:val="en-US"/>
              </w:rPr>
              <w:t>4</w:t>
            </w:r>
          </w:p>
        </w:tc>
        <w:tc>
          <w:tcPr>
            <w:tcW w:w="5211" w:type="dxa"/>
            <w:vAlign w:val="center"/>
          </w:tcPr>
          <w:p w14:paraId="1E28F03D" w14:textId="51F63148" w:rsidR="007F3128" w:rsidRPr="00542AB5" w:rsidRDefault="007F3128" w:rsidP="00F608A7">
            <w:pPr>
              <w:jc w:val="left"/>
              <w:rPr>
                <w:sz w:val="16"/>
                <w:szCs w:val="16"/>
                <w:lang w:val="es-CR"/>
              </w:rPr>
            </w:pPr>
            <w:r w:rsidRPr="00542AB5">
              <w:rPr>
                <w:sz w:val="16"/>
                <w:szCs w:val="16"/>
                <w:lang w:val="es-CR"/>
              </w:rPr>
              <w:t>Estuardo Edison Hernández Estrada (</w:t>
            </w:r>
            <w:r w:rsidR="0010522A" w:rsidRPr="00542AB5">
              <w:rPr>
                <w:sz w:val="16"/>
                <w:szCs w:val="16"/>
                <w:lang w:val="es-CR"/>
              </w:rPr>
              <w:t>Brother</w:t>
            </w:r>
            <w:r w:rsidRPr="00542AB5">
              <w:rPr>
                <w:sz w:val="16"/>
                <w:szCs w:val="16"/>
                <w:lang w:val="es-CR"/>
              </w:rPr>
              <w:t>)</w:t>
            </w:r>
          </w:p>
        </w:tc>
      </w:tr>
      <w:tr w:rsidR="007F3128" w:rsidRPr="009F337B" w14:paraId="68164943" w14:textId="77777777" w:rsidTr="0010522A">
        <w:tc>
          <w:tcPr>
            <w:tcW w:w="560" w:type="dxa"/>
            <w:gridSpan w:val="2"/>
            <w:vMerge/>
            <w:vAlign w:val="center"/>
          </w:tcPr>
          <w:p w14:paraId="281EE0B5" w14:textId="77777777" w:rsidR="007F3128" w:rsidRPr="00542AB5" w:rsidRDefault="007F3128" w:rsidP="00F608A7">
            <w:pPr>
              <w:jc w:val="left"/>
              <w:rPr>
                <w:sz w:val="16"/>
                <w:szCs w:val="16"/>
                <w:lang w:val="es-CR"/>
              </w:rPr>
            </w:pPr>
          </w:p>
        </w:tc>
        <w:tc>
          <w:tcPr>
            <w:tcW w:w="2950" w:type="dxa"/>
            <w:vMerge/>
            <w:vAlign w:val="center"/>
          </w:tcPr>
          <w:p w14:paraId="439F4117" w14:textId="77777777" w:rsidR="007F3128" w:rsidRPr="00542AB5" w:rsidRDefault="007F3128" w:rsidP="00F608A7">
            <w:pPr>
              <w:jc w:val="left"/>
              <w:rPr>
                <w:sz w:val="16"/>
                <w:szCs w:val="16"/>
                <w:lang w:val="es-CR"/>
              </w:rPr>
            </w:pPr>
          </w:p>
        </w:tc>
        <w:tc>
          <w:tcPr>
            <w:tcW w:w="567" w:type="dxa"/>
            <w:vAlign w:val="center"/>
          </w:tcPr>
          <w:p w14:paraId="4F90F82E" w14:textId="77777777" w:rsidR="007F3128" w:rsidRPr="009F337B" w:rsidRDefault="007F3128" w:rsidP="00F608A7">
            <w:pPr>
              <w:jc w:val="left"/>
              <w:rPr>
                <w:sz w:val="16"/>
                <w:szCs w:val="16"/>
                <w:lang w:val="en-US"/>
              </w:rPr>
            </w:pPr>
            <w:r w:rsidRPr="009F337B">
              <w:rPr>
                <w:sz w:val="16"/>
                <w:szCs w:val="16"/>
                <w:lang w:val="en-US"/>
              </w:rPr>
              <w:t>5</w:t>
            </w:r>
          </w:p>
        </w:tc>
        <w:tc>
          <w:tcPr>
            <w:tcW w:w="5211" w:type="dxa"/>
            <w:vAlign w:val="center"/>
          </w:tcPr>
          <w:p w14:paraId="078DDAF9" w14:textId="216BED30" w:rsidR="007F3128" w:rsidRPr="00542AB5" w:rsidRDefault="007F3128" w:rsidP="00F608A7">
            <w:pPr>
              <w:jc w:val="left"/>
              <w:rPr>
                <w:sz w:val="16"/>
                <w:szCs w:val="16"/>
                <w:lang w:val="es-CR"/>
              </w:rPr>
            </w:pPr>
            <w:r w:rsidRPr="00542AB5">
              <w:rPr>
                <w:sz w:val="16"/>
                <w:szCs w:val="16"/>
                <w:lang w:val="es-CR"/>
              </w:rPr>
              <w:t>Osma Vinicio Hernández Estrada (</w:t>
            </w:r>
            <w:r w:rsidR="0010522A" w:rsidRPr="00542AB5">
              <w:rPr>
                <w:sz w:val="16"/>
                <w:szCs w:val="16"/>
                <w:lang w:val="es-CR"/>
              </w:rPr>
              <w:t>Brother</w:t>
            </w:r>
            <w:r w:rsidRPr="00542AB5">
              <w:rPr>
                <w:sz w:val="16"/>
                <w:szCs w:val="16"/>
                <w:lang w:val="es-CR"/>
              </w:rPr>
              <w:t>)</w:t>
            </w:r>
          </w:p>
        </w:tc>
      </w:tr>
      <w:tr w:rsidR="007F3128" w:rsidRPr="009F337B" w14:paraId="5808E383" w14:textId="77777777" w:rsidTr="0010522A">
        <w:tc>
          <w:tcPr>
            <w:tcW w:w="560" w:type="dxa"/>
            <w:gridSpan w:val="2"/>
            <w:vMerge/>
            <w:vAlign w:val="center"/>
          </w:tcPr>
          <w:p w14:paraId="3A058221" w14:textId="77777777" w:rsidR="007F3128" w:rsidRPr="00542AB5" w:rsidRDefault="007F3128" w:rsidP="00F608A7">
            <w:pPr>
              <w:jc w:val="left"/>
              <w:rPr>
                <w:sz w:val="16"/>
                <w:szCs w:val="16"/>
                <w:lang w:val="es-CR"/>
              </w:rPr>
            </w:pPr>
          </w:p>
        </w:tc>
        <w:tc>
          <w:tcPr>
            <w:tcW w:w="2950" w:type="dxa"/>
            <w:vMerge/>
            <w:vAlign w:val="center"/>
          </w:tcPr>
          <w:p w14:paraId="005E1052" w14:textId="77777777" w:rsidR="007F3128" w:rsidRPr="00542AB5" w:rsidRDefault="007F3128" w:rsidP="00F608A7">
            <w:pPr>
              <w:jc w:val="left"/>
              <w:rPr>
                <w:sz w:val="16"/>
                <w:szCs w:val="16"/>
                <w:lang w:val="es-CR"/>
              </w:rPr>
            </w:pPr>
          </w:p>
        </w:tc>
        <w:tc>
          <w:tcPr>
            <w:tcW w:w="567" w:type="dxa"/>
            <w:vAlign w:val="center"/>
          </w:tcPr>
          <w:p w14:paraId="33A4D595" w14:textId="77777777" w:rsidR="007F3128" w:rsidRPr="009F337B" w:rsidRDefault="007F3128" w:rsidP="00F608A7">
            <w:pPr>
              <w:jc w:val="left"/>
              <w:rPr>
                <w:sz w:val="16"/>
                <w:szCs w:val="16"/>
                <w:lang w:val="en-US"/>
              </w:rPr>
            </w:pPr>
            <w:r w:rsidRPr="009F337B">
              <w:rPr>
                <w:sz w:val="16"/>
                <w:szCs w:val="16"/>
                <w:lang w:val="en-US"/>
              </w:rPr>
              <w:t>6</w:t>
            </w:r>
          </w:p>
        </w:tc>
        <w:tc>
          <w:tcPr>
            <w:tcW w:w="5211" w:type="dxa"/>
            <w:vAlign w:val="center"/>
          </w:tcPr>
          <w:p w14:paraId="55A28D05" w14:textId="1EE7171B" w:rsidR="007F3128" w:rsidRPr="00542AB5" w:rsidRDefault="007F3128" w:rsidP="00F608A7">
            <w:pPr>
              <w:jc w:val="left"/>
              <w:rPr>
                <w:sz w:val="16"/>
                <w:szCs w:val="16"/>
                <w:lang w:val="es-CR"/>
              </w:rPr>
            </w:pPr>
            <w:r w:rsidRPr="00542AB5">
              <w:rPr>
                <w:sz w:val="16"/>
                <w:szCs w:val="16"/>
                <w:lang w:val="es-CR"/>
              </w:rPr>
              <w:t>Karen Herlinda Hernández Estrada (</w:t>
            </w:r>
            <w:r w:rsidR="0010522A" w:rsidRPr="00542AB5">
              <w:rPr>
                <w:sz w:val="16"/>
                <w:szCs w:val="16"/>
                <w:lang w:val="es-CR"/>
              </w:rPr>
              <w:t>Sister</w:t>
            </w:r>
            <w:r w:rsidRPr="00542AB5">
              <w:rPr>
                <w:sz w:val="16"/>
                <w:szCs w:val="16"/>
                <w:lang w:val="es-CR"/>
              </w:rPr>
              <w:t>)</w:t>
            </w:r>
          </w:p>
        </w:tc>
      </w:tr>
      <w:tr w:rsidR="007F3128" w:rsidRPr="009F337B" w14:paraId="504B287C" w14:textId="77777777" w:rsidTr="0010522A">
        <w:tc>
          <w:tcPr>
            <w:tcW w:w="560" w:type="dxa"/>
            <w:gridSpan w:val="2"/>
            <w:vMerge/>
            <w:vAlign w:val="center"/>
          </w:tcPr>
          <w:p w14:paraId="680D0B9A" w14:textId="77777777" w:rsidR="007F3128" w:rsidRPr="00542AB5" w:rsidRDefault="007F3128" w:rsidP="00F608A7">
            <w:pPr>
              <w:jc w:val="left"/>
              <w:rPr>
                <w:sz w:val="16"/>
                <w:szCs w:val="16"/>
                <w:lang w:val="es-CR"/>
              </w:rPr>
            </w:pPr>
          </w:p>
        </w:tc>
        <w:tc>
          <w:tcPr>
            <w:tcW w:w="2950" w:type="dxa"/>
            <w:vMerge/>
            <w:vAlign w:val="center"/>
          </w:tcPr>
          <w:p w14:paraId="57830C2E" w14:textId="77777777" w:rsidR="007F3128" w:rsidRPr="00542AB5" w:rsidRDefault="007F3128" w:rsidP="00F608A7">
            <w:pPr>
              <w:jc w:val="left"/>
              <w:rPr>
                <w:sz w:val="16"/>
                <w:szCs w:val="16"/>
                <w:lang w:val="es-CR"/>
              </w:rPr>
            </w:pPr>
          </w:p>
        </w:tc>
        <w:tc>
          <w:tcPr>
            <w:tcW w:w="567" w:type="dxa"/>
            <w:vAlign w:val="center"/>
          </w:tcPr>
          <w:p w14:paraId="59771681" w14:textId="77777777" w:rsidR="007F3128" w:rsidRPr="009F337B" w:rsidRDefault="007F3128" w:rsidP="00F608A7">
            <w:pPr>
              <w:jc w:val="left"/>
              <w:rPr>
                <w:sz w:val="16"/>
                <w:szCs w:val="16"/>
                <w:lang w:val="en-US"/>
              </w:rPr>
            </w:pPr>
            <w:r w:rsidRPr="009F337B">
              <w:rPr>
                <w:sz w:val="16"/>
                <w:szCs w:val="16"/>
                <w:lang w:val="en-US"/>
              </w:rPr>
              <w:t>7</w:t>
            </w:r>
          </w:p>
        </w:tc>
        <w:tc>
          <w:tcPr>
            <w:tcW w:w="5211" w:type="dxa"/>
            <w:vAlign w:val="center"/>
          </w:tcPr>
          <w:p w14:paraId="48A72BE1" w14:textId="7A11F937" w:rsidR="007F3128" w:rsidRPr="00542AB5" w:rsidRDefault="007F3128" w:rsidP="00F608A7">
            <w:pPr>
              <w:jc w:val="left"/>
              <w:rPr>
                <w:sz w:val="16"/>
                <w:szCs w:val="16"/>
                <w:lang w:val="es-CR"/>
              </w:rPr>
            </w:pPr>
            <w:r w:rsidRPr="00542AB5">
              <w:rPr>
                <w:sz w:val="16"/>
                <w:szCs w:val="16"/>
                <w:lang w:val="es-CR"/>
              </w:rPr>
              <w:t>Miriam Lisbeth Hernández Estrada (</w:t>
            </w:r>
            <w:r w:rsidR="0010522A" w:rsidRPr="00542AB5">
              <w:rPr>
                <w:sz w:val="16"/>
                <w:szCs w:val="16"/>
                <w:lang w:val="es-CR"/>
              </w:rPr>
              <w:t>Sister</w:t>
            </w:r>
            <w:r w:rsidRPr="00542AB5">
              <w:rPr>
                <w:sz w:val="16"/>
                <w:szCs w:val="16"/>
                <w:lang w:val="es-CR"/>
              </w:rPr>
              <w:t>)</w:t>
            </w:r>
          </w:p>
        </w:tc>
      </w:tr>
      <w:tr w:rsidR="007F3128" w:rsidRPr="009F337B" w14:paraId="26A7872C" w14:textId="77777777" w:rsidTr="0010522A">
        <w:tc>
          <w:tcPr>
            <w:tcW w:w="560" w:type="dxa"/>
            <w:gridSpan w:val="2"/>
            <w:vMerge w:val="restart"/>
            <w:vAlign w:val="center"/>
          </w:tcPr>
          <w:p w14:paraId="105271BA" w14:textId="77777777" w:rsidR="007F3128" w:rsidRPr="009F337B" w:rsidRDefault="007F3128" w:rsidP="00F608A7">
            <w:pPr>
              <w:jc w:val="left"/>
              <w:rPr>
                <w:sz w:val="16"/>
                <w:szCs w:val="16"/>
                <w:lang w:val="en-US"/>
              </w:rPr>
            </w:pPr>
            <w:r w:rsidRPr="009F337B">
              <w:rPr>
                <w:sz w:val="16"/>
                <w:szCs w:val="16"/>
                <w:lang w:val="en-US"/>
              </w:rPr>
              <w:t>12</w:t>
            </w:r>
          </w:p>
        </w:tc>
        <w:tc>
          <w:tcPr>
            <w:tcW w:w="2950" w:type="dxa"/>
            <w:vMerge w:val="restart"/>
            <w:vAlign w:val="center"/>
          </w:tcPr>
          <w:p w14:paraId="45E19E53" w14:textId="2043D268" w:rsidR="007F3128" w:rsidRPr="009F337B" w:rsidRDefault="0087740B" w:rsidP="00F608A7">
            <w:pPr>
              <w:jc w:val="left"/>
              <w:rPr>
                <w:sz w:val="16"/>
                <w:szCs w:val="16"/>
                <w:lang w:val="en-US"/>
              </w:rPr>
            </w:pPr>
            <w:r w:rsidRPr="009F337B">
              <w:rPr>
                <w:sz w:val="16"/>
                <w:szCs w:val="16"/>
                <w:lang w:val="en-US"/>
              </w:rPr>
              <w:t>Silvia Mirtala A</w:t>
            </w:r>
            <w:r w:rsidR="007F3128" w:rsidRPr="009F337B">
              <w:rPr>
                <w:sz w:val="16"/>
                <w:szCs w:val="16"/>
                <w:lang w:val="en-US"/>
              </w:rPr>
              <w:t>lvarez Villatoro</w:t>
            </w:r>
          </w:p>
        </w:tc>
        <w:tc>
          <w:tcPr>
            <w:tcW w:w="567" w:type="dxa"/>
            <w:vAlign w:val="center"/>
          </w:tcPr>
          <w:p w14:paraId="7B83A101" w14:textId="77777777" w:rsidR="007F3128" w:rsidRPr="009F337B" w:rsidRDefault="007F3128" w:rsidP="00F608A7">
            <w:pPr>
              <w:jc w:val="left"/>
              <w:rPr>
                <w:sz w:val="16"/>
                <w:szCs w:val="16"/>
                <w:lang w:val="en-US"/>
              </w:rPr>
            </w:pPr>
            <w:r w:rsidRPr="009F337B">
              <w:rPr>
                <w:sz w:val="16"/>
                <w:szCs w:val="16"/>
                <w:lang w:val="en-US"/>
              </w:rPr>
              <w:t>1</w:t>
            </w:r>
          </w:p>
        </w:tc>
        <w:tc>
          <w:tcPr>
            <w:tcW w:w="5211" w:type="dxa"/>
            <w:vAlign w:val="center"/>
          </w:tcPr>
          <w:p w14:paraId="03C48ED0" w14:textId="0AA3563C" w:rsidR="007F3128" w:rsidRPr="009F337B" w:rsidRDefault="00EC70DB" w:rsidP="00F608A7">
            <w:pPr>
              <w:jc w:val="left"/>
              <w:rPr>
                <w:sz w:val="16"/>
                <w:szCs w:val="16"/>
                <w:lang w:val="en-US"/>
              </w:rPr>
            </w:pPr>
            <w:r w:rsidRPr="009F337B">
              <w:rPr>
                <w:sz w:val="16"/>
                <w:szCs w:val="16"/>
                <w:lang w:val="en-US"/>
              </w:rPr>
              <w:t>Mayra Aideé</w:t>
            </w:r>
            <w:r w:rsidR="007F3128" w:rsidRPr="009F337B">
              <w:rPr>
                <w:sz w:val="16"/>
                <w:szCs w:val="16"/>
                <w:lang w:val="en-US"/>
              </w:rPr>
              <w:t xml:space="preserve"> Mejía Martínez (</w:t>
            </w:r>
            <w:r w:rsidR="0010522A" w:rsidRPr="009F337B">
              <w:rPr>
                <w:sz w:val="16"/>
                <w:szCs w:val="16"/>
                <w:lang w:val="en-US"/>
              </w:rPr>
              <w:t>Partner</w:t>
            </w:r>
            <w:r w:rsidR="007F3128" w:rsidRPr="009F337B">
              <w:rPr>
                <w:sz w:val="16"/>
                <w:szCs w:val="16"/>
                <w:lang w:val="en-US"/>
              </w:rPr>
              <w:t>)</w:t>
            </w:r>
          </w:p>
        </w:tc>
      </w:tr>
      <w:tr w:rsidR="007F3128" w:rsidRPr="009F337B" w14:paraId="27CDE6B3" w14:textId="77777777" w:rsidTr="0010522A">
        <w:tc>
          <w:tcPr>
            <w:tcW w:w="560" w:type="dxa"/>
            <w:gridSpan w:val="2"/>
            <w:vMerge/>
            <w:vAlign w:val="center"/>
          </w:tcPr>
          <w:p w14:paraId="03F97303" w14:textId="77777777" w:rsidR="007F3128" w:rsidRPr="009F337B" w:rsidRDefault="007F3128" w:rsidP="00F608A7">
            <w:pPr>
              <w:jc w:val="left"/>
              <w:rPr>
                <w:sz w:val="16"/>
                <w:szCs w:val="16"/>
                <w:lang w:val="en-US"/>
              </w:rPr>
            </w:pPr>
          </w:p>
        </w:tc>
        <w:tc>
          <w:tcPr>
            <w:tcW w:w="2950" w:type="dxa"/>
            <w:vMerge/>
            <w:vAlign w:val="center"/>
          </w:tcPr>
          <w:p w14:paraId="13BDED45" w14:textId="77777777" w:rsidR="007F3128" w:rsidRPr="009F337B" w:rsidRDefault="007F3128" w:rsidP="00F608A7">
            <w:pPr>
              <w:jc w:val="left"/>
              <w:rPr>
                <w:sz w:val="16"/>
                <w:szCs w:val="16"/>
                <w:lang w:val="en-US"/>
              </w:rPr>
            </w:pPr>
          </w:p>
        </w:tc>
        <w:tc>
          <w:tcPr>
            <w:tcW w:w="567" w:type="dxa"/>
            <w:vAlign w:val="center"/>
          </w:tcPr>
          <w:p w14:paraId="784425DD" w14:textId="77777777" w:rsidR="007F3128" w:rsidRPr="009F337B" w:rsidRDefault="007F3128" w:rsidP="00F608A7">
            <w:pPr>
              <w:jc w:val="left"/>
              <w:rPr>
                <w:sz w:val="16"/>
                <w:szCs w:val="16"/>
                <w:lang w:val="en-US"/>
              </w:rPr>
            </w:pPr>
            <w:r w:rsidRPr="009F337B">
              <w:rPr>
                <w:sz w:val="16"/>
                <w:szCs w:val="16"/>
                <w:lang w:val="en-US"/>
              </w:rPr>
              <w:t>2</w:t>
            </w:r>
          </w:p>
        </w:tc>
        <w:tc>
          <w:tcPr>
            <w:tcW w:w="5211" w:type="dxa"/>
            <w:vAlign w:val="center"/>
          </w:tcPr>
          <w:p w14:paraId="696D7928" w14:textId="4874C246" w:rsidR="007F3128" w:rsidRPr="00542AB5" w:rsidRDefault="007F3128" w:rsidP="00F608A7">
            <w:pPr>
              <w:jc w:val="left"/>
              <w:rPr>
                <w:sz w:val="16"/>
                <w:szCs w:val="16"/>
                <w:lang w:val="es-CR"/>
              </w:rPr>
            </w:pPr>
            <w:r w:rsidRPr="00542AB5">
              <w:rPr>
                <w:sz w:val="16"/>
                <w:szCs w:val="16"/>
                <w:lang w:val="es-CR"/>
              </w:rPr>
              <w:t>María José Mejía Martínez (</w:t>
            </w:r>
            <w:r w:rsidR="0010522A" w:rsidRPr="00542AB5">
              <w:rPr>
                <w:sz w:val="16"/>
                <w:szCs w:val="16"/>
                <w:lang w:val="es-CR"/>
              </w:rPr>
              <w:t>Daughter</w:t>
            </w:r>
            <w:r w:rsidRPr="00542AB5">
              <w:rPr>
                <w:sz w:val="16"/>
                <w:szCs w:val="16"/>
                <w:lang w:val="es-CR"/>
              </w:rPr>
              <w:t>)</w:t>
            </w:r>
          </w:p>
        </w:tc>
      </w:tr>
      <w:tr w:rsidR="007F3128" w:rsidRPr="009F337B" w14:paraId="264B3068" w14:textId="77777777" w:rsidTr="0010522A">
        <w:tc>
          <w:tcPr>
            <w:tcW w:w="560" w:type="dxa"/>
            <w:gridSpan w:val="2"/>
            <w:vMerge/>
            <w:vAlign w:val="center"/>
          </w:tcPr>
          <w:p w14:paraId="21181B79" w14:textId="77777777" w:rsidR="007F3128" w:rsidRPr="00542AB5" w:rsidRDefault="007F3128" w:rsidP="00F608A7">
            <w:pPr>
              <w:jc w:val="left"/>
              <w:rPr>
                <w:sz w:val="16"/>
                <w:szCs w:val="16"/>
                <w:lang w:val="es-CR"/>
              </w:rPr>
            </w:pPr>
          </w:p>
        </w:tc>
        <w:tc>
          <w:tcPr>
            <w:tcW w:w="2950" w:type="dxa"/>
            <w:vMerge/>
            <w:vAlign w:val="center"/>
          </w:tcPr>
          <w:p w14:paraId="34E2BE82" w14:textId="77777777" w:rsidR="007F3128" w:rsidRPr="00542AB5" w:rsidRDefault="007F3128" w:rsidP="00F608A7">
            <w:pPr>
              <w:jc w:val="left"/>
              <w:rPr>
                <w:sz w:val="16"/>
                <w:szCs w:val="16"/>
                <w:lang w:val="es-CR"/>
              </w:rPr>
            </w:pPr>
          </w:p>
        </w:tc>
        <w:tc>
          <w:tcPr>
            <w:tcW w:w="567" w:type="dxa"/>
            <w:vAlign w:val="center"/>
          </w:tcPr>
          <w:p w14:paraId="79B35AFD" w14:textId="77777777" w:rsidR="007F3128" w:rsidRPr="009F337B" w:rsidRDefault="007F3128" w:rsidP="00F608A7">
            <w:pPr>
              <w:jc w:val="left"/>
              <w:rPr>
                <w:sz w:val="16"/>
                <w:szCs w:val="16"/>
                <w:lang w:val="en-US"/>
              </w:rPr>
            </w:pPr>
            <w:r w:rsidRPr="009F337B">
              <w:rPr>
                <w:sz w:val="16"/>
                <w:szCs w:val="16"/>
                <w:lang w:val="en-US"/>
              </w:rPr>
              <w:t>3</w:t>
            </w:r>
          </w:p>
        </w:tc>
        <w:tc>
          <w:tcPr>
            <w:tcW w:w="5211" w:type="dxa"/>
            <w:vAlign w:val="center"/>
          </w:tcPr>
          <w:p w14:paraId="70B68CF9" w14:textId="1B52DEF3" w:rsidR="007F3128" w:rsidRPr="00542AB5" w:rsidRDefault="007F3128" w:rsidP="00F608A7">
            <w:pPr>
              <w:jc w:val="left"/>
              <w:rPr>
                <w:sz w:val="16"/>
                <w:szCs w:val="16"/>
                <w:lang w:val="es-CR"/>
              </w:rPr>
            </w:pPr>
            <w:r w:rsidRPr="00542AB5">
              <w:rPr>
                <w:sz w:val="16"/>
                <w:szCs w:val="16"/>
                <w:lang w:val="es-CR"/>
              </w:rPr>
              <w:t>L</w:t>
            </w:r>
            <w:r w:rsidR="00EC70DB" w:rsidRPr="00542AB5">
              <w:rPr>
                <w:sz w:val="16"/>
                <w:szCs w:val="16"/>
                <w:lang w:val="es-CR"/>
              </w:rPr>
              <w:t>a</w:t>
            </w:r>
            <w:r w:rsidRPr="00542AB5">
              <w:rPr>
                <w:sz w:val="16"/>
                <w:szCs w:val="16"/>
                <w:lang w:val="es-CR"/>
              </w:rPr>
              <w:t>yonel Ismar Josué Mejía Martínez (</w:t>
            </w:r>
            <w:r w:rsidR="0010522A" w:rsidRPr="00542AB5">
              <w:rPr>
                <w:sz w:val="16"/>
                <w:szCs w:val="16"/>
                <w:lang w:val="es-CR"/>
              </w:rPr>
              <w:t>Son</w:t>
            </w:r>
            <w:r w:rsidRPr="00542AB5">
              <w:rPr>
                <w:sz w:val="16"/>
                <w:szCs w:val="16"/>
                <w:lang w:val="es-CR"/>
              </w:rPr>
              <w:t>)</w:t>
            </w:r>
          </w:p>
        </w:tc>
      </w:tr>
      <w:tr w:rsidR="007F3128" w:rsidRPr="009F337B" w14:paraId="74385226" w14:textId="77777777" w:rsidTr="0010522A">
        <w:tc>
          <w:tcPr>
            <w:tcW w:w="560" w:type="dxa"/>
            <w:gridSpan w:val="2"/>
            <w:vMerge/>
            <w:vAlign w:val="center"/>
          </w:tcPr>
          <w:p w14:paraId="2D8CDAAD" w14:textId="77777777" w:rsidR="007F3128" w:rsidRPr="00542AB5" w:rsidRDefault="007F3128" w:rsidP="00F608A7">
            <w:pPr>
              <w:jc w:val="left"/>
              <w:rPr>
                <w:sz w:val="16"/>
                <w:szCs w:val="16"/>
                <w:lang w:val="es-CR"/>
              </w:rPr>
            </w:pPr>
          </w:p>
        </w:tc>
        <w:tc>
          <w:tcPr>
            <w:tcW w:w="2950" w:type="dxa"/>
            <w:vMerge/>
            <w:vAlign w:val="center"/>
          </w:tcPr>
          <w:p w14:paraId="0FADF0F9" w14:textId="77777777" w:rsidR="007F3128" w:rsidRPr="00542AB5" w:rsidRDefault="007F3128" w:rsidP="00F608A7">
            <w:pPr>
              <w:jc w:val="left"/>
              <w:rPr>
                <w:sz w:val="16"/>
                <w:szCs w:val="16"/>
                <w:lang w:val="es-CR"/>
              </w:rPr>
            </w:pPr>
          </w:p>
        </w:tc>
        <w:tc>
          <w:tcPr>
            <w:tcW w:w="567" w:type="dxa"/>
            <w:vAlign w:val="center"/>
          </w:tcPr>
          <w:p w14:paraId="1F0236EF" w14:textId="77777777" w:rsidR="007F3128" w:rsidRPr="009F337B" w:rsidRDefault="007F3128" w:rsidP="00F608A7">
            <w:pPr>
              <w:jc w:val="left"/>
              <w:rPr>
                <w:sz w:val="16"/>
                <w:szCs w:val="16"/>
                <w:lang w:val="en-US"/>
              </w:rPr>
            </w:pPr>
            <w:r w:rsidRPr="009F337B">
              <w:rPr>
                <w:sz w:val="16"/>
                <w:szCs w:val="16"/>
                <w:lang w:val="en-US"/>
              </w:rPr>
              <w:t>4</w:t>
            </w:r>
          </w:p>
        </w:tc>
        <w:tc>
          <w:tcPr>
            <w:tcW w:w="5211" w:type="dxa"/>
            <w:vAlign w:val="center"/>
          </w:tcPr>
          <w:p w14:paraId="33022453" w14:textId="7CF6A38F" w:rsidR="007F3128" w:rsidRPr="00542AB5" w:rsidRDefault="001516E3" w:rsidP="00F608A7">
            <w:pPr>
              <w:jc w:val="left"/>
              <w:rPr>
                <w:sz w:val="16"/>
                <w:szCs w:val="16"/>
                <w:lang w:val="es-CR"/>
              </w:rPr>
            </w:pPr>
            <w:r w:rsidRPr="00542AB5">
              <w:rPr>
                <w:sz w:val="16"/>
                <w:szCs w:val="16"/>
                <w:lang w:val="es-CR"/>
              </w:rPr>
              <w:t>Lilián Janethe A</w:t>
            </w:r>
            <w:r w:rsidR="007F3128" w:rsidRPr="00542AB5">
              <w:rPr>
                <w:sz w:val="16"/>
                <w:szCs w:val="16"/>
                <w:lang w:val="es-CR"/>
              </w:rPr>
              <w:t>lvarez Villatoro (</w:t>
            </w:r>
            <w:r w:rsidR="0010522A" w:rsidRPr="00542AB5">
              <w:rPr>
                <w:sz w:val="16"/>
                <w:szCs w:val="16"/>
                <w:lang w:val="es-CR"/>
              </w:rPr>
              <w:t>Sister</w:t>
            </w:r>
            <w:r w:rsidR="007F3128" w:rsidRPr="00542AB5">
              <w:rPr>
                <w:sz w:val="16"/>
                <w:szCs w:val="16"/>
                <w:lang w:val="es-CR"/>
              </w:rPr>
              <w:t>)</w:t>
            </w:r>
          </w:p>
        </w:tc>
      </w:tr>
      <w:tr w:rsidR="007F3128" w:rsidRPr="009F337B" w14:paraId="0C183604" w14:textId="77777777" w:rsidTr="0010522A">
        <w:tc>
          <w:tcPr>
            <w:tcW w:w="560" w:type="dxa"/>
            <w:gridSpan w:val="2"/>
            <w:vMerge/>
            <w:vAlign w:val="center"/>
          </w:tcPr>
          <w:p w14:paraId="2FB47F61" w14:textId="77777777" w:rsidR="007F3128" w:rsidRPr="00542AB5" w:rsidRDefault="007F3128" w:rsidP="00F608A7">
            <w:pPr>
              <w:jc w:val="left"/>
              <w:rPr>
                <w:sz w:val="16"/>
                <w:szCs w:val="16"/>
                <w:lang w:val="es-CR"/>
              </w:rPr>
            </w:pPr>
          </w:p>
        </w:tc>
        <w:tc>
          <w:tcPr>
            <w:tcW w:w="2950" w:type="dxa"/>
            <w:vMerge/>
            <w:vAlign w:val="center"/>
          </w:tcPr>
          <w:p w14:paraId="3A878494" w14:textId="77777777" w:rsidR="007F3128" w:rsidRPr="00542AB5" w:rsidRDefault="007F3128" w:rsidP="00F608A7">
            <w:pPr>
              <w:jc w:val="left"/>
              <w:rPr>
                <w:sz w:val="16"/>
                <w:szCs w:val="16"/>
                <w:lang w:val="es-CR"/>
              </w:rPr>
            </w:pPr>
          </w:p>
        </w:tc>
        <w:tc>
          <w:tcPr>
            <w:tcW w:w="567" w:type="dxa"/>
            <w:vAlign w:val="center"/>
          </w:tcPr>
          <w:p w14:paraId="7BF60185" w14:textId="77777777" w:rsidR="007F3128" w:rsidRPr="009F337B" w:rsidRDefault="007F3128" w:rsidP="00F608A7">
            <w:pPr>
              <w:jc w:val="left"/>
              <w:rPr>
                <w:sz w:val="16"/>
                <w:szCs w:val="16"/>
                <w:lang w:val="en-US"/>
              </w:rPr>
            </w:pPr>
            <w:r w:rsidRPr="009F337B">
              <w:rPr>
                <w:sz w:val="16"/>
                <w:szCs w:val="16"/>
                <w:lang w:val="en-US"/>
              </w:rPr>
              <w:t>5</w:t>
            </w:r>
          </w:p>
        </w:tc>
        <w:tc>
          <w:tcPr>
            <w:tcW w:w="5211" w:type="dxa"/>
            <w:vAlign w:val="center"/>
          </w:tcPr>
          <w:p w14:paraId="27A550C4" w14:textId="3A9D4D44" w:rsidR="007F3128" w:rsidRPr="009F337B" w:rsidRDefault="00EC70DB" w:rsidP="00F608A7">
            <w:pPr>
              <w:jc w:val="left"/>
              <w:rPr>
                <w:sz w:val="16"/>
                <w:szCs w:val="16"/>
                <w:lang w:val="en-US"/>
              </w:rPr>
            </w:pPr>
            <w:r w:rsidRPr="009F337B">
              <w:rPr>
                <w:sz w:val="16"/>
                <w:szCs w:val="16"/>
                <w:lang w:val="en-US"/>
              </w:rPr>
              <w:t xml:space="preserve">Víctor </w:t>
            </w:r>
            <w:r w:rsidR="007F3128" w:rsidRPr="009F337B">
              <w:rPr>
                <w:sz w:val="16"/>
                <w:szCs w:val="16"/>
                <w:lang w:val="en-US"/>
              </w:rPr>
              <w:t xml:space="preserve">Manuel </w:t>
            </w:r>
            <w:r w:rsidR="001516E3" w:rsidRPr="009F337B">
              <w:rPr>
                <w:sz w:val="16"/>
                <w:szCs w:val="16"/>
                <w:lang w:val="en-US"/>
              </w:rPr>
              <w:t>A</w:t>
            </w:r>
            <w:r w:rsidR="007F3128" w:rsidRPr="009F337B">
              <w:rPr>
                <w:sz w:val="16"/>
                <w:szCs w:val="16"/>
                <w:lang w:val="en-US"/>
              </w:rPr>
              <w:t>lvarez Alvisures (</w:t>
            </w:r>
            <w:r w:rsidR="0010522A" w:rsidRPr="009F337B">
              <w:rPr>
                <w:sz w:val="16"/>
                <w:szCs w:val="16"/>
                <w:lang w:val="en-US"/>
              </w:rPr>
              <w:t>Father</w:t>
            </w:r>
            <w:r w:rsidR="007F3128" w:rsidRPr="009F337B">
              <w:rPr>
                <w:sz w:val="16"/>
                <w:szCs w:val="16"/>
                <w:lang w:val="en-US"/>
              </w:rPr>
              <w:t>)</w:t>
            </w:r>
          </w:p>
        </w:tc>
      </w:tr>
      <w:tr w:rsidR="007F3128" w:rsidRPr="009F337B" w14:paraId="007F4608" w14:textId="77777777" w:rsidTr="0010522A">
        <w:tc>
          <w:tcPr>
            <w:tcW w:w="560" w:type="dxa"/>
            <w:gridSpan w:val="2"/>
            <w:vMerge/>
            <w:vAlign w:val="center"/>
          </w:tcPr>
          <w:p w14:paraId="17DCDD85" w14:textId="77777777" w:rsidR="007F3128" w:rsidRPr="009F337B" w:rsidRDefault="007F3128" w:rsidP="00F608A7">
            <w:pPr>
              <w:jc w:val="left"/>
              <w:rPr>
                <w:sz w:val="16"/>
                <w:szCs w:val="16"/>
                <w:lang w:val="en-US"/>
              </w:rPr>
            </w:pPr>
          </w:p>
        </w:tc>
        <w:tc>
          <w:tcPr>
            <w:tcW w:w="2950" w:type="dxa"/>
            <w:vMerge/>
            <w:vAlign w:val="center"/>
          </w:tcPr>
          <w:p w14:paraId="0F2AF549" w14:textId="77777777" w:rsidR="007F3128" w:rsidRPr="009F337B" w:rsidRDefault="007F3128" w:rsidP="00F608A7">
            <w:pPr>
              <w:jc w:val="left"/>
              <w:rPr>
                <w:sz w:val="16"/>
                <w:szCs w:val="16"/>
                <w:lang w:val="en-US"/>
              </w:rPr>
            </w:pPr>
          </w:p>
        </w:tc>
        <w:tc>
          <w:tcPr>
            <w:tcW w:w="567" w:type="dxa"/>
            <w:vAlign w:val="center"/>
          </w:tcPr>
          <w:p w14:paraId="7E10AD4F" w14:textId="77777777" w:rsidR="007F3128" w:rsidRPr="009F337B" w:rsidRDefault="007F3128" w:rsidP="00F608A7">
            <w:pPr>
              <w:jc w:val="left"/>
              <w:rPr>
                <w:sz w:val="16"/>
                <w:szCs w:val="16"/>
                <w:lang w:val="en-US"/>
              </w:rPr>
            </w:pPr>
            <w:r w:rsidRPr="009F337B">
              <w:rPr>
                <w:sz w:val="16"/>
                <w:szCs w:val="16"/>
                <w:lang w:val="en-US"/>
              </w:rPr>
              <w:t>6</w:t>
            </w:r>
          </w:p>
        </w:tc>
        <w:tc>
          <w:tcPr>
            <w:tcW w:w="5211" w:type="dxa"/>
            <w:vAlign w:val="center"/>
          </w:tcPr>
          <w:p w14:paraId="60D5ADF4" w14:textId="38BB2710" w:rsidR="007F3128" w:rsidRPr="00542AB5" w:rsidRDefault="007F3128" w:rsidP="00F608A7">
            <w:pPr>
              <w:jc w:val="left"/>
              <w:rPr>
                <w:sz w:val="16"/>
                <w:szCs w:val="16"/>
                <w:lang w:val="es-CR"/>
              </w:rPr>
            </w:pPr>
            <w:r w:rsidRPr="00542AB5">
              <w:rPr>
                <w:sz w:val="16"/>
                <w:szCs w:val="16"/>
                <w:lang w:val="es-CR"/>
              </w:rPr>
              <w:t>Nib</w:t>
            </w:r>
            <w:r w:rsidR="001516E3" w:rsidRPr="00542AB5">
              <w:rPr>
                <w:sz w:val="16"/>
                <w:szCs w:val="16"/>
                <w:lang w:val="es-CR"/>
              </w:rPr>
              <w:t>ia Matilde Villatoro García de A</w:t>
            </w:r>
            <w:r w:rsidRPr="00542AB5">
              <w:rPr>
                <w:sz w:val="16"/>
                <w:szCs w:val="16"/>
                <w:lang w:val="es-CR"/>
              </w:rPr>
              <w:t>lvarez (</w:t>
            </w:r>
            <w:r w:rsidR="0010522A" w:rsidRPr="00542AB5">
              <w:rPr>
                <w:sz w:val="16"/>
                <w:szCs w:val="16"/>
                <w:lang w:val="es-CR"/>
              </w:rPr>
              <w:t>Mother, deceased</w:t>
            </w:r>
            <w:r w:rsidRPr="00542AB5">
              <w:rPr>
                <w:sz w:val="16"/>
                <w:szCs w:val="16"/>
                <w:lang w:val="es-CR"/>
              </w:rPr>
              <w:t>)</w:t>
            </w:r>
          </w:p>
        </w:tc>
      </w:tr>
      <w:tr w:rsidR="007F3128" w:rsidRPr="009F337B" w14:paraId="1E2322EA" w14:textId="77777777" w:rsidTr="0010522A">
        <w:tc>
          <w:tcPr>
            <w:tcW w:w="560" w:type="dxa"/>
            <w:gridSpan w:val="2"/>
            <w:vMerge w:val="restart"/>
            <w:vAlign w:val="center"/>
          </w:tcPr>
          <w:p w14:paraId="2DAE52F6" w14:textId="77777777" w:rsidR="007F3128" w:rsidRPr="009F337B" w:rsidRDefault="007F3128" w:rsidP="00F608A7">
            <w:pPr>
              <w:jc w:val="left"/>
              <w:rPr>
                <w:sz w:val="16"/>
                <w:szCs w:val="16"/>
                <w:lang w:val="en-US"/>
              </w:rPr>
            </w:pPr>
            <w:r w:rsidRPr="009F337B">
              <w:rPr>
                <w:sz w:val="16"/>
                <w:szCs w:val="16"/>
                <w:lang w:val="en-US"/>
              </w:rPr>
              <w:t>13</w:t>
            </w:r>
          </w:p>
        </w:tc>
        <w:tc>
          <w:tcPr>
            <w:tcW w:w="2950" w:type="dxa"/>
            <w:vMerge w:val="restart"/>
            <w:vAlign w:val="center"/>
          </w:tcPr>
          <w:p w14:paraId="13B167BC" w14:textId="64EBAEAE" w:rsidR="007F3128" w:rsidRPr="009F337B" w:rsidRDefault="007F3128" w:rsidP="00F608A7">
            <w:pPr>
              <w:jc w:val="left"/>
              <w:rPr>
                <w:sz w:val="16"/>
                <w:szCs w:val="16"/>
                <w:lang w:val="en-US"/>
              </w:rPr>
            </w:pPr>
            <w:r w:rsidRPr="009F337B">
              <w:rPr>
                <w:sz w:val="16"/>
                <w:szCs w:val="16"/>
                <w:lang w:val="en-US"/>
              </w:rPr>
              <w:t>Juana Aguilar</w:t>
            </w:r>
            <w:r w:rsidR="00036233" w:rsidRPr="009F337B">
              <w:rPr>
                <w:sz w:val="16"/>
                <w:szCs w:val="16"/>
                <w:lang w:val="en-US"/>
              </w:rPr>
              <w:t xml:space="preserve"> Gómez</w:t>
            </w:r>
          </w:p>
        </w:tc>
        <w:tc>
          <w:tcPr>
            <w:tcW w:w="567" w:type="dxa"/>
            <w:vAlign w:val="center"/>
          </w:tcPr>
          <w:p w14:paraId="17E55767" w14:textId="77777777" w:rsidR="007F3128" w:rsidRPr="009F337B" w:rsidRDefault="007F3128" w:rsidP="00F608A7">
            <w:pPr>
              <w:jc w:val="left"/>
              <w:rPr>
                <w:sz w:val="16"/>
                <w:szCs w:val="16"/>
                <w:lang w:val="en-US"/>
              </w:rPr>
            </w:pPr>
            <w:r w:rsidRPr="009F337B">
              <w:rPr>
                <w:sz w:val="16"/>
                <w:szCs w:val="16"/>
                <w:lang w:val="en-US"/>
              </w:rPr>
              <w:t>1</w:t>
            </w:r>
          </w:p>
        </w:tc>
        <w:tc>
          <w:tcPr>
            <w:tcW w:w="5211" w:type="dxa"/>
            <w:vAlign w:val="center"/>
          </w:tcPr>
          <w:p w14:paraId="5456B9CF" w14:textId="3478D970" w:rsidR="007F3128" w:rsidRPr="00542AB5" w:rsidRDefault="007F3128" w:rsidP="00F608A7">
            <w:pPr>
              <w:jc w:val="left"/>
              <w:rPr>
                <w:sz w:val="16"/>
                <w:szCs w:val="16"/>
                <w:lang w:val="es-CR"/>
              </w:rPr>
            </w:pPr>
            <w:r w:rsidRPr="00542AB5">
              <w:rPr>
                <w:sz w:val="16"/>
                <w:szCs w:val="16"/>
                <w:lang w:val="es-CR"/>
              </w:rPr>
              <w:t>Felipe de Jesús Hernández (</w:t>
            </w:r>
            <w:r w:rsidR="0010522A" w:rsidRPr="00542AB5">
              <w:rPr>
                <w:sz w:val="16"/>
                <w:szCs w:val="16"/>
                <w:lang w:val="es-CR"/>
              </w:rPr>
              <w:t>Partner, deceased</w:t>
            </w:r>
            <w:r w:rsidRPr="00542AB5">
              <w:rPr>
                <w:sz w:val="16"/>
                <w:szCs w:val="16"/>
                <w:lang w:val="es-CR"/>
              </w:rPr>
              <w:t>)</w:t>
            </w:r>
          </w:p>
        </w:tc>
      </w:tr>
      <w:tr w:rsidR="007F3128" w:rsidRPr="009F337B" w14:paraId="55F426E0" w14:textId="77777777" w:rsidTr="0010522A">
        <w:tc>
          <w:tcPr>
            <w:tcW w:w="560" w:type="dxa"/>
            <w:gridSpan w:val="2"/>
            <w:vMerge/>
            <w:vAlign w:val="center"/>
          </w:tcPr>
          <w:p w14:paraId="44FF2BAC" w14:textId="77777777" w:rsidR="007F3128" w:rsidRPr="00542AB5" w:rsidRDefault="007F3128" w:rsidP="00F608A7">
            <w:pPr>
              <w:jc w:val="left"/>
              <w:rPr>
                <w:sz w:val="16"/>
                <w:szCs w:val="16"/>
                <w:lang w:val="es-CR"/>
              </w:rPr>
            </w:pPr>
          </w:p>
        </w:tc>
        <w:tc>
          <w:tcPr>
            <w:tcW w:w="2950" w:type="dxa"/>
            <w:vMerge/>
            <w:vAlign w:val="center"/>
          </w:tcPr>
          <w:p w14:paraId="0C3B35F6" w14:textId="77777777" w:rsidR="007F3128" w:rsidRPr="00542AB5" w:rsidRDefault="007F3128" w:rsidP="00F608A7">
            <w:pPr>
              <w:jc w:val="left"/>
              <w:rPr>
                <w:sz w:val="16"/>
                <w:szCs w:val="16"/>
                <w:lang w:val="es-CR"/>
              </w:rPr>
            </w:pPr>
          </w:p>
        </w:tc>
        <w:tc>
          <w:tcPr>
            <w:tcW w:w="567" w:type="dxa"/>
            <w:vAlign w:val="center"/>
          </w:tcPr>
          <w:p w14:paraId="5691D4FD" w14:textId="77777777" w:rsidR="007F3128" w:rsidRPr="009F337B" w:rsidRDefault="007F3128" w:rsidP="00F608A7">
            <w:pPr>
              <w:jc w:val="left"/>
              <w:rPr>
                <w:sz w:val="16"/>
                <w:szCs w:val="16"/>
                <w:lang w:val="en-US"/>
              </w:rPr>
            </w:pPr>
            <w:r w:rsidRPr="009F337B">
              <w:rPr>
                <w:sz w:val="16"/>
                <w:szCs w:val="16"/>
                <w:lang w:val="en-US"/>
              </w:rPr>
              <w:t>2</w:t>
            </w:r>
          </w:p>
        </w:tc>
        <w:tc>
          <w:tcPr>
            <w:tcW w:w="5211" w:type="dxa"/>
            <w:vAlign w:val="center"/>
          </w:tcPr>
          <w:p w14:paraId="33A4D7B6" w14:textId="3DB59D80" w:rsidR="007F3128" w:rsidRPr="009F337B" w:rsidRDefault="007F3128" w:rsidP="00F608A7">
            <w:pPr>
              <w:jc w:val="left"/>
              <w:rPr>
                <w:sz w:val="16"/>
                <w:szCs w:val="16"/>
                <w:lang w:val="en-US"/>
              </w:rPr>
            </w:pPr>
            <w:r w:rsidRPr="009F337B">
              <w:rPr>
                <w:sz w:val="16"/>
                <w:szCs w:val="16"/>
                <w:lang w:val="en-US"/>
              </w:rPr>
              <w:t>Jessenia Carolina Guzmán (</w:t>
            </w:r>
            <w:r w:rsidR="0010522A" w:rsidRPr="009F337B">
              <w:rPr>
                <w:sz w:val="16"/>
                <w:szCs w:val="16"/>
                <w:lang w:val="en-US"/>
              </w:rPr>
              <w:t>Daughter</w:t>
            </w:r>
            <w:r w:rsidRPr="009F337B">
              <w:rPr>
                <w:sz w:val="16"/>
                <w:szCs w:val="16"/>
                <w:lang w:val="en-US"/>
              </w:rPr>
              <w:t>)</w:t>
            </w:r>
          </w:p>
        </w:tc>
      </w:tr>
      <w:tr w:rsidR="007F3128" w:rsidRPr="009F337B" w14:paraId="483A6AF8" w14:textId="77777777" w:rsidTr="0010522A">
        <w:tc>
          <w:tcPr>
            <w:tcW w:w="560" w:type="dxa"/>
            <w:gridSpan w:val="2"/>
            <w:vMerge/>
            <w:vAlign w:val="center"/>
          </w:tcPr>
          <w:p w14:paraId="12843D57" w14:textId="77777777" w:rsidR="007F3128" w:rsidRPr="009F337B" w:rsidRDefault="007F3128" w:rsidP="00F608A7">
            <w:pPr>
              <w:jc w:val="left"/>
              <w:rPr>
                <w:sz w:val="16"/>
                <w:szCs w:val="16"/>
                <w:lang w:val="en-US"/>
              </w:rPr>
            </w:pPr>
          </w:p>
        </w:tc>
        <w:tc>
          <w:tcPr>
            <w:tcW w:w="2950" w:type="dxa"/>
            <w:vMerge/>
            <w:vAlign w:val="center"/>
          </w:tcPr>
          <w:p w14:paraId="7631DD89" w14:textId="77777777" w:rsidR="007F3128" w:rsidRPr="009F337B" w:rsidRDefault="007F3128" w:rsidP="00F608A7">
            <w:pPr>
              <w:jc w:val="left"/>
              <w:rPr>
                <w:sz w:val="16"/>
                <w:szCs w:val="16"/>
                <w:lang w:val="en-US"/>
              </w:rPr>
            </w:pPr>
          </w:p>
        </w:tc>
        <w:tc>
          <w:tcPr>
            <w:tcW w:w="567" w:type="dxa"/>
            <w:vAlign w:val="center"/>
          </w:tcPr>
          <w:p w14:paraId="720CD40B" w14:textId="77777777" w:rsidR="007F3128" w:rsidRPr="009F337B" w:rsidRDefault="007F3128" w:rsidP="00F608A7">
            <w:pPr>
              <w:jc w:val="left"/>
              <w:rPr>
                <w:sz w:val="16"/>
                <w:szCs w:val="16"/>
                <w:lang w:val="en-US"/>
              </w:rPr>
            </w:pPr>
            <w:r w:rsidRPr="009F337B">
              <w:rPr>
                <w:sz w:val="16"/>
                <w:szCs w:val="16"/>
                <w:lang w:val="en-US"/>
              </w:rPr>
              <w:t>3</w:t>
            </w:r>
          </w:p>
        </w:tc>
        <w:tc>
          <w:tcPr>
            <w:tcW w:w="5211" w:type="dxa"/>
            <w:vAlign w:val="center"/>
          </w:tcPr>
          <w:p w14:paraId="712F8CD3" w14:textId="0C8A3AAA" w:rsidR="007F3128" w:rsidRPr="00542AB5" w:rsidRDefault="007F3128" w:rsidP="00F608A7">
            <w:pPr>
              <w:jc w:val="left"/>
              <w:rPr>
                <w:sz w:val="16"/>
                <w:szCs w:val="16"/>
                <w:lang w:val="es-CR"/>
              </w:rPr>
            </w:pPr>
            <w:r w:rsidRPr="00542AB5">
              <w:rPr>
                <w:sz w:val="16"/>
                <w:szCs w:val="16"/>
                <w:lang w:val="es-CR"/>
              </w:rPr>
              <w:t>Julio César Guzmán Aguilar (</w:t>
            </w:r>
            <w:r w:rsidR="0010522A" w:rsidRPr="00542AB5">
              <w:rPr>
                <w:sz w:val="16"/>
                <w:szCs w:val="16"/>
                <w:lang w:val="es-CR"/>
              </w:rPr>
              <w:t>Son</w:t>
            </w:r>
            <w:r w:rsidRPr="00542AB5">
              <w:rPr>
                <w:sz w:val="16"/>
                <w:szCs w:val="16"/>
                <w:lang w:val="es-CR"/>
              </w:rPr>
              <w:t>)</w:t>
            </w:r>
          </w:p>
        </w:tc>
      </w:tr>
      <w:tr w:rsidR="007F3128" w:rsidRPr="009F337B" w14:paraId="5B83F4F4" w14:textId="77777777" w:rsidTr="0010522A">
        <w:tc>
          <w:tcPr>
            <w:tcW w:w="560" w:type="dxa"/>
            <w:gridSpan w:val="2"/>
            <w:vMerge/>
            <w:vAlign w:val="center"/>
          </w:tcPr>
          <w:p w14:paraId="042690BA" w14:textId="77777777" w:rsidR="007F3128" w:rsidRPr="00542AB5" w:rsidRDefault="007F3128" w:rsidP="00F608A7">
            <w:pPr>
              <w:jc w:val="left"/>
              <w:rPr>
                <w:sz w:val="16"/>
                <w:szCs w:val="16"/>
                <w:lang w:val="es-CR"/>
              </w:rPr>
            </w:pPr>
          </w:p>
        </w:tc>
        <w:tc>
          <w:tcPr>
            <w:tcW w:w="2950" w:type="dxa"/>
            <w:vMerge/>
            <w:vAlign w:val="center"/>
          </w:tcPr>
          <w:p w14:paraId="568AE0DF" w14:textId="77777777" w:rsidR="007F3128" w:rsidRPr="00542AB5" w:rsidRDefault="007F3128" w:rsidP="00F608A7">
            <w:pPr>
              <w:jc w:val="left"/>
              <w:rPr>
                <w:sz w:val="16"/>
                <w:szCs w:val="16"/>
                <w:lang w:val="es-CR"/>
              </w:rPr>
            </w:pPr>
          </w:p>
        </w:tc>
        <w:tc>
          <w:tcPr>
            <w:tcW w:w="567" w:type="dxa"/>
            <w:vAlign w:val="center"/>
          </w:tcPr>
          <w:p w14:paraId="28E1B8C9" w14:textId="77777777" w:rsidR="007F3128" w:rsidRPr="009F337B" w:rsidRDefault="007F3128" w:rsidP="00F608A7">
            <w:pPr>
              <w:jc w:val="left"/>
              <w:rPr>
                <w:sz w:val="16"/>
                <w:szCs w:val="16"/>
                <w:lang w:val="en-US"/>
              </w:rPr>
            </w:pPr>
            <w:r w:rsidRPr="009F337B">
              <w:rPr>
                <w:sz w:val="16"/>
                <w:szCs w:val="16"/>
                <w:lang w:val="en-US"/>
              </w:rPr>
              <w:t>4</w:t>
            </w:r>
          </w:p>
        </w:tc>
        <w:tc>
          <w:tcPr>
            <w:tcW w:w="5211" w:type="dxa"/>
            <w:vAlign w:val="center"/>
          </w:tcPr>
          <w:p w14:paraId="767AAE77" w14:textId="4FA51F54" w:rsidR="007F3128" w:rsidRPr="00542AB5" w:rsidRDefault="007F3128" w:rsidP="00F608A7">
            <w:pPr>
              <w:jc w:val="left"/>
              <w:rPr>
                <w:sz w:val="16"/>
                <w:szCs w:val="16"/>
                <w:lang w:val="es-CR"/>
              </w:rPr>
            </w:pPr>
            <w:r w:rsidRPr="00542AB5">
              <w:rPr>
                <w:sz w:val="16"/>
                <w:szCs w:val="16"/>
                <w:lang w:val="es-CR"/>
              </w:rPr>
              <w:t>Felipe Guillermo Guzmán Aguilar (</w:t>
            </w:r>
            <w:r w:rsidR="0010522A" w:rsidRPr="00542AB5">
              <w:rPr>
                <w:sz w:val="16"/>
                <w:szCs w:val="16"/>
                <w:lang w:val="es-CR"/>
              </w:rPr>
              <w:t>Son</w:t>
            </w:r>
            <w:r w:rsidRPr="00542AB5">
              <w:rPr>
                <w:sz w:val="16"/>
                <w:szCs w:val="16"/>
                <w:lang w:val="es-CR"/>
              </w:rPr>
              <w:t>)</w:t>
            </w:r>
          </w:p>
        </w:tc>
      </w:tr>
      <w:tr w:rsidR="007F3128" w:rsidRPr="009F337B" w14:paraId="323C7E34" w14:textId="77777777" w:rsidTr="0010522A">
        <w:tc>
          <w:tcPr>
            <w:tcW w:w="560" w:type="dxa"/>
            <w:gridSpan w:val="2"/>
            <w:vMerge/>
            <w:vAlign w:val="center"/>
          </w:tcPr>
          <w:p w14:paraId="705919DE" w14:textId="77777777" w:rsidR="007F3128" w:rsidRPr="00542AB5" w:rsidRDefault="007F3128" w:rsidP="00F608A7">
            <w:pPr>
              <w:jc w:val="left"/>
              <w:rPr>
                <w:sz w:val="16"/>
                <w:szCs w:val="16"/>
                <w:lang w:val="es-CR"/>
              </w:rPr>
            </w:pPr>
          </w:p>
        </w:tc>
        <w:tc>
          <w:tcPr>
            <w:tcW w:w="2950" w:type="dxa"/>
            <w:vMerge/>
            <w:vAlign w:val="center"/>
          </w:tcPr>
          <w:p w14:paraId="254242B3" w14:textId="77777777" w:rsidR="007F3128" w:rsidRPr="00542AB5" w:rsidRDefault="007F3128" w:rsidP="00F608A7">
            <w:pPr>
              <w:jc w:val="left"/>
              <w:rPr>
                <w:sz w:val="16"/>
                <w:szCs w:val="16"/>
                <w:lang w:val="es-CR"/>
              </w:rPr>
            </w:pPr>
          </w:p>
        </w:tc>
        <w:tc>
          <w:tcPr>
            <w:tcW w:w="567" w:type="dxa"/>
            <w:vAlign w:val="center"/>
          </w:tcPr>
          <w:p w14:paraId="7A0599D3" w14:textId="77777777" w:rsidR="007F3128" w:rsidRPr="009F337B" w:rsidRDefault="007F3128" w:rsidP="00F608A7">
            <w:pPr>
              <w:jc w:val="left"/>
              <w:rPr>
                <w:sz w:val="16"/>
                <w:szCs w:val="16"/>
                <w:lang w:val="en-US"/>
              </w:rPr>
            </w:pPr>
            <w:r w:rsidRPr="009F337B">
              <w:rPr>
                <w:sz w:val="16"/>
                <w:szCs w:val="16"/>
                <w:lang w:val="en-US"/>
              </w:rPr>
              <w:t>5</w:t>
            </w:r>
          </w:p>
        </w:tc>
        <w:tc>
          <w:tcPr>
            <w:tcW w:w="5211" w:type="dxa"/>
            <w:vAlign w:val="center"/>
          </w:tcPr>
          <w:p w14:paraId="43EB3AD3" w14:textId="7925B3DA" w:rsidR="007F3128" w:rsidRPr="009F337B" w:rsidRDefault="007F3128" w:rsidP="00F608A7">
            <w:pPr>
              <w:jc w:val="left"/>
              <w:rPr>
                <w:sz w:val="16"/>
                <w:szCs w:val="16"/>
                <w:lang w:val="en-US"/>
              </w:rPr>
            </w:pPr>
            <w:r w:rsidRPr="009F337B">
              <w:rPr>
                <w:sz w:val="16"/>
                <w:szCs w:val="16"/>
                <w:lang w:val="en-US"/>
              </w:rPr>
              <w:t>Julián Cabrera Aguilar (</w:t>
            </w:r>
            <w:r w:rsidR="0010522A" w:rsidRPr="009F337B">
              <w:rPr>
                <w:sz w:val="16"/>
                <w:szCs w:val="16"/>
                <w:lang w:val="en-US"/>
              </w:rPr>
              <w:t>Father</w:t>
            </w:r>
            <w:r w:rsidRPr="009F337B">
              <w:rPr>
                <w:sz w:val="16"/>
                <w:szCs w:val="16"/>
                <w:lang w:val="en-US"/>
              </w:rPr>
              <w:t>)</w:t>
            </w:r>
          </w:p>
        </w:tc>
      </w:tr>
      <w:tr w:rsidR="007F3128" w:rsidRPr="009F337B" w14:paraId="133DD700" w14:textId="77777777" w:rsidTr="0010522A">
        <w:tc>
          <w:tcPr>
            <w:tcW w:w="560" w:type="dxa"/>
            <w:gridSpan w:val="2"/>
            <w:vMerge/>
            <w:vAlign w:val="center"/>
          </w:tcPr>
          <w:p w14:paraId="55C26AA7" w14:textId="77777777" w:rsidR="007F3128" w:rsidRPr="009F337B" w:rsidRDefault="007F3128" w:rsidP="00F608A7">
            <w:pPr>
              <w:jc w:val="left"/>
              <w:rPr>
                <w:sz w:val="16"/>
                <w:szCs w:val="16"/>
                <w:lang w:val="en-US"/>
              </w:rPr>
            </w:pPr>
          </w:p>
        </w:tc>
        <w:tc>
          <w:tcPr>
            <w:tcW w:w="2950" w:type="dxa"/>
            <w:vMerge/>
            <w:vAlign w:val="center"/>
          </w:tcPr>
          <w:p w14:paraId="1E8279BD" w14:textId="77777777" w:rsidR="007F3128" w:rsidRPr="009F337B" w:rsidRDefault="007F3128" w:rsidP="00F608A7">
            <w:pPr>
              <w:jc w:val="left"/>
              <w:rPr>
                <w:sz w:val="16"/>
                <w:szCs w:val="16"/>
                <w:lang w:val="en-US"/>
              </w:rPr>
            </w:pPr>
          </w:p>
        </w:tc>
        <w:tc>
          <w:tcPr>
            <w:tcW w:w="567" w:type="dxa"/>
            <w:vAlign w:val="center"/>
          </w:tcPr>
          <w:p w14:paraId="0E84FED0" w14:textId="77777777" w:rsidR="007F3128" w:rsidRPr="009F337B" w:rsidRDefault="007F3128" w:rsidP="00F608A7">
            <w:pPr>
              <w:jc w:val="left"/>
              <w:rPr>
                <w:sz w:val="16"/>
                <w:szCs w:val="16"/>
                <w:lang w:val="en-US"/>
              </w:rPr>
            </w:pPr>
            <w:r w:rsidRPr="009F337B">
              <w:rPr>
                <w:sz w:val="16"/>
                <w:szCs w:val="16"/>
                <w:lang w:val="en-US"/>
              </w:rPr>
              <w:t>6</w:t>
            </w:r>
          </w:p>
        </w:tc>
        <w:tc>
          <w:tcPr>
            <w:tcW w:w="5211" w:type="dxa"/>
            <w:vAlign w:val="center"/>
          </w:tcPr>
          <w:p w14:paraId="1F30190D" w14:textId="4E4B596D" w:rsidR="007F3128" w:rsidRPr="00542AB5" w:rsidRDefault="007F3128" w:rsidP="00F608A7">
            <w:pPr>
              <w:jc w:val="left"/>
              <w:rPr>
                <w:sz w:val="16"/>
                <w:szCs w:val="16"/>
                <w:lang w:val="es-CR"/>
              </w:rPr>
            </w:pPr>
            <w:r w:rsidRPr="00542AB5">
              <w:rPr>
                <w:sz w:val="16"/>
                <w:szCs w:val="16"/>
                <w:lang w:val="es-CR"/>
              </w:rPr>
              <w:t>Gerber Gudiel Guzmán Aguilar (</w:t>
            </w:r>
            <w:r w:rsidR="0010522A" w:rsidRPr="00542AB5">
              <w:rPr>
                <w:sz w:val="16"/>
                <w:szCs w:val="16"/>
                <w:lang w:val="es-CR"/>
              </w:rPr>
              <w:t>Grandson</w:t>
            </w:r>
            <w:r w:rsidRPr="00542AB5">
              <w:rPr>
                <w:sz w:val="16"/>
                <w:szCs w:val="16"/>
                <w:lang w:val="es-CR"/>
              </w:rPr>
              <w:t>)</w:t>
            </w:r>
          </w:p>
        </w:tc>
      </w:tr>
      <w:tr w:rsidR="007F3128" w:rsidRPr="009F337B" w14:paraId="1EDB8D62" w14:textId="77777777" w:rsidTr="0010522A">
        <w:tc>
          <w:tcPr>
            <w:tcW w:w="560" w:type="dxa"/>
            <w:gridSpan w:val="2"/>
            <w:vMerge/>
            <w:vAlign w:val="center"/>
          </w:tcPr>
          <w:p w14:paraId="466DD538" w14:textId="77777777" w:rsidR="007F3128" w:rsidRPr="00542AB5" w:rsidRDefault="007F3128" w:rsidP="00F608A7">
            <w:pPr>
              <w:jc w:val="left"/>
              <w:rPr>
                <w:sz w:val="16"/>
                <w:szCs w:val="16"/>
                <w:lang w:val="es-CR"/>
              </w:rPr>
            </w:pPr>
          </w:p>
        </w:tc>
        <w:tc>
          <w:tcPr>
            <w:tcW w:w="2950" w:type="dxa"/>
            <w:vMerge/>
            <w:vAlign w:val="center"/>
          </w:tcPr>
          <w:p w14:paraId="7E99A459" w14:textId="77777777" w:rsidR="007F3128" w:rsidRPr="00542AB5" w:rsidRDefault="007F3128" w:rsidP="00F608A7">
            <w:pPr>
              <w:jc w:val="left"/>
              <w:rPr>
                <w:sz w:val="16"/>
                <w:szCs w:val="16"/>
                <w:lang w:val="es-CR"/>
              </w:rPr>
            </w:pPr>
          </w:p>
        </w:tc>
        <w:tc>
          <w:tcPr>
            <w:tcW w:w="567" w:type="dxa"/>
            <w:vAlign w:val="center"/>
          </w:tcPr>
          <w:p w14:paraId="6742F6D2" w14:textId="77777777" w:rsidR="007F3128" w:rsidRPr="009F337B" w:rsidRDefault="007F3128" w:rsidP="00F608A7">
            <w:pPr>
              <w:jc w:val="left"/>
              <w:rPr>
                <w:sz w:val="16"/>
                <w:szCs w:val="16"/>
                <w:lang w:val="en-US"/>
              </w:rPr>
            </w:pPr>
            <w:r w:rsidRPr="009F337B">
              <w:rPr>
                <w:sz w:val="16"/>
                <w:szCs w:val="16"/>
                <w:lang w:val="en-US"/>
              </w:rPr>
              <w:t>7</w:t>
            </w:r>
          </w:p>
        </w:tc>
        <w:tc>
          <w:tcPr>
            <w:tcW w:w="5211" w:type="dxa"/>
            <w:vAlign w:val="center"/>
          </w:tcPr>
          <w:p w14:paraId="0F03C64F" w14:textId="4A926E3B" w:rsidR="007F3128" w:rsidRPr="009F337B" w:rsidRDefault="007F3128" w:rsidP="00F608A7">
            <w:pPr>
              <w:jc w:val="left"/>
              <w:rPr>
                <w:sz w:val="16"/>
                <w:szCs w:val="16"/>
                <w:lang w:val="en-US"/>
              </w:rPr>
            </w:pPr>
            <w:r w:rsidRPr="009F337B">
              <w:rPr>
                <w:sz w:val="16"/>
                <w:szCs w:val="16"/>
                <w:lang w:val="en-US"/>
              </w:rPr>
              <w:t>Andi Enrique Sales Guzmán (</w:t>
            </w:r>
            <w:r w:rsidR="0010522A" w:rsidRPr="009F337B">
              <w:rPr>
                <w:sz w:val="16"/>
                <w:szCs w:val="16"/>
                <w:lang w:val="en-US"/>
              </w:rPr>
              <w:t>Grandson</w:t>
            </w:r>
          </w:p>
        </w:tc>
      </w:tr>
      <w:tr w:rsidR="007F3128" w:rsidRPr="009F337B" w14:paraId="3F6D3930" w14:textId="77777777" w:rsidTr="0010522A">
        <w:tc>
          <w:tcPr>
            <w:tcW w:w="560" w:type="dxa"/>
            <w:gridSpan w:val="2"/>
            <w:vMerge w:val="restart"/>
            <w:vAlign w:val="center"/>
          </w:tcPr>
          <w:p w14:paraId="67CBA36B" w14:textId="77777777" w:rsidR="007F3128" w:rsidRPr="009F337B" w:rsidRDefault="007F3128" w:rsidP="00F608A7">
            <w:pPr>
              <w:jc w:val="left"/>
              <w:rPr>
                <w:sz w:val="16"/>
                <w:szCs w:val="16"/>
                <w:lang w:val="en-US"/>
              </w:rPr>
            </w:pPr>
            <w:r w:rsidRPr="009F337B">
              <w:rPr>
                <w:sz w:val="16"/>
                <w:szCs w:val="16"/>
                <w:lang w:val="en-US"/>
              </w:rPr>
              <w:t>14</w:t>
            </w:r>
          </w:p>
        </w:tc>
        <w:tc>
          <w:tcPr>
            <w:tcW w:w="2950" w:type="dxa"/>
            <w:vMerge w:val="restart"/>
            <w:vAlign w:val="center"/>
          </w:tcPr>
          <w:p w14:paraId="0A493044" w14:textId="40992D51" w:rsidR="007F3128" w:rsidRPr="009F337B" w:rsidRDefault="0087740B" w:rsidP="00F608A7">
            <w:pPr>
              <w:jc w:val="left"/>
              <w:rPr>
                <w:sz w:val="16"/>
                <w:szCs w:val="16"/>
                <w:lang w:val="en-US"/>
              </w:rPr>
            </w:pPr>
            <w:r w:rsidRPr="009F337B">
              <w:rPr>
                <w:sz w:val="16"/>
                <w:szCs w:val="16"/>
                <w:lang w:val="en-US"/>
              </w:rPr>
              <w:t>Melvin Yovani Ajt</w:t>
            </w:r>
            <w:r w:rsidR="00864FEC" w:rsidRPr="009F337B">
              <w:rPr>
                <w:sz w:val="16"/>
                <w:szCs w:val="16"/>
                <w:lang w:val="en-US"/>
              </w:rPr>
              <w:t>u</w:t>
            </w:r>
            <w:r w:rsidR="007F3128" w:rsidRPr="009F337B">
              <w:rPr>
                <w:sz w:val="16"/>
                <w:szCs w:val="16"/>
                <w:lang w:val="en-US"/>
              </w:rPr>
              <w:t>n Escobar</w:t>
            </w:r>
          </w:p>
        </w:tc>
        <w:tc>
          <w:tcPr>
            <w:tcW w:w="567" w:type="dxa"/>
            <w:vAlign w:val="center"/>
          </w:tcPr>
          <w:p w14:paraId="34CD65DD" w14:textId="77777777" w:rsidR="007F3128" w:rsidRPr="009F337B" w:rsidRDefault="007F3128" w:rsidP="00F608A7">
            <w:pPr>
              <w:jc w:val="left"/>
              <w:rPr>
                <w:sz w:val="16"/>
                <w:szCs w:val="16"/>
                <w:lang w:val="en-US"/>
              </w:rPr>
            </w:pPr>
            <w:r w:rsidRPr="009F337B">
              <w:rPr>
                <w:sz w:val="16"/>
                <w:szCs w:val="16"/>
                <w:lang w:val="en-US"/>
              </w:rPr>
              <w:t>1</w:t>
            </w:r>
          </w:p>
        </w:tc>
        <w:tc>
          <w:tcPr>
            <w:tcW w:w="5211" w:type="dxa"/>
            <w:vAlign w:val="center"/>
          </w:tcPr>
          <w:p w14:paraId="46C99BDD" w14:textId="4C7EEAF1" w:rsidR="007F3128" w:rsidRPr="00542AB5" w:rsidRDefault="007F3128" w:rsidP="00F608A7">
            <w:pPr>
              <w:jc w:val="left"/>
              <w:rPr>
                <w:sz w:val="16"/>
                <w:szCs w:val="16"/>
                <w:lang w:val="es-CR"/>
              </w:rPr>
            </w:pPr>
            <w:r w:rsidRPr="00542AB5">
              <w:rPr>
                <w:sz w:val="16"/>
                <w:szCs w:val="16"/>
                <w:lang w:val="es-CR"/>
              </w:rPr>
              <w:t>Heidy Mariela Lucas González (</w:t>
            </w:r>
            <w:r w:rsidR="0010522A" w:rsidRPr="00542AB5">
              <w:rPr>
                <w:sz w:val="16"/>
                <w:szCs w:val="16"/>
                <w:lang w:val="es-CR"/>
              </w:rPr>
              <w:t>Wife</w:t>
            </w:r>
            <w:r w:rsidRPr="00542AB5">
              <w:rPr>
                <w:sz w:val="16"/>
                <w:szCs w:val="16"/>
                <w:lang w:val="es-CR"/>
              </w:rPr>
              <w:t>)</w:t>
            </w:r>
          </w:p>
        </w:tc>
      </w:tr>
      <w:tr w:rsidR="007F3128" w:rsidRPr="009F337B" w14:paraId="3335B108" w14:textId="77777777" w:rsidTr="0010522A">
        <w:tc>
          <w:tcPr>
            <w:tcW w:w="560" w:type="dxa"/>
            <w:gridSpan w:val="2"/>
            <w:vMerge/>
            <w:vAlign w:val="center"/>
          </w:tcPr>
          <w:p w14:paraId="5C37C05A" w14:textId="77777777" w:rsidR="007F3128" w:rsidRPr="00542AB5" w:rsidRDefault="007F3128" w:rsidP="00F608A7">
            <w:pPr>
              <w:jc w:val="left"/>
              <w:rPr>
                <w:sz w:val="16"/>
                <w:szCs w:val="16"/>
                <w:lang w:val="es-CR"/>
              </w:rPr>
            </w:pPr>
          </w:p>
        </w:tc>
        <w:tc>
          <w:tcPr>
            <w:tcW w:w="2950" w:type="dxa"/>
            <w:vMerge/>
            <w:vAlign w:val="center"/>
          </w:tcPr>
          <w:p w14:paraId="61DB1555" w14:textId="77777777" w:rsidR="007F3128" w:rsidRPr="00542AB5" w:rsidRDefault="007F3128" w:rsidP="00F608A7">
            <w:pPr>
              <w:jc w:val="left"/>
              <w:rPr>
                <w:sz w:val="16"/>
                <w:szCs w:val="16"/>
                <w:lang w:val="es-CR"/>
              </w:rPr>
            </w:pPr>
          </w:p>
        </w:tc>
        <w:tc>
          <w:tcPr>
            <w:tcW w:w="567" w:type="dxa"/>
            <w:vAlign w:val="center"/>
          </w:tcPr>
          <w:p w14:paraId="2CCE5983" w14:textId="77777777" w:rsidR="007F3128" w:rsidRPr="009F337B" w:rsidRDefault="007F3128" w:rsidP="00F608A7">
            <w:pPr>
              <w:jc w:val="left"/>
              <w:rPr>
                <w:sz w:val="16"/>
                <w:szCs w:val="16"/>
                <w:lang w:val="en-US"/>
              </w:rPr>
            </w:pPr>
            <w:r w:rsidRPr="009F337B">
              <w:rPr>
                <w:sz w:val="16"/>
                <w:szCs w:val="16"/>
                <w:lang w:val="en-US"/>
              </w:rPr>
              <w:t>2</w:t>
            </w:r>
          </w:p>
        </w:tc>
        <w:tc>
          <w:tcPr>
            <w:tcW w:w="5211" w:type="dxa"/>
            <w:vAlign w:val="center"/>
          </w:tcPr>
          <w:p w14:paraId="034CC532" w14:textId="4C04B5C8" w:rsidR="007F3128" w:rsidRPr="00542AB5" w:rsidRDefault="000169FB" w:rsidP="00F608A7">
            <w:pPr>
              <w:jc w:val="left"/>
              <w:rPr>
                <w:sz w:val="16"/>
                <w:szCs w:val="16"/>
                <w:lang w:val="es-CR"/>
              </w:rPr>
            </w:pPr>
            <w:r w:rsidRPr="00542AB5">
              <w:rPr>
                <w:sz w:val="16"/>
                <w:szCs w:val="16"/>
                <w:lang w:val="es-CR"/>
              </w:rPr>
              <w:t>Elías Emmanuel Ajtu</w:t>
            </w:r>
            <w:r w:rsidR="007F3128" w:rsidRPr="00542AB5">
              <w:rPr>
                <w:sz w:val="16"/>
                <w:szCs w:val="16"/>
                <w:lang w:val="es-CR"/>
              </w:rPr>
              <w:t>n Lucas (</w:t>
            </w:r>
            <w:r w:rsidR="0010522A" w:rsidRPr="00542AB5">
              <w:rPr>
                <w:sz w:val="16"/>
                <w:szCs w:val="16"/>
                <w:lang w:val="es-CR"/>
              </w:rPr>
              <w:t>Son</w:t>
            </w:r>
            <w:r w:rsidR="007F3128" w:rsidRPr="00542AB5">
              <w:rPr>
                <w:sz w:val="16"/>
                <w:szCs w:val="16"/>
                <w:lang w:val="es-CR"/>
              </w:rPr>
              <w:t>)</w:t>
            </w:r>
          </w:p>
        </w:tc>
      </w:tr>
      <w:tr w:rsidR="007F3128" w:rsidRPr="009F337B" w14:paraId="2F2E5A25" w14:textId="77777777" w:rsidTr="0010522A">
        <w:tc>
          <w:tcPr>
            <w:tcW w:w="560" w:type="dxa"/>
            <w:gridSpan w:val="2"/>
            <w:vMerge/>
            <w:vAlign w:val="center"/>
          </w:tcPr>
          <w:p w14:paraId="2DD55DA5" w14:textId="77777777" w:rsidR="007F3128" w:rsidRPr="00542AB5" w:rsidRDefault="007F3128" w:rsidP="00F608A7">
            <w:pPr>
              <w:jc w:val="left"/>
              <w:rPr>
                <w:sz w:val="16"/>
                <w:szCs w:val="16"/>
                <w:lang w:val="es-CR"/>
              </w:rPr>
            </w:pPr>
          </w:p>
        </w:tc>
        <w:tc>
          <w:tcPr>
            <w:tcW w:w="2950" w:type="dxa"/>
            <w:vMerge/>
            <w:vAlign w:val="center"/>
          </w:tcPr>
          <w:p w14:paraId="6D765656" w14:textId="77777777" w:rsidR="007F3128" w:rsidRPr="00542AB5" w:rsidRDefault="007F3128" w:rsidP="00F608A7">
            <w:pPr>
              <w:jc w:val="left"/>
              <w:rPr>
                <w:sz w:val="16"/>
                <w:szCs w:val="16"/>
                <w:lang w:val="es-CR"/>
              </w:rPr>
            </w:pPr>
          </w:p>
        </w:tc>
        <w:tc>
          <w:tcPr>
            <w:tcW w:w="567" w:type="dxa"/>
            <w:vAlign w:val="center"/>
          </w:tcPr>
          <w:p w14:paraId="6FDB0173" w14:textId="77777777" w:rsidR="007F3128" w:rsidRPr="009F337B" w:rsidRDefault="007F3128" w:rsidP="00F608A7">
            <w:pPr>
              <w:jc w:val="left"/>
              <w:rPr>
                <w:sz w:val="16"/>
                <w:szCs w:val="16"/>
                <w:lang w:val="en-US"/>
              </w:rPr>
            </w:pPr>
            <w:r w:rsidRPr="009F337B">
              <w:rPr>
                <w:sz w:val="16"/>
                <w:szCs w:val="16"/>
                <w:lang w:val="en-US"/>
              </w:rPr>
              <w:t>3</w:t>
            </w:r>
          </w:p>
        </w:tc>
        <w:tc>
          <w:tcPr>
            <w:tcW w:w="5211" w:type="dxa"/>
            <w:vAlign w:val="center"/>
          </w:tcPr>
          <w:p w14:paraId="3FD37B4F" w14:textId="65144204" w:rsidR="007F3128" w:rsidRPr="00542AB5" w:rsidRDefault="007F3128" w:rsidP="00F608A7">
            <w:pPr>
              <w:jc w:val="left"/>
              <w:rPr>
                <w:sz w:val="16"/>
                <w:szCs w:val="16"/>
                <w:lang w:val="es-CR"/>
              </w:rPr>
            </w:pPr>
            <w:r w:rsidRPr="00542AB5">
              <w:rPr>
                <w:sz w:val="16"/>
                <w:szCs w:val="16"/>
                <w:lang w:val="es-CR"/>
              </w:rPr>
              <w:t>Marvin Josué Lucas González (</w:t>
            </w:r>
            <w:r w:rsidR="0010522A" w:rsidRPr="00542AB5">
              <w:rPr>
                <w:sz w:val="16"/>
                <w:szCs w:val="16"/>
                <w:lang w:val="es-CR"/>
              </w:rPr>
              <w:t>Son</w:t>
            </w:r>
            <w:r w:rsidRPr="00542AB5">
              <w:rPr>
                <w:sz w:val="16"/>
                <w:szCs w:val="16"/>
                <w:lang w:val="es-CR"/>
              </w:rPr>
              <w:t>,</w:t>
            </w:r>
            <w:r w:rsidR="0010522A" w:rsidRPr="00542AB5">
              <w:rPr>
                <w:sz w:val="16"/>
                <w:szCs w:val="16"/>
                <w:lang w:val="es-CR"/>
              </w:rPr>
              <w:t xml:space="preserve"> deceased</w:t>
            </w:r>
            <w:r w:rsidRPr="00542AB5">
              <w:rPr>
                <w:sz w:val="16"/>
                <w:szCs w:val="16"/>
                <w:lang w:val="es-CR"/>
              </w:rPr>
              <w:t>)</w:t>
            </w:r>
          </w:p>
        </w:tc>
      </w:tr>
      <w:tr w:rsidR="007F3128" w:rsidRPr="009F337B" w14:paraId="367CEE80" w14:textId="77777777" w:rsidTr="0010522A">
        <w:tc>
          <w:tcPr>
            <w:tcW w:w="560" w:type="dxa"/>
            <w:gridSpan w:val="2"/>
            <w:vMerge/>
            <w:vAlign w:val="center"/>
          </w:tcPr>
          <w:p w14:paraId="20450C1E" w14:textId="77777777" w:rsidR="007F3128" w:rsidRPr="00542AB5" w:rsidRDefault="007F3128" w:rsidP="00F608A7">
            <w:pPr>
              <w:jc w:val="left"/>
              <w:rPr>
                <w:sz w:val="16"/>
                <w:szCs w:val="16"/>
                <w:lang w:val="es-CR"/>
              </w:rPr>
            </w:pPr>
          </w:p>
        </w:tc>
        <w:tc>
          <w:tcPr>
            <w:tcW w:w="2950" w:type="dxa"/>
            <w:vMerge/>
            <w:vAlign w:val="center"/>
          </w:tcPr>
          <w:p w14:paraId="13EEAA1A" w14:textId="77777777" w:rsidR="007F3128" w:rsidRPr="00542AB5" w:rsidRDefault="007F3128" w:rsidP="00F608A7">
            <w:pPr>
              <w:jc w:val="left"/>
              <w:rPr>
                <w:sz w:val="16"/>
                <w:szCs w:val="16"/>
                <w:lang w:val="es-CR"/>
              </w:rPr>
            </w:pPr>
          </w:p>
        </w:tc>
        <w:tc>
          <w:tcPr>
            <w:tcW w:w="567" w:type="dxa"/>
            <w:vAlign w:val="center"/>
          </w:tcPr>
          <w:p w14:paraId="46005AB2" w14:textId="77777777" w:rsidR="007F3128" w:rsidRPr="009F337B" w:rsidRDefault="007F3128" w:rsidP="00F608A7">
            <w:pPr>
              <w:jc w:val="left"/>
              <w:rPr>
                <w:sz w:val="16"/>
                <w:szCs w:val="16"/>
                <w:lang w:val="en-US"/>
              </w:rPr>
            </w:pPr>
            <w:r w:rsidRPr="009F337B">
              <w:rPr>
                <w:sz w:val="16"/>
                <w:szCs w:val="16"/>
                <w:lang w:val="en-US"/>
              </w:rPr>
              <w:t>4</w:t>
            </w:r>
          </w:p>
        </w:tc>
        <w:tc>
          <w:tcPr>
            <w:tcW w:w="5211" w:type="dxa"/>
            <w:vAlign w:val="center"/>
          </w:tcPr>
          <w:p w14:paraId="16A441CC" w14:textId="3EA2ADD4" w:rsidR="007F3128" w:rsidRPr="009F337B" w:rsidRDefault="007F3128" w:rsidP="00F608A7">
            <w:pPr>
              <w:jc w:val="left"/>
              <w:rPr>
                <w:sz w:val="16"/>
                <w:szCs w:val="16"/>
                <w:lang w:val="en-US"/>
              </w:rPr>
            </w:pPr>
            <w:r w:rsidRPr="009F337B">
              <w:rPr>
                <w:sz w:val="16"/>
                <w:szCs w:val="16"/>
                <w:lang w:val="en-US"/>
              </w:rPr>
              <w:t>Bertha Luz Escobar (</w:t>
            </w:r>
            <w:r w:rsidR="0010522A" w:rsidRPr="009F337B">
              <w:rPr>
                <w:sz w:val="16"/>
                <w:szCs w:val="16"/>
                <w:lang w:val="en-US"/>
              </w:rPr>
              <w:t>Mother</w:t>
            </w:r>
            <w:r w:rsidRPr="009F337B">
              <w:rPr>
                <w:sz w:val="16"/>
                <w:szCs w:val="16"/>
                <w:lang w:val="en-US"/>
              </w:rPr>
              <w:t>)</w:t>
            </w:r>
          </w:p>
        </w:tc>
      </w:tr>
      <w:tr w:rsidR="007F3128" w:rsidRPr="009F337B" w14:paraId="14D77000" w14:textId="77777777" w:rsidTr="0010522A">
        <w:tc>
          <w:tcPr>
            <w:tcW w:w="560" w:type="dxa"/>
            <w:gridSpan w:val="2"/>
            <w:vMerge w:val="restart"/>
            <w:vAlign w:val="center"/>
          </w:tcPr>
          <w:p w14:paraId="71D67199" w14:textId="77777777" w:rsidR="007F3128" w:rsidRPr="009F337B" w:rsidRDefault="007F3128" w:rsidP="00F608A7">
            <w:pPr>
              <w:jc w:val="left"/>
              <w:rPr>
                <w:sz w:val="16"/>
                <w:szCs w:val="16"/>
                <w:lang w:val="en-US"/>
              </w:rPr>
            </w:pPr>
            <w:r w:rsidRPr="009F337B">
              <w:rPr>
                <w:sz w:val="16"/>
                <w:szCs w:val="16"/>
                <w:lang w:val="en-US"/>
              </w:rPr>
              <w:t>15</w:t>
            </w:r>
          </w:p>
        </w:tc>
        <w:tc>
          <w:tcPr>
            <w:tcW w:w="2950" w:type="dxa"/>
            <w:vMerge w:val="restart"/>
            <w:vAlign w:val="center"/>
          </w:tcPr>
          <w:p w14:paraId="4AD0F743" w14:textId="4F6C49AD" w:rsidR="007F3128" w:rsidRPr="009F337B" w:rsidRDefault="007F3128" w:rsidP="00F608A7">
            <w:pPr>
              <w:jc w:val="left"/>
              <w:rPr>
                <w:sz w:val="16"/>
                <w:szCs w:val="16"/>
                <w:lang w:val="en-US"/>
              </w:rPr>
            </w:pPr>
            <w:r w:rsidRPr="009F337B">
              <w:rPr>
                <w:sz w:val="16"/>
                <w:szCs w:val="16"/>
                <w:lang w:val="en-US"/>
              </w:rPr>
              <w:t>José Cupertino Ramírez</w:t>
            </w:r>
          </w:p>
        </w:tc>
        <w:tc>
          <w:tcPr>
            <w:tcW w:w="567" w:type="dxa"/>
            <w:vAlign w:val="center"/>
          </w:tcPr>
          <w:p w14:paraId="4DAAA8C5" w14:textId="77777777" w:rsidR="007F3128" w:rsidRPr="009F337B" w:rsidRDefault="007F3128" w:rsidP="00F608A7">
            <w:pPr>
              <w:jc w:val="left"/>
              <w:rPr>
                <w:sz w:val="16"/>
                <w:szCs w:val="16"/>
                <w:lang w:val="en-US"/>
              </w:rPr>
            </w:pPr>
            <w:r w:rsidRPr="009F337B">
              <w:rPr>
                <w:sz w:val="16"/>
                <w:szCs w:val="16"/>
                <w:lang w:val="en-US"/>
              </w:rPr>
              <w:t>1</w:t>
            </w:r>
          </w:p>
        </w:tc>
        <w:tc>
          <w:tcPr>
            <w:tcW w:w="5211" w:type="dxa"/>
            <w:vAlign w:val="center"/>
          </w:tcPr>
          <w:p w14:paraId="271968D5" w14:textId="52FF2BE6" w:rsidR="007F3128" w:rsidRPr="009F337B" w:rsidRDefault="007F3128" w:rsidP="00F608A7">
            <w:pPr>
              <w:jc w:val="left"/>
              <w:rPr>
                <w:sz w:val="16"/>
                <w:szCs w:val="16"/>
                <w:lang w:val="en-US"/>
              </w:rPr>
            </w:pPr>
            <w:r w:rsidRPr="009F337B">
              <w:rPr>
                <w:sz w:val="16"/>
                <w:szCs w:val="16"/>
                <w:lang w:val="en-US"/>
              </w:rPr>
              <w:t>Victoria Ramírez Sabat (</w:t>
            </w:r>
            <w:r w:rsidR="0010522A" w:rsidRPr="009F337B">
              <w:rPr>
                <w:sz w:val="16"/>
                <w:szCs w:val="16"/>
                <w:lang w:val="en-US"/>
              </w:rPr>
              <w:t>Cousin</w:t>
            </w:r>
            <w:r w:rsidRPr="009F337B">
              <w:rPr>
                <w:sz w:val="16"/>
                <w:szCs w:val="16"/>
                <w:lang w:val="en-US"/>
              </w:rPr>
              <w:t>)</w:t>
            </w:r>
          </w:p>
        </w:tc>
      </w:tr>
      <w:tr w:rsidR="007F3128" w:rsidRPr="009F337B" w14:paraId="5CE4E456" w14:textId="77777777" w:rsidTr="0010522A">
        <w:tc>
          <w:tcPr>
            <w:tcW w:w="560" w:type="dxa"/>
            <w:gridSpan w:val="2"/>
            <w:vMerge/>
            <w:vAlign w:val="center"/>
          </w:tcPr>
          <w:p w14:paraId="27F06174" w14:textId="77777777" w:rsidR="007F3128" w:rsidRPr="009F337B" w:rsidRDefault="007F3128" w:rsidP="00F608A7">
            <w:pPr>
              <w:jc w:val="left"/>
              <w:rPr>
                <w:sz w:val="16"/>
                <w:szCs w:val="16"/>
                <w:lang w:val="en-US"/>
              </w:rPr>
            </w:pPr>
          </w:p>
        </w:tc>
        <w:tc>
          <w:tcPr>
            <w:tcW w:w="2950" w:type="dxa"/>
            <w:vMerge/>
            <w:vAlign w:val="center"/>
          </w:tcPr>
          <w:p w14:paraId="4BD7747C" w14:textId="77777777" w:rsidR="007F3128" w:rsidRPr="009F337B" w:rsidRDefault="007F3128" w:rsidP="00F608A7">
            <w:pPr>
              <w:jc w:val="left"/>
              <w:rPr>
                <w:sz w:val="16"/>
                <w:szCs w:val="16"/>
                <w:lang w:val="en-US"/>
              </w:rPr>
            </w:pPr>
          </w:p>
        </w:tc>
        <w:tc>
          <w:tcPr>
            <w:tcW w:w="567" w:type="dxa"/>
            <w:vAlign w:val="center"/>
          </w:tcPr>
          <w:p w14:paraId="239C8E9E" w14:textId="77777777" w:rsidR="007F3128" w:rsidRPr="009F337B" w:rsidRDefault="007F3128" w:rsidP="00F608A7">
            <w:pPr>
              <w:jc w:val="left"/>
              <w:rPr>
                <w:sz w:val="16"/>
                <w:szCs w:val="16"/>
                <w:lang w:val="en-US"/>
              </w:rPr>
            </w:pPr>
            <w:r w:rsidRPr="009F337B">
              <w:rPr>
                <w:sz w:val="16"/>
                <w:szCs w:val="16"/>
                <w:lang w:val="en-US"/>
              </w:rPr>
              <w:t>2</w:t>
            </w:r>
          </w:p>
        </w:tc>
        <w:tc>
          <w:tcPr>
            <w:tcW w:w="5211" w:type="dxa"/>
            <w:vAlign w:val="center"/>
          </w:tcPr>
          <w:p w14:paraId="48180782" w14:textId="7B2B2319" w:rsidR="007F3128" w:rsidRPr="009F337B" w:rsidRDefault="007F3128" w:rsidP="00F608A7">
            <w:pPr>
              <w:jc w:val="left"/>
              <w:rPr>
                <w:sz w:val="16"/>
                <w:szCs w:val="16"/>
                <w:lang w:val="en-US"/>
              </w:rPr>
            </w:pPr>
            <w:r w:rsidRPr="009F337B">
              <w:rPr>
                <w:sz w:val="16"/>
                <w:szCs w:val="16"/>
                <w:lang w:val="en-US"/>
              </w:rPr>
              <w:t>Valvino Ramírez Sabat (</w:t>
            </w:r>
            <w:r w:rsidR="0010522A" w:rsidRPr="009F337B">
              <w:rPr>
                <w:sz w:val="16"/>
                <w:szCs w:val="16"/>
                <w:lang w:val="en-US"/>
              </w:rPr>
              <w:t>Cousin</w:t>
            </w:r>
            <w:r w:rsidRPr="009F337B">
              <w:rPr>
                <w:sz w:val="16"/>
                <w:szCs w:val="16"/>
                <w:lang w:val="en-US"/>
              </w:rPr>
              <w:t>)</w:t>
            </w:r>
          </w:p>
        </w:tc>
      </w:tr>
      <w:tr w:rsidR="007F3128" w:rsidRPr="009F337B" w14:paraId="2D1EC669" w14:textId="77777777" w:rsidTr="0010522A">
        <w:tc>
          <w:tcPr>
            <w:tcW w:w="560" w:type="dxa"/>
            <w:gridSpan w:val="2"/>
            <w:vMerge/>
            <w:vAlign w:val="center"/>
          </w:tcPr>
          <w:p w14:paraId="5418967A" w14:textId="77777777" w:rsidR="007F3128" w:rsidRPr="009F337B" w:rsidRDefault="007F3128" w:rsidP="00F608A7">
            <w:pPr>
              <w:jc w:val="left"/>
              <w:rPr>
                <w:sz w:val="16"/>
                <w:szCs w:val="16"/>
                <w:lang w:val="en-US"/>
              </w:rPr>
            </w:pPr>
          </w:p>
        </w:tc>
        <w:tc>
          <w:tcPr>
            <w:tcW w:w="2950" w:type="dxa"/>
            <w:vMerge/>
            <w:vAlign w:val="center"/>
          </w:tcPr>
          <w:p w14:paraId="4E519AFD" w14:textId="77777777" w:rsidR="007F3128" w:rsidRPr="009F337B" w:rsidRDefault="007F3128" w:rsidP="00F608A7">
            <w:pPr>
              <w:jc w:val="left"/>
              <w:rPr>
                <w:sz w:val="16"/>
                <w:szCs w:val="16"/>
                <w:lang w:val="en-US"/>
              </w:rPr>
            </w:pPr>
          </w:p>
        </w:tc>
        <w:tc>
          <w:tcPr>
            <w:tcW w:w="567" w:type="dxa"/>
            <w:vAlign w:val="center"/>
          </w:tcPr>
          <w:p w14:paraId="2BB3BF7E" w14:textId="77777777" w:rsidR="007F3128" w:rsidRPr="009F337B" w:rsidRDefault="007F3128" w:rsidP="00F608A7">
            <w:pPr>
              <w:jc w:val="left"/>
              <w:rPr>
                <w:sz w:val="16"/>
                <w:szCs w:val="16"/>
                <w:lang w:val="en-US"/>
              </w:rPr>
            </w:pPr>
            <w:r w:rsidRPr="009F337B">
              <w:rPr>
                <w:sz w:val="16"/>
                <w:szCs w:val="16"/>
                <w:lang w:val="en-US"/>
              </w:rPr>
              <w:t>3</w:t>
            </w:r>
          </w:p>
        </w:tc>
        <w:tc>
          <w:tcPr>
            <w:tcW w:w="5211" w:type="dxa"/>
            <w:vAlign w:val="center"/>
          </w:tcPr>
          <w:p w14:paraId="29C6079C" w14:textId="71021462" w:rsidR="007F3128" w:rsidRPr="009F337B" w:rsidRDefault="007F3128" w:rsidP="00F608A7">
            <w:pPr>
              <w:jc w:val="left"/>
              <w:rPr>
                <w:sz w:val="16"/>
                <w:szCs w:val="16"/>
                <w:lang w:val="en-US"/>
              </w:rPr>
            </w:pPr>
            <w:r w:rsidRPr="009F337B">
              <w:rPr>
                <w:sz w:val="16"/>
                <w:szCs w:val="16"/>
                <w:lang w:val="en-US"/>
              </w:rPr>
              <w:t>Valvino Ramírez Ramos (</w:t>
            </w:r>
            <w:r w:rsidR="0010522A" w:rsidRPr="009F337B">
              <w:rPr>
                <w:sz w:val="16"/>
                <w:szCs w:val="16"/>
                <w:lang w:val="en-US"/>
              </w:rPr>
              <w:t>Uncle</w:t>
            </w:r>
            <w:r w:rsidRPr="009F337B">
              <w:rPr>
                <w:sz w:val="16"/>
                <w:szCs w:val="16"/>
                <w:lang w:val="en-US"/>
              </w:rPr>
              <w:t>)</w:t>
            </w:r>
          </w:p>
        </w:tc>
      </w:tr>
      <w:tr w:rsidR="007F3128" w:rsidRPr="009F337B" w14:paraId="4DA5E93B" w14:textId="77777777" w:rsidTr="0010522A">
        <w:tc>
          <w:tcPr>
            <w:tcW w:w="560" w:type="dxa"/>
            <w:gridSpan w:val="2"/>
            <w:vMerge w:val="restart"/>
            <w:vAlign w:val="center"/>
          </w:tcPr>
          <w:p w14:paraId="58A23197" w14:textId="77777777" w:rsidR="007F3128" w:rsidRPr="009F337B" w:rsidRDefault="007F3128" w:rsidP="00F608A7">
            <w:pPr>
              <w:jc w:val="left"/>
              <w:rPr>
                <w:sz w:val="16"/>
                <w:szCs w:val="16"/>
                <w:lang w:val="en-US"/>
              </w:rPr>
            </w:pPr>
            <w:r w:rsidRPr="009F337B">
              <w:rPr>
                <w:sz w:val="16"/>
                <w:szCs w:val="16"/>
                <w:lang w:val="en-US"/>
              </w:rPr>
              <w:t>16</w:t>
            </w:r>
          </w:p>
        </w:tc>
        <w:tc>
          <w:tcPr>
            <w:tcW w:w="2950" w:type="dxa"/>
            <w:vMerge w:val="restart"/>
            <w:vAlign w:val="center"/>
          </w:tcPr>
          <w:p w14:paraId="61555C13" w14:textId="0853561B" w:rsidR="007F3128" w:rsidRPr="009F337B" w:rsidRDefault="007F3128" w:rsidP="00F608A7">
            <w:pPr>
              <w:jc w:val="left"/>
              <w:rPr>
                <w:sz w:val="16"/>
                <w:szCs w:val="16"/>
                <w:lang w:val="en-US"/>
              </w:rPr>
            </w:pPr>
            <w:r w:rsidRPr="009F337B">
              <w:rPr>
                <w:sz w:val="16"/>
                <w:szCs w:val="16"/>
                <w:lang w:val="en-US"/>
              </w:rPr>
              <w:t>Sebastián Emilio Dueñas</w:t>
            </w:r>
          </w:p>
        </w:tc>
        <w:tc>
          <w:tcPr>
            <w:tcW w:w="567" w:type="dxa"/>
            <w:vAlign w:val="center"/>
          </w:tcPr>
          <w:p w14:paraId="22BA2629" w14:textId="66CC4880" w:rsidR="007F3128" w:rsidRPr="009F337B" w:rsidRDefault="00A400FA" w:rsidP="00F608A7">
            <w:pPr>
              <w:jc w:val="left"/>
              <w:rPr>
                <w:sz w:val="16"/>
                <w:szCs w:val="16"/>
                <w:lang w:val="en-US"/>
              </w:rPr>
            </w:pPr>
            <w:r w:rsidRPr="009F337B">
              <w:rPr>
                <w:sz w:val="16"/>
                <w:szCs w:val="16"/>
                <w:lang w:val="en-US"/>
              </w:rPr>
              <w:t>1</w:t>
            </w:r>
          </w:p>
        </w:tc>
        <w:tc>
          <w:tcPr>
            <w:tcW w:w="5211" w:type="dxa"/>
            <w:vAlign w:val="center"/>
          </w:tcPr>
          <w:p w14:paraId="5A56C3E4" w14:textId="1C279E46" w:rsidR="007F3128" w:rsidRPr="009F337B" w:rsidRDefault="00A400FA" w:rsidP="00F608A7">
            <w:pPr>
              <w:jc w:val="left"/>
              <w:rPr>
                <w:sz w:val="16"/>
                <w:szCs w:val="16"/>
                <w:lang w:val="en-US"/>
              </w:rPr>
            </w:pPr>
            <w:r w:rsidRPr="009F337B">
              <w:rPr>
                <w:sz w:val="16"/>
                <w:szCs w:val="16"/>
                <w:lang w:val="en-US"/>
              </w:rPr>
              <w:t>Julia Aguilar (</w:t>
            </w:r>
            <w:r w:rsidR="0010522A" w:rsidRPr="009F337B">
              <w:rPr>
                <w:sz w:val="16"/>
                <w:szCs w:val="16"/>
                <w:lang w:val="en-US"/>
              </w:rPr>
              <w:t>Wife</w:t>
            </w:r>
            <w:r w:rsidRPr="009F337B">
              <w:rPr>
                <w:sz w:val="16"/>
                <w:szCs w:val="16"/>
                <w:lang w:val="en-US"/>
              </w:rPr>
              <w:t>)</w:t>
            </w:r>
          </w:p>
        </w:tc>
      </w:tr>
      <w:tr w:rsidR="007F3128" w:rsidRPr="009F337B" w14:paraId="76C4143F" w14:textId="77777777" w:rsidTr="0010522A">
        <w:tc>
          <w:tcPr>
            <w:tcW w:w="560" w:type="dxa"/>
            <w:gridSpan w:val="2"/>
            <w:vMerge/>
            <w:vAlign w:val="center"/>
          </w:tcPr>
          <w:p w14:paraId="70F14962" w14:textId="77777777" w:rsidR="007F3128" w:rsidRPr="009F337B" w:rsidRDefault="007F3128" w:rsidP="00F608A7">
            <w:pPr>
              <w:jc w:val="left"/>
              <w:rPr>
                <w:sz w:val="16"/>
                <w:szCs w:val="16"/>
                <w:lang w:val="en-US"/>
              </w:rPr>
            </w:pPr>
          </w:p>
        </w:tc>
        <w:tc>
          <w:tcPr>
            <w:tcW w:w="2950" w:type="dxa"/>
            <w:vMerge/>
            <w:vAlign w:val="center"/>
          </w:tcPr>
          <w:p w14:paraId="73992358" w14:textId="77777777" w:rsidR="007F3128" w:rsidRPr="009F337B" w:rsidRDefault="007F3128" w:rsidP="00F608A7">
            <w:pPr>
              <w:jc w:val="left"/>
              <w:rPr>
                <w:sz w:val="16"/>
                <w:szCs w:val="16"/>
                <w:lang w:val="en-US"/>
              </w:rPr>
            </w:pPr>
          </w:p>
        </w:tc>
        <w:tc>
          <w:tcPr>
            <w:tcW w:w="567" w:type="dxa"/>
            <w:vAlign w:val="center"/>
          </w:tcPr>
          <w:p w14:paraId="54EDD2A4" w14:textId="46064B63" w:rsidR="007F3128" w:rsidRPr="009F337B" w:rsidRDefault="00A400FA" w:rsidP="00F608A7">
            <w:pPr>
              <w:jc w:val="left"/>
              <w:rPr>
                <w:sz w:val="16"/>
                <w:szCs w:val="16"/>
                <w:lang w:val="en-US"/>
              </w:rPr>
            </w:pPr>
            <w:r w:rsidRPr="009F337B">
              <w:rPr>
                <w:sz w:val="16"/>
                <w:szCs w:val="16"/>
                <w:lang w:val="en-US"/>
              </w:rPr>
              <w:t>2</w:t>
            </w:r>
          </w:p>
        </w:tc>
        <w:tc>
          <w:tcPr>
            <w:tcW w:w="5211" w:type="dxa"/>
            <w:vAlign w:val="center"/>
          </w:tcPr>
          <w:p w14:paraId="42B6B82B" w14:textId="28FB99B1" w:rsidR="007F3128" w:rsidRPr="009F337B" w:rsidRDefault="00A400FA" w:rsidP="00F608A7">
            <w:pPr>
              <w:jc w:val="left"/>
              <w:rPr>
                <w:sz w:val="16"/>
                <w:szCs w:val="16"/>
                <w:lang w:val="en-US"/>
              </w:rPr>
            </w:pPr>
            <w:r w:rsidRPr="009F337B">
              <w:rPr>
                <w:sz w:val="16"/>
                <w:szCs w:val="16"/>
                <w:lang w:val="en-US"/>
              </w:rPr>
              <w:t>Fredy Dueñas Aguilar (</w:t>
            </w:r>
            <w:r w:rsidR="0010522A" w:rsidRPr="009F337B">
              <w:rPr>
                <w:sz w:val="16"/>
                <w:szCs w:val="16"/>
                <w:lang w:val="en-US"/>
              </w:rPr>
              <w:t>Son</w:t>
            </w:r>
            <w:r w:rsidRPr="009F337B">
              <w:rPr>
                <w:sz w:val="16"/>
                <w:szCs w:val="16"/>
                <w:lang w:val="en-US"/>
              </w:rPr>
              <w:t>)</w:t>
            </w:r>
          </w:p>
        </w:tc>
      </w:tr>
      <w:tr w:rsidR="007F3128" w:rsidRPr="009F337B" w14:paraId="0564B372" w14:textId="77777777" w:rsidTr="0010522A">
        <w:tc>
          <w:tcPr>
            <w:tcW w:w="560" w:type="dxa"/>
            <w:gridSpan w:val="2"/>
            <w:vMerge/>
            <w:vAlign w:val="center"/>
          </w:tcPr>
          <w:p w14:paraId="5B49B1CA" w14:textId="77777777" w:rsidR="007F3128" w:rsidRPr="009F337B" w:rsidRDefault="007F3128" w:rsidP="00F608A7">
            <w:pPr>
              <w:jc w:val="left"/>
              <w:rPr>
                <w:sz w:val="16"/>
                <w:szCs w:val="16"/>
                <w:lang w:val="en-US"/>
              </w:rPr>
            </w:pPr>
          </w:p>
        </w:tc>
        <w:tc>
          <w:tcPr>
            <w:tcW w:w="2950" w:type="dxa"/>
            <w:vMerge/>
            <w:vAlign w:val="center"/>
          </w:tcPr>
          <w:p w14:paraId="35368ACB" w14:textId="77777777" w:rsidR="007F3128" w:rsidRPr="009F337B" w:rsidRDefault="007F3128" w:rsidP="00F608A7">
            <w:pPr>
              <w:jc w:val="left"/>
              <w:rPr>
                <w:sz w:val="16"/>
                <w:szCs w:val="16"/>
                <w:lang w:val="en-US"/>
              </w:rPr>
            </w:pPr>
          </w:p>
        </w:tc>
        <w:tc>
          <w:tcPr>
            <w:tcW w:w="567" w:type="dxa"/>
            <w:vAlign w:val="center"/>
          </w:tcPr>
          <w:p w14:paraId="0877639E" w14:textId="7A86FC96" w:rsidR="007F3128" w:rsidRPr="009F337B" w:rsidRDefault="00A400FA" w:rsidP="00F608A7">
            <w:pPr>
              <w:jc w:val="left"/>
              <w:rPr>
                <w:sz w:val="16"/>
                <w:szCs w:val="16"/>
                <w:lang w:val="en-US"/>
              </w:rPr>
            </w:pPr>
            <w:r w:rsidRPr="009F337B">
              <w:rPr>
                <w:sz w:val="16"/>
                <w:szCs w:val="16"/>
                <w:lang w:val="en-US"/>
              </w:rPr>
              <w:t>3</w:t>
            </w:r>
          </w:p>
        </w:tc>
        <w:tc>
          <w:tcPr>
            <w:tcW w:w="5211" w:type="dxa"/>
            <w:vAlign w:val="center"/>
          </w:tcPr>
          <w:p w14:paraId="67355E04" w14:textId="5F2C6DC8" w:rsidR="007F3128" w:rsidRPr="009F337B" w:rsidRDefault="00A400FA" w:rsidP="00F608A7">
            <w:pPr>
              <w:jc w:val="left"/>
              <w:rPr>
                <w:sz w:val="16"/>
                <w:szCs w:val="16"/>
                <w:lang w:val="en-US"/>
              </w:rPr>
            </w:pPr>
            <w:r w:rsidRPr="009F337B">
              <w:rPr>
                <w:sz w:val="16"/>
                <w:szCs w:val="16"/>
                <w:lang w:val="en-US"/>
              </w:rPr>
              <w:t>Lucrecia Isabel Dueñas Aguilar (</w:t>
            </w:r>
            <w:r w:rsidR="0010522A" w:rsidRPr="009F337B">
              <w:rPr>
                <w:sz w:val="16"/>
                <w:szCs w:val="16"/>
                <w:lang w:val="en-US"/>
              </w:rPr>
              <w:t>Daughter</w:t>
            </w:r>
            <w:r w:rsidRPr="009F337B">
              <w:rPr>
                <w:sz w:val="16"/>
                <w:szCs w:val="16"/>
                <w:lang w:val="en-US"/>
              </w:rPr>
              <w:t>)</w:t>
            </w:r>
          </w:p>
        </w:tc>
      </w:tr>
      <w:tr w:rsidR="007F3128" w:rsidRPr="009F337B" w14:paraId="2EE67414" w14:textId="77777777" w:rsidTr="0010522A">
        <w:tc>
          <w:tcPr>
            <w:tcW w:w="560" w:type="dxa"/>
            <w:gridSpan w:val="2"/>
            <w:vMerge/>
            <w:vAlign w:val="center"/>
          </w:tcPr>
          <w:p w14:paraId="0344D6CA" w14:textId="77777777" w:rsidR="007F3128" w:rsidRPr="009F337B" w:rsidRDefault="007F3128" w:rsidP="00F608A7">
            <w:pPr>
              <w:jc w:val="left"/>
              <w:rPr>
                <w:sz w:val="16"/>
                <w:szCs w:val="16"/>
                <w:lang w:val="en-US"/>
              </w:rPr>
            </w:pPr>
          </w:p>
        </w:tc>
        <w:tc>
          <w:tcPr>
            <w:tcW w:w="2950" w:type="dxa"/>
            <w:vMerge/>
            <w:vAlign w:val="center"/>
          </w:tcPr>
          <w:p w14:paraId="02F0A39B" w14:textId="77777777" w:rsidR="007F3128" w:rsidRPr="009F337B" w:rsidRDefault="007F3128" w:rsidP="00F608A7">
            <w:pPr>
              <w:jc w:val="left"/>
              <w:rPr>
                <w:sz w:val="16"/>
                <w:szCs w:val="16"/>
                <w:lang w:val="en-US"/>
              </w:rPr>
            </w:pPr>
          </w:p>
        </w:tc>
        <w:tc>
          <w:tcPr>
            <w:tcW w:w="567" w:type="dxa"/>
            <w:vAlign w:val="center"/>
          </w:tcPr>
          <w:p w14:paraId="64C128D5" w14:textId="27950EB7" w:rsidR="007F3128" w:rsidRPr="009F337B" w:rsidRDefault="00A400FA" w:rsidP="00F608A7">
            <w:pPr>
              <w:jc w:val="left"/>
              <w:rPr>
                <w:sz w:val="16"/>
                <w:szCs w:val="16"/>
                <w:lang w:val="en-US"/>
              </w:rPr>
            </w:pPr>
            <w:r w:rsidRPr="009F337B">
              <w:rPr>
                <w:sz w:val="16"/>
                <w:szCs w:val="16"/>
                <w:lang w:val="en-US"/>
              </w:rPr>
              <w:t>4</w:t>
            </w:r>
          </w:p>
        </w:tc>
        <w:tc>
          <w:tcPr>
            <w:tcW w:w="5211" w:type="dxa"/>
            <w:vAlign w:val="center"/>
          </w:tcPr>
          <w:p w14:paraId="614854B4" w14:textId="2F03AF80" w:rsidR="007F3128" w:rsidRPr="009F337B" w:rsidRDefault="00A400FA" w:rsidP="00F608A7">
            <w:pPr>
              <w:jc w:val="left"/>
              <w:rPr>
                <w:sz w:val="16"/>
                <w:szCs w:val="16"/>
                <w:lang w:val="en-US"/>
              </w:rPr>
            </w:pPr>
            <w:r w:rsidRPr="009F337B">
              <w:rPr>
                <w:sz w:val="16"/>
                <w:szCs w:val="16"/>
                <w:lang w:val="en-US"/>
              </w:rPr>
              <w:t>Eva Dueñas Aguilar (</w:t>
            </w:r>
            <w:r w:rsidR="0010522A" w:rsidRPr="009F337B">
              <w:rPr>
                <w:sz w:val="16"/>
                <w:szCs w:val="16"/>
                <w:lang w:val="en-US"/>
              </w:rPr>
              <w:t>Daughter</w:t>
            </w:r>
            <w:r w:rsidRPr="009F337B">
              <w:rPr>
                <w:sz w:val="16"/>
                <w:szCs w:val="16"/>
                <w:lang w:val="en-US"/>
              </w:rPr>
              <w:t>)</w:t>
            </w:r>
          </w:p>
        </w:tc>
      </w:tr>
      <w:tr w:rsidR="007F3128" w:rsidRPr="009F337B" w14:paraId="178EA99C" w14:textId="77777777" w:rsidTr="0010522A">
        <w:tc>
          <w:tcPr>
            <w:tcW w:w="560" w:type="dxa"/>
            <w:gridSpan w:val="2"/>
            <w:vMerge w:val="restart"/>
            <w:vAlign w:val="center"/>
          </w:tcPr>
          <w:p w14:paraId="59FFF250" w14:textId="77777777" w:rsidR="007F3128" w:rsidRPr="009F337B" w:rsidRDefault="007F3128" w:rsidP="00F608A7">
            <w:pPr>
              <w:jc w:val="left"/>
              <w:rPr>
                <w:sz w:val="16"/>
                <w:szCs w:val="16"/>
                <w:lang w:val="en-US"/>
              </w:rPr>
            </w:pPr>
            <w:r w:rsidRPr="009F337B">
              <w:rPr>
                <w:sz w:val="16"/>
                <w:szCs w:val="16"/>
                <w:lang w:val="en-US"/>
              </w:rPr>
              <w:t>17</w:t>
            </w:r>
          </w:p>
        </w:tc>
        <w:tc>
          <w:tcPr>
            <w:tcW w:w="2950" w:type="dxa"/>
            <w:vMerge w:val="restart"/>
            <w:vAlign w:val="center"/>
          </w:tcPr>
          <w:p w14:paraId="4AFFD91A" w14:textId="457F7878" w:rsidR="007F3128" w:rsidRPr="009F337B" w:rsidRDefault="007F3128" w:rsidP="00F608A7">
            <w:pPr>
              <w:jc w:val="left"/>
              <w:rPr>
                <w:sz w:val="16"/>
                <w:szCs w:val="16"/>
                <w:lang w:val="en-US"/>
              </w:rPr>
            </w:pPr>
            <w:r w:rsidRPr="009F337B">
              <w:rPr>
                <w:sz w:val="16"/>
                <w:szCs w:val="16"/>
                <w:lang w:val="en-US"/>
              </w:rPr>
              <w:t>Julia Aguilar</w:t>
            </w:r>
          </w:p>
        </w:tc>
        <w:tc>
          <w:tcPr>
            <w:tcW w:w="567" w:type="dxa"/>
            <w:vAlign w:val="center"/>
          </w:tcPr>
          <w:p w14:paraId="5438A5D1" w14:textId="650B683A" w:rsidR="007F3128" w:rsidRPr="009F337B" w:rsidRDefault="00A400FA" w:rsidP="00F608A7">
            <w:pPr>
              <w:jc w:val="left"/>
              <w:rPr>
                <w:sz w:val="16"/>
                <w:szCs w:val="16"/>
                <w:lang w:val="en-US"/>
              </w:rPr>
            </w:pPr>
            <w:r w:rsidRPr="009F337B">
              <w:rPr>
                <w:sz w:val="16"/>
                <w:szCs w:val="16"/>
                <w:lang w:val="en-US"/>
              </w:rPr>
              <w:t>1</w:t>
            </w:r>
          </w:p>
        </w:tc>
        <w:tc>
          <w:tcPr>
            <w:tcW w:w="5211" w:type="dxa"/>
            <w:vAlign w:val="center"/>
          </w:tcPr>
          <w:p w14:paraId="1C3E27EE" w14:textId="01013278" w:rsidR="007F3128" w:rsidRPr="009F337B" w:rsidRDefault="00A400FA" w:rsidP="00F608A7">
            <w:pPr>
              <w:jc w:val="left"/>
              <w:rPr>
                <w:sz w:val="16"/>
                <w:szCs w:val="16"/>
                <w:lang w:val="en-US"/>
              </w:rPr>
            </w:pPr>
            <w:r w:rsidRPr="009F337B">
              <w:rPr>
                <w:sz w:val="16"/>
                <w:szCs w:val="16"/>
                <w:lang w:val="en-US"/>
              </w:rPr>
              <w:t>Sebastián Emilio Dueñas</w:t>
            </w:r>
            <w:r w:rsidR="007F3128" w:rsidRPr="009F337B">
              <w:rPr>
                <w:sz w:val="16"/>
                <w:szCs w:val="16"/>
                <w:lang w:val="en-US"/>
              </w:rPr>
              <w:t xml:space="preserve"> (</w:t>
            </w:r>
            <w:r w:rsidR="0010522A" w:rsidRPr="009F337B">
              <w:rPr>
                <w:sz w:val="16"/>
                <w:szCs w:val="16"/>
                <w:lang w:val="en-US"/>
              </w:rPr>
              <w:t>Husband</w:t>
            </w:r>
            <w:r w:rsidR="007F3128" w:rsidRPr="009F337B">
              <w:rPr>
                <w:sz w:val="16"/>
                <w:szCs w:val="16"/>
                <w:lang w:val="en-US"/>
              </w:rPr>
              <w:t>)</w:t>
            </w:r>
          </w:p>
        </w:tc>
      </w:tr>
      <w:tr w:rsidR="007F3128" w:rsidRPr="009F337B" w14:paraId="2A2AEE67" w14:textId="77777777" w:rsidTr="0010522A">
        <w:tc>
          <w:tcPr>
            <w:tcW w:w="560" w:type="dxa"/>
            <w:gridSpan w:val="2"/>
            <w:vMerge/>
            <w:vAlign w:val="center"/>
          </w:tcPr>
          <w:p w14:paraId="570D7879" w14:textId="77777777" w:rsidR="007F3128" w:rsidRPr="009F337B" w:rsidRDefault="007F3128" w:rsidP="00F608A7">
            <w:pPr>
              <w:jc w:val="left"/>
              <w:rPr>
                <w:sz w:val="16"/>
                <w:szCs w:val="16"/>
                <w:lang w:val="en-US"/>
              </w:rPr>
            </w:pPr>
          </w:p>
        </w:tc>
        <w:tc>
          <w:tcPr>
            <w:tcW w:w="2950" w:type="dxa"/>
            <w:vMerge/>
            <w:vAlign w:val="center"/>
          </w:tcPr>
          <w:p w14:paraId="3AD399A4" w14:textId="77777777" w:rsidR="007F3128" w:rsidRPr="009F337B" w:rsidRDefault="007F3128" w:rsidP="00F608A7">
            <w:pPr>
              <w:jc w:val="left"/>
              <w:rPr>
                <w:sz w:val="16"/>
                <w:szCs w:val="16"/>
                <w:lang w:val="en-US"/>
              </w:rPr>
            </w:pPr>
          </w:p>
        </w:tc>
        <w:tc>
          <w:tcPr>
            <w:tcW w:w="567" w:type="dxa"/>
            <w:vAlign w:val="center"/>
          </w:tcPr>
          <w:p w14:paraId="62BA00B1" w14:textId="77777777" w:rsidR="007F3128" w:rsidRPr="009F337B" w:rsidRDefault="007F3128" w:rsidP="00F608A7">
            <w:pPr>
              <w:jc w:val="left"/>
              <w:rPr>
                <w:sz w:val="16"/>
                <w:szCs w:val="16"/>
                <w:lang w:val="en-US"/>
              </w:rPr>
            </w:pPr>
            <w:r w:rsidRPr="009F337B">
              <w:rPr>
                <w:sz w:val="16"/>
                <w:szCs w:val="16"/>
                <w:lang w:val="en-US"/>
              </w:rPr>
              <w:t>2</w:t>
            </w:r>
          </w:p>
        </w:tc>
        <w:tc>
          <w:tcPr>
            <w:tcW w:w="5211" w:type="dxa"/>
            <w:vAlign w:val="center"/>
          </w:tcPr>
          <w:p w14:paraId="14B97785" w14:textId="73050CD7" w:rsidR="007F3128" w:rsidRPr="009F337B" w:rsidRDefault="007F3128" w:rsidP="00F608A7">
            <w:pPr>
              <w:jc w:val="left"/>
              <w:rPr>
                <w:sz w:val="16"/>
                <w:szCs w:val="16"/>
                <w:lang w:val="en-US"/>
              </w:rPr>
            </w:pPr>
            <w:r w:rsidRPr="009F337B">
              <w:rPr>
                <w:sz w:val="16"/>
                <w:szCs w:val="16"/>
                <w:lang w:val="en-US"/>
              </w:rPr>
              <w:t>María Dueñas Aguilar (</w:t>
            </w:r>
            <w:r w:rsidR="0010522A" w:rsidRPr="009F337B">
              <w:rPr>
                <w:sz w:val="16"/>
                <w:szCs w:val="16"/>
                <w:lang w:val="en-US"/>
              </w:rPr>
              <w:t>Mother</w:t>
            </w:r>
            <w:r w:rsidRPr="009F337B">
              <w:rPr>
                <w:sz w:val="16"/>
                <w:szCs w:val="16"/>
                <w:lang w:val="en-US"/>
              </w:rPr>
              <w:t>)</w:t>
            </w:r>
          </w:p>
        </w:tc>
      </w:tr>
      <w:tr w:rsidR="007F3128" w:rsidRPr="009F337B" w14:paraId="7408DBF3" w14:textId="77777777" w:rsidTr="0010522A">
        <w:tc>
          <w:tcPr>
            <w:tcW w:w="560" w:type="dxa"/>
            <w:gridSpan w:val="2"/>
            <w:vMerge/>
            <w:vAlign w:val="center"/>
          </w:tcPr>
          <w:p w14:paraId="4C08AB07" w14:textId="77777777" w:rsidR="007F3128" w:rsidRPr="009F337B" w:rsidRDefault="007F3128" w:rsidP="00F608A7">
            <w:pPr>
              <w:jc w:val="left"/>
              <w:rPr>
                <w:sz w:val="16"/>
                <w:szCs w:val="16"/>
                <w:lang w:val="en-US"/>
              </w:rPr>
            </w:pPr>
          </w:p>
        </w:tc>
        <w:tc>
          <w:tcPr>
            <w:tcW w:w="2950" w:type="dxa"/>
            <w:vMerge/>
            <w:vAlign w:val="center"/>
          </w:tcPr>
          <w:p w14:paraId="0395FB92" w14:textId="77777777" w:rsidR="007F3128" w:rsidRPr="009F337B" w:rsidRDefault="007F3128" w:rsidP="00F608A7">
            <w:pPr>
              <w:jc w:val="left"/>
              <w:rPr>
                <w:sz w:val="16"/>
                <w:szCs w:val="16"/>
                <w:lang w:val="en-US"/>
              </w:rPr>
            </w:pPr>
          </w:p>
        </w:tc>
        <w:tc>
          <w:tcPr>
            <w:tcW w:w="567" w:type="dxa"/>
            <w:vAlign w:val="center"/>
          </w:tcPr>
          <w:p w14:paraId="2BE0C337" w14:textId="77777777" w:rsidR="007F3128" w:rsidRPr="009F337B" w:rsidRDefault="007F3128" w:rsidP="00F608A7">
            <w:pPr>
              <w:jc w:val="left"/>
              <w:rPr>
                <w:sz w:val="16"/>
                <w:szCs w:val="16"/>
                <w:lang w:val="en-US"/>
              </w:rPr>
            </w:pPr>
            <w:r w:rsidRPr="009F337B">
              <w:rPr>
                <w:sz w:val="16"/>
                <w:szCs w:val="16"/>
                <w:lang w:val="en-US"/>
              </w:rPr>
              <w:t>3</w:t>
            </w:r>
          </w:p>
        </w:tc>
        <w:tc>
          <w:tcPr>
            <w:tcW w:w="5211" w:type="dxa"/>
            <w:vAlign w:val="center"/>
          </w:tcPr>
          <w:p w14:paraId="68ADF124" w14:textId="60A26B7B" w:rsidR="007F3128" w:rsidRPr="009F337B" w:rsidRDefault="007F3128" w:rsidP="00F608A7">
            <w:pPr>
              <w:jc w:val="left"/>
              <w:rPr>
                <w:sz w:val="16"/>
                <w:szCs w:val="16"/>
                <w:lang w:val="en-US"/>
              </w:rPr>
            </w:pPr>
            <w:r w:rsidRPr="009F337B">
              <w:rPr>
                <w:sz w:val="16"/>
                <w:szCs w:val="16"/>
                <w:lang w:val="en-US"/>
              </w:rPr>
              <w:t>Fredy Dueñas Aguilar (</w:t>
            </w:r>
            <w:r w:rsidR="0010522A" w:rsidRPr="009F337B">
              <w:rPr>
                <w:sz w:val="16"/>
                <w:szCs w:val="16"/>
                <w:lang w:val="en-US"/>
              </w:rPr>
              <w:t>Son</w:t>
            </w:r>
            <w:r w:rsidRPr="009F337B">
              <w:rPr>
                <w:sz w:val="16"/>
                <w:szCs w:val="16"/>
                <w:lang w:val="en-US"/>
              </w:rPr>
              <w:t>)</w:t>
            </w:r>
          </w:p>
        </w:tc>
      </w:tr>
      <w:tr w:rsidR="007F3128" w:rsidRPr="009F337B" w14:paraId="09773F8C" w14:textId="77777777" w:rsidTr="0010522A">
        <w:tc>
          <w:tcPr>
            <w:tcW w:w="560" w:type="dxa"/>
            <w:gridSpan w:val="2"/>
            <w:vMerge/>
            <w:vAlign w:val="center"/>
          </w:tcPr>
          <w:p w14:paraId="12EAEC5F" w14:textId="77777777" w:rsidR="007F3128" w:rsidRPr="009F337B" w:rsidRDefault="007F3128" w:rsidP="00F608A7">
            <w:pPr>
              <w:jc w:val="left"/>
              <w:rPr>
                <w:sz w:val="16"/>
                <w:szCs w:val="16"/>
                <w:lang w:val="en-US"/>
              </w:rPr>
            </w:pPr>
          </w:p>
        </w:tc>
        <w:tc>
          <w:tcPr>
            <w:tcW w:w="2950" w:type="dxa"/>
            <w:vMerge/>
            <w:vAlign w:val="center"/>
          </w:tcPr>
          <w:p w14:paraId="597AABFC" w14:textId="77777777" w:rsidR="007F3128" w:rsidRPr="009F337B" w:rsidRDefault="007F3128" w:rsidP="00F608A7">
            <w:pPr>
              <w:jc w:val="left"/>
              <w:rPr>
                <w:sz w:val="16"/>
                <w:szCs w:val="16"/>
                <w:lang w:val="en-US"/>
              </w:rPr>
            </w:pPr>
          </w:p>
        </w:tc>
        <w:tc>
          <w:tcPr>
            <w:tcW w:w="567" w:type="dxa"/>
            <w:vAlign w:val="center"/>
          </w:tcPr>
          <w:p w14:paraId="5224DA95" w14:textId="77777777" w:rsidR="007F3128" w:rsidRPr="009F337B" w:rsidRDefault="007F3128" w:rsidP="00F608A7">
            <w:pPr>
              <w:jc w:val="left"/>
              <w:rPr>
                <w:sz w:val="16"/>
                <w:szCs w:val="16"/>
                <w:lang w:val="en-US"/>
              </w:rPr>
            </w:pPr>
            <w:r w:rsidRPr="009F337B">
              <w:rPr>
                <w:sz w:val="16"/>
                <w:szCs w:val="16"/>
                <w:lang w:val="en-US"/>
              </w:rPr>
              <w:t>4</w:t>
            </w:r>
          </w:p>
        </w:tc>
        <w:tc>
          <w:tcPr>
            <w:tcW w:w="5211" w:type="dxa"/>
            <w:vAlign w:val="center"/>
          </w:tcPr>
          <w:p w14:paraId="6AE25F84" w14:textId="65BA1BAE" w:rsidR="007F3128" w:rsidRPr="009F337B" w:rsidRDefault="008770CA" w:rsidP="00F608A7">
            <w:pPr>
              <w:jc w:val="left"/>
              <w:rPr>
                <w:sz w:val="16"/>
                <w:szCs w:val="16"/>
                <w:lang w:val="en-US"/>
              </w:rPr>
            </w:pPr>
            <w:r w:rsidRPr="009F337B">
              <w:rPr>
                <w:sz w:val="16"/>
                <w:szCs w:val="16"/>
                <w:lang w:val="en-US"/>
              </w:rPr>
              <w:t>Lucrecia Is</w:t>
            </w:r>
            <w:r w:rsidR="007F3128" w:rsidRPr="009F337B">
              <w:rPr>
                <w:sz w:val="16"/>
                <w:szCs w:val="16"/>
                <w:lang w:val="en-US"/>
              </w:rPr>
              <w:t>abel Dueñas Aguilar (</w:t>
            </w:r>
            <w:r w:rsidR="0010522A" w:rsidRPr="009F337B">
              <w:rPr>
                <w:sz w:val="16"/>
                <w:szCs w:val="16"/>
                <w:lang w:val="en-US"/>
              </w:rPr>
              <w:t>Daughter</w:t>
            </w:r>
            <w:r w:rsidR="007F3128" w:rsidRPr="009F337B">
              <w:rPr>
                <w:sz w:val="16"/>
                <w:szCs w:val="16"/>
                <w:lang w:val="en-US"/>
              </w:rPr>
              <w:t>)</w:t>
            </w:r>
          </w:p>
        </w:tc>
      </w:tr>
      <w:tr w:rsidR="007F3128" w:rsidRPr="009F337B" w14:paraId="23464669" w14:textId="77777777" w:rsidTr="0010522A">
        <w:tc>
          <w:tcPr>
            <w:tcW w:w="560" w:type="dxa"/>
            <w:gridSpan w:val="2"/>
            <w:vMerge/>
            <w:vAlign w:val="center"/>
          </w:tcPr>
          <w:p w14:paraId="3ECD8340" w14:textId="77777777" w:rsidR="007F3128" w:rsidRPr="009F337B" w:rsidRDefault="007F3128" w:rsidP="00F608A7">
            <w:pPr>
              <w:jc w:val="left"/>
              <w:rPr>
                <w:sz w:val="16"/>
                <w:szCs w:val="16"/>
                <w:lang w:val="en-US"/>
              </w:rPr>
            </w:pPr>
          </w:p>
        </w:tc>
        <w:tc>
          <w:tcPr>
            <w:tcW w:w="2950" w:type="dxa"/>
            <w:vMerge/>
            <w:vAlign w:val="center"/>
          </w:tcPr>
          <w:p w14:paraId="6D30FA3A" w14:textId="77777777" w:rsidR="007F3128" w:rsidRPr="009F337B" w:rsidRDefault="007F3128" w:rsidP="00F608A7">
            <w:pPr>
              <w:jc w:val="left"/>
              <w:rPr>
                <w:sz w:val="16"/>
                <w:szCs w:val="16"/>
                <w:lang w:val="en-US"/>
              </w:rPr>
            </w:pPr>
          </w:p>
        </w:tc>
        <w:tc>
          <w:tcPr>
            <w:tcW w:w="567" w:type="dxa"/>
            <w:vAlign w:val="center"/>
          </w:tcPr>
          <w:p w14:paraId="0AFC63F5" w14:textId="77777777" w:rsidR="007F3128" w:rsidRPr="009F337B" w:rsidRDefault="007F3128" w:rsidP="00F608A7">
            <w:pPr>
              <w:jc w:val="left"/>
              <w:rPr>
                <w:sz w:val="16"/>
                <w:szCs w:val="16"/>
                <w:lang w:val="en-US"/>
              </w:rPr>
            </w:pPr>
            <w:r w:rsidRPr="009F337B">
              <w:rPr>
                <w:sz w:val="16"/>
                <w:szCs w:val="16"/>
                <w:lang w:val="en-US"/>
              </w:rPr>
              <w:t>5</w:t>
            </w:r>
          </w:p>
        </w:tc>
        <w:tc>
          <w:tcPr>
            <w:tcW w:w="5211" w:type="dxa"/>
            <w:vAlign w:val="center"/>
          </w:tcPr>
          <w:p w14:paraId="0F935C3D" w14:textId="29918ED8" w:rsidR="007F3128" w:rsidRPr="009F337B" w:rsidRDefault="007F3128" w:rsidP="00F608A7">
            <w:pPr>
              <w:tabs>
                <w:tab w:val="left" w:pos="1277"/>
              </w:tabs>
              <w:jc w:val="left"/>
              <w:rPr>
                <w:sz w:val="16"/>
                <w:szCs w:val="16"/>
                <w:lang w:val="en-US"/>
              </w:rPr>
            </w:pPr>
            <w:r w:rsidRPr="009F337B">
              <w:rPr>
                <w:sz w:val="16"/>
                <w:szCs w:val="16"/>
                <w:lang w:val="en-US"/>
              </w:rPr>
              <w:t>Eva Dueñas Aguilar (</w:t>
            </w:r>
            <w:r w:rsidR="0010522A" w:rsidRPr="009F337B">
              <w:rPr>
                <w:sz w:val="16"/>
                <w:szCs w:val="16"/>
                <w:lang w:val="en-US"/>
              </w:rPr>
              <w:t>Daughter</w:t>
            </w:r>
            <w:r w:rsidRPr="009F337B">
              <w:rPr>
                <w:sz w:val="16"/>
                <w:szCs w:val="16"/>
                <w:lang w:val="en-US"/>
              </w:rPr>
              <w:t>)</w:t>
            </w:r>
          </w:p>
        </w:tc>
      </w:tr>
      <w:tr w:rsidR="007F3128" w:rsidRPr="009F337B" w14:paraId="71A8D250" w14:textId="77777777" w:rsidTr="0010522A">
        <w:tc>
          <w:tcPr>
            <w:tcW w:w="560" w:type="dxa"/>
            <w:gridSpan w:val="2"/>
            <w:vMerge w:val="restart"/>
            <w:vAlign w:val="center"/>
          </w:tcPr>
          <w:p w14:paraId="5A07F11A" w14:textId="77777777" w:rsidR="007F3128" w:rsidRPr="009F337B" w:rsidRDefault="007F3128" w:rsidP="00F608A7">
            <w:pPr>
              <w:jc w:val="left"/>
              <w:rPr>
                <w:sz w:val="16"/>
                <w:szCs w:val="16"/>
                <w:lang w:val="en-US"/>
              </w:rPr>
            </w:pPr>
            <w:r w:rsidRPr="009F337B">
              <w:rPr>
                <w:sz w:val="16"/>
                <w:szCs w:val="16"/>
                <w:lang w:val="en-US"/>
              </w:rPr>
              <w:t>18</w:t>
            </w:r>
          </w:p>
        </w:tc>
        <w:tc>
          <w:tcPr>
            <w:tcW w:w="2950" w:type="dxa"/>
            <w:vMerge w:val="restart"/>
            <w:vAlign w:val="center"/>
          </w:tcPr>
          <w:p w14:paraId="7DB94CCE" w14:textId="31734639" w:rsidR="007F3128" w:rsidRPr="009F337B" w:rsidRDefault="007F3128" w:rsidP="00F608A7">
            <w:pPr>
              <w:jc w:val="left"/>
              <w:rPr>
                <w:sz w:val="16"/>
                <w:szCs w:val="16"/>
                <w:lang w:val="en-US"/>
              </w:rPr>
            </w:pPr>
            <w:r w:rsidRPr="009F337B">
              <w:rPr>
                <w:sz w:val="16"/>
                <w:szCs w:val="16"/>
                <w:lang w:val="en-US"/>
              </w:rPr>
              <w:t>Felipe Tebalan Ord</w:t>
            </w:r>
            <w:r w:rsidR="006B3158" w:rsidRPr="009F337B">
              <w:rPr>
                <w:sz w:val="16"/>
                <w:szCs w:val="16"/>
                <w:lang w:val="en-US"/>
              </w:rPr>
              <w:t>o</w:t>
            </w:r>
            <w:r w:rsidRPr="009F337B">
              <w:rPr>
                <w:sz w:val="16"/>
                <w:szCs w:val="16"/>
                <w:lang w:val="en-US"/>
              </w:rPr>
              <w:t>ñez</w:t>
            </w:r>
          </w:p>
        </w:tc>
        <w:tc>
          <w:tcPr>
            <w:tcW w:w="567" w:type="dxa"/>
            <w:vAlign w:val="center"/>
          </w:tcPr>
          <w:p w14:paraId="48C47D49" w14:textId="77777777" w:rsidR="007F3128" w:rsidRPr="009F337B" w:rsidRDefault="007F3128" w:rsidP="00F608A7">
            <w:pPr>
              <w:jc w:val="left"/>
              <w:rPr>
                <w:sz w:val="16"/>
                <w:szCs w:val="16"/>
                <w:lang w:val="en-US"/>
              </w:rPr>
            </w:pPr>
            <w:r w:rsidRPr="009F337B">
              <w:rPr>
                <w:sz w:val="16"/>
                <w:szCs w:val="16"/>
                <w:lang w:val="en-US"/>
              </w:rPr>
              <w:t>1</w:t>
            </w:r>
          </w:p>
        </w:tc>
        <w:tc>
          <w:tcPr>
            <w:tcW w:w="5211" w:type="dxa"/>
            <w:vAlign w:val="center"/>
          </w:tcPr>
          <w:p w14:paraId="35073C80" w14:textId="23403424" w:rsidR="007F3128" w:rsidRPr="00542AB5" w:rsidRDefault="007F3128" w:rsidP="00F608A7">
            <w:pPr>
              <w:jc w:val="left"/>
              <w:rPr>
                <w:sz w:val="16"/>
                <w:szCs w:val="16"/>
                <w:lang w:val="es-CR"/>
              </w:rPr>
            </w:pPr>
            <w:r w:rsidRPr="00542AB5">
              <w:rPr>
                <w:sz w:val="16"/>
                <w:szCs w:val="16"/>
                <w:lang w:val="es-CR"/>
              </w:rPr>
              <w:t xml:space="preserve">Martina Candelaria </w:t>
            </w:r>
            <w:r w:rsidR="00827765" w:rsidRPr="00542AB5">
              <w:rPr>
                <w:sz w:val="16"/>
                <w:szCs w:val="16"/>
                <w:lang w:val="es-CR"/>
              </w:rPr>
              <w:t>A</w:t>
            </w:r>
            <w:r w:rsidRPr="00542AB5">
              <w:rPr>
                <w:sz w:val="16"/>
                <w:szCs w:val="16"/>
                <w:lang w:val="es-CR"/>
              </w:rPr>
              <w:t>lvarez Estrada (</w:t>
            </w:r>
            <w:r w:rsidR="0010522A" w:rsidRPr="00542AB5">
              <w:rPr>
                <w:sz w:val="16"/>
                <w:szCs w:val="16"/>
                <w:lang w:val="es-CR"/>
              </w:rPr>
              <w:t>Wife</w:t>
            </w:r>
            <w:r w:rsidRPr="00542AB5">
              <w:rPr>
                <w:sz w:val="16"/>
                <w:szCs w:val="16"/>
                <w:lang w:val="es-CR"/>
              </w:rPr>
              <w:t>)</w:t>
            </w:r>
          </w:p>
        </w:tc>
      </w:tr>
      <w:tr w:rsidR="007F3128" w:rsidRPr="009F337B" w14:paraId="4B84192B" w14:textId="77777777" w:rsidTr="0010522A">
        <w:tc>
          <w:tcPr>
            <w:tcW w:w="560" w:type="dxa"/>
            <w:gridSpan w:val="2"/>
            <w:vMerge/>
            <w:vAlign w:val="center"/>
          </w:tcPr>
          <w:p w14:paraId="749942C4" w14:textId="77777777" w:rsidR="007F3128" w:rsidRPr="00542AB5" w:rsidRDefault="007F3128" w:rsidP="00F608A7">
            <w:pPr>
              <w:jc w:val="left"/>
              <w:rPr>
                <w:sz w:val="16"/>
                <w:szCs w:val="16"/>
                <w:lang w:val="es-CR"/>
              </w:rPr>
            </w:pPr>
          </w:p>
        </w:tc>
        <w:tc>
          <w:tcPr>
            <w:tcW w:w="2950" w:type="dxa"/>
            <w:vMerge/>
            <w:vAlign w:val="center"/>
          </w:tcPr>
          <w:p w14:paraId="36A35536" w14:textId="77777777" w:rsidR="007F3128" w:rsidRPr="00542AB5" w:rsidRDefault="007F3128" w:rsidP="00F608A7">
            <w:pPr>
              <w:jc w:val="left"/>
              <w:rPr>
                <w:sz w:val="16"/>
                <w:szCs w:val="16"/>
                <w:lang w:val="es-CR"/>
              </w:rPr>
            </w:pPr>
          </w:p>
        </w:tc>
        <w:tc>
          <w:tcPr>
            <w:tcW w:w="567" w:type="dxa"/>
            <w:vAlign w:val="center"/>
          </w:tcPr>
          <w:p w14:paraId="3308C3C5" w14:textId="77777777" w:rsidR="007F3128" w:rsidRPr="009F337B" w:rsidRDefault="007F3128" w:rsidP="00F608A7">
            <w:pPr>
              <w:jc w:val="left"/>
              <w:rPr>
                <w:sz w:val="16"/>
                <w:szCs w:val="16"/>
                <w:lang w:val="en-US"/>
              </w:rPr>
            </w:pPr>
            <w:r w:rsidRPr="009F337B">
              <w:rPr>
                <w:sz w:val="16"/>
                <w:szCs w:val="16"/>
                <w:lang w:val="en-US"/>
              </w:rPr>
              <w:t>2</w:t>
            </w:r>
          </w:p>
        </w:tc>
        <w:tc>
          <w:tcPr>
            <w:tcW w:w="5211" w:type="dxa"/>
            <w:vAlign w:val="center"/>
          </w:tcPr>
          <w:p w14:paraId="724B3D85" w14:textId="3A39D24A" w:rsidR="007F3128" w:rsidRPr="009F337B" w:rsidRDefault="007F3128" w:rsidP="00F608A7">
            <w:pPr>
              <w:jc w:val="left"/>
              <w:rPr>
                <w:sz w:val="16"/>
                <w:szCs w:val="16"/>
                <w:lang w:val="en-US"/>
              </w:rPr>
            </w:pPr>
            <w:r w:rsidRPr="009F337B">
              <w:rPr>
                <w:sz w:val="16"/>
                <w:szCs w:val="16"/>
                <w:lang w:val="en-US"/>
              </w:rPr>
              <w:t>Candelaria Or</w:t>
            </w:r>
            <w:r w:rsidR="006B3158" w:rsidRPr="009F337B">
              <w:rPr>
                <w:sz w:val="16"/>
                <w:szCs w:val="16"/>
                <w:lang w:val="en-US"/>
              </w:rPr>
              <w:t>do</w:t>
            </w:r>
            <w:r w:rsidRPr="009F337B">
              <w:rPr>
                <w:sz w:val="16"/>
                <w:szCs w:val="16"/>
                <w:lang w:val="en-US"/>
              </w:rPr>
              <w:t xml:space="preserve">ñez </w:t>
            </w:r>
            <w:r w:rsidR="00827765" w:rsidRPr="009F337B">
              <w:rPr>
                <w:sz w:val="16"/>
                <w:szCs w:val="16"/>
                <w:lang w:val="en-US"/>
              </w:rPr>
              <w:t>A</w:t>
            </w:r>
            <w:r w:rsidRPr="009F337B">
              <w:rPr>
                <w:sz w:val="16"/>
                <w:szCs w:val="16"/>
                <w:lang w:val="en-US"/>
              </w:rPr>
              <w:t>lvarez (</w:t>
            </w:r>
            <w:r w:rsidR="0010522A" w:rsidRPr="009F337B">
              <w:rPr>
                <w:sz w:val="16"/>
                <w:szCs w:val="16"/>
                <w:lang w:val="en-US"/>
              </w:rPr>
              <w:t>Daughter</w:t>
            </w:r>
            <w:r w:rsidRPr="009F337B">
              <w:rPr>
                <w:sz w:val="16"/>
                <w:szCs w:val="16"/>
                <w:lang w:val="en-US"/>
              </w:rPr>
              <w:t>)</w:t>
            </w:r>
          </w:p>
        </w:tc>
      </w:tr>
      <w:tr w:rsidR="007F3128" w:rsidRPr="009F337B" w14:paraId="48BBFE72" w14:textId="77777777" w:rsidTr="0010522A">
        <w:tc>
          <w:tcPr>
            <w:tcW w:w="560" w:type="dxa"/>
            <w:gridSpan w:val="2"/>
            <w:vMerge/>
            <w:vAlign w:val="center"/>
          </w:tcPr>
          <w:p w14:paraId="25C65838" w14:textId="77777777" w:rsidR="007F3128" w:rsidRPr="009F337B" w:rsidRDefault="007F3128" w:rsidP="00F608A7">
            <w:pPr>
              <w:jc w:val="left"/>
              <w:rPr>
                <w:sz w:val="16"/>
                <w:szCs w:val="16"/>
                <w:lang w:val="en-US"/>
              </w:rPr>
            </w:pPr>
          </w:p>
        </w:tc>
        <w:tc>
          <w:tcPr>
            <w:tcW w:w="2950" w:type="dxa"/>
            <w:vMerge/>
            <w:vAlign w:val="center"/>
          </w:tcPr>
          <w:p w14:paraId="45332EC4" w14:textId="77777777" w:rsidR="007F3128" w:rsidRPr="009F337B" w:rsidRDefault="007F3128" w:rsidP="00F608A7">
            <w:pPr>
              <w:jc w:val="left"/>
              <w:rPr>
                <w:sz w:val="16"/>
                <w:szCs w:val="16"/>
                <w:lang w:val="en-US"/>
              </w:rPr>
            </w:pPr>
          </w:p>
        </w:tc>
        <w:tc>
          <w:tcPr>
            <w:tcW w:w="567" w:type="dxa"/>
            <w:vAlign w:val="center"/>
          </w:tcPr>
          <w:p w14:paraId="5795E78C" w14:textId="77777777" w:rsidR="007F3128" w:rsidRPr="009F337B" w:rsidRDefault="007F3128" w:rsidP="00F608A7">
            <w:pPr>
              <w:jc w:val="left"/>
              <w:rPr>
                <w:sz w:val="16"/>
                <w:szCs w:val="16"/>
                <w:lang w:val="en-US"/>
              </w:rPr>
            </w:pPr>
            <w:r w:rsidRPr="009F337B">
              <w:rPr>
                <w:sz w:val="16"/>
                <w:szCs w:val="16"/>
                <w:lang w:val="en-US"/>
              </w:rPr>
              <w:t>3</w:t>
            </w:r>
          </w:p>
        </w:tc>
        <w:tc>
          <w:tcPr>
            <w:tcW w:w="5211" w:type="dxa"/>
            <w:vAlign w:val="center"/>
          </w:tcPr>
          <w:p w14:paraId="2CE0D79A" w14:textId="1338BBEC" w:rsidR="007F3128" w:rsidRPr="009F337B" w:rsidRDefault="006B3158" w:rsidP="00F608A7">
            <w:pPr>
              <w:jc w:val="left"/>
              <w:rPr>
                <w:sz w:val="16"/>
                <w:szCs w:val="16"/>
                <w:lang w:val="en-US"/>
              </w:rPr>
            </w:pPr>
            <w:r w:rsidRPr="009F337B">
              <w:rPr>
                <w:sz w:val="16"/>
                <w:szCs w:val="16"/>
                <w:lang w:val="en-US"/>
              </w:rPr>
              <w:t>Argentina Ordo</w:t>
            </w:r>
            <w:r w:rsidR="007F3128" w:rsidRPr="009F337B">
              <w:rPr>
                <w:sz w:val="16"/>
                <w:szCs w:val="16"/>
                <w:lang w:val="en-US"/>
              </w:rPr>
              <w:t xml:space="preserve">ñez </w:t>
            </w:r>
            <w:r w:rsidR="00827765" w:rsidRPr="009F337B">
              <w:rPr>
                <w:sz w:val="16"/>
                <w:szCs w:val="16"/>
                <w:lang w:val="en-US"/>
              </w:rPr>
              <w:t>A</w:t>
            </w:r>
            <w:r w:rsidR="007F3128" w:rsidRPr="009F337B">
              <w:rPr>
                <w:sz w:val="16"/>
                <w:szCs w:val="16"/>
                <w:lang w:val="en-US"/>
              </w:rPr>
              <w:t>lvarez (</w:t>
            </w:r>
            <w:r w:rsidR="0010522A" w:rsidRPr="009F337B">
              <w:rPr>
                <w:sz w:val="16"/>
                <w:szCs w:val="16"/>
                <w:lang w:val="en-US"/>
              </w:rPr>
              <w:t>Daughter</w:t>
            </w:r>
            <w:r w:rsidR="007F3128" w:rsidRPr="009F337B">
              <w:rPr>
                <w:sz w:val="16"/>
                <w:szCs w:val="16"/>
                <w:lang w:val="en-US"/>
              </w:rPr>
              <w:t>)</w:t>
            </w:r>
          </w:p>
        </w:tc>
      </w:tr>
      <w:tr w:rsidR="007F3128" w:rsidRPr="009F337B" w14:paraId="32A80BE4" w14:textId="77777777" w:rsidTr="0010522A">
        <w:tc>
          <w:tcPr>
            <w:tcW w:w="560" w:type="dxa"/>
            <w:gridSpan w:val="2"/>
            <w:vMerge/>
            <w:vAlign w:val="center"/>
          </w:tcPr>
          <w:p w14:paraId="6F1D2A89" w14:textId="77777777" w:rsidR="007F3128" w:rsidRPr="009F337B" w:rsidRDefault="007F3128" w:rsidP="00F608A7">
            <w:pPr>
              <w:jc w:val="left"/>
              <w:rPr>
                <w:sz w:val="16"/>
                <w:szCs w:val="16"/>
                <w:lang w:val="en-US"/>
              </w:rPr>
            </w:pPr>
          </w:p>
        </w:tc>
        <w:tc>
          <w:tcPr>
            <w:tcW w:w="2950" w:type="dxa"/>
            <w:vMerge/>
            <w:vAlign w:val="center"/>
          </w:tcPr>
          <w:p w14:paraId="4CF5C2C7" w14:textId="77777777" w:rsidR="007F3128" w:rsidRPr="009F337B" w:rsidRDefault="007F3128" w:rsidP="00F608A7">
            <w:pPr>
              <w:jc w:val="left"/>
              <w:rPr>
                <w:sz w:val="16"/>
                <w:szCs w:val="16"/>
                <w:lang w:val="en-US"/>
              </w:rPr>
            </w:pPr>
          </w:p>
        </w:tc>
        <w:tc>
          <w:tcPr>
            <w:tcW w:w="567" w:type="dxa"/>
            <w:vAlign w:val="center"/>
          </w:tcPr>
          <w:p w14:paraId="0B3E339F" w14:textId="77777777" w:rsidR="007F3128" w:rsidRPr="009F337B" w:rsidRDefault="007F3128" w:rsidP="00F608A7">
            <w:pPr>
              <w:jc w:val="left"/>
              <w:rPr>
                <w:sz w:val="16"/>
                <w:szCs w:val="16"/>
                <w:lang w:val="en-US"/>
              </w:rPr>
            </w:pPr>
            <w:r w:rsidRPr="009F337B">
              <w:rPr>
                <w:sz w:val="16"/>
                <w:szCs w:val="16"/>
                <w:lang w:val="en-US"/>
              </w:rPr>
              <w:t>4</w:t>
            </w:r>
          </w:p>
        </w:tc>
        <w:tc>
          <w:tcPr>
            <w:tcW w:w="5211" w:type="dxa"/>
            <w:vAlign w:val="center"/>
          </w:tcPr>
          <w:p w14:paraId="6C4F20BE" w14:textId="1B57B88D" w:rsidR="007F3128" w:rsidRPr="009F337B" w:rsidRDefault="006B3158" w:rsidP="00F608A7">
            <w:pPr>
              <w:jc w:val="left"/>
              <w:rPr>
                <w:sz w:val="16"/>
                <w:szCs w:val="16"/>
                <w:lang w:val="en-US"/>
              </w:rPr>
            </w:pPr>
            <w:r w:rsidRPr="009F337B">
              <w:rPr>
                <w:sz w:val="16"/>
                <w:szCs w:val="16"/>
                <w:lang w:val="en-US"/>
              </w:rPr>
              <w:t>Honoria Ordo</w:t>
            </w:r>
            <w:r w:rsidR="007F3128" w:rsidRPr="009F337B">
              <w:rPr>
                <w:sz w:val="16"/>
                <w:szCs w:val="16"/>
                <w:lang w:val="en-US"/>
              </w:rPr>
              <w:t xml:space="preserve">ñez </w:t>
            </w:r>
            <w:r w:rsidR="00827765" w:rsidRPr="009F337B">
              <w:rPr>
                <w:sz w:val="16"/>
                <w:szCs w:val="16"/>
                <w:lang w:val="en-US"/>
              </w:rPr>
              <w:t>A</w:t>
            </w:r>
            <w:r w:rsidR="007F3128" w:rsidRPr="009F337B">
              <w:rPr>
                <w:sz w:val="16"/>
                <w:szCs w:val="16"/>
                <w:lang w:val="en-US"/>
              </w:rPr>
              <w:t>lvarez (</w:t>
            </w:r>
            <w:r w:rsidR="0010522A" w:rsidRPr="009F337B">
              <w:rPr>
                <w:sz w:val="16"/>
                <w:szCs w:val="16"/>
                <w:lang w:val="en-US"/>
              </w:rPr>
              <w:t>Daughter</w:t>
            </w:r>
            <w:r w:rsidR="007F3128" w:rsidRPr="009F337B">
              <w:rPr>
                <w:sz w:val="16"/>
                <w:szCs w:val="16"/>
                <w:lang w:val="en-US"/>
              </w:rPr>
              <w:t>)</w:t>
            </w:r>
          </w:p>
        </w:tc>
      </w:tr>
      <w:tr w:rsidR="007F3128" w:rsidRPr="009F337B" w14:paraId="44771998" w14:textId="77777777" w:rsidTr="0010522A">
        <w:tc>
          <w:tcPr>
            <w:tcW w:w="560" w:type="dxa"/>
            <w:gridSpan w:val="2"/>
            <w:vMerge/>
            <w:vAlign w:val="center"/>
          </w:tcPr>
          <w:p w14:paraId="73DCEED6" w14:textId="77777777" w:rsidR="007F3128" w:rsidRPr="009F337B" w:rsidRDefault="007F3128" w:rsidP="00F608A7">
            <w:pPr>
              <w:jc w:val="left"/>
              <w:rPr>
                <w:sz w:val="16"/>
                <w:szCs w:val="16"/>
                <w:lang w:val="en-US"/>
              </w:rPr>
            </w:pPr>
          </w:p>
        </w:tc>
        <w:tc>
          <w:tcPr>
            <w:tcW w:w="2950" w:type="dxa"/>
            <w:vMerge/>
            <w:vAlign w:val="center"/>
          </w:tcPr>
          <w:p w14:paraId="7DC36CBE" w14:textId="77777777" w:rsidR="007F3128" w:rsidRPr="009F337B" w:rsidRDefault="007F3128" w:rsidP="00F608A7">
            <w:pPr>
              <w:jc w:val="left"/>
              <w:rPr>
                <w:sz w:val="16"/>
                <w:szCs w:val="16"/>
                <w:lang w:val="en-US"/>
              </w:rPr>
            </w:pPr>
          </w:p>
        </w:tc>
        <w:tc>
          <w:tcPr>
            <w:tcW w:w="567" w:type="dxa"/>
            <w:vAlign w:val="center"/>
          </w:tcPr>
          <w:p w14:paraId="4D2FAF88" w14:textId="77777777" w:rsidR="007F3128" w:rsidRPr="009F337B" w:rsidRDefault="007F3128" w:rsidP="00F608A7">
            <w:pPr>
              <w:jc w:val="left"/>
              <w:rPr>
                <w:sz w:val="16"/>
                <w:szCs w:val="16"/>
                <w:lang w:val="en-US"/>
              </w:rPr>
            </w:pPr>
            <w:r w:rsidRPr="009F337B">
              <w:rPr>
                <w:sz w:val="16"/>
                <w:szCs w:val="16"/>
                <w:lang w:val="en-US"/>
              </w:rPr>
              <w:t>5</w:t>
            </w:r>
          </w:p>
        </w:tc>
        <w:tc>
          <w:tcPr>
            <w:tcW w:w="5211" w:type="dxa"/>
            <w:vAlign w:val="center"/>
          </w:tcPr>
          <w:p w14:paraId="396DCDA6" w14:textId="02728BBC" w:rsidR="007F3128" w:rsidRPr="009F337B" w:rsidRDefault="006B3158" w:rsidP="00F608A7">
            <w:pPr>
              <w:jc w:val="left"/>
              <w:rPr>
                <w:sz w:val="16"/>
                <w:szCs w:val="16"/>
                <w:lang w:val="en-US"/>
              </w:rPr>
            </w:pPr>
            <w:r w:rsidRPr="009F337B">
              <w:rPr>
                <w:sz w:val="16"/>
                <w:szCs w:val="16"/>
                <w:lang w:val="en-US"/>
              </w:rPr>
              <w:t>Cecilia Ordo</w:t>
            </w:r>
            <w:r w:rsidR="007F3128" w:rsidRPr="009F337B">
              <w:rPr>
                <w:sz w:val="16"/>
                <w:szCs w:val="16"/>
                <w:lang w:val="en-US"/>
              </w:rPr>
              <w:t xml:space="preserve">ñez </w:t>
            </w:r>
            <w:r w:rsidR="00827765" w:rsidRPr="009F337B">
              <w:rPr>
                <w:sz w:val="16"/>
                <w:szCs w:val="16"/>
                <w:lang w:val="en-US"/>
              </w:rPr>
              <w:t>A</w:t>
            </w:r>
            <w:r w:rsidR="007F3128" w:rsidRPr="009F337B">
              <w:rPr>
                <w:sz w:val="16"/>
                <w:szCs w:val="16"/>
                <w:lang w:val="en-US"/>
              </w:rPr>
              <w:t>lvarez (</w:t>
            </w:r>
            <w:r w:rsidR="0010522A" w:rsidRPr="009F337B">
              <w:rPr>
                <w:sz w:val="16"/>
                <w:szCs w:val="16"/>
                <w:lang w:val="en-US"/>
              </w:rPr>
              <w:t>Daughter</w:t>
            </w:r>
            <w:r w:rsidR="007F3128" w:rsidRPr="009F337B">
              <w:rPr>
                <w:sz w:val="16"/>
                <w:szCs w:val="16"/>
                <w:lang w:val="en-US"/>
              </w:rPr>
              <w:t>)</w:t>
            </w:r>
          </w:p>
        </w:tc>
      </w:tr>
      <w:tr w:rsidR="007F3128" w:rsidRPr="009F337B" w14:paraId="01345B2B" w14:textId="77777777" w:rsidTr="0010522A">
        <w:tc>
          <w:tcPr>
            <w:tcW w:w="560" w:type="dxa"/>
            <w:gridSpan w:val="2"/>
            <w:vMerge/>
            <w:vAlign w:val="center"/>
          </w:tcPr>
          <w:p w14:paraId="281DB037" w14:textId="77777777" w:rsidR="007F3128" w:rsidRPr="009F337B" w:rsidRDefault="007F3128" w:rsidP="00F608A7">
            <w:pPr>
              <w:jc w:val="left"/>
              <w:rPr>
                <w:sz w:val="16"/>
                <w:szCs w:val="16"/>
                <w:lang w:val="en-US"/>
              </w:rPr>
            </w:pPr>
          </w:p>
        </w:tc>
        <w:tc>
          <w:tcPr>
            <w:tcW w:w="2950" w:type="dxa"/>
            <w:vMerge/>
            <w:vAlign w:val="center"/>
          </w:tcPr>
          <w:p w14:paraId="15FDF936" w14:textId="77777777" w:rsidR="007F3128" w:rsidRPr="009F337B" w:rsidRDefault="007F3128" w:rsidP="00F608A7">
            <w:pPr>
              <w:jc w:val="left"/>
              <w:rPr>
                <w:sz w:val="16"/>
                <w:szCs w:val="16"/>
                <w:lang w:val="en-US"/>
              </w:rPr>
            </w:pPr>
          </w:p>
        </w:tc>
        <w:tc>
          <w:tcPr>
            <w:tcW w:w="567" w:type="dxa"/>
            <w:vAlign w:val="center"/>
          </w:tcPr>
          <w:p w14:paraId="4B4E4E2E" w14:textId="77777777" w:rsidR="007F3128" w:rsidRPr="009F337B" w:rsidRDefault="007F3128" w:rsidP="00F608A7">
            <w:pPr>
              <w:jc w:val="left"/>
              <w:rPr>
                <w:sz w:val="16"/>
                <w:szCs w:val="16"/>
                <w:lang w:val="en-US"/>
              </w:rPr>
            </w:pPr>
            <w:r w:rsidRPr="009F337B">
              <w:rPr>
                <w:sz w:val="16"/>
                <w:szCs w:val="16"/>
                <w:lang w:val="en-US"/>
              </w:rPr>
              <w:t>6</w:t>
            </w:r>
          </w:p>
        </w:tc>
        <w:tc>
          <w:tcPr>
            <w:tcW w:w="5211" w:type="dxa"/>
            <w:vAlign w:val="center"/>
          </w:tcPr>
          <w:p w14:paraId="161A1215" w14:textId="3CFBF479" w:rsidR="007F3128" w:rsidRPr="009F337B" w:rsidRDefault="006B3158" w:rsidP="00F608A7">
            <w:pPr>
              <w:jc w:val="left"/>
              <w:rPr>
                <w:sz w:val="16"/>
                <w:szCs w:val="16"/>
                <w:lang w:val="en-US"/>
              </w:rPr>
            </w:pPr>
            <w:r w:rsidRPr="009F337B">
              <w:rPr>
                <w:sz w:val="16"/>
                <w:szCs w:val="16"/>
                <w:lang w:val="en-US"/>
              </w:rPr>
              <w:t>Daria Ordo</w:t>
            </w:r>
            <w:r w:rsidR="007F3128" w:rsidRPr="009F337B">
              <w:rPr>
                <w:sz w:val="16"/>
                <w:szCs w:val="16"/>
                <w:lang w:val="en-US"/>
              </w:rPr>
              <w:t xml:space="preserve">ñez </w:t>
            </w:r>
            <w:r w:rsidR="00827765" w:rsidRPr="009F337B">
              <w:rPr>
                <w:sz w:val="16"/>
                <w:szCs w:val="16"/>
                <w:lang w:val="en-US"/>
              </w:rPr>
              <w:t>A</w:t>
            </w:r>
            <w:r w:rsidR="007F3128" w:rsidRPr="009F337B">
              <w:rPr>
                <w:sz w:val="16"/>
                <w:szCs w:val="16"/>
                <w:lang w:val="en-US"/>
              </w:rPr>
              <w:t>lvarez (</w:t>
            </w:r>
            <w:r w:rsidR="0010522A" w:rsidRPr="009F337B">
              <w:rPr>
                <w:sz w:val="16"/>
                <w:szCs w:val="16"/>
                <w:lang w:val="en-US"/>
              </w:rPr>
              <w:t>Daughter</w:t>
            </w:r>
            <w:r w:rsidR="007F3128" w:rsidRPr="009F337B">
              <w:rPr>
                <w:sz w:val="16"/>
                <w:szCs w:val="16"/>
                <w:lang w:val="en-US"/>
              </w:rPr>
              <w:t>)</w:t>
            </w:r>
          </w:p>
        </w:tc>
      </w:tr>
      <w:tr w:rsidR="007F3128" w:rsidRPr="009F337B" w14:paraId="18BB1E31" w14:textId="77777777" w:rsidTr="0010522A">
        <w:tc>
          <w:tcPr>
            <w:tcW w:w="560" w:type="dxa"/>
            <w:gridSpan w:val="2"/>
            <w:vMerge/>
            <w:vAlign w:val="center"/>
          </w:tcPr>
          <w:p w14:paraId="509A2230" w14:textId="77777777" w:rsidR="007F3128" w:rsidRPr="009F337B" w:rsidRDefault="007F3128" w:rsidP="00F608A7">
            <w:pPr>
              <w:jc w:val="left"/>
              <w:rPr>
                <w:sz w:val="16"/>
                <w:szCs w:val="16"/>
                <w:lang w:val="en-US"/>
              </w:rPr>
            </w:pPr>
          </w:p>
        </w:tc>
        <w:tc>
          <w:tcPr>
            <w:tcW w:w="2950" w:type="dxa"/>
            <w:vMerge/>
            <w:vAlign w:val="center"/>
          </w:tcPr>
          <w:p w14:paraId="441E73AA" w14:textId="77777777" w:rsidR="007F3128" w:rsidRPr="009F337B" w:rsidRDefault="007F3128" w:rsidP="00F608A7">
            <w:pPr>
              <w:jc w:val="left"/>
              <w:rPr>
                <w:sz w:val="16"/>
                <w:szCs w:val="16"/>
                <w:lang w:val="en-US"/>
              </w:rPr>
            </w:pPr>
          </w:p>
        </w:tc>
        <w:tc>
          <w:tcPr>
            <w:tcW w:w="567" w:type="dxa"/>
            <w:vAlign w:val="center"/>
          </w:tcPr>
          <w:p w14:paraId="5F481919" w14:textId="77777777" w:rsidR="007F3128" w:rsidRPr="009F337B" w:rsidRDefault="007F3128" w:rsidP="00F608A7">
            <w:pPr>
              <w:jc w:val="left"/>
              <w:rPr>
                <w:sz w:val="16"/>
                <w:szCs w:val="16"/>
                <w:lang w:val="en-US"/>
              </w:rPr>
            </w:pPr>
            <w:r w:rsidRPr="009F337B">
              <w:rPr>
                <w:sz w:val="16"/>
                <w:szCs w:val="16"/>
                <w:lang w:val="en-US"/>
              </w:rPr>
              <w:t>7</w:t>
            </w:r>
          </w:p>
        </w:tc>
        <w:tc>
          <w:tcPr>
            <w:tcW w:w="5211" w:type="dxa"/>
            <w:vAlign w:val="center"/>
          </w:tcPr>
          <w:p w14:paraId="6BF7B3D7" w14:textId="3773D433" w:rsidR="007F3128" w:rsidRPr="00542AB5" w:rsidRDefault="006B3158" w:rsidP="00F608A7">
            <w:pPr>
              <w:jc w:val="left"/>
              <w:rPr>
                <w:sz w:val="16"/>
                <w:szCs w:val="16"/>
                <w:lang w:val="es-CR"/>
              </w:rPr>
            </w:pPr>
            <w:r w:rsidRPr="00542AB5">
              <w:rPr>
                <w:sz w:val="16"/>
                <w:szCs w:val="16"/>
                <w:lang w:val="es-CR"/>
              </w:rPr>
              <w:t>Juan Carlos Ordo</w:t>
            </w:r>
            <w:r w:rsidR="007F3128" w:rsidRPr="00542AB5">
              <w:rPr>
                <w:sz w:val="16"/>
                <w:szCs w:val="16"/>
                <w:lang w:val="es-CR"/>
              </w:rPr>
              <w:t xml:space="preserve">ñez </w:t>
            </w:r>
            <w:r w:rsidR="00827765" w:rsidRPr="00542AB5">
              <w:rPr>
                <w:sz w:val="16"/>
                <w:szCs w:val="16"/>
                <w:lang w:val="es-CR"/>
              </w:rPr>
              <w:t>A</w:t>
            </w:r>
            <w:r w:rsidR="007F3128" w:rsidRPr="00542AB5">
              <w:rPr>
                <w:sz w:val="16"/>
                <w:szCs w:val="16"/>
                <w:lang w:val="es-CR"/>
              </w:rPr>
              <w:t>lvarez (</w:t>
            </w:r>
            <w:r w:rsidR="0010522A" w:rsidRPr="00542AB5">
              <w:rPr>
                <w:sz w:val="16"/>
                <w:szCs w:val="16"/>
                <w:lang w:val="es-CR"/>
              </w:rPr>
              <w:t>Son</w:t>
            </w:r>
            <w:r w:rsidR="007F3128" w:rsidRPr="00542AB5">
              <w:rPr>
                <w:sz w:val="16"/>
                <w:szCs w:val="16"/>
                <w:lang w:val="es-CR"/>
              </w:rPr>
              <w:t>)</w:t>
            </w:r>
          </w:p>
        </w:tc>
      </w:tr>
      <w:tr w:rsidR="007F3128" w:rsidRPr="009F337B" w14:paraId="61F6E7DD" w14:textId="77777777" w:rsidTr="0010522A">
        <w:tc>
          <w:tcPr>
            <w:tcW w:w="560" w:type="dxa"/>
            <w:gridSpan w:val="2"/>
            <w:vMerge/>
            <w:vAlign w:val="center"/>
          </w:tcPr>
          <w:p w14:paraId="5D82049B" w14:textId="77777777" w:rsidR="007F3128" w:rsidRPr="00542AB5" w:rsidRDefault="007F3128" w:rsidP="00F608A7">
            <w:pPr>
              <w:jc w:val="left"/>
              <w:rPr>
                <w:sz w:val="16"/>
                <w:szCs w:val="16"/>
                <w:lang w:val="es-CR"/>
              </w:rPr>
            </w:pPr>
          </w:p>
        </w:tc>
        <w:tc>
          <w:tcPr>
            <w:tcW w:w="2950" w:type="dxa"/>
            <w:vMerge/>
            <w:vAlign w:val="center"/>
          </w:tcPr>
          <w:p w14:paraId="5FF7A119" w14:textId="77777777" w:rsidR="007F3128" w:rsidRPr="00542AB5" w:rsidRDefault="007F3128" w:rsidP="00F608A7">
            <w:pPr>
              <w:jc w:val="left"/>
              <w:rPr>
                <w:sz w:val="16"/>
                <w:szCs w:val="16"/>
                <w:lang w:val="es-CR"/>
              </w:rPr>
            </w:pPr>
          </w:p>
        </w:tc>
        <w:tc>
          <w:tcPr>
            <w:tcW w:w="567" w:type="dxa"/>
            <w:vAlign w:val="center"/>
          </w:tcPr>
          <w:p w14:paraId="39EC2069" w14:textId="77777777" w:rsidR="007F3128" w:rsidRPr="009F337B" w:rsidRDefault="007F3128" w:rsidP="00F608A7">
            <w:pPr>
              <w:jc w:val="left"/>
              <w:rPr>
                <w:sz w:val="16"/>
                <w:szCs w:val="16"/>
                <w:lang w:val="en-US"/>
              </w:rPr>
            </w:pPr>
            <w:r w:rsidRPr="009F337B">
              <w:rPr>
                <w:sz w:val="16"/>
                <w:szCs w:val="16"/>
                <w:lang w:val="en-US"/>
              </w:rPr>
              <w:t>8</w:t>
            </w:r>
          </w:p>
        </w:tc>
        <w:tc>
          <w:tcPr>
            <w:tcW w:w="5211" w:type="dxa"/>
            <w:vAlign w:val="center"/>
          </w:tcPr>
          <w:p w14:paraId="32A43E4D" w14:textId="032968D0" w:rsidR="007F3128" w:rsidRPr="00542AB5" w:rsidRDefault="006B3158" w:rsidP="00F608A7">
            <w:pPr>
              <w:jc w:val="left"/>
              <w:rPr>
                <w:sz w:val="16"/>
                <w:szCs w:val="16"/>
                <w:lang w:val="es-CR"/>
              </w:rPr>
            </w:pPr>
            <w:r w:rsidRPr="00542AB5">
              <w:rPr>
                <w:sz w:val="16"/>
                <w:szCs w:val="16"/>
                <w:lang w:val="es-CR"/>
              </w:rPr>
              <w:t>Luis Emiliano Ordo</w:t>
            </w:r>
            <w:r w:rsidR="007F3128" w:rsidRPr="00542AB5">
              <w:rPr>
                <w:sz w:val="16"/>
                <w:szCs w:val="16"/>
                <w:lang w:val="es-CR"/>
              </w:rPr>
              <w:t xml:space="preserve">ñez </w:t>
            </w:r>
            <w:r w:rsidR="00827765" w:rsidRPr="00542AB5">
              <w:rPr>
                <w:sz w:val="16"/>
                <w:szCs w:val="16"/>
                <w:lang w:val="es-CR"/>
              </w:rPr>
              <w:t>A</w:t>
            </w:r>
            <w:r w:rsidR="007F3128" w:rsidRPr="00542AB5">
              <w:rPr>
                <w:sz w:val="16"/>
                <w:szCs w:val="16"/>
                <w:lang w:val="es-CR"/>
              </w:rPr>
              <w:t>lvarez (</w:t>
            </w:r>
            <w:r w:rsidR="0010522A" w:rsidRPr="00542AB5">
              <w:rPr>
                <w:sz w:val="16"/>
                <w:szCs w:val="16"/>
                <w:lang w:val="es-CR"/>
              </w:rPr>
              <w:t>Grandson</w:t>
            </w:r>
            <w:r w:rsidR="007F3128" w:rsidRPr="00542AB5">
              <w:rPr>
                <w:sz w:val="16"/>
                <w:szCs w:val="16"/>
                <w:lang w:val="es-CR"/>
              </w:rPr>
              <w:t>)</w:t>
            </w:r>
          </w:p>
        </w:tc>
      </w:tr>
      <w:tr w:rsidR="007F3128" w:rsidRPr="009F337B" w14:paraId="43A45F00" w14:textId="77777777" w:rsidTr="0010522A">
        <w:tc>
          <w:tcPr>
            <w:tcW w:w="560" w:type="dxa"/>
            <w:gridSpan w:val="2"/>
            <w:vMerge/>
            <w:vAlign w:val="center"/>
          </w:tcPr>
          <w:p w14:paraId="5829E598" w14:textId="77777777" w:rsidR="007F3128" w:rsidRPr="00542AB5" w:rsidRDefault="007F3128" w:rsidP="00F608A7">
            <w:pPr>
              <w:jc w:val="left"/>
              <w:rPr>
                <w:sz w:val="16"/>
                <w:szCs w:val="16"/>
                <w:lang w:val="es-CR"/>
              </w:rPr>
            </w:pPr>
          </w:p>
        </w:tc>
        <w:tc>
          <w:tcPr>
            <w:tcW w:w="2950" w:type="dxa"/>
            <w:vMerge/>
            <w:vAlign w:val="center"/>
          </w:tcPr>
          <w:p w14:paraId="5A59F007" w14:textId="77777777" w:rsidR="007F3128" w:rsidRPr="00542AB5" w:rsidRDefault="007F3128" w:rsidP="00F608A7">
            <w:pPr>
              <w:jc w:val="left"/>
              <w:rPr>
                <w:sz w:val="16"/>
                <w:szCs w:val="16"/>
                <w:lang w:val="es-CR"/>
              </w:rPr>
            </w:pPr>
          </w:p>
        </w:tc>
        <w:tc>
          <w:tcPr>
            <w:tcW w:w="567" w:type="dxa"/>
            <w:vAlign w:val="center"/>
          </w:tcPr>
          <w:p w14:paraId="475A2764" w14:textId="77777777" w:rsidR="007F3128" w:rsidRPr="009F337B" w:rsidRDefault="007F3128" w:rsidP="00F608A7">
            <w:pPr>
              <w:jc w:val="left"/>
              <w:rPr>
                <w:sz w:val="16"/>
                <w:szCs w:val="16"/>
                <w:lang w:val="en-US"/>
              </w:rPr>
            </w:pPr>
            <w:r w:rsidRPr="009F337B">
              <w:rPr>
                <w:sz w:val="16"/>
                <w:szCs w:val="16"/>
                <w:lang w:val="en-US"/>
              </w:rPr>
              <w:t>9</w:t>
            </w:r>
          </w:p>
        </w:tc>
        <w:tc>
          <w:tcPr>
            <w:tcW w:w="5211" w:type="dxa"/>
            <w:vAlign w:val="center"/>
          </w:tcPr>
          <w:p w14:paraId="68A601EA" w14:textId="1FE4D905" w:rsidR="007F3128" w:rsidRPr="00542AB5" w:rsidRDefault="007F3128" w:rsidP="00F608A7">
            <w:pPr>
              <w:jc w:val="left"/>
              <w:rPr>
                <w:sz w:val="16"/>
                <w:szCs w:val="16"/>
                <w:lang w:val="es-CR"/>
              </w:rPr>
            </w:pPr>
            <w:r w:rsidRPr="00542AB5">
              <w:rPr>
                <w:sz w:val="16"/>
                <w:szCs w:val="16"/>
                <w:lang w:val="es-CR"/>
              </w:rPr>
              <w:t>Mar</w:t>
            </w:r>
            <w:r w:rsidR="006B3158" w:rsidRPr="00542AB5">
              <w:rPr>
                <w:sz w:val="16"/>
                <w:szCs w:val="16"/>
                <w:lang w:val="es-CR"/>
              </w:rPr>
              <w:t>tín Gildardo Ordo</w:t>
            </w:r>
            <w:r w:rsidRPr="00542AB5">
              <w:rPr>
                <w:sz w:val="16"/>
                <w:szCs w:val="16"/>
                <w:lang w:val="es-CR"/>
              </w:rPr>
              <w:t xml:space="preserve">ñez </w:t>
            </w:r>
            <w:r w:rsidR="00827765" w:rsidRPr="00542AB5">
              <w:rPr>
                <w:sz w:val="16"/>
                <w:szCs w:val="16"/>
                <w:lang w:val="es-CR"/>
              </w:rPr>
              <w:t>A</w:t>
            </w:r>
            <w:r w:rsidRPr="00542AB5">
              <w:rPr>
                <w:sz w:val="16"/>
                <w:szCs w:val="16"/>
                <w:lang w:val="es-CR"/>
              </w:rPr>
              <w:t>lvarez (</w:t>
            </w:r>
            <w:r w:rsidR="0010522A" w:rsidRPr="00542AB5">
              <w:rPr>
                <w:sz w:val="16"/>
                <w:szCs w:val="16"/>
                <w:lang w:val="es-CR"/>
              </w:rPr>
              <w:t>Grandson</w:t>
            </w:r>
            <w:r w:rsidRPr="00542AB5">
              <w:rPr>
                <w:sz w:val="16"/>
                <w:szCs w:val="16"/>
                <w:lang w:val="es-CR"/>
              </w:rPr>
              <w:t>)</w:t>
            </w:r>
          </w:p>
        </w:tc>
      </w:tr>
      <w:tr w:rsidR="007F3128" w:rsidRPr="009F337B" w14:paraId="732296FD" w14:textId="77777777" w:rsidTr="0010522A">
        <w:tc>
          <w:tcPr>
            <w:tcW w:w="560" w:type="dxa"/>
            <w:gridSpan w:val="2"/>
            <w:vMerge/>
            <w:vAlign w:val="center"/>
          </w:tcPr>
          <w:p w14:paraId="13DD598C" w14:textId="77777777" w:rsidR="007F3128" w:rsidRPr="00542AB5" w:rsidRDefault="007F3128" w:rsidP="00F608A7">
            <w:pPr>
              <w:jc w:val="left"/>
              <w:rPr>
                <w:sz w:val="16"/>
                <w:szCs w:val="16"/>
                <w:lang w:val="es-CR"/>
              </w:rPr>
            </w:pPr>
          </w:p>
        </w:tc>
        <w:tc>
          <w:tcPr>
            <w:tcW w:w="2950" w:type="dxa"/>
            <w:vMerge/>
            <w:vAlign w:val="center"/>
          </w:tcPr>
          <w:p w14:paraId="2DC0FB78" w14:textId="77777777" w:rsidR="007F3128" w:rsidRPr="00542AB5" w:rsidRDefault="007F3128" w:rsidP="00F608A7">
            <w:pPr>
              <w:jc w:val="left"/>
              <w:rPr>
                <w:sz w:val="16"/>
                <w:szCs w:val="16"/>
                <w:lang w:val="es-CR"/>
              </w:rPr>
            </w:pPr>
          </w:p>
        </w:tc>
        <w:tc>
          <w:tcPr>
            <w:tcW w:w="567" w:type="dxa"/>
            <w:vAlign w:val="center"/>
          </w:tcPr>
          <w:p w14:paraId="5F7BF97E" w14:textId="77777777" w:rsidR="007F3128" w:rsidRPr="009F337B" w:rsidRDefault="007F3128" w:rsidP="00F608A7">
            <w:pPr>
              <w:jc w:val="left"/>
              <w:rPr>
                <w:sz w:val="16"/>
                <w:szCs w:val="16"/>
                <w:lang w:val="en-US"/>
              </w:rPr>
            </w:pPr>
            <w:r w:rsidRPr="009F337B">
              <w:rPr>
                <w:sz w:val="16"/>
                <w:szCs w:val="16"/>
                <w:lang w:val="en-US"/>
              </w:rPr>
              <w:t>10</w:t>
            </w:r>
          </w:p>
        </w:tc>
        <w:tc>
          <w:tcPr>
            <w:tcW w:w="5211" w:type="dxa"/>
            <w:vAlign w:val="center"/>
          </w:tcPr>
          <w:p w14:paraId="321F3AE1" w14:textId="56713A14" w:rsidR="007F3128" w:rsidRPr="009F337B" w:rsidRDefault="006B3158" w:rsidP="00F608A7">
            <w:pPr>
              <w:jc w:val="left"/>
              <w:rPr>
                <w:sz w:val="16"/>
                <w:szCs w:val="16"/>
                <w:lang w:val="en-US"/>
              </w:rPr>
            </w:pPr>
            <w:r w:rsidRPr="009F337B">
              <w:rPr>
                <w:sz w:val="16"/>
                <w:szCs w:val="16"/>
                <w:lang w:val="en-US"/>
              </w:rPr>
              <w:t>Ivan Juárez Ordo</w:t>
            </w:r>
            <w:r w:rsidR="007F3128" w:rsidRPr="009F337B">
              <w:rPr>
                <w:sz w:val="16"/>
                <w:szCs w:val="16"/>
                <w:lang w:val="en-US"/>
              </w:rPr>
              <w:t>ñez (</w:t>
            </w:r>
            <w:r w:rsidR="0010522A" w:rsidRPr="009F337B">
              <w:rPr>
                <w:sz w:val="16"/>
                <w:szCs w:val="16"/>
                <w:lang w:val="en-US"/>
              </w:rPr>
              <w:t>Grandson</w:t>
            </w:r>
            <w:r w:rsidR="007F3128" w:rsidRPr="009F337B">
              <w:rPr>
                <w:sz w:val="16"/>
                <w:szCs w:val="16"/>
                <w:lang w:val="en-US"/>
              </w:rPr>
              <w:t>)</w:t>
            </w:r>
          </w:p>
        </w:tc>
      </w:tr>
      <w:tr w:rsidR="007F3128" w:rsidRPr="009F337B" w14:paraId="240A2CBE" w14:textId="77777777" w:rsidTr="0010522A">
        <w:tc>
          <w:tcPr>
            <w:tcW w:w="560" w:type="dxa"/>
            <w:gridSpan w:val="2"/>
            <w:vMerge/>
            <w:vAlign w:val="center"/>
          </w:tcPr>
          <w:p w14:paraId="11074C2B" w14:textId="77777777" w:rsidR="007F3128" w:rsidRPr="009F337B" w:rsidRDefault="007F3128" w:rsidP="00F608A7">
            <w:pPr>
              <w:jc w:val="left"/>
              <w:rPr>
                <w:sz w:val="16"/>
                <w:szCs w:val="16"/>
                <w:lang w:val="en-US"/>
              </w:rPr>
            </w:pPr>
          </w:p>
        </w:tc>
        <w:tc>
          <w:tcPr>
            <w:tcW w:w="2950" w:type="dxa"/>
            <w:vMerge/>
            <w:vAlign w:val="center"/>
          </w:tcPr>
          <w:p w14:paraId="6001C272" w14:textId="77777777" w:rsidR="007F3128" w:rsidRPr="009F337B" w:rsidRDefault="007F3128" w:rsidP="00F608A7">
            <w:pPr>
              <w:jc w:val="left"/>
              <w:rPr>
                <w:sz w:val="16"/>
                <w:szCs w:val="16"/>
                <w:lang w:val="en-US"/>
              </w:rPr>
            </w:pPr>
          </w:p>
        </w:tc>
        <w:tc>
          <w:tcPr>
            <w:tcW w:w="567" w:type="dxa"/>
            <w:vAlign w:val="center"/>
          </w:tcPr>
          <w:p w14:paraId="3E8D6B6D" w14:textId="77777777" w:rsidR="007F3128" w:rsidRPr="009F337B" w:rsidRDefault="007F3128" w:rsidP="00F608A7">
            <w:pPr>
              <w:jc w:val="left"/>
              <w:rPr>
                <w:sz w:val="16"/>
                <w:szCs w:val="16"/>
                <w:lang w:val="en-US"/>
              </w:rPr>
            </w:pPr>
            <w:r w:rsidRPr="009F337B">
              <w:rPr>
                <w:sz w:val="16"/>
                <w:szCs w:val="16"/>
                <w:lang w:val="en-US"/>
              </w:rPr>
              <w:t>11</w:t>
            </w:r>
          </w:p>
        </w:tc>
        <w:tc>
          <w:tcPr>
            <w:tcW w:w="5211" w:type="dxa"/>
            <w:vAlign w:val="center"/>
          </w:tcPr>
          <w:p w14:paraId="525F1089" w14:textId="3FCAD54F" w:rsidR="007F3128" w:rsidRPr="009F337B" w:rsidRDefault="007F3128" w:rsidP="00F608A7">
            <w:pPr>
              <w:jc w:val="left"/>
              <w:rPr>
                <w:sz w:val="16"/>
                <w:szCs w:val="16"/>
                <w:lang w:val="en-US"/>
              </w:rPr>
            </w:pPr>
            <w:r w:rsidRPr="009F337B">
              <w:rPr>
                <w:sz w:val="16"/>
                <w:szCs w:val="16"/>
                <w:lang w:val="en-US"/>
              </w:rPr>
              <w:t>Lauris Ernestina Juárez Ordóñez (</w:t>
            </w:r>
            <w:r w:rsidR="0010522A" w:rsidRPr="009F337B">
              <w:rPr>
                <w:sz w:val="16"/>
                <w:szCs w:val="16"/>
                <w:lang w:val="en-US"/>
              </w:rPr>
              <w:t>Granddaughter</w:t>
            </w:r>
            <w:r w:rsidRPr="009F337B">
              <w:rPr>
                <w:sz w:val="16"/>
                <w:szCs w:val="16"/>
                <w:lang w:val="en-US"/>
              </w:rPr>
              <w:t>)</w:t>
            </w:r>
          </w:p>
        </w:tc>
      </w:tr>
      <w:tr w:rsidR="007F3128" w:rsidRPr="00310E7A" w14:paraId="294B7582" w14:textId="77777777" w:rsidTr="0010522A">
        <w:tc>
          <w:tcPr>
            <w:tcW w:w="560" w:type="dxa"/>
            <w:gridSpan w:val="2"/>
            <w:vMerge/>
            <w:vAlign w:val="center"/>
          </w:tcPr>
          <w:p w14:paraId="356327C0" w14:textId="77777777" w:rsidR="007F3128" w:rsidRPr="009F337B" w:rsidRDefault="007F3128" w:rsidP="00F608A7">
            <w:pPr>
              <w:jc w:val="left"/>
              <w:rPr>
                <w:sz w:val="16"/>
                <w:szCs w:val="16"/>
                <w:lang w:val="en-US"/>
              </w:rPr>
            </w:pPr>
          </w:p>
        </w:tc>
        <w:tc>
          <w:tcPr>
            <w:tcW w:w="2950" w:type="dxa"/>
            <w:vMerge/>
            <w:vAlign w:val="center"/>
          </w:tcPr>
          <w:p w14:paraId="37F8C977" w14:textId="77777777" w:rsidR="007F3128" w:rsidRPr="009F337B" w:rsidRDefault="007F3128" w:rsidP="00F608A7">
            <w:pPr>
              <w:jc w:val="left"/>
              <w:rPr>
                <w:sz w:val="16"/>
                <w:szCs w:val="16"/>
                <w:lang w:val="en-US"/>
              </w:rPr>
            </w:pPr>
          </w:p>
        </w:tc>
        <w:tc>
          <w:tcPr>
            <w:tcW w:w="567" w:type="dxa"/>
            <w:vAlign w:val="center"/>
          </w:tcPr>
          <w:p w14:paraId="5E55B677" w14:textId="77777777" w:rsidR="007F3128" w:rsidRPr="009F337B" w:rsidRDefault="007F3128" w:rsidP="00F608A7">
            <w:pPr>
              <w:jc w:val="left"/>
              <w:rPr>
                <w:sz w:val="16"/>
                <w:szCs w:val="16"/>
                <w:lang w:val="en-US"/>
              </w:rPr>
            </w:pPr>
            <w:r w:rsidRPr="009F337B">
              <w:rPr>
                <w:sz w:val="16"/>
                <w:szCs w:val="16"/>
                <w:lang w:val="en-US"/>
              </w:rPr>
              <w:t>12</w:t>
            </w:r>
          </w:p>
        </w:tc>
        <w:tc>
          <w:tcPr>
            <w:tcW w:w="5211" w:type="dxa"/>
            <w:vAlign w:val="center"/>
          </w:tcPr>
          <w:p w14:paraId="1945E413" w14:textId="5EAD21F1" w:rsidR="007F3128" w:rsidRPr="009F337B" w:rsidRDefault="006B3158" w:rsidP="00F608A7">
            <w:pPr>
              <w:jc w:val="left"/>
              <w:rPr>
                <w:sz w:val="16"/>
                <w:szCs w:val="16"/>
                <w:lang w:val="en-US"/>
              </w:rPr>
            </w:pPr>
            <w:r w:rsidRPr="009F337B">
              <w:rPr>
                <w:sz w:val="16"/>
                <w:szCs w:val="16"/>
                <w:lang w:val="en-US"/>
              </w:rPr>
              <w:t>Yeslin Janeth Juárez Ordo</w:t>
            </w:r>
            <w:r w:rsidR="007F3128" w:rsidRPr="009F337B">
              <w:rPr>
                <w:sz w:val="16"/>
                <w:szCs w:val="16"/>
                <w:lang w:val="en-US"/>
              </w:rPr>
              <w:t>ñez (</w:t>
            </w:r>
            <w:r w:rsidR="0010522A" w:rsidRPr="009F337B">
              <w:rPr>
                <w:sz w:val="16"/>
                <w:szCs w:val="16"/>
                <w:lang w:val="en-US"/>
              </w:rPr>
              <w:t>Granddaughter</w:t>
            </w:r>
            <w:r w:rsidR="007F3128" w:rsidRPr="009F337B">
              <w:rPr>
                <w:sz w:val="16"/>
                <w:szCs w:val="16"/>
                <w:lang w:val="en-US"/>
              </w:rPr>
              <w:t>)</w:t>
            </w:r>
          </w:p>
        </w:tc>
      </w:tr>
      <w:tr w:rsidR="007F3128" w:rsidRPr="009F337B" w14:paraId="567F1E6C" w14:textId="77777777" w:rsidTr="0010522A">
        <w:tc>
          <w:tcPr>
            <w:tcW w:w="560" w:type="dxa"/>
            <w:gridSpan w:val="2"/>
            <w:vMerge w:val="restart"/>
            <w:vAlign w:val="center"/>
          </w:tcPr>
          <w:p w14:paraId="4EE7D671" w14:textId="77777777" w:rsidR="007F3128" w:rsidRPr="009F337B" w:rsidRDefault="007F3128" w:rsidP="00F608A7">
            <w:pPr>
              <w:jc w:val="left"/>
              <w:rPr>
                <w:sz w:val="16"/>
                <w:szCs w:val="16"/>
                <w:lang w:val="en-US"/>
              </w:rPr>
            </w:pPr>
            <w:r w:rsidRPr="009F337B">
              <w:rPr>
                <w:sz w:val="16"/>
                <w:szCs w:val="16"/>
                <w:lang w:val="en-US"/>
              </w:rPr>
              <w:t>19</w:t>
            </w:r>
          </w:p>
        </w:tc>
        <w:tc>
          <w:tcPr>
            <w:tcW w:w="2950" w:type="dxa"/>
            <w:vMerge w:val="restart"/>
            <w:vAlign w:val="center"/>
          </w:tcPr>
          <w:p w14:paraId="2F1A7B34" w14:textId="7F6EC238" w:rsidR="007F3128" w:rsidRPr="009F337B" w:rsidRDefault="007F3128" w:rsidP="00F608A7">
            <w:pPr>
              <w:jc w:val="left"/>
              <w:rPr>
                <w:sz w:val="16"/>
                <w:szCs w:val="16"/>
                <w:lang w:val="en-US"/>
              </w:rPr>
            </w:pPr>
            <w:r w:rsidRPr="009F337B">
              <w:rPr>
                <w:sz w:val="16"/>
                <w:szCs w:val="16"/>
                <w:lang w:val="en-US"/>
              </w:rPr>
              <w:t xml:space="preserve">Martina Candelaria </w:t>
            </w:r>
            <w:r w:rsidR="003C5C55" w:rsidRPr="009F337B">
              <w:rPr>
                <w:sz w:val="16"/>
                <w:szCs w:val="16"/>
                <w:lang w:val="en-US"/>
              </w:rPr>
              <w:t>A</w:t>
            </w:r>
            <w:r w:rsidRPr="009F337B">
              <w:rPr>
                <w:sz w:val="16"/>
                <w:szCs w:val="16"/>
                <w:lang w:val="en-US"/>
              </w:rPr>
              <w:t>lvarez Estrada</w:t>
            </w:r>
          </w:p>
        </w:tc>
        <w:tc>
          <w:tcPr>
            <w:tcW w:w="567" w:type="dxa"/>
            <w:vAlign w:val="center"/>
          </w:tcPr>
          <w:p w14:paraId="25F53EAD" w14:textId="77777777" w:rsidR="007F3128" w:rsidRPr="009F337B" w:rsidRDefault="007F3128" w:rsidP="00F608A7">
            <w:pPr>
              <w:jc w:val="left"/>
              <w:rPr>
                <w:sz w:val="16"/>
                <w:szCs w:val="16"/>
                <w:lang w:val="en-US"/>
              </w:rPr>
            </w:pPr>
            <w:r w:rsidRPr="009F337B">
              <w:rPr>
                <w:sz w:val="16"/>
                <w:szCs w:val="16"/>
                <w:lang w:val="en-US"/>
              </w:rPr>
              <w:t>1</w:t>
            </w:r>
          </w:p>
        </w:tc>
        <w:tc>
          <w:tcPr>
            <w:tcW w:w="5211" w:type="dxa"/>
            <w:vAlign w:val="center"/>
          </w:tcPr>
          <w:p w14:paraId="4C7242F2" w14:textId="7A549860" w:rsidR="007F3128" w:rsidRPr="009F337B" w:rsidRDefault="00012624" w:rsidP="00F608A7">
            <w:pPr>
              <w:jc w:val="left"/>
              <w:rPr>
                <w:sz w:val="16"/>
                <w:szCs w:val="16"/>
                <w:lang w:val="en-US"/>
              </w:rPr>
            </w:pPr>
            <w:r w:rsidRPr="009F337B">
              <w:rPr>
                <w:sz w:val="16"/>
                <w:szCs w:val="16"/>
                <w:lang w:val="en-US"/>
              </w:rPr>
              <w:t>Felipe Tebalan Ordo</w:t>
            </w:r>
            <w:r w:rsidR="007F3128" w:rsidRPr="009F337B">
              <w:rPr>
                <w:sz w:val="16"/>
                <w:szCs w:val="16"/>
                <w:lang w:val="en-US"/>
              </w:rPr>
              <w:t>ñez (</w:t>
            </w:r>
            <w:r w:rsidR="0010522A" w:rsidRPr="009F337B">
              <w:rPr>
                <w:sz w:val="16"/>
                <w:szCs w:val="16"/>
                <w:lang w:val="en-US"/>
              </w:rPr>
              <w:t>Husband</w:t>
            </w:r>
            <w:r w:rsidR="007F3128" w:rsidRPr="009F337B">
              <w:rPr>
                <w:sz w:val="16"/>
                <w:szCs w:val="16"/>
                <w:lang w:val="en-US"/>
              </w:rPr>
              <w:t>)</w:t>
            </w:r>
          </w:p>
        </w:tc>
      </w:tr>
      <w:tr w:rsidR="007F3128" w:rsidRPr="009F337B" w14:paraId="1831F15B" w14:textId="77777777" w:rsidTr="0010522A">
        <w:tc>
          <w:tcPr>
            <w:tcW w:w="560" w:type="dxa"/>
            <w:gridSpan w:val="2"/>
            <w:vMerge/>
            <w:vAlign w:val="center"/>
          </w:tcPr>
          <w:p w14:paraId="65BEED46" w14:textId="77777777" w:rsidR="007F3128" w:rsidRPr="009F337B" w:rsidRDefault="007F3128" w:rsidP="00F608A7">
            <w:pPr>
              <w:jc w:val="left"/>
              <w:rPr>
                <w:sz w:val="16"/>
                <w:szCs w:val="16"/>
                <w:lang w:val="en-US"/>
              </w:rPr>
            </w:pPr>
          </w:p>
        </w:tc>
        <w:tc>
          <w:tcPr>
            <w:tcW w:w="2950" w:type="dxa"/>
            <w:vMerge/>
            <w:vAlign w:val="center"/>
          </w:tcPr>
          <w:p w14:paraId="68A180AD" w14:textId="77777777" w:rsidR="007F3128" w:rsidRPr="009F337B" w:rsidRDefault="007F3128" w:rsidP="00F608A7">
            <w:pPr>
              <w:jc w:val="left"/>
              <w:rPr>
                <w:sz w:val="16"/>
                <w:szCs w:val="16"/>
                <w:lang w:val="en-US"/>
              </w:rPr>
            </w:pPr>
          </w:p>
        </w:tc>
        <w:tc>
          <w:tcPr>
            <w:tcW w:w="567" w:type="dxa"/>
            <w:vAlign w:val="center"/>
          </w:tcPr>
          <w:p w14:paraId="16D25C6B" w14:textId="77777777" w:rsidR="007F3128" w:rsidRPr="009F337B" w:rsidRDefault="007F3128" w:rsidP="00F608A7">
            <w:pPr>
              <w:jc w:val="left"/>
              <w:rPr>
                <w:sz w:val="16"/>
                <w:szCs w:val="16"/>
                <w:lang w:val="en-US"/>
              </w:rPr>
            </w:pPr>
            <w:r w:rsidRPr="009F337B">
              <w:rPr>
                <w:sz w:val="16"/>
                <w:szCs w:val="16"/>
                <w:lang w:val="en-US"/>
              </w:rPr>
              <w:t>2</w:t>
            </w:r>
          </w:p>
        </w:tc>
        <w:tc>
          <w:tcPr>
            <w:tcW w:w="5211" w:type="dxa"/>
            <w:vAlign w:val="center"/>
          </w:tcPr>
          <w:p w14:paraId="1F303A1B" w14:textId="7FC1E57C" w:rsidR="007F3128" w:rsidRPr="009F337B" w:rsidRDefault="00012624" w:rsidP="00F608A7">
            <w:pPr>
              <w:jc w:val="left"/>
              <w:rPr>
                <w:sz w:val="16"/>
                <w:szCs w:val="16"/>
                <w:lang w:val="en-US"/>
              </w:rPr>
            </w:pPr>
            <w:r w:rsidRPr="009F337B">
              <w:rPr>
                <w:sz w:val="16"/>
                <w:szCs w:val="16"/>
                <w:lang w:val="en-US"/>
              </w:rPr>
              <w:t>Candelaria Ordo</w:t>
            </w:r>
            <w:r w:rsidR="007F3128" w:rsidRPr="009F337B">
              <w:rPr>
                <w:sz w:val="16"/>
                <w:szCs w:val="16"/>
                <w:lang w:val="en-US"/>
              </w:rPr>
              <w:t xml:space="preserve">ñez </w:t>
            </w:r>
            <w:r w:rsidRPr="009F337B">
              <w:rPr>
                <w:sz w:val="16"/>
                <w:szCs w:val="16"/>
                <w:lang w:val="en-US"/>
              </w:rPr>
              <w:t>A</w:t>
            </w:r>
            <w:r w:rsidR="007F3128" w:rsidRPr="009F337B">
              <w:rPr>
                <w:sz w:val="16"/>
                <w:szCs w:val="16"/>
                <w:lang w:val="en-US"/>
              </w:rPr>
              <w:t>lvarez (</w:t>
            </w:r>
            <w:r w:rsidR="0010522A" w:rsidRPr="009F337B">
              <w:rPr>
                <w:sz w:val="16"/>
                <w:szCs w:val="16"/>
                <w:lang w:val="en-US"/>
              </w:rPr>
              <w:t>Daughter</w:t>
            </w:r>
            <w:r w:rsidR="007F3128" w:rsidRPr="009F337B">
              <w:rPr>
                <w:sz w:val="16"/>
                <w:szCs w:val="16"/>
                <w:lang w:val="en-US"/>
              </w:rPr>
              <w:t>)</w:t>
            </w:r>
          </w:p>
        </w:tc>
      </w:tr>
      <w:tr w:rsidR="007F3128" w:rsidRPr="009F337B" w14:paraId="2CC22D8B" w14:textId="77777777" w:rsidTr="0010522A">
        <w:tc>
          <w:tcPr>
            <w:tcW w:w="560" w:type="dxa"/>
            <w:gridSpan w:val="2"/>
            <w:vMerge/>
            <w:vAlign w:val="center"/>
          </w:tcPr>
          <w:p w14:paraId="4F04F7D7" w14:textId="77777777" w:rsidR="007F3128" w:rsidRPr="009F337B" w:rsidRDefault="007F3128" w:rsidP="00F608A7">
            <w:pPr>
              <w:jc w:val="left"/>
              <w:rPr>
                <w:sz w:val="16"/>
                <w:szCs w:val="16"/>
                <w:lang w:val="en-US"/>
              </w:rPr>
            </w:pPr>
          </w:p>
        </w:tc>
        <w:tc>
          <w:tcPr>
            <w:tcW w:w="2950" w:type="dxa"/>
            <w:vMerge/>
            <w:vAlign w:val="center"/>
          </w:tcPr>
          <w:p w14:paraId="0CA4CD66" w14:textId="77777777" w:rsidR="007F3128" w:rsidRPr="009F337B" w:rsidRDefault="007F3128" w:rsidP="00F608A7">
            <w:pPr>
              <w:jc w:val="left"/>
              <w:rPr>
                <w:sz w:val="16"/>
                <w:szCs w:val="16"/>
                <w:lang w:val="en-US"/>
              </w:rPr>
            </w:pPr>
          </w:p>
        </w:tc>
        <w:tc>
          <w:tcPr>
            <w:tcW w:w="567" w:type="dxa"/>
            <w:vAlign w:val="center"/>
          </w:tcPr>
          <w:p w14:paraId="296870D0" w14:textId="77777777" w:rsidR="007F3128" w:rsidRPr="009F337B" w:rsidRDefault="007F3128" w:rsidP="00F608A7">
            <w:pPr>
              <w:jc w:val="left"/>
              <w:rPr>
                <w:sz w:val="16"/>
                <w:szCs w:val="16"/>
                <w:lang w:val="en-US"/>
              </w:rPr>
            </w:pPr>
            <w:r w:rsidRPr="009F337B">
              <w:rPr>
                <w:sz w:val="16"/>
                <w:szCs w:val="16"/>
                <w:lang w:val="en-US"/>
              </w:rPr>
              <w:t>3</w:t>
            </w:r>
          </w:p>
        </w:tc>
        <w:tc>
          <w:tcPr>
            <w:tcW w:w="5211" w:type="dxa"/>
            <w:vAlign w:val="center"/>
          </w:tcPr>
          <w:p w14:paraId="26BC9C3A" w14:textId="757CDCAF" w:rsidR="007F3128" w:rsidRPr="009F337B" w:rsidRDefault="00012624" w:rsidP="00F608A7">
            <w:pPr>
              <w:jc w:val="left"/>
              <w:rPr>
                <w:sz w:val="16"/>
                <w:szCs w:val="16"/>
                <w:lang w:val="en-US"/>
              </w:rPr>
            </w:pPr>
            <w:r w:rsidRPr="009F337B">
              <w:rPr>
                <w:sz w:val="16"/>
                <w:szCs w:val="16"/>
                <w:lang w:val="en-US"/>
              </w:rPr>
              <w:t>Argentina Ordoñez A</w:t>
            </w:r>
            <w:r w:rsidR="007F3128" w:rsidRPr="009F337B">
              <w:rPr>
                <w:sz w:val="16"/>
                <w:szCs w:val="16"/>
                <w:lang w:val="en-US"/>
              </w:rPr>
              <w:t>lvarez (</w:t>
            </w:r>
            <w:r w:rsidR="0010522A" w:rsidRPr="009F337B">
              <w:rPr>
                <w:sz w:val="16"/>
                <w:szCs w:val="16"/>
                <w:lang w:val="en-US"/>
              </w:rPr>
              <w:t>Daughter</w:t>
            </w:r>
            <w:r w:rsidR="007F3128" w:rsidRPr="009F337B">
              <w:rPr>
                <w:sz w:val="16"/>
                <w:szCs w:val="16"/>
                <w:lang w:val="en-US"/>
              </w:rPr>
              <w:t>)</w:t>
            </w:r>
          </w:p>
        </w:tc>
      </w:tr>
      <w:tr w:rsidR="007F3128" w:rsidRPr="009F337B" w14:paraId="0EEB3B6A" w14:textId="77777777" w:rsidTr="0010522A">
        <w:tc>
          <w:tcPr>
            <w:tcW w:w="560" w:type="dxa"/>
            <w:gridSpan w:val="2"/>
            <w:vMerge/>
            <w:vAlign w:val="center"/>
          </w:tcPr>
          <w:p w14:paraId="305A0A7C" w14:textId="77777777" w:rsidR="007F3128" w:rsidRPr="009F337B" w:rsidRDefault="007F3128" w:rsidP="00F608A7">
            <w:pPr>
              <w:jc w:val="left"/>
              <w:rPr>
                <w:sz w:val="16"/>
                <w:szCs w:val="16"/>
                <w:lang w:val="en-US"/>
              </w:rPr>
            </w:pPr>
          </w:p>
        </w:tc>
        <w:tc>
          <w:tcPr>
            <w:tcW w:w="2950" w:type="dxa"/>
            <w:vMerge/>
            <w:vAlign w:val="center"/>
          </w:tcPr>
          <w:p w14:paraId="0950FA7C" w14:textId="77777777" w:rsidR="007F3128" w:rsidRPr="009F337B" w:rsidRDefault="007F3128" w:rsidP="00F608A7">
            <w:pPr>
              <w:jc w:val="left"/>
              <w:rPr>
                <w:sz w:val="16"/>
                <w:szCs w:val="16"/>
                <w:lang w:val="en-US"/>
              </w:rPr>
            </w:pPr>
          </w:p>
        </w:tc>
        <w:tc>
          <w:tcPr>
            <w:tcW w:w="567" w:type="dxa"/>
            <w:vAlign w:val="center"/>
          </w:tcPr>
          <w:p w14:paraId="02A62CCF" w14:textId="77777777" w:rsidR="007F3128" w:rsidRPr="009F337B" w:rsidRDefault="007F3128" w:rsidP="00F608A7">
            <w:pPr>
              <w:jc w:val="left"/>
              <w:rPr>
                <w:sz w:val="16"/>
                <w:szCs w:val="16"/>
                <w:lang w:val="en-US"/>
              </w:rPr>
            </w:pPr>
            <w:r w:rsidRPr="009F337B">
              <w:rPr>
                <w:sz w:val="16"/>
                <w:szCs w:val="16"/>
                <w:lang w:val="en-US"/>
              </w:rPr>
              <w:t>4</w:t>
            </w:r>
          </w:p>
        </w:tc>
        <w:tc>
          <w:tcPr>
            <w:tcW w:w="5211" w:type="dxa"/>
            <w:vAlign w:val="center"/>
          </w:tcPr>
          <w:p w14:paraId="3C11B8CC" w14:textId="5BBCBBF8" w:rsidR="007F3128" w:rsidRPr="009F337B" w:rsidRDefault="00012624" w:rsidP="00F608A7">
            <w:pPr>
              <w:jc w:val="left"/>
              <w:rPr>
                <w:sz w:val="16"/>
                <w:szCs w:val="16"/>
                <w:lang w:val="en-US"/>
              </w:rPr>
            </w:pPr>
            <w:r w:rsidRPr="009F337B">
              <w:rPr>
                <w:sz w:val="16"/>
                <w:szCs w:val="16"/>
                <w:lang w:val="en-US"/>
              </w:rPr>
              <w:t>Honoria Ordoñez A</w:t>
            </w:r>
            <w:r w:rsidR="007F3128" w:rsidRPr="009F337B">
              <w:rPr>
                <w:sz w:val="16"/>
                <w:szCs w:val="16"/>
                <w:lang w:val="en-US"/>
              </w:rPr>
              <w:t>lvarez (</w:t>
            </w:r>
            <w:r w:rsidR="0010522A" w:rsidRPr="009F337B">
              <w:rPr>
                <w:sz w:val="16"/>
                <w:szCs w:val="16"/>
                <w:lang w:val="en-US"/>
              </w:rPr>
              <w:t>Daughter</w:t>
            </w:r>
            <w:r w:rsidR="007F3128" w:rsidRPr="009F337B">
              <w:rPr>
                <w:sz w:val="16"/>
                <w:szCs w:val="16"/>
                <w:lang w:val="en-US"/>
              </w:rPr>
              <w:t>)</w:t>
            </w:r>
          </w:p>
        </w:tc>
      </w:tr>
      <w:tr w:rsidR="007F3128" w:rsidRPr="009F337B" w14:paraId="0A92CBEC" w14:textId="77777777" w:rsidTr="0010522A">
        <w:tc>
          <w:tcPr>
            <w:tcW w:w="560" w:type="dxa"/>
            <w:gridSpan w:val="2"/>
            <w:vMerge/>
            <w:vAlign w:val="center"/>
          </w:tcPr>
          <w:p w14:paraId="7152F8B1" w14:textId="77777777" w:rsidR="007F3128" w:rsidRPr="009F337B" w:rsidRDefault="007F3128" w:rsidP="00F608A7">
            <w:pPr>
              <w:jc w:val="left"/>
              <w:rPr>
                <w:sz w:val="16"/>
                <w:szCs w:val="16"/>
                <w:lang w:val="en-US"/>
              </w:rPr>
            </w:pPr>
          </w:p>
        </w:tc>
        <w:tc>
          <w:tcPr>
            <w:tcW w:w="2950" w:type="dxa"/>
            <w:vMerge/>
            <w:vAlign w:val="center"/>
          </w:tcPr>
          <w:p w14:paraId="171B9E6E" w14:textId="77777777" w:rsidR="007F3128" w:rsidRPr="009F337B" w:rsidRDefault="007F3128" w:rsidP="00F608A7">
            <w:pPr>
              <w:jc w:val="left"/>
              <w:rPr>
                <w:sz w:val="16"/>
                <w:szCs w:val="16"/>
                <w:lang w:val="en-US"/>
              </w:rPr>
            </w:pPr>
          </w:p>
        </w:tc>
        <w:tc>
          <w:tcPr>
            <w:tcW w:w="567" w:type="dxa"/>
            <w:vAlign w:val="center"/>
          </w:tcPr>
          <w:p w14:paraId="1999ACAB" w14:textId="77777777" w:rsidR="007F3128" w:rsidRPr="009F337B" w:rsidRDefault="007F3128" w:rsidP="00F608A7">
            <w:pPr>
              <w:jc w:val="left"/>
              <w:rPr>
                <w:sz w:val="16"/>
                <w:szCs w:val="16"/>
                <w:lang w:val="en-US"/>
              </w:rPr>
            </w:pPr>
            <w:r w:rsidRPr="009F337B">
              <w:rPr>
                <w:sz w:val="16"/>
                <w:szCs w:val="16"/>
                <w:lang w:val="en-US"/>
              </w:rPr>
              <w:t>5</w:t>
            </w:r>
          </w:p>
        </w:tc>
        <w:tc>
          <w:tcPr>
            <w:tcW w:w="5211" w:type="dxa"/>
            <w:vAlign w:val="center"/>
          </w:tcPr>
          <w:p w14:paraId="3781D345" w14:textId="4B4DA985" w:rsidR="007F3128" w:rsidRPr="009F337B" w:rsidRDefault="00012624" w:rsidP="00F608A7">
            <w:pPr>
              <w:jc w:val="left"/>
              <w:rPr>
                <w:sz w:val="16"/>
                <w:szCs w:val="16"/>
                <w:lang w:val="en-US"/>
              </w:rPr>
            </w:pPr>
            <w:r w:rsidRPr="009F337B">
              <w:rPr>
                <w:sz w:val="16"/>
                <w:szCs w:val="16"/>
                <w:lang w:val="en-US"/>
              </w:rPr>
              <w:t>Cecilia Ordoñez A</w:t>
            </w:r>
            <w:r w:rsidR="007F3128" w:rsidRPr="009F337B">
              <w:rPr>
                <w:sz w:val="16"/>
                <w:szCs w:val="16"/>
                <w:lang w:val="en-US"/>
              </w:rPr>
              <w:t>lvarez (</w:t>
            </w:r>
            <w:r w:rsidR="0010522A" w:rsidRPr="009F337B">
              <w:rPr>
                <w:sz w:val="16"/>
                <w:szCs w:val="16"/>
                <w:lang w:val="en-US"/>
              </w:rPr>
              <w:t>Daughter</w:t>
            </w:r>
            <w:r w:rsidR="007F3128" w:rsidRPr="009F337B">
              <w:rPr>
                <w:sz w:val="16"/>
                <w:szCs w:val="16"/>
                <w:lang w:val="en-US"/>
              </w:rPr>
              <w:t>)</w:t>
            </w:r>
          </w:p>
        </w:tc>
      </w:tr>
      <w:tr w:rsidR="007F3128" w:rsidRPr="009F337B" w14:paraId="65A265C1" w14:textId="77777777" w:rsidTr="0010522A">
        <w:tc>
          <w:tcPr>
            <w:tcW w:w="560" w:type="dxa"/>
            <w:gridSpan w:val="2"/>
            <w:vMerge/>
            <w:vAlign w:val="center"/>
          </w:tcPr>
          <w:p w14:paraId="3CA5C5A5" w14:textId="77777777" w:rsidR="007F3128" w:rsidRPr="009F337B" w:rsidRDefault="007F3128" w:rsidP="00F608A7">
            <w:pPr>
              <w:jc w:val="left"/>
              <w:rPr>
                <w:sz w:val="16"/>
                <w:szCs w:val="16"/>
                <w:lang w:val="en-US"/>
              </w:rPr>
            </w:pPr>
          </w:p>
        </w:tc>
        <w:tc>
          <w:tcPr>
            <w:tcW w:w="2950" w:type="dxa"/>
            <w:vMerge/>
            <w:vAlign w:val="center"/>
          </w:tcPr>
          <w:p w14:paraId="3E9C2B86" w14:textId="77777777" w:rsidR="007F3128" w:rsidRPr="009F337B" w:rsidRDefault="007F3128" w:rsidP="00F608A7">
            <w:pPr>
              <w:jc w:val="left"/>
              <w:rPr>
                <w:sz w:val="16"/>
                <w:szCs w:val="16"/>
                <w:lang w:val="en-US"/>
              </w:rPr>
            </w:pPr>
          </w:p>
        </w:tc>
        <w:tc>
          <w:tcPr>
            <w:tcW w:w="567" w:type="dxa"/>
            <w:vAlign w:val="center"/>
          </w:tcPr>
          <w:p w14:paraId="083E92B1" w14:textId="77777777" w:rsidR="007F3128" w:rsidRPr="009F337B" w:rsidRDefault="007F3128" w:rsidP="00F608A7">
            <w:pPr>
              <w:jc w:val="left"/>
              <w:rPr>
                <w:sz w:val="16"/>
                <w:szCs w:val="16"/>
                <w:lang w:val="en-US"/>
              </w:rPr>
            </w:pPr>
            <w:r w:rsidRPr="009F337B">
              <w:rPr>
                <w:sz w:val="16"/>
                <w:szCs w:val="16"/>
                <w:lang w:val="en-US"/>
              </w:rPr>
              <w:t>6</w:t>
            </w:r>
          </w:p>
        </w:tc>
        <w:tc>
          <w:tcPr>
            <w:tcW w:w="5211" w:type="dxa"/>
            <w:vAlign w:val="center"/>
          </w:tcPr>
          <w:p w14:paraId="638E5010" w14:textId="6366C6CD" w:rsidR="007F3128" w:rsidRPr="009F337B" w:rsidRDefault="00012624" w:rsidP="00F608A7">
            <w:pPr>
              <w:jc w:val="left"/>
              <w:rPr>
                <w:sz w:val="16"/>
                <w:szCs w:val="16"/>
                <w:lang w:val="en-US"/>
              </w:rPr>
            </w:pPr>
            <w:r w:rsidRPr="009F337B">
              <w:rPr>
                <w:sz w:val="16"/>
                <w:szCs w:val="16"/>
                <w:lang w:val="en-US"/>
              </w:rPr>
              <w:t>Daria Ordoñez A</w:t>
            </w:r>
            <w:r w:rsidR="007F3128" w:rsidRPr="009F337B">
              <w:rPr>
                <w:sz w:val="16"/>
                <w:szCs w:val="16"/>
                <w:lang w:val="en-US"/>
              </w:rPr>
              <w:t>lvarez (</w:t>
            </w:r>
            <w:r w:rsidR="0010522A" w:rsidRPr="009F337B">
              <w:rPr>
                <w:sz w:val="16"/>
                <w:szCs w:val="16"/>
                <w:lang w:val="en-US"/>
              </w:rPr>
              <w:t>Daughter</w:t>
            </w:r>
            <w:r w:rsidR="007F3128" w:rsidRPr="009F337B">
              <w:rPr>
                <w:sz w:val="16"/>
                <w:szCs w:val="16"/>
                <w:lang w:val="en-US"/>
              </w:rPr>
              <w:t>)</w:t>
            </w:r>
          </w:p>
        </w:tc>
      </w:tr>
      <w:tr w:rsidR="007F3128" w:rsidRPr="009F337B" w14:paraId="1F777003" w14:textId="77777777" w:rsidTr="0010522A">
        <w:tc>
          <w:tcPr>
            <w:tcW w:w="560" w:type="dxa"/>
            <w:gridSpan w:val="2"/>
            <w:vMerge/>
            <w:vAlign w:val="center"/>
          </w:tcPr>
          <w:p w14:paraId="22268531" w14:textId="77777777" w:rsidR="007F3128" w:rsidRPr="009F337B" w:rsidRDefault="007F3128" w:rsidP="00F608A7">
            <w:pPr>
              <w:jc w:val="left"/>
              <w:rPr>
                <w:sz w:val="16"/>
                <w:szCs w:val="16"/>
                <w:lang w:val="en-US"/>
              </w:rPr>
            </w:pPr>
          </w:p>
        </w:tc>
        <w:tc>
          <w:tcPr>
            <w:tcW w:w="2950" w:type="dxa"/>
            <w:vMerge/>
            <w:vAlign w:val="center"/>
          </w:tcPr>
          <w:p w14:paraId="3AD067BE" w14:textId="77777777" w:rsidR="007F3128" w:rsidRPr="009F337B" w:rsidRDefault="007F3128" w:rsidP="00F608A7">
            <w:pPr>
              <w:jc w:val="left"/>
              <w:rPr>
                <w:sz w:val="16"/>
                <w:szCs w:val="16"/>
                <w:lang w:val="en-US"/>
              </w:rPr>
            </w:pPr>
          </w:p>
        </w:tc>
        <w:tc>
          <w:tcPr>
            <w:tcW w:w="567" w:type="dxa"/>
            <w:vAlign w:val="center"/>
          </w:tcPr>
          <w:p w14:paraId="6828ADAD" w14:textId="77777777" w:rsidR="007F3128" w:rsidRPr="009F337B" w:rsidRDefault="007F3128" w:rsidP="00F608A7">
            <w:pPr>
              <w:jc w:val="left"/>
              <w:rPr>
                <w:sz w:val="16"/>
                <w:szCs w:val="16"/>
                <w:lang w:val="en-US"/>
              </w:rPr>
            </w:pPr>
            <w:r w:rsidRPr="009F337B">
              <w:rPr>
                <w:sz w:val="16"/>
                <w:szCs w:val="16"/>
                <w:lang w:val="en-US"/>
              </w:rPr>
              <w:t>7</w:t>
            </w:r>
          </w:p>
        </w:tc>
        <w:tc>
          <w:tcPr>
            <w:tcW w:w="5211" w:type="dxa"/>
            <w:vAlign w:val="center"/>
          </w:tcPr>
          <w:p w14:paraId="7B9BB4E3" w14:textId="31FBCCC2" w:rsidR="007F3128" w:rsidRPr="00542AB5" w:rsidRDefault="00012624" w:rsidP="00F608A7">
            <w:pPr>
              <w:jc w:val="left"/>
              <w:rPr>
                <w:sz w:val="16"/>
                <w:szCs w:val="16"/>
                <w:lang w:val="es-CR"/>
              </w:rPr>
            </w:pPr>
            <w:r w:rsidRPr="00542AB5">
              <w:rPr>
                <w:sz w:val="16"/>
                <w:szCs w:val="16"/>
                <w:lang w:val="es-CR"/>
              </w:rPr>
              <w:t>Juan Carlos Ordoñez A</w:t>
            </w:r>
            <w:r w:rsidR="007F3128" w:rsidRPr="00542AB5">
              <w:rPr>
                <w:sz w:val="16"/>
                <w:szCs w:val="16"/>
                <w:lang w:val="es-CR"/>
              </w:rPr>
              <w:t>lvarez (</w:t>
            </w:r>
            <w:r w:rsidR="0010522A" w:rsidRPr="00542AB5">
              <w:rPr>
                <w:sz w:val="16"/>
                <w:szCs w:val="16"/>
                <w:lang w:val="es-CR"/>
              </w:rPr>
              <w:t>Son</w:t>
            </w:r>
            <w:r w:rsidR="007F3128" w:rsidRPr="00542AB5">
              <w:rPr>
                <w:sz w:val="16"/>
                <w:szCs w:val="16"/>
                <w:lang w:val="es-CR"/>
              </w:rPr>
              <w:t>)</w:t>
            </w:r>
          </w:p>
        </w:tc>
      </w:tr>
      <w:tr w:rsidR="007F3128" w:rsidRPr="009F337B" w14:paraId="7CC5E383" w14:textId="77777777" w:rsidTr="0010522A">
        <w:tc>
          <w:tcPr>
            <w:tcW w:w="560" w:type="dxa"/>
            <w:gridSpan w:val="2"/>
            <w:vMerge/>
            <w:vAlign w:val="center"/>
          </w:tcPr>
          <w:p w14:paraId="4410ED32" w14:textId="77777777" w:rsidR="007F3128" w:rsidRPr="00542AB5" w:rsidRDefault="007F3128" w:rsidP="00F608A7">
            <w:pPr>
              <w:jc w:val="left"/>
              <w:rPr>
                <w:sz w:val="16"/>
                <w:szCs w:val="16"/>
                <w:lang w:val="es-CR"/>
              </w:rPr>
            </w:pPr>
          </w:p>
        </w:tc>
        <w:tc>
          <w:tcPr>
            <w:tcW w:w="2950" w:type="dxa"/>
            <w:vMerge/>
            <w:vAlign w:val="center"/>
          </w:tcPr>
          <w:p w14:paraId="5868634A" w14:textId="77777777" w:rsidR="007F3128" w:rsidRPr="00542AB5" w:rsidRDefault="007F3128" w:rsidP="00F608A7">
            <w:pPr>
              <w:jc w:val="left"/>
              <w:rPr>
                <w:sz w:val="16"/>
                <w:szCs w:val="16"/>
                <w:lang w:val="es-CR"/>
              </w:rPr>
            </w:pPr>
          </w:p>
        </w:tc>
        <w:tc>
          <w:tcPr>
            <w:tcW w:w="567" w:type="dxa"/>
            <w:vAlign w:val="center"/>
          </w:tcPr>
          <w:p w14:paraId="37B5FCB4" w14:textId="77777777" w:rsidR="007F3128" w:rsidRPr="009F337B" w:rsidRDefault="007F3128" w:rsidP="00F608A7">
            <w:pPr>
              <w:jc w:val="left"/>
              <w:rPr>
                <w:sz w:val="16"/>
                <w:szCs w:val="16"/>
                <w:lang w:val="en-US"/>
              </w:rPr>
            </w:pPr>
            <w:r w:rsidRPr="009F337B">
              <w:rPr>
                <w:sz w:val="16"/>
                <w:szCs w:val="16"/>
                <w:lang w:val="en-US"/>
              </w:rPr>
              <w:t>8</w:t>
            </w:r>
          </w:p>
        </w:tc>
        <w:tc>
          <w:tcPr>
            <w:tcW w:w="5211" w:type="dxa"/>
            <w:vAlign w:val="center"/>
          </w:tcPr>
          <w:p w14:paraId="5BAC51AB" w14:textId="06F21A49" w:rsidR="007F3128" w:rsidRPr="00542AB5" w:rsidRDefault="00012624" w:rsidP="00F608A7">
            <w:pPr>
              <w:jc w:val="left"/>
              <w:rPr>
                <w:sz w:val="16"/>
                <w:szCs w:val="16"/>
                <w:lang w:val="es-CR"/>
              </w:rPr>
            </w:pPr>
            <w:r w:rsidRPr="00542AB5">
              <w:rPr>
                <w:sz w:val="16"/>
                <w:szCs w:val="16"/>
                <w:lang w:val="es-CR"/>
              </w:rPr>
              <w:t>Luis Emiliano Ordoñez A</w:t>
            </w:r>
            <w:r w:rsidR="007F3128" w:rsidRPr="00542AB5">
              <w:rPr>
                <w:sz w:val="16"/>
                <w:szCs w:val="16"/>
                <w:lang w:val="es-CR"/>
              </w:rPr>
              <w:t>lvarez (</w:t>
            </w:r>
            <w:r w:rsidR="0010522A" w:rsidRPr="00542AB5">
              <w:rPr>
                <w:sz w:val="16"/>
                <w:szCs w:val="16"/>
                <w:lang w:val="es-CR"/>
              </w:rPr>
              <w:t>Grandson</w:t>
            </w:r>
            <w:r w:rsidR="007F3128" w:rsidRPr="00542AB5">
              <w:rPr>
                <w:sz w:val="16"/>
                <w:szCs w:val="16"/>
                <w:lang w:val="es-CR"/>
              </w:rPr>
              <w:t>)</w:t>
            </w:r>
          </w:p>
        </w:tc>
      </w:tr>
      <w:tr w:rsidR="007F3128" w:rsidRPr="009F337B" w14:paraId="2503690D" w14:textId="77777777" w:rsidTr="0010522A">
        <w:tc>
          <w:tcPr>
            <w:tcW w:w="560" w:type="dxa"/>
            <w:gridSpan w:val="2"/>
            <w:vMerge/>
            <w:vAlign w:val="center"/>
          </w:tcPr>
          <w:p w14:paraId="4EB602FD" w14:textId="77777777" w:rsidR="007F3128" w:rsidRPr="00542AB5" w:rsidRDefault="007F3128" w:rsidP="00F608A7">
            <w:pPr>
              <w:jc w:val="left"/>
              <w:rPr>
                <w:sz w:val="16"/>
                <w:szCs w:val="16"/>
                <w:lang w:val="es-CR"/>
              </w:rPr>
            </w:pPr>
          </w:p>
        </w:tc>
        <w:tc>
          <w:tcPr>
            <w:tcW w:w="2950" w:type="dxa"/>
            <w:vMerge/>
            <w:vAlign w:val="center"/>
          </w:tcPr>
          <w:p w14:paraId="379D7B0D" w14:textId="77777777" w:rsidR="007F3128" w:rsidRPr="00542AB5" w:rsidRDefault="007F3128" w:rsidP="00F608A7">
            <w:pPr>
              <w:jc w:val="left"/>
              <w:rPr>
                <w:sz w:val="16"/>
                <w:szCs w:val="16"/>
                <w:lang w:val="es-CR"/>
              </w:rPr>
            </w:pPr>
          </w:p>
        </w:tc>
        <w:tc>
          <w:tcPr>
            <w:tcW w:w="567" w:type="dxa"/>
            <w:vAlign w:val="center"/>
          </w:tcPr>
          <w:p w14:paraId="2F868514" w14:textId="77777777" w:rsidR="007F3128" w:rsidRPr="009F337B" w:rsidRDefault="007F3128" w:rsidP="00F608A7">
            <w:pPr>
              <w:jc w:val="left"/>
              <w:rPr>
                <w:sz w:val="16"/>
                <w:szCs w:val="16"/>
                <w:lang w:val="en-US"/>
              </w:rPr>
            </w:pPr>
            <w:r w:rsidRPr="009F337B">
              <w:rPr>
                <w:sz w:val="16"/>
                <w:szCs w:val="16"/>
                <w:lang w:val="en-US"/>
              </w:rPr>
              <w:t>9</w:t>
            </w:r>
          </w:p>
        </w:tc>
        <w:tc>
          <w:tcPr>
            <w:tcW w:w="5211" w:type="dxa"/>
            <w:vAlign w:val="center"/>
          </w:tcPr>
          <w:p w14:paraId="56AC248F" w14:textId="0D323E94" w:rsidR="007F3128" w:rsidRPr="00542AB5" w:rsidRDefault="007F3128" w:rsidP="00F608A7">
            <w:pPr>
              <w:jc w:val="left"/>
              <w:rPr>
                <w:sz w:val="16"/>
                <w:szCs w:val="16"/>
                <w:lang w:val="es-CR"/>
              </w:rPr>
            </w:pPr>
            <w:r w:rsidRPr="00542AB5">
              <w:rPr>
                <w:sz w:val="16"/>
                <w:szCs w:val="16"/>
                <w:lang w:val="es-CR"/>
              </w:rPr>
              <w:t>Martín G</w:t>
            </w:r>
            <w:r w:rsidR="00012624" w:rsidRPr="00542AB5">
              <w:rPr>
                <w:sz w:val="16"/>
                <w:szCs w:val="16"/>
                <w:lang w:val="es-CR"/>
              </w:rPr>
              <w:t>ildardo Ordoñez A</w:t>
            </w:r>
            <w:r w:rsidRPr="00542AB5">
              <w:rPr>
                <w:sz w:val="16"/>
                <w:szCs w:val="16"/>
                <w:lang w:val="es-CR"/>
              </w:rPr>
              <w:t>lvarez (</w:t>
            </w:r>
            <w:r w:rsidR="0010522A" w:rsidRPr="00542AB5">
              <w:rPr>
                <w:sz w:val="16"/>
                <w:szCs w:val="16"/>
                <w:lang w:val="es-CR"/>
              </w:rPr>
              <w:t>Grandson</w:t>
            </w:r>
            <w:r w:rsidRPr="00542AB5">
              <w:rPr>
                <w:sz w:val="16"/>
                <w:szCs w:val="16"/>
                <w:lang w:val="es-CR"/>
              </w:rPr>
              <w:t>)</w:t>
            </w:r>
          </w:p>
        </w:tc>
      </w:tr>
      <w:tr w:rsidR="007F3128" w:rsidRPr="009F337B" w14:paraId="54E08974" w14:textId="77777777" w:rsidTr="0010522A">
        <w:tc>
          <w:tcPr>
            <w:tcW w:w="560" w:type="dxa"/>
            <w:gridSpan w:val="2"/>
            <w:vMerge/>
            <w:vAlign w:val="center"/>
          </w:tcPr>
          <w:p w14:paraId="0EE1EF2B" w14:textId="77777777" w:rsidR="007F3128" w:rsidRPr="00542AB5" w:rsidRDefault="007F3128" w:rsidP="00F608A7">
            <w:pPr>
              <w:jc w:val="left"/>
              <w:rPr>
                <w:sz w:val="16"/>
                <w:szCs w:val="16"/>
                <w:lang w:val="es-CR"/>
              </w:rPr>
            </w:pPr>
          </w:p>
        </w:tc>
        <w:tc>
          <w:tcPr>
            <w:tcW w:w="2950" w:type="dxa"/>
            <w:vMerge/>
            <w:vAlign w:val="center"/>
          </w:tcPr>
          <w:p w14:paraId="0CA0F720" w14:textId="77777777" w:rsidR="007F3128" w:rsidRPr="00542AB5" w:rsidRDefault="007F3128" w:rsidP="00F608A7">
            <w:pPr>
              <w:jc w:val="left"/>
              <w:rPr>
                <w:sz w:val="16"/>
                <w:szCs w:val="16"/>
                <w:lang w:val="es-CR"/>
              </w:rPr>
            </w:pPr>
          </w:p>
        </w:tc>
        <w:tc>
          <w:tcPr>
            <w:tcW w:w="567" w:type="dxa"/>
            <w:vAlign w:val="center"/>
          </w:tcPr>
          <w:p w14:paraId="16354A70" w14:textId="77777777" w:rsidR="007F3128" w:rsidRPr="009F337B" w:rsidRDefault="007F3128" w:rsidP="00F608A7">
            <w:pPr>
              <w:jc w:val="left"/>
              <w:rPr>
                <w:sz w:val="16"/>
                <w:szCs w:val="16"/>
                <w:lang w:val="en-US"/>
              </w:rPr>
            </w:pPr>
            <w:r w:rsidRPr="009F337B">
              <w:rPr>
                <w:sz w:val="16"/>
                <w:szCs w:val="16"/>
                <w:lang w:val="en-US"/>
              </w:rPr>
              <w:t>10</w:t>
            </w:r>
          </w:p>
        </w:tc>
        <w:tc>
          <w:tcPr>
            <w:tcW w:w="5211" w:type="dxa"/>
            <w:vAlign w:val="center"/>
          </w:tcPr>
          <w:p w14:paraId="15756CED" w14:textId="06A7B455" w:rsidR="007F3128" w:rsidRPr="009F337B" w:rsidRDefault="00012624" w:rsidP="00F608A7">
            <w:pPr>
              <w:jc w:val="left"/>
              <w:rPr>
                <w:sz w:val="16"/>
                <w:szCs w:val="16"/>
                <w:lang w:val="en-US"/>
              </w:rPr>
            </w:pPr>
            <w:r w:rsidRPr="009F337B">
              <w:rPr>
                <w:sz w:val="16"/>
                <w:szCs w:val="16"/>
                <w:lang w:val="en-US"/>
              </w:rPr>
              <w:t>Lauris Ernestina Juárez Ordo</w:t>
            </w:r>
            <w:r w:rsidR="007F3128" w:rsidRPr="009F337B">
              <w:rPr>
                <w:sz w:val="16"/>
                <w:szCs w:val="16"/>
                <w:lang w:val="en-US"/>
              </w:rPr>
              <w:t>ñez (</w:t>
            </w:r>
            <w:r w:rsidR="0010522A" w:rsidRPr="009F337B">
              <w:rPr>
                <w:sz w:val="16"/>
                <w:szCs w:val="16"/>
                <w:lang w:val="en-US"/>
              </w:rPr>
              <w:t>Granddaughter</w:t>
            </w:r>
            <w:r w:rsidR="007F3128" w:rsidRPr="009F337B">
              <w:rPr>
                <w:sz w:val="16"/>
                <w:szCs w:val="16"/>
                <w:lang w:val="en-US"/>
              </w:rPr>
              <w:t>)</w:t>
            </w:r>
          </w:p>
        </w:tc>
      </w:tr>
      <w:tr w:rsidR="007F3128" w:rsidRPr="00310E7A" w14:paraId="3B9538C7" w14:textId="77777777" w:rsidTr="0010522A">
        <w:tc>
          <w:tcPr>
            <w:tcW w:w="560" w:type="dxa"/>
            <w:gridSpan w:val="2"/>
            <w:vMerge/>
            <w:vAlign w:val="center"/>
          </w:tcPr>
          <w:p w14:paraId="4505FA50" w14:textId="77777777" w:rsidR="007F3128" w:rsidRPr="009F337B" w:rsidRDefault="007F3128" w:rsidP="00F608A7">
            <w:pPr>
              <w:jc w:val="left"/>
              <w:rPr>
                <w:sz w:val="16"/>
                <w:szCs w:val="16"/>
                <w:lang w:val="en-US"/>
              </w:rPr>
            </w:pPr>
          </w:p>
        </w:tc>
        <w:tc>
          <w:tcPr>
            <w:tcW w:w="2950" w:type="dxa"/>
            <w:vMerge/>
            <w:vAlign w:val="center"/>
          </w:tcPr>
          <w:p w14:paraId="11609A5E" w14:textId="77777777" w:rsidR="007F3128" w:rsidRPr="009F337B" w:rsidRDefault="007F3128" w:rsidP="00F608A7">
            <w:pPr>
              <w:jc w:val="left"/>
              <w:rPr>
                <w:sz w:val="16"/>
                <w:szCs w:val="16"/>
                <w:lang w:val="en-US"/>
              </w:rPr>
            </w:pPr>
          </w:p>
        </w:tc>
        <w:tc>
          <w:tcPr>
            <w:tcW w:w="567" w:type="dxa"/>
            <w:vAlign w:val="center"/>
          </w:tcPr>
          <w:p w14:paraId="420ED0AE" w14:textId="77777777" w:rsidR="007F3128" w:rsidRPr="009F337B" w:rsidRDefault="007F3128" w:rsidP="00F608A7">
            <w:pPr>
              <w:jc w:val="left"/>
              <w:rPr>
                <w:sz w:val="16"/>
                <w:szCs w:val="16"/>
                <w:lang w:val="en-US"/>
              </w:rPr>
            </w:pPr>
            <w:r w:rsidRPr="009F337B">
              <w:rPr>
                <w:sz w:val="16"/>
                <w:szCs w:val="16"/>
                <w:lang w:val="en-US"/>
              </w:rPr>
              <w:t>11</w:t>
            </w:r>
          </w:p>
        </w:tc>
        <w:tc>
          <w:tcPr>
            <w:tcW w:w="5211" w:type="dxa"/>
            <w:vAlign w:val="center"/>
          </w:tcPr>
          <w:p w14:paraId="4D687675" w14:textId="0F157DE8" w:rsidR="007F3128" w:rsidRPr="009F337B" w:rsidRDefault="007F3128" w:rsidP="00F608A7">
            <w:pPr>
              <w:jc w:val="left"/>
              <w:rPr>
                <w:sz w:val="16"/>
                <w:szCs w:val="16"/>
                <w:lang w:val="en-US"/>
              </w:rPr>
            </w:pPr>
            <w:r w:rsidRPr="009F337B">
              <w:rPr>
                <w:sz w:val="16"/>
                <w:szCs w:val="16"/>
                <w:lang w:val="en-US"/>
              </w:rPr>
              <w:t>Yeslin Janeth Juárez Ord</w:t>
            </w:r>
            <w:r w:rsidR="00012624" w:rsidRPr="009F337B">
              <w:rPr>
                <w:sz w:val="16"/>
                <w:szCs w:val="16"/>
                <w:lang w:val="en-US"/>
              </w:rPr>
              <w:t>o</w:t>
            </w:r>
            <w:r w:rsidRPr="009F337B">
              <w:rPr>
                <w:sz w:val="16"/>
                <w:szCs w:val="16"/>
                <w:lang w:val="en-US"/>
              </w:rPr>
              <w:t>ñez (</w:t>
            </w:r>
            <w:r w:rsidR="0010522A" w:rsidRPr="009F337B">
              <w:rPr>
                <w:sz w:val="16"/>
                <w:szCs w:val="16"/>
                <w:lang w:val="en-US"/>
              </w:rPr>
              <w:t>Granddaughter</w:t>
            </w:r>
            <w:r w:rsidRPr="009F337B">
              <w:rPr>
                <w:sz w:val="16"/>
                <w:szCs w:val="16"/>
                <w:lang w:val="en-US"/>
              </w:rPr>
              <w:t>)</w:t>
            </w:r>
          </w:p>
        </w:tc>
      </w:tr>
      <w:tr w:rsidR="007F3128" w:rsidRPr="009F337B" w14:paraId="2540C0ED" w14:textId="77777777" w:rsidTr="0010522A">
        <w:tc>
          <w:tcPr>
            <w:tcW w:w="560" w:type="dxa"/>
            <w:gridSpan w:val="2"/>
            <w:vMerge/>
            <w:vAlign w:val="center"/>
          </w:tcPr>
          <w:p w14:paraId="66AFEEB3" w14:textId="77777777" w:rsidR="007F3128" w:rsidRPr="009F337B" w:rsidRDefault="007F3128" w:rsidP="00F608A7">
            <w:pPr>
              <w:jc w:val="left"/>
              <w:rPr>
                <w:sz w:val="16"/>
                <w:szCs w:val="16"/>
                <w:lang w:val="en-US"/>
              </w:rPr>
            </w:pPr>
          </w:p>
        </w:tc>
        <w:tc>
          <w:tcPr>
            <w:tcW w:w="2950" w:type="dxa"/>
            <w:vMerge/>
            <w:vAlign w:val="center"/>
          </w:tcPr>
          <w:p w14:paraId="06654304" w14:textId="77777777" w:rsidR="007F3128" w:rsidRPr="009F337B" w:rsidRDefault="007F3128" w:rsidP="00F608A7">
            <w:pPr>
              <w:jc w:val="left"/>
              <w:rPr>
                <w:sz w:val="16"/>
                <w:szCs w:val="16"/>
                <w:lang w:val="en-US"/>
              </w:rPr>
            </w:pPr>
          </w:p>
        </w:tc>
        <w:tc>
          <w:tcPr>
            <w:tcW w:w="567" w:type="dxa"/>
            <w:vAlign w:val="center"/>
          </w:tcPr>
          <w:p w14:paraId="75C898D6" w14:textId="77777777" w:rsidR="007F3128" w:rsidRPr="009F337B" w:rsidRDefault="007F3128" w:rsidP="00F608A7">
            <w:pPr>
              <w:jc w:val="left"/>
              <w:rPr>
                <w:sz w:val="16"/>
                <w:szCs w:val="16"/>
                <w:lang w:val="en-US"/>
              </w:rPr>
            </w:pPr>
            <w:r w:rsidRPr="009F337B">
              <w:rPr>
                <w:sz w:val="16"/>
                <w:szCs w:val="16"/>
                <w:lang w:val="en-US"/>
              </w:rPr>
              <w:t>12</w:t>
            </w:r>
          </w:p>
        </w:tc>
        <w:tc>
          <w:tcPr>
            <w:tcW w:w="5211" w:type="dxa"/>
            <w:vAlign w:val="center"/>
          </w:tcPr>
          <w:p w14:paraId="2B9C4646" w14:textId="5ACAE269" w:rsidR="007F3128" w:rsidRPr="009F337B" w:rsidRDefault="007F3128" w:rsidP="00F608A7">
            <w:pPr>
              <w:jc w:val="left"/>
              <w:rPr>
                <w:sz w:val="16"/>
                <w:szCs w:val="16"/>
                <w:lang w:val="en-US"/>
              </w:rPr>
            </w:pPr>
            <w:r w:rsidRPr="009F337B">
              <w:rPr>
                <w:sz w:val="16"/>
                <w:szCs w:val="16"/>
                <w:lang w:val="en-US"/>
              </w:rPr>
              <w:t>Ivan Juárez Ord</w:t>
            </w:r>
            <w:r w:rsidR="00012624" w:rsidRPr="009F337B">
              <w:rPr>
                <w:sz w:val="16"/>
                <w:szCs w:val="16"/>
                <w:lang w:val="en-US"/>
              </w:rPr>
              <w:t>o</w:t>
            </w:r>
            <w:r w:rsidRPr="009F337B">
              <w:rPr>
                <w:sz w:val="16"/>
                <w:szCs w:val="16"/>
                <w:lang w:val="en-US"/>
              </w:rPr>
              <w:t>ñez (</w:t>
            </w:r>
            <w:r w:rsidR="0010522A" w:rsidRPr="009F337B">
              <w:rPr>
                <w:sz w:val="16"/>
                <w:szCs w:val="16"/>
                <w:lang w:val="en-US"/>
              </w:rPr>
              <w:t>Grandson</w:t>
            </w:r>
            <w:r w:rsidRPr="009F337B">
              <w:rPr>
                <w:sz w:val="16"/>
                <w:szCs w:val="16"/>
                <w:lang w:val="en-US"/>
              </w:rPr>
              <w:t>)</w:t>
            </w:r>
          </w:p>
        </w:tc>
      </w:tr>
      <w:tr w:rsidR="007F3128" w:rsidRPr="00310E7A" w14:paraId="1DEC1950" w14:textId="77777777" w:rsidTr="0010522A">
        <w:tc>
          <w:tcPr>
            <w:tcW w:w="560" w:type="dxa"/>
            <w:gridSpan w:val="2"/>
            <w:vMerge w:val="restart"/>
            <w:vAlign w:val="center"/>
          </w:tcPr>
          <w:p w14:paraId="4036013D" w14:textId="77777777" w:rsidR="007F3128" w:rsidRPr="009F337B" w:rsidRDefault="007F3128" w:rsidP="00F608A7">
            <w:pPr>
              <w:jc w:val="left"/>
              <w:rPr>
                <w:sz w:val="16"/>
                <w:szCs w:val="16"/>
                <w:lang w:val="en-US"/>
              </w:rPr>
            </w:pPr>
            <w:r w:rsidRPr="009F337B">
              <w:rPr>
                <w:sz w:val="16"/>
                <w:szCs w:val="16"/>
                <w:lang w:val="en-US"/>
              </w:rPr>
              <w:t>20</w:t>
            </w:r>
          </w:p>
        </w:tc>
        <w:tc>
          <w:tcPr>
            <w:tcW w:w="2950" w:type="dxa"/>
            <w:vMerge w:val="restart"/>
            <w:vAlign w:val="center"/>
          </w:tcPr>
          <w:p w14:paraId="72DA6363" w14:textId="571DE810" w:rsidR="007F3128" w:rsidRPr="00542AB5" w:rsidRDefault="00A746EE" w:rsidP="00F608A7">
            <w:pPr>
              <w:jc w:val="left"/>
              <w:rPr>
                <w:sz w:val="16"/>
                <w:szCs w:val="16"/>
                <w:lang w:val="es-CR"/>
              </w:rPr>
            </w:pPr>
            <w:r w:rsidRPr="00542AB5">
              <w:rPr>
                <w:sz w:val="16"/>
                <w:szCs w:val="16"/>
                <w:lang w:val="es-CR"/>
              </w:rPr>
              <w:t>Luis Rubén Isabel A</w:t>
            </w:r>
            <w:r w:rsidR="007F3128" w:rsidRPr="00542AB5">
              <w:rPr>
                <w:sz w:val="16"/>
                <w:szCs w:val="16"/>
                <w:lang w:val="es-CR"/>
              </w:rPr>
              <w:t>lvarez Flores</w:t>
            </w:r>
          </w:p>
        </w:tc>
        <w:tc>
          <w:tcPr>
            <w:tcW w:w="567" w:type="dxa"/>
            <w:vAlign w:val="center"/>
          </w:tcPr>
          <w:p w14:paraId="3F23D230" w14:textId="77777777" w:rsidR="007F3128" w:rsidRPr="009F337B" w:rsidRDefault="007F3128" w:rsidP="00F608A7">
            <w:pPr>
              <w:jc w:val="left"/>
              <w:rPr>
                <w:sz w:val="16"/>
                <w:szCs w:val="16"/>
                <w:lang w:val="en-US"/>
              </w:rPr>
            </w:pPr>
            <w:r w:rsidRPr="009F337B">
              <w:rPr>
                <w:sz w:val="16"/>
                <w:szCs w:val="16"/>
                <w:lang w:val="en-US"/>
              </w:rPr>
              <w:t>1</w:t>
            </w:r>
          </w:p>
        </w:tc>
        <w:tc>
          <w:tcPr>
            <w:tcW w:w="5211" w:type="dxa"/>
            <w:vAlign w:val="center"/>
          </w:tcPr>
          <w:p w14:paraId="5C4353A0" w14:textId="444B73FD" w:rsidR="007F3128" w:rsidRPr="009F337B" w:rsidRDefault="007F3128" w:rsidP="00F608A7">
            <w:pPr>
              <w:tabs>
                <w:tab w:val="left" w:pos="1277"/>
              </w:tabs>
              <w:jc w:val="left"/>
              <w:rPr>
                <w:sz w:val="16"/>
                <w:szCs w:val="16"/>
                <w:lang w:val="en-US"/>
              </w:rPr>
            </w:pPr>
            <w:r w:rsidRPr="009F337B">
              <w:rPr>
                <w:sz w:val="16"/>
                <w:szCs w:val="16"/>
                <w:lang w:val="en-US"/>
              </w:rPr>
              <w:t xml:space="preserve">Julio Rubén </w:t>
            </w:r>
            <w:r w:rsidR="00E25C46" w:rsidRPr="009F337B">
              <w:rPr>
                <w:sz w:val="16"/>
                <w:szCs w:val="16"/>
                <w:lang w:val="en-US"/>
              </w:rPr>
              <w:t>A</w:t>
            </w:r>
            <w:r w:rsidRPr="009F337B">
              <w:rPr>
                <w:sz w:val="16"/>
                <w:szCs w:val="16"/>
                <w:lang w:val="en-US"/>
              </w:rPr>
              <w:t>lvarez Chinchila (</w:t>
            </w:r>
            <w:r w:rsidR="0010522A" w:rsidRPr="009F337B">
              <w:rPr>
                <w:sz w:val="16"/>
                <w:szCs w:val="16"/>
                <w:lang w:val="en-US"/>
              </w:rPr>
              <w:t>Father</w:t>
            </w:r>
            <w:r w:rsidRPr="009F337B">
              <w:rPr>
                <w:sz w:val="16"/>
                <w:szCs w:val="16"/>
                <w:lang w:val="en-US"/>
              </w:rPr>
              <w:t>)</w:t>
            </w:r>
          </w:p>
        </w:tc>
      </w:tr>
      <w:tr w:rsidR="007F3128" w:rsidRPr="009F337B" w14:paraId="31CA88C8" w14:textId="77777777" w:rsidTr="0010522A">
        <w:tc>
          <w:tcPr>
            <w:tcW w:w="560" w:type="dxa"/>
            <w:gridSpan w:val="2"/>
            <w:vMerge/>
            <w:vAlign w:val="center"/>
          </w:tcPr>
          <w:p w14:paraId="0593D307" w14:textId="77777777" w:rsidR="007F3128" w:rsidRPr="009F337B" w:rsidRDefault="007F3128" w:rsidP="00F608A7">
            <w:pPr>
              <w:jc w:val="left"/>
              <w:rPr>
                <w:sz w:val="16"/>
                <w:szCs w:val="16"/>
                <w:lang w:val="en-US"/>
              </w:rPr>
            </w:pPr>
          </w:p>
        </w:tc>
        <w:tc>
          <w:tcPr>
            <w:tcW w:w="2950" w:type="dxa"/>
            <w:vMerge/>
            <w:vAlign w:val="center"/>
          </w:tcPr>
          <w:p w14:paraId="13137987" w14:textId="77777777" w:rsidR="007F3128" w:rsidRPr="009F337B" w:rsidRDefault="007F3128" w:rsidP="00F608A7">
            <w:pPr>
              <w:jc w:val="left"/>
              <w:rPr>
                <w:sz w:val="16"/>
                <w:szCs w:val="16"/>
                <w:lang w:val="en-US"/>
              </w:rPr>
            </w:pPr>
          </w:p>
        </w:tc>
        <w:tc>
          <w:tcPr>
            <w:tcW w:w="567" w:type="dxa"/>
            <w:vAlign w:val="center"/>
          </w:tcPr>
          <w:p w14:paraId="6D29FC8B" w14:textId="77777777" w:rsidR="007F3128" w:rsidRPr="009F337B" w:rsidRDefault="007F3128" w:rsidP="00F608A7">
            <w:pPr>
              <w:jc w:val="left"/>
              <w:rPr>
                <w:sz w:val="16"/>
                <w:szCs w:val="16"/>
                <w:lang w:val="en-US"/>
              </w:rPr>
            </w:pPr>
            <w:r w:rsidRPr="009F337B">
              <w:rPr>
                <w:sz w:val="16"/>
                <w:szCs w:val="16"/>
                <w:lang w:val="en-US"/>
              </w:rPr>
              <w:t>2</w:t>
            </w:r>
          </w:p>
        </w:tc>
        <w:tc>
          <w:tcPr>
            <w:tcW w:w="5211" w:type="dxa"/>
            <w:vAlign w:val="center"/>
          </w:tcPr>
          <w:p w14:paraId="7ECA4BCA" w14:textId="2500BC62" w:rsidR="007F3128" w:rsidRPr="009F337B" w:rsidRDefault="007F3128" w:rsidP="00F608A7">
            <w:pPr>
              <w:tabs>
                <w:tab w:val="left" w:pos="1277"/>
              </w:tabs>
              <w:jc w:val="left"/>
              <w:rPr>
                <w:sz w:val="16"/>
                <w:szCs w:val="16"/>
                <w:lang w:val="en-US"/>
              </w:rPr>
            </w:pPr>
            <w:r w:rsidRPr="009F337B">
              <w:rPr>
                <w:sz w:val="16"/>
                <w:szCs w:val="16"/>
                <w:lang w:val="en-US"/>
              </w:rPr>
              <w:t>Margarita Flores Cuiza (</w:t>
            </w:r>
            <w:r w:rsidR="0010522A" w:rsidRPr="009F337B">
              <w:rPr>
                <w:sz w:val="16"/>
                <w:szCs w:val="16"/>
                <w:lang w:val="en-US"/>
              </w:rPr>
              <w:t>Mother</w:t>
            </w:r>
            <w:r w:rsidRPr="009F337B">
              <w:rPr>
                <w:sz w:val="16"/>
                <w:szCs w:val="16"/>
                <w:lang w:val="en-US"/>
              </w:rPr>
              <w:t xml:space="preserve">, </w:t>
            </w:r>
            <w:r w:rsidR="0010522A" w:rsidRPr="009F337B">
              <w:rPr>
                <w:sz w:val="16"/>
                <w:szCs w:val="16"/>
                <w:lang w:val="en-US"/>
              </w:rPr>
              <w:t>deceased</w:t>
            </w:r>
            <w:r w:rsidRPr="009F337B">
              <w:rPr>
                <w:sz w:val="16"/>
                <w:szCs w:val="16"/>
                <w:lang w:val="en-US"/>
              </w:rPr>
              <w:t>)</w:t>
            </w:r>
          </w:p>
        </w:tc>
      </w:tr>
      <w:tr w:rsidR="007F3128" w:rsidRPr="009F337B" w14:paraId="402D35F3" w14:textId="77777777" w:rsidTr="0010522A">
        <w:tc>
          <w:tcPr>
            <w:tcW w:w="560" w:type="dxa"/>
            <w:gridSpan w:val="2"/>
            <w:vMerge/>
            <w:vAlign w:val="center"/>
          </w:tcPr>
          <w:p w14:paraId="41EE38FF" w14:textId="77777777" w:rsidR="007F3128" w:rsidRPr="009F337B" w:rsidRDefault="007F3128" w:rsidP="00F608A7">
            <w:pPr>
              <w:jc w:val="left"/>
              <w:rPr>
                <w:sz w:val="16"/>
                <w:szCs w:val="16"/>
                <w:lang w:val="en-US"/>
              </w:rPr>
            </w:pPr>
          </w:p>
        </w:tc>
        <w:tc>
          <w:tcPr>
            <w:tcW w:w="2950" w:type="dxa"/>
            <w:vMerge/>
            <w:vAlign w:val="center"/>
          </w:tcPr>
          <w:p w14:paraId="6B0D6E65" w14:textId="77777777" w:rsidR="007F3128" w:rsidRPr="009F337B" w:rsidRDefault="007F3128" w:rsidP="00F608A7">
            <w:pPr>
              <w:jc w:val="left"/>
              <w:rPr>
                <w:sz w:val="16"/>
                <w:szCs w:val="16"/>
                <w:lang w:val="en-US"/>
              </w:rPr>
            </w:pPr>
          </w:p>
        </w:tc>
        <w:tc>
          <w:tcPr>
            <w:tcW w:w="567" w:type="dxa"/>
            <w:vAlign w:val="center"/>
          </w:tcPr>
          <w:p w14:paraId="7D50F7C6" w14:textId="77777777" w:rsidR="007F3128" w:rsidRPr="009F337B" w:rsidRDefault="007F3128" w:rsidP="00F608A7">
            <w:pPr>
              <w:jc w:val="left"/>
              <w:rPr>
                <w:sz w:val="16"/>
                <w:szCs w:val="16"/>
                <w:lang w:val="en-US"/>
              </w:rPr>
            </w:pPr>
            <w:r w:rsidRPr="009F337B">
              <w:rPr>
                <w:sz w:val="16"/>
                <w:szCs w:val="16"/>
                <w:lang w:val="en-US"/>
              </w:rPr>
              <w:t>3</w:t>
            </w:r>
          </w:p>
        </w:tc>
        <w:tc>
          <w:tcPr>
            <w:tcW w:w="5211" w:type="dxa"/>
            <w:vAlign w:val="center"/>
          </w:tcPr>
          <w:p w14:paraId="263E541A" w14:textId="55354F08" w:rsidR="007F3128" w:rsidRPr="00542AB5" w:rsidRDefault="007F3128" w:rsidP="00F608A7">
            <w:pPr>
              <w:tabs>
                <w:tab w:val="left" w:pos="1277"/>
              </w:tabs>
              <w:jc w:val="left"/>
              <w:rPr>
                <w:sz w:val="16"/>
                <w:szCs w:val="16"/>
                <w:lang w:val="es-CR"/>
              </w:rPr>
            </w:pPr>
            <w:r w:rsidRPr="00542AB5">
              <w:rPr>
                <w:sz w:val="16"/>
                <w:szCs w:val="16"/>
                <w:lang w:val="es-CR"/>
              </w:rPr>
              <w:t xml:space="preserve">Atilio Sabas </w:t>
            </w:r>
            <w:r w:rsidR="00E25C46" w:rsidRPr="00542AB5">
              <w:rPr>
                <w:sz w:val="16"/>
                <w:szCs w:val="16"/>
                <w:lang w:val="es-CR"/>
              </w:rPr>
              <w:t>A</w:t>
            </w:r>
            <w:r w:rsidRPr="00542AB5">
              <w:rPr>
                <w:sz w:val="16"/>
                <w:szCs w:val="16"/>
                <w:lang w:val="es-CR"/>
              </w:rPr>
              <w:t>lvarez Flores (</w:t>
            </w:r>
            <w:r w:rsidR="0010522A" w:rsidRPr="00542AB5">
              <w:rPr>
                <w:sz w:val="16"/>
                <w:szCs w:val="16"/>
                <w:lang w:val="es-CR"/>
              </w:rPr>
              <w:t>Brother</w:t>
            </w:r>
            <w:r w:rsidRPr="00542AB5">
              <w:rPr>
                <w:sz w:val="16"/>
                <w:szCs w:val="16"/>
                <w:lang w:val="es-CR"/>
              </w:rPr>
              <w:t>)</w:t>
            </w:r>
          </w:p>
        </w:tc>
      </w:tr>
      <w:tr w:rsidR="007F3128" w:rsidRPr="009F337B" w14:paraId="7230563D" w14:textId="77777777" w:rsidTr="0010522A">
        <w:tc>
          <w:tcPr>
            <w:tcW w:w="560" w:type="dxa"/>
            <w:gridSpan w:val="2"/>
            <w:vMerge/>
            <w:vAlign w:val="center"/>
          </w:tcPr>
          <w:p w14:paraId="217B7037" w14:textId="77777777" w:rsidR="007F3128" w:rsidRPr="00542AB5" w:rsidRDefault="007F3128" w:rsidP="00F608A7">
            <w:pPr>
              <w:jc w:val="left"/>
              <w:rPr>
                <w:sz w:val="16"/>
                <w:szCs w:val="16"/>
                <w:lang w:val="es-CR"/>
              </w:rPr>
            </w:pPr>
          </w:p>
        </w:tc>
        <w:tc>
          <w:tcPr>
            <w:tcW w:w="2950" w:type="dxa"/>
            <w:vMerge/>
            <w:vAlign w:val="center"/>
          </w:tcPr>
          <w:p w14:paraId="178CA5A8" w14:textId="77777777" w:rsidR="007F3128" w:rsidRPr="00542AB5" w:rsidRDefault="007F3128" w:rsidP="00F608A7">
            <w:pPr>
              <w:jc w:val="left"/>
              <w:rPr>
                <w:sz w:val="16"/>
                <w:szCs w:val="16"/>
                <w:lang w:val="es-CR"/>
              </w:rPr>
            </w:pPr>
          </w:p>
        </w:tc>
        <w:tc>
          <w:tcPr>
            <w:tcW w:w="567" w:type="dxa"/>
            <w:vAlign w:val="center"/>
          </w:tcPr>
          <w:p w14:paraId="09BBCFF0" w14:textId="77777777" w:rsidR="007F3128" w:rsidRPr="009F337B" w:rsidRDefault="007F3128" w:rsidP="00F608A7">
            <w:pPr>
              <w:jc w:val="left"/>
              <w:rPr>
                <w:sz w:val="16"/>
                <w:szCs w:val="16"/>
                <w:lang w:val="en-US"/>
              </w:rPr>
            </w:pPr>
            <w:r w:rsidRPr="009F337B">
              <w:rPr>
                <w:sz w:val="16"/>
                <w:szCs w:val="16"/>
                <w:lang w:val="en-US"/>
              </w:rPr>
              <w:t>4</w:t>
            </w:r>
          </w:p>
        </w:tc>
        <w:tc>
          <w:tcPr>
            <w:tcW w:w="5211" w:type="dxa"/>
            <w:vAlign w:val="center"/>
          </w:tcPr>
          <w:p w14:paraId="0524DC9E" w14:textId="3721B8B3" w:rsidR="007F3128" w:rsidRPr="009F337B" w:rsidRDefault="007F3128" w:rsidP="00F608A7">
            <w:pPr>
              <w:tabs>
                <w:tab w:val="left" w:pos="1277"/>
              </w:tabs>
              <w:jc w:val="left"/>
              <w:rPr>
                <w:sz w:val="16"/>
                <w:szCs w:val="16"/>
                <w:lang w:val="en-US"/>
              </w:rPr>
            </w:pPr>
            <w:r w:rsidRPr="009F337B">
              <w:rPr>
                <w:sz w:val="16"/>
                <w:szCs w:val="16"/>
                <w:lang w:val="en-US"/>
              </w:rPr>
              <w:t xml:space="preserve">Lileana </w:t>
            </w:r>
            <w:r w:rsidR="00E25C46" w:rsidRPr="009F337B">
              <w:rPr>
                <w:sz w:val="16"/>
                <w:szCs w:val="16"/>
                <w:lang w:val="en-US"/>
              </w:rPr>
              <w:t>A</w:t>
            </w:r>
            <w:r w:rsidRPr="009F337B">
              <w:rPr>
                <w:sz w:val="16"/>
                <w:szCs w:val="16"/>
                <w:lang w:val="en-US"/>
              </w:rPr>
              <w:t>lvarez Flores (</w:t>
            </w:r>
            <w:r w:rsidR="0010522A" w:rsidRPr="009F337B">
              <w:rPr>
                <w:sz w:val="16"/>
                <w:szCs w:val="16"/>
                <w:lang w:val="en-US"/>
              </w:rPr>
              <w:t>sister</w:t>
            </w:r>
            <w:r w:rsidRPr="009F337B">
              <w:rPr>
                <w:sz w:val="16"/>
                <w:szCs w:val="16"/>
                <w:lang w:val="en-US"/>
              </w:rPr>
              <w:t>)</w:t>
            </w:r>
          </w:p>
        </w:tc>
      </w:tr>
      <w:tr w:rsidR="007F3128" w:rsidRPr="009F337B" w14:paraId="0A029BE4" w14:textId="77777777" w:rsidTr="0010522A">
        <w:tc>
          <w:tcPr>
            <w:tcW w:w="560" w:type="dxa"/>
            <w:gridSpan w:val="2"/>
            <w:vMerge/>
            <w:vAlign w:val="center"/>
          </w:tcPr>
          <w:p w14:paraId="43694EE2" w14:textId="77777777" w:rsidR="007F3128" w:rsidRPr="009F337B" w:rsidRDefault="007F3128" w:rsidP="00F608A7">
            <w:pPr>
              <w:jc w:val="left"/>
              <w:rPr>
                <w:sz w:val="16"/>
                <w:szCs w:val="16"/>
                <w:lang w:val="en-US"/>
              </w:rPr>
            </w:pPr>
          </w:p>
        </w:tc>
        <w:tc>
          <w:tcPr>
            <w:tcW w:w="2950" w:type="dxa"/>
            <w:vMerge/>
            <w:vAlign w:val="center"/>
          </w:tcPr>
          <w:p w14:paraId="3A03FD28" w14:textId="77777777" w:rsidR="007F3128" w:rsidRPr="009F337B" w:rsidRDefault="007F3128" w:rsidP="00F608A7">
            <w:pPr>
              <w:jc w:val="left"/>
              <w:rPr>
                <w:sz w:val="16"/>
                <w:szCs w:val="16"/>
                <w:lang w:val="en-US"/>
              </w:rPr>
            </w:pPr>
          </w:p>
        </w:tc>
        <w:tc>
          <w:tcPr>
            <w:tcW w:w="567" w:type="dxa"/>
            <w:vAlign w:val="center"/>
          </w:tcPr>
          <w:p w14:paraId="4613C531" w14:textId="77777777" w:rsidR="007F3128" w:rsidRPr="009F337B" w:rsidRDefault="007F3128" w:rsidP="00F608A7">
            <w:pPr>
              <w:jc w:val="left"/>
              <w:rPr>
                <w:sz w:val="16"/>
                <w:szCs w:val="16"/>
                <w:lang w:val="en-US"/>
              </w:rPr>
            </w:pPr>
            <w:r w:rsidRPr="009F337B">
              <w:rPr>
                <w:sz w:val="16"/>
                <w:szCs w:val="16"/>
                <w:lang w:val="en-US"/>
              </w:rPr>
              <w:t>5</w:t>
            </w:r>
          </w:p>
        </w:tc>
        <w:tc>
          <w:tcPr>
            <w:tcW w:w="5211" w:type="dxa"/>
            <w:vAlign w:val="center"/>
          </w:tcPr>
          <w:p w14:paraId="7F80C496" w14:textId="3A6D3AB6" w:rsidR="007F3128" w:rsidRPr="009F337B" w:rsidRDefault="007F3128" w:rsidP="00F608A7">
            <w:pPr>
              <w:tabs>
                <w:tab w:val="left" w:pos="1277"/>
              </w:tabs>
              <w:jc w:val="left"/>
              <w:rPr>
                <w:sz w:val="16"/>
                <w:szCs w:val="16"/>
                <w:lang w:val="en-US"/>
              </w:rPr>
            </w:pPr>
            <w:r w:rsidRPr="009F337B">
              <w:rPr>
                <w:sz w:val="16"/>
                <w:szCs w:val="16"/>
                <w:lang w:val="en-US"/>
              </w:rPr>
              <w:t xml:space="preserve">Victoriano Estanislao </w:t>
            </w:r>
            <w:r w:rsidR="00E25C46" w:rsidRPr="009F337B">
              <w:rPr>
                <w:sz w:val="16"/>
                <w:szCs w:val="16"/>
                <w:lang w:val="en-US"/>
              </w:rPr>
              <w:t>A</w:t>
            </w:r>
            <w:r w:rsidRPr="009F337B">
              <w:rPr>
                <w:sz w:val="16"/>
                <w:szCs w:val="16"/>
                <w:lang w:val="en-US"/>
              </w:rPr>
              <w:t>lvarez Flores (</w:t>
            </w:r>
            <w:r w:rsidR="0010522A" w:rsidRPr="009F337B">
              <w:rPr>
                <w:sz w:val="16"/>
                <w:szCs w:val="16"/>
                <w:lang w:val="en-US"/>
              </w:rPr>
              <w:t>Brother</w:t>
            </w:r>
            <w:r w:rsidRPr="009F337B">
              <w:rPr>
                <w:sz w:val="16"/>
                <w:szCs w:val="16"/>
                <w:lang w:val="en-US"/>
              </w:rPr>
              <w:t>)</w:t>
            </w:r>
          </w:p>
        </w:tc>
      </w:tr>
      <w:tr w:rsidR="007F3128" w:rsidRPr="009F337B" w14:paraId="0CDACE48" w14:textId="77777777" w:rsidTr="0010522A">
        <w:tc>
          <w:tcPr>
            <w:tcW w:w="560" w:type="dxa"/>
            <w:gridSpan w:val="2"/>
            <w:vMerge/>
            <w:vAlign w:val="center"/>
          </w:tcPr>
          <w:p w14:paraId="212334CD" w14:textId="77777777" w:rsidR="007F3128" w:rsidRPr="009F337B" w:rsidRDefault="007F3128" w:rsidP="00F608A7">
            <w:pPr>
              <w:jc w:val="left"/>
              <w:rPr>
                <w:sz w:val="16"/>
                <w:szCs w:val="16"/>
                <w:lang w:val="en-US"/>
              </w:rPr>
            </w:pPr>
          </w:p>
        </w:tc>
        <w:tc>
          <w:tcPr>
            <w:tcW w:w="2950" w:type="dxa"/>
            <w:vMerge/>
            <w:vAlign w:val="center"/>
          </w:tcPr>
          <w:p w14:paraId="5EAD4E13" w14:textId="77777777" w:rsidR="007F3128" w:rsidRPr="009F337B" w:rsidRDefault="007F3128" w:rsidP="00F608A7">
            <w:pPr>
              <w:jc w:val="left"/>
              <w:rPr>
                <w:sz w:val="16"/>
                <w:szCs w:val="16"/>
                <w:lang w:val="en-US"/>
              </w:rPr>
            </w:pPr>
          </w:p>
        </w:tc>
        <w:tc>
          <w:tcPr>
            <w:tcW w:w="567" w:type="dxa"/>
            <w:vAlign w:val="center"/>
          </w:tcPr>
          <w:p w14:paraId="3999122F" w14:textId="77777777" w:rsidR="007F3128" w:rsidRPr="009F337B" w:rsidRDefault="007F3128" w:rsidP="00F608A7">
            <w:pPr>
              <w:jc w:val="left"/>
              <w:rPr>
                <w:sz w:val="16"/>
                <w:szCs w:val="16"/>
                <w:lang w:val="en-US"/>
              </w:rPr>
            </w:pPr>
            <w:r w:rsidRPr="009F337B">
              <w:rPr>
                <w:sz w:val="16"/>
                <w:szCs w:val="16"/>
                <w:lang w:val="en-US"/>
              </w:rPr>
              <w:t>6</w:t>
            </w:r>
          </w:p>
        </w:tc>
        <w:tc>
          <w:tcPr>
            <w:tcW w:w="5211" w:type="dxa"/>
            <w:vAlign w:val="center"/>
          </w:tcPr>
          <w:p w14:paraId="405B6267" w14:textId="369759D1" w:rsidR="007F3128" w:rsidRPr="00542AB5" w:rsidRDefault="007F3128" w:rsidP="00F608A7">
            <w:pPr>
              <w:tabs>
                <w:tab w:val="left" w:pos="1277"/>
              </w:tabs>
              <w:jc w:val="left"/>
              <w:rPr>
                <w:sz w:val="16"/>
                <w:szCs w:val="16"/>
                <w:lang w:val="es-CR"/>
              </w:rPr>
            </w:pPr>
            <w:r w:rsidRPr="00542AB5">
              <w:rPr>
                <w:sz w:val="16"/>
                <w:szCs w:val="16"/>
                <w:lang w:val="es-CR"/>
              </w:rPr>
              <w:t xml:space="preserve">Julio Antonio </w:t>
            </w:r>
            <w:r w:rsidR="00E25C46" w:rsidRPr="00542AB5">
              <w:rPr>
                <w:sz w:val="16"/>
                <w:szCs w:val="16"/>
                <w:lang w:val="es-CR"/>
              </w:rPr>
              <w:t>A</w:t>
            </w:r>
            <w:r w:rsidRPr="00542AB5">
              <w:rPr>
                <w:sz w:val="16"/>
                <w:szCs w:val="16"/>
                <w:lang w:val="es-CR"/>
              </w:rPr>
              <w:t>lvarez Flores (</w:t>
            </w:r>
            <w:r w:rsidR="0010522A" w:rsidRPr="00542AB5">
              <w:rPr>
                <w:sz w:val="16"/>
                <w:szCs w:val="16"/>
                <w:lang w:val="es-CR"/>
              </w:rPr>
              <w:t>Brother</w:t>
            </w:r>
            <w:r w:rsidRPr="00542AB5">
              <w:rPr>
                <w:sz w:val="16"/>
                <w:szCs w:val="16"/>
                <w:lang w:val="es-CR"/>
              </w:rPr>
              <w:t>)</w:t>
            </w:r>
          </w:p>
        </w:tc>
      </w:tr>
      <w:tr w:rsidR="007F3128" w:rsidRPr="009F337B" w14:paraId="0BE7A34E" w14:textId="77777777" w:rsidTr="0010522A">
        <w:tc>
          <w:tcPr>
            <w:tcW w:w="560" w:type="dxa"/>
            <w:gridSpan w:val="2"/>
            <w:vMerge/>
            <w:vAlign w:val="center"/>
          </w:tcPr>
          <w:p w14:paraId="412850DC" w14:textId="77777777" w:rsidR="007F3128" w:rsidRPr="00542AB5" w:rsidRDefault="007F3128" w:rsidP="00F608A7">
            <w:pPr>
              <w:jc w:val="left"/>
              <w:rPr>
                <w:sz w:val="16"/>
                <w:szCs w:val="16"/>
                <w:lang w:val="es-CR"/>
              </w:rPr>
            </w:pPr>
          </w:p>
        </w:tc>
        <w:tc>
          <w:tcPr>
            <w:tcW w:w="2950" w:type="dxa"/>
            <w:vMerge/>
            <w:vAlign w:val="center"/>
          </w:tcPr>
          <w:p w14:paraId="42B2E44F" w14:textId="77777777" w:rsidR="007F3128" w:rsidRPr="00542AB5" w:rsidRDefault="007F3128" w:rsidP="00F608A7">
            <w:pPr>
              <w:jc w:val="left"/>
              <w:rPr>
                <w:sz w:val="16"/>
                <w:szCs w:val="16"/>
                <w:lang w:val="es-CR"/>
              </w:rPr>
            </w:pPr>
          </w:p>
        </w:tc>
        <w:tc>
          <w:tcPr>
            <w:tcW w:w="567" w:type="dxa"/>
            <w:vAlign w:val="center"/>
          </w:tcPr>
          <w:p w14:paraId="63ED831D" w14:textId="77777777" w:rsidR="007F3128" w:rsidRPr="009F337B" w:rsidRDefault="007F3128" w:rsidP="00F608A7">
            <w:pPr>
              <w:jc w:val="left"/>
              <w:rPr>
                <w:sz w:val="16"/>
                <w:szCs w:val="16"/>
                <w:lang w:val="en-US"/>
              </w:rPr>
            </w:pPr>
            <w:r w:rsidRPr="009F337B">
              <w:rPr>
                <w:sz w:val="16"/>
                <w:szCs w:val="16"/>
                <w:lang w:val="en-US"/>
              </w:rPr>
              <w:t>7</w:t>
            </w:r>
          </w:p>
        </w:tc>
        <w:tc>
          <w:tcPr>
            <w:tcW w:w="5211" w:type="dxa"/>
            <w:vAlign w:val="center"/>
          </w:tcPr>
          <w:p w14:paraId="29CBD643" w14:textId="05D496E7" w:rsidR="007F3128" w:rsidRPr="00542AB5" w:rsidRDefault="007F3128" w:rsidP="00F608A7">
            <w:pPr>
              <w:tabs>
                <w:tab w:val="left" w:pos="1277"/>
              </w:tabs>
              <w:jc w:val="left"/>
              <w:rPr>
                <w:sz w:val="16"/>
                <w:szCs w:val="16"/>
                <w:lang w:val="es-CR"/>
              </w:rPr>
            </w:pPr>
            <w:r w:rsidRPr="00542AB5">
              <w:rPr>
                <w:sz w:val="16"/>
                <w:szCs w:val="16"/>
                <w:lang w:val="es-CR"/>
              </w:rPr>
              <w:t xml:space="preserve">Samuel Gonzalo </w:t>
            </w:r>
            <w:r w:rsidR="00E25C46" w:rsidRPr="00542AB5">
              <w:rPr>
                <w:sz w:val="16"/>
                <w:szCs w:val="16"/>
                <w:lang w:val="es-CR"/>
              </w:rPr>
              <w:t>A</w:t>
            </w:r>
            <w:r w:rsidRPr="00542AB5">
              <w:rPr>
                <w:sz w:val="16"/>
                <w:szCs w:val="16"/>
                <w:lang w:val="es-CR"/>
              </w:rPr>
              <w:t>lvarez Flores (</w:t>
            </w:r>
            <w:r w:rsidR="0010522A" w:rsidRPr="00542AB5">
              <w:rPr>
                <w:sz w:val="16"/>
                <w:szCs w:val="16"/>
                <w:lang w:val="es-CR"/>
              </w:rPr>
              <w:t>Brother</w:t>
            </w:r>
            <w:r w:rsidRPr="00542AB5">
              <w:rPr>
                <w:sz w:val="16"/>
                <w:szCs w:val="16"/>
                <w:lang w:val="es-CR"/>
              </w:rPr>
              <w:t>)</w:t>
            </w:r>
          </w:p>
        </w:tc>
      </w:tr>
      <w:tr w:rsidR="007F3128" w:rsidRPr="009F337B" w14:paraId="2528CD30" w14:textId="77777777" w:rsidTr="0010522A">
        <w:tc>
          <w:tcPr>
            <w:tcW w:w="560" w:type="dxa"/>
            <w:gridSpan w:val="2"/>
            <w:vAlign w:val="center"/>
          </w:tcPr>
          <w:p w14:paraId="5070AE71" w14:textId="77777777" w:rsidR="007F3128" w:rsidRPr="009F337B" w:rsidRDefault="007F3128" w:rsidP="00F608A7">
            <w:pPr>
              <w:jc w:val="left"/>
              <w:rPr>
                <w:sz w:val="16"/>
                <w:szCs w:val="16"/>
                <w:lang w:val="en-US"/>
              </w:rPr>
            </w:pPr>
            <w:r w:rsidRPr="009F337B">
              <w:rPr>
                <w:sz w:val="16"/>
                <w:szCs w:val="16"/>
                <w:lang w:val="en-US"/>
              </w:rPr>
              <w:t>21</w:t>
            </w:r>
          </w:p>
        </w:tc>
        <w:tc>
          <w:tcPr>
            <w:tcW w:w="2950" w:type="dxa"/>
            <w:vAlign w:val="center"/>
          </w:tcPr>
          <w:p w14:paraId="0DE10D5B" w14:textId="01AD46E6" w:rsidR="007F3128" w:rsidRPr="009F337B" w:rsidRDefault="007F3128" w:rsidP="00F608A7">
            <w:pPr>
              <w:jc w:val="left"/>
              <w:rPr>
                <w:sz w:val="16"/>
                <w:szCs w:val="16"/>
                <w:lang w:val="en-US"/>
              </w:rPr>
            </w:pPr>
            <w:r w:rsidRPr="009F337B">
              <w:rPr>
                <w:sz w:val="16"/>
                <w:szCs w:val="16"/>
                <w:lang w:val="en-US"/>
              </w:rPr>
              <w:t>Ingrid Janeth Barillas Martínez</w:t>
            </w:r>
          </w:p>
        </w:tc>
        <w:tc>
          <w:tcPr>
            <w:tcW w:w="567" w:type="dxa"/>
            <w:vAlign w:val="center"/>
          </w:tcPr>
          <w:p w14:paraId="0DCA098B" w14:textId="77777777" w:rsidR="007F3128" w:rsidRPr="009F337B" w:rsidRDefault="007F3128" w:rsidP="00F608A7">
            <w:pPr>
              <w:jc w:val="left"/>
              <w:rPr>
                <w:sz w:val="16"/>
                <w:szCs w:val="16"/>
                <w:lang w:val="en-US"/>
              </w:rPr>
            </w:pPr>
          </w:p>
        </w:tc>
        <w:tc>
          <w:tcPr>
            <w:tcW w:w="5211" w:type="dxa"/>
            <w:vAlign w:val="center"/>
          </w:tcPr>
          <w:p w14:paraId="1ADCD6CA" w14:textId="1AC5CF71" w:rsidR="007F3128" w:rsidRPr="009F337B" w:rsidRDefault="0010522A" w:rsidP="00F608A7">
            <w:pPr>
              <w:jc w:val="left"/>
              <w:rPr>
                <w:sz w:val="16"/>
                <w:szCs w:val="16"/>
                <w:lang w:val="en-US"/>
              </w:rPr>
            </w:pPr>
            <w:r w:rsidRPr="009F337B">
              <w:rPr>
                <w:sz w:val="16"/>
                <w:szCs w:val="16"/>
                <w:lang w:val="en-US"/>
              </w:rPr>
              <w:t>No information available</w:t>
            </w:r>
          </w:p>
        </w:tc>
      </w:tr>
      <w:tr w:rsidR="007F3128" w:rsidRPr="009F337B" w14:paraId="16E8B0CC" w14:textId="77777777" w:rsidTr="0010522A">
        <w:tc>
          <w:tcPr>
            <w:tcW w:w="560" w:type="dxa"/>
            <w:gridSpan w:val="2"/>
            <w:vMerge w:val="restart"/>
            <w:vAlign w:val="center"/>
          </w:tcPr>
          <w:p w14:paraId="2954810E" w14:textId="77777777" w:rsidR="007F3128" w:rsidRPr="009F337B" w:rsidRDefault="007F3128" w:rsidP="00F608A7">
            <w:pPr>
              <w:jc w:val="left"/>
              <w:rPr>
                <w:sz w:val="16"/>
                <w:szCs w:val="16"/>
                <w:lang w:val="en-US"/>
              </w:rPr>
            </w:pPr>
            <w:r w:rsidRPr="009F337B">
              <w:rPr>
                <w:sz w:val="16"/>
                <w:szCs w:val="16"/>
                <w:lang w:val="en-US"/>
              </w:rPr>
              <w:t>22</w:t>
            </w:r>
          </w:p>
        </w:tc>
        <w:tc>
          <w:tcPr>
            <w:tcW w:w="2950" w:type="dxa"/>
            <w:vMerge w:val="restart"/>
            <w:vAlign w:val="center"/>
          </w:tcPr>
          <w:p w14:paraId="29E7CF07" w14:textId="315C821C" w:rsidR="007F3128" w:rsidRPr="009F337B" w:rsidRDefault="007F3128" w:rsidP="00F608A7">
            <w:pPr>
              <w:jc w:val="left"/>
              <w:rPr>
                <w:sz w:val="16"/>
                <w:szCs w:val="16"/>
                <w:lang w:val="en-US"/>
              </w:rPr>
            </w:pPr>
            <w:r w:rsidRPr="009F337B">
              <w:rPr>
                <w:sz w:val="16"/>
                <w:szCs w:val="16"/>
                <w:lang w:val="en-US"/>
              </w:rPr>
              <w:t>Saira Elisa Barrios</w:t>
            </w:r>
          </w:p>
        </w:tc>
        <w:tc>
          <w:tcPr>
            <w:tcW w:w="567" w:type="dxa"/>
            <w:vAlign w:val="center"/>
          </w:tcPr>
          <w:p w14:paraId="3CFE0A52" w14:textId="77777777" w:rsidR="007F3128" w:rsidRPr="009F337B" w:rsidRDefault="007F3128" w:rsidP="00F608A7">
            <w:pPr>
              <w:jc w:val="left"/>
              <w:rPr>
                <w:sz w:val="16"/>
                <w:szCs w:val="16"/>
                <w:lang w:val="en-US"/>
              </w:rPr>
            </w:pPr>
            <w:r w:rsidRPr="009F337B">
              <w:rPr>
                <w:sz w:val="16"/>
                <w:szCs w:val="16"/>
                <w:lang w:val="en-US"/>
              </w:rPr>
              <w:t>1</w:t>
            </w:r>
          </w:p>
        </w:tc>
        <w:tc>
          <w:tcPr>
            <w:tcW w:w="5211" w:type="dxa"/>
            <w:vAlign w:val="center"/>
          </w:tcPr>
          <w:p w14:paraId="78DED044" w14:textId="41A51854" w:rsidR="007F3128" w:rsidRPr="009F337B" w:rsidRDefault="007F3128" w:rsidP="00F608A7">
            <w:pPr>
              <w:tabs>
                <w:tab w:val="left" w:pos="1277"/>
              </w:tabs>
              <w:jc w:val="left"/>
              <w:rPr>
                <w:sz w:val="16"/>
                <w:szCs w:val="16"/>
                <w:lang w:val="en-US"/>
              </w:rPr>
            </w:pPr>
            <w:r w:rsidRPr="009F337B">
              <w:rPr>
                <w:sz w:val="16"/>
                <w:szCs w:val="16"/>
                <w:lang w:val="en-US"/>
              </w:rPr>
              <w:t>Guillermo Donis (</w:t>
            </w:r>
            <w:r w:rsidR="0010522A" w:rsidRPr="009F337B">
              <w:rPr>
                <w:sz w:val="16"/>
                <w:szCs w:val="16"/>
                <w:lang w:val="en-US"/>
              </w:rPr>
              <w:t>Current husband</w:t>
            </w:r>
            <w:r w:rsidRPr="009F337B">
              <w:rPr>
                <w:sz w:val="16"/>
                <w:szCs w:val="16"/>
                <w:lang w:val="en-US"/>
              </w:rPr>
              <w:t>)</w:t>
            </w:r>
          </w:p>
        </w:tc>
      </w:tr>
      <w:tr w:rsidR="007F3128" w:rsidRPr="00310E7A" w14:paraId="384EC65E" w14:textId="77777777" w:rsidTr="0010522A">
        <w:tc>
          <w:tcPr>
            <w:tcW w:w="560" w:type="dxa"/>
            <w:gridSpan w:val="2"/>
            <w:vMerge/>
            <w:vAlign w:val="center"/>
          </w:tcPr>
          <w:p w14:paraId="77D351C1" w14:textId="77777777" w:rsidR="007F3128" w:rsidRPr="009F337B" w:rsidRDefault="007F3128" w:rsidP="00F608A7">
            <w:pPr>
              <w:jc w:val="left"/>
              <w:rPr>
                <w:sz w:val="16"/>
                <w:szCs w:val="16"/>
                <w:lang w:val="en-US"/>
              </w:rPr>
            </w:pPr>
          </w:p>
        </w:tc>
        <w:tc>
          <w:tcPr>
            <w:tcW w:w="2950" w:type="dxa"/>
            <w:vMerge/>
            <w:vAlign w:val="center"/>
          </w:tcPr>
          <w:p w14:paraId="00F45C8B" w14:textId="77777777" w:rsidR="007F3128" w:rsidRPr="009F337B" w:rsidRDefault="007F3128" w:rsidP="00F608A7">
            <w:pPr>
              <w:jc w:val="left"/>
              <w:rPr>
                <w:sz w:val="16"/>
                <w:szCs w:val="16"/>
                <w:lang w:val="en-US"/>
              </w:rPr>
            </w:pPr>
          </w:p>
        </w:tc>
        <w:tc>
          <w:tcPr>
            <w:tcW w:w="567" w:type="dxa"/>
            <w:vAlign w:val="center"/>
          </w:tcPr>
          <w:p w14:paraId="398EE48A" w14:textId="77777777" w:rsidR="007F3128" w:rsidRPr="009F337B" w:rsidRDefault="007F3128" w:rsidP="00F608A7">
            <w:pPr>
              <w:jc w:val="left"/>
              <w:rPr>
                <w:sz w:val="16"/>
                <w:szCs w:val="16"/>
                <w:lang w:val="en-US"/>
              </w:rPr>
            </w:pPr>
            <w:r w:rsidRPr="009F337B">
              <w:rPr>
                <w:sz w:val="16"/>
                <w:szCs w:val="16"/>
                <w:lang w:val="en-US"/>
              </w:rPr>
              <w:t>2</w:t>
            </w:r>
          </w:p>
        </w:tc>
        <w:tc>
          <w:tcPr>
            <w:tcW w:w="5211" w:type="dxa"/>
            <w:vAlign w:val="center"/>
          </w:tcPr>
          <w:p w14:paraId="39E243C6" w14:textId="0F800583" w:rsidR="007F3128" w:rsidRPr="009F337B" w:rsidRDefault="007F3128" w:rsidP="00F608A7">
            <w:pPr>
              <w:tabs>
                <w:tab w:val="left" w:pos="1277"/>
              </w:tabs>
              <w:jc w:val="left"/>
              <w:rPr>
                <w:sz w:val="16"/>
                <w:szCs w:val="16"/>
                <w:lang w:val="en-US"/>
              </w:rPr>
            </w:pPr>
            <w:r w:rsidRPr="009F337B">
              <w:rPr>
                <w:sz w:val="16"/>
                <w:szCs w:val="16"/>
                <w:lang w:val="en-US"/>
              </w:rPr>
              <w:t>Erick Jonás Sánchez (</w:t>
            </w:r>
            <w:r w:rsidR="0010522A" w:rsidRPr="009F337B">
              <w:rPr>
                <w:sz w:val="16"/>
                <w:szCs w:val="16"/>
                <w:lang w:val="en-US"/>
              </w:rPr>
              <w:t>Father</w:t>
            </w:r>
            <w:r w:rsidRPr="009F337B">
              <w:rPr>
                <w:sz w:val="16"/>
                <w:szCs w:val="16"/>
                <w:lang w:val="en-US"/>
              </w:rPr>
              <w:t xml:space="preserve"> </w:t>
            </w:r>
            <w:r w:rsidR="0010522A" w:rsidRPr="009F337B">
              <w:rPr>
                <w:sz w:val="16"/>
                <w:szCs w:val="16"/>
                <w:lang w:val="en-US"/>
              </w:rPr>
              <w:t>of her</w:t>
            </w:r>
            <w:r w:rsidRPr="009F337B">
              <w:rPr>
                <w:sz w:val="16"/>
                <w:szCs w:val="16"/>
                <w:lang w:val="en-US"/>
              </w:rPr>
              <w:t xml:space="preserve"> </w:t>
            </w:r>
            <w:r w:rsidR="0010522A" w:rsidRPr="009F337B">
              <w:rPr>
                <w:sz w:val="16"/>
                <w:szCs w:val="16"/>
                <w:lang w:val="en-US"/>
              </w:rPr>
              <w:t>daughter</w:t>
            </w:r>
            <w:r w:rsidRPr="009F337B">
              <w:rPr>
                <w:sz w:val="16"/>
                <w:szCs w:val="16"/>
                <w:lang w:val="en-US"/>
              </w:rPr>
              <w:t xml:space="preserve">s, </w:t>
            </w:r>
            <w:r w:rsidR="0010522A" w:rsidRPr="009F337B">
              <w:rPr>
                <w:sz w:val="16"/>
                <w:szCs w:val="16"/>
                <w:lang w:val="en-US"/>
              </w:rPr>
              <w:t>deceased</w:t>
            </w:r>
            <w:r w:rsidRPr="009F337B">
              <w:rPr>
                <w:sz w:val="16"/>
                <w:szCs w:val="16"/>
                <w:lang w:val="en-US"/>
              </w:rPr>
              <w:t>)</w:t>
            </w:r>
          </w:p>
        </w:tc>
      </w:tr>
      <w:tr w:rsidR="007F3128" w:rsidRPr="009F337B" w14:paraId="6BF4DE5B" w14:textId="77777777" w:rsidTr="0010522A">
        <w:tc>
          <w:tcPr>
            <w:tcW w:w="560" w:type="dxa"/>
            <w:gridSpan w:val="2"/>
            <w:vMerge/>
            <w:vAlign w:val="center"/>
          </w:tcPr>
          <w:p w14:paraId="411CC9E8" w14:textId="77777777" w:rsidR="007F3128" w:rsidRPr="009F337B" w:rsidRDefault="007F3128" w:rsidP="00F608A7">
            <w:pPr>
              <w:jc w:val="left"/>
              <w:rPr>
                <w:sz w:val="16"/>
                <w:szCs w:val="16"/>
                <w:lang w:val="en-US"/>
              </w:rPr>
            </w:pPr>
          </w:p>
        </w:tc>
        <w:tc>
          <w:tcPr>
            <w:tcW w:w="2950" w:type="dxa"/>
            <w:vMerge/>
            <w:vAlign w:val="center"/>
          </w:tcPr>
          <w:p w14:paraId="087AA73F" w14:textId="77777777" w:rsidR="007F3128" w:rsidRPr="009F337B" w:rsidRDefault="007F3128" w:rsidP="00F608A7">
            <w:pPr>
              <w:jc w:val="left"/>
              <w:rPr>
                <w:sz w:val="16"/>
                <w:szCs w:val="16"/>
                <w:lang w:val="en-US"/>
              </w:rPr>
            </w:pPr>
          </w:p>
        </w:tc>
        <w:tc>
          <w:tcPr>
            <w:tcW w:w="567" w:type="dxa"/>
            <w:vAlign w:val="center"/>
          </w:tcPr>
          <w:p w14:paraId="646EC6D2" w14:textId="77777777" w:rsidR="007F3128" w:rsidRPr="009F337B" w:rsidRDefault="007F3128" w:rsidP="00F608A7">
            <w:pPr>
              <w:jc w:val="left"/>
              <w:rPr>
                <w:sz w:val="16"/>
                <w:szCs w:val="16"/>
                <w:lang w:val="en-US"/>
              </w:rPr>
            </w:pPr>
            <w:r w:rsidRPr="009F337B">
              <w:rPr>
                <w:sz w:val="16"/>
                <w:szCs w:val="16"/>
                <w:lang w:val="en-US"/>
              </w:rPr>
              <w:t>3</w:t>
            </w:r>
          </w:p>
        </w:tc>
        <w:tc>
          <w:tcPr>
            <w:tcW w:w="5211" w:type="dxa"/>
            <w:vAlign w:val="center"/>
          </w:tcPr>
          <w:p w14:paraId="08CE4334" w14:textId="3583D6A4" w:rsidR="007F3128" w:rsidRPr="00542AB5" w:rsidRDefault="007F3128" w:rsidP="00F608A7">
            <w:pPr>
              <w:tabs>
                <w:tab w:val="left" w:pos="1277"/>
              </w:tabs>
              <w:jc w:val="left"/>
              <w:rPr>
                <w:sz w:val="16"/>
                <w:szCs w:val="16"/>
                <w:lang w:val="es-CR"/>
              </w:rPr>
            </w:pPr>
            <w:r w:rsidRPr="00542AB5">
              <w:rPr>
                <w:sz w:val="16"/>
                <w:szCs w:val="16"/>
                <w:lang w:val="es-CR"/>
              </w:rPr>
              <w:t>Moisés Israel Rodas López (</w:t>
            </w:r>
            <w:r w:rsidR="0010522A" w:rsidRPr="00542AB5">
              <w:rPr>
                <w:sz w:val="16"/>
                <w:szCs w:val="16"/>
                <w:lang w:val="es-CR"/>
              </w:rPr>
              <w:t>Father</w:t>
            </w:r>
            <w:r w:rsidRPr="00542AB5">
              <w:rPr>
                <w:sz w:val="16"/>
                <w:szCs w:val="16"/>
                <w:lang w:val="es-CR"/>
              </w:rPr>
              <w:t>)</w:t>
            </w:r>
          </w:p>
        </w:tc>
      </w:tr>
      <w:tr w:rsidR="007F3128" w:rsidRPr="009F337B" w14:paraId="6F89E1CC" w14:textId="77777777" w:rsidTr="0010522A">
        <w:tc>
          <w:tcPr>
            <w:tcW w:w="560" w:type="dxa"/>
            <w:gridSpan w:val="2"/>
            <w:vMerge/>
            <w:vAlign w:val="center"/>
          </w:tcPr>
          <w:p w14:paraId="2C03394D" w14:textId="77777777" w:rsidR="007F3128" w:rsidRPr="00542AB5" w:rsidRDefault="007F3128" w:rsidP="00F608A7">
            <w:pPr>
              <w:jc w:val="left"/>
              <w:rPr>
                <w:sz w:val="16"/>
                <w:szCs w:val="16"/>
                <w:lang w:val="es-CR"/>
              </w:rPr>
            </w:pPr>
          </w:p>
        </w:tc>
        <w:tc>
          <w:tcPr>
            <w:tcW w:w="2950" w:type="dxa"/>
            <w:vMerge/>
            <w:vAlign w:val="center"/>
          </w:tcPr>
          <w:p w14:paraId="12BA1C90" w14:textId="77777777" w:rsidR="007F3128" w:rsidRPr="00542AB5" w:rsidRDefault="007F3128" w:rsidP="00F608A7">
            <w:pPr>
              <w:jc w:val="left"/>
              <w:rPr>
                <w:sz w:val="16"/>
                <w:szCs w:val="16"/>
                <w:lang w:val="es-CR"/>
              </w:rPr>
            </w:pPr>
          </w:p>
        </w:tc>
        <w:tc>
          <w:tcPr>
            <w:tcW w:w="567" w:type="dxa"/>
            <w:vAlign w:val="center"/>
          </w:tcPr>
          <w:p w14:paraId="08E66EC6" w14:textId="77777777" w:rsidR="007F3128" w:rsidRPr="009F337B" w:rsidRDefault="007F3128" w:rsidP="00F608A7">
            <w:pPr>
              <w:jc w:val="left"/>
              <w:rPr>
                <w:sz w:val="16"/>
                <w:szCs w:val="16"/>
                <w:lang w:val="en-US"/>
              </w:rPr>
            </w:pPr>
            <w:r w:rsidRPr="009F337B">
              <w:rPr>
                <w:sz w:val="16"/>
                <w:szCs w:val="16"/>
                <w:lang w:val="en-US"/>
              </w:rPr>
              <w:t>4</w:t>
            </w:r>
          </w:p>
        </w:tc>
        <w:tc>
          <w:tcPr>
            <w:tcW w:w="5211" w:type="dxa"/>
            <w:vAlign w:val="center"/>
          </w:tcPr>
          <w:p w14:paraId="0B3446B9" w14:textId="41349CA6" w:rsidR="007F3128" w:rsidRPr="00542AB5" w:rsidRDefault="007F3128" w:rsidP="00F608A7">
            <w:pPr>
              <w:tabs>
                <w:tab w:val="left" w:pos="1277"/>
              </w:tabs>
              <w:jc w:val="left"/>
              <w:rPr>
                <w:sz w:val="16"/>
                <w:szCs w:val="16"/>
                <w:lang w:val="es-CR"/>
              </w:rPr>
            </w:pPr>
            <w:r w:rsidRPr="00542AB5">
              <w:rPr>
                <w:sz w:val="16"/>
                <w:szCs w:val="16"/>
                <w:lang w:val="es-CR"/>
              </w:rPr>
              <w:t>Eiselda de Jesús Mazariegos de Rodas (</w:t>
            </w:r>
            <w:r w:rsidR="0010522A" w:rsidRPr="00542AB5">
              <w:rPr>
                <w:sz w:val="16"/>
                <w:szCs w:val="16"/>
                <w:lang w:val="es-CR"/>
              </w:rPr>
              <w:t>Mother</w:t>
            </w:r>
            <w:r w:rsidRPr="00542AB5">
              <w:rPr>
                <w:sz w:val="16"/>
                <w:szCs w:val="16"/>
                <w:lang w:val="es-CR"/>
              </w:rPr>
              <w:t>)</w:t>
            </w:r>
          </w:p>
        </w:tc>
      </w:tr>
      <w:tr w:rsidR="007F3128" w:rsidRPr="009F337B" w14:paraId="4FC51155" w14:textId="77777777" w:rsidTr="0010522A">
        <w:tc>
          <w:tcPr>
            <w:tcW w:w="560" w:type="dxa"/>
            <w:gridSpan w:val="2"/>
            <w:vMerge/>
            <w:vAlign w:val="center"/>
          </w:tcPr>
          <w:p w14:paraId="17A850F7" w14:textId="77777777" w:rsidR="007F3128" w:rsidRPr="00542AB5" w:rsidRDefault="007F3128" w:rsidP="00F608A7">
            <w:pPr>
              <w:jc w:val="left"/>
              <w:rPr>
                <w:sz w:val="16"/>
                <w:szCs w:val="16"/>
                <w:lang w:val="es-CR"/>
              </w:rPr>
            </w:pPr>
          </w:p>
        </w:tc>
        <w:tc>
          <w:tcPr>
            <w:tcW w:w="2950" w:type="dxa"/>
            <w:vMerge/>
            <w:vAlign w:val="center"/>
          </w:tcPr>
          <w:p w14:paraId="2F36BEF7" w14:textId="77777777" w:rsidR="007F3128" w:rsidRPr="00542AB5" w:rsidRDefault="007F3128" w:rsidP="00F608A7">
            <w:pPr>
              <w:jc w:val="left"/>
              <w:rPr>
                <w:sz w:val="16"/>
                <w:szCs w:val="16"/>
                <w:lang w:val="es-CR"/>
              </w:rPr>
            </w:pPr>
          </w:p>
        </w:tc>
        <w:tc>
          <w:tcPr>
            <w:tcW w:w="567" w:type="dxa"/>
            <w:vAlign w:val="center"/>
          </w:tcPr>
          <w:p w14:paraId="6248DC26" w14:textId="77777777" w:rsidR="007F3128" w:rsidRPr="009F337B" w:rsidRDefault="007F3128" w:rsidP="00F608A7">
            <w:pPr>
              <w:jc w:val="left"/>
              <w:rPr>
                <w:sz w:val="16"/>
                <w:szCs w:val="16"/>
                <w:lang w:val="en-US"/>
              </w:rPr>
            </w:pPr>
            <w:r w:rsidRPr="009F337B">
              <w:rPr>
                <w:sz w:val="16"/>
                <w:szCs w:val="16"/>
                <w:lang w:val="en-US"/>
              </w:rPr>
              <w:t>5</w:t>
            </w:r>
          </w:p>
        </w:tc>
        <w:tc>
          <w:tcPr>
            <w:tcW w:w="5211" w:type="dxa"/>
            <w:vAlign w:val="center"/>
          </w:tcPr>
          <w:p w14:paraId="20329684" w14:textId="3C0F67E4" w:rsidR="007F3128" w:rsidRPr="009F337B" w:rsidRDefault="007F3128" w:rsidP="00F608A7">
            <w:pPr>
              <w:tabs>
                <w:tab w:val="left" w:pos="1277"/>
              </w:tabs>
              <w:jc w:val="left"/>
              <w:rPr>
                <w:sz w:val="16"/>
                <w:szCs w:val="16"/>
                <w:lang w:val="en-US"/>
              </w:rPr>
            </w:pPr>
            <w:r w:rsidRPr="009F337B">
              <w:rPr>
                <w:sz w:val="16"/>
                <w:szCs w:val="16"/>
                <w:lang w:val="en-US"/>
              </w:rPr>
              <w:t>Edilma Evelina Barrios (</w:t>
            </w:r>
            <w:r w:rsidR="0010522A" w:rsidRPr="009F337B">
              <w:rPr>
                <w:sz w:val="16"/>
                <w:szCs w:val="16"/>
                <w:lang w:val="en-US"/>
              </w:rPr>
              <w:t>Daughter</w:t>
            </w:r>
            <w:r w:rsidRPr="009F337B">
              <w:rPr>
                <w:sz w:val="16"/>
                <w:szCs w:val="16"/>
                <w:lang w:val="en-US"/>
              </w:rPr>
              <w:t>)</w:t>
            </w:r>
          </w:p>
        </w:tc>
      </w:tr>
      <w:tr w:rsidR="007F3128" w:rsidRPr="009F337B" w14:paraId="0C150700" w14:textId="77777777" w:rsidTr="0010522A">
        <w:tc>
          <w:tcPr>
            <w:tcW w:w="560" w:type="dxa"/>
            <w:gridSpan w:val="2"/>
            <w:vMerge/>
            <w:vAlign w:val="center"/>
          </w:tcPr>
          <w:p w14:paraId="5636B960" w14:textId="77777777" w:rsidR="007F3128" w:rsidRPr="009F337B" w:rsidRDefault="007F3128" w:rsidP="00F608A7">
            <w:pPr>
              <w:jc w:val="left"/>
              <w:rPr>
                <w:sz w:val="16"/>
                <w:szCs w:val="16"/>
                <w:lang w:val="en-US"/>
              </w:rPr>
            </w:pPr>
          </w:p>
        </w:tc>
        <w:tc>
          <w:tcPr>
            <w:tcW w:w="2950" w:type="dxa"/>
            <w:vMerge/>
            <w:vAlign w:val="center"/>
          </w:tcPr>
          <w:p w14:paraId="0C728D5E" w14:textId="77777777" w:rsidR="007F3128" w:rsidRPr="009F337B" w:rsidRDefault="007F3128" w:rsidP="00F608A7">
            <w:pPr>
              <w:jc w:val="left"/>
              <w:rPr>
                <w:sz w:val="16"/>
                <w:szCs w:val="16"/>
                <w:lang w:val="en-US"/>
              </w:rPr>
            </w:pPr>
          </w:p>
        </w:tc>
        <w:tc>
          <w:tcPr>
            <w:tcW w:w="567" w:type="dxa"/>
            <w:vAlign w:val="center"/>
          </w:tcPr>
          <w:p w14:paraId="21A5FB6F" w14:textId="77777777" w:rsidR="007F3128" w:rsidRPr="009F337B" w:rsidRDefault="007F3128" w:rsidP="00F608A7">
            <w:pPr>
              <w:jc w:val="left"/>
              <w:rPr>
                <w:sz w:val="16"/>
                <w:szCs w:val="16"/>
                <w:lang w:val="en-US"/>
              </w:rPr>
            </w:pPr>
            <w:r w:rsidRPr="009F337B">
              <w:rPr>
                <w:sz w:val="16"/>
                <w:szCs w:val="16"/>
                <w:lang w:val="en-US"/>
              </w:rPr>
              <w:t>6</w:t>
            </w:r>
          </w:p>
        </w:tc>
        <w:tc>
          <w:tcPr>
            <w:tcW w:w="5211" w:type="dxa"/>
            <w:vAlign w:val="center"/>
          </w:tcPr>
          <w:p w14:paraId="77AB9236" w14:textId="55B687A3" w:rsidR="007F3128" w:rsidRPr="009F337B" w:rsidRDefault="007F3128" w:rsidP="00F608A7">
            <w:pPr>
              <w:tabs>
                <w:tab w:val="left" w:pos="1277"/>
              </w:tabs>
              <w:jc w:val="left"/>
              <w:rPr>
                <w:sz w:val="16"/>
                <w:szCs w:val="16"/>
                <w:lang w:val="en-US"/>
              </w:rPr>
            </w:pPr>
            <w:r w:rsidRPr="009F337B">
              <w:rPr>
                <w:sz w:val="16"/>
                <w:szCs w:val="16"/>
                <w:lang w:val="en-US"/>
              </w:rPr>
              <w:t>Darlin Sureima Barrios (</w:t>
            </w:r>
            <w:r w:rsidR="0010522A" w:rsidRPr="009F337B">
              <w:rPr>
                <w:sz w:val="16"/>
                <w:szCs w:val="16"/>
                <w:lang w:val="en-US"/>
              </w:rPr>
              <w:t>Daughter</w:t>
            </w:r>
            <w:r w:rsidRPr="009F337B">
              <w:rPr>
                <w:sz w:val="16"/>
                <w:szCs w:val="16"/>
                <w:lang w:val="en-US"/>
              </w:rPr>
              <w:t>)</w:t>
            </w:r>
          </w:p>
        </w:tc>
      </w:tr>
      <w:tr w:rsidR="007F3128" w:rsidRPr="009F337B" w14:paraId="281DC349" w14:textId="77777777" w:rsidTr="0010522A">
        <w:tc>
          <w:tcPr>
            <w:tcW w:w="560" w:type="dxa"/>
            <w:gridSpan w:val="2"/>
            <w:vMerge/>
            <w:vAlign w:val="center"/>
          </w:tcPr>
          <w:p w14:paraId="1DBA3556" w14:textId="77777777" w:rsidR="007F3128" w:rsidRPr="009F337B" w:rsidRDefault="007F3128" w:rsidP="00F608A7">
            <w:pPr>
              <w:jc w:val="left"/>
              <w:rPr>
                <w:sz w:val="16"/>
                <w:szCs w:val="16"/>
                <w:lang w:val="en-US"/>
              </w:rPr>
            </w:pPr>
          </w:p>
        </w:tc>
        <w:tc>
          <w:tcPr>
            <w:tcW w:w="2950" w:type="dxa"/>
            <w:vMerge/>
            <w:vAlign w:val="center"/>
          </w:tcPr>
          <w:p w14:paraId="0B9CEFC6" w14:textId="77777777" w:rsidR="007F3128" w:rsidRPr="009F337B" w:rsidRDefault="007F3128" w:rsidP="00F608A7">
            <w:pPr>
              <w:jc w:val="left"/>
              <w:rPr>
                <w:sz w:val="16"/>
                <w:szCs w:val="16"/>
                <w:lang w:val="en-US"/>
              </w:rPr>
            </w:pPr>
          </w:p>
        </w:tc>
        <w:tc>
          <w:tcPr>
            <w:tcW w:w="567" w:type="dxa"/>
            <w:vAlign w:val="center"/>
          </w:tcPr>
          <w:p w14:paraId="1EA73601" w14:textId="77777777" w:rsidR="007F3128" w:rsidRPr="009F337B" w:rsidRDefault="007F3128" w:rsidP="00F608A7">
            <w:pPr>
              <w:jc w:val="left"/>
              <w:rPr>
                <w:sz w:val="16"/>
                <w:szCs w:val="16"/>
                <w:lang w:val="en-US"/>
              </w:rPr>
            </w:pPr>
            <w:r w:rsidRPr="009F337B">
              <w:rPr>
                <w:sz w:val="16"/>
                <w:szCs w:val="16"/>
                <w:lang w:val="en-US"/>
              </w:rPr>
              <w:t>7</w:t>
            </w:r>
          </w:p>
        </w:tc>
        <w:tc>
          <w:tcPr>
            <w:tcW w:w="5211" w:type="dxa"/>
            <w:vAlign w:val="center"/>
          </w:tcPr>
          <w:p w14:paraId="0FCF8B40" w14:textId="49241D7B" w:rsidR="007F3128" w:rsidRPr="009F337B" w:rsidRDefault="007F3128" w:rsidP="00F608A7">
            <w:pPr>
              <w:tabs>
                <w:tab w:val="left" w:pos="1277"/>
              </w:tabs>
              <w:jc w:val="left"/>
              <w:rPr>
                <w:sz w:val="16"/>
                <w:szCs w:val="16"/>
                <w:lang w:val="en-US"/>
              </w:rPr>
            </w:pPr>
            <w:r w:rsidRPr="009F337B">
              <w:rPr>
                <w:sz w:val="16"/>
                <w:szCs w:val="16"/>
                <w:lang w:val="en-US"/>
              </w:rPr>
              <w:t>Kendi Liserli Barrios (</w:t>
            </w:r>
            <w:r w:rsidR="0010522A" w:rsidRPr="009F337B">
              <w:rPr>
                <w:sz w:val="16"/>
                <w:szCs w:val="16"/>
                <w:lang w:val="en-US"/>
              </w:rPr>
              <w:t>Daughter</w:t>
            </w:r>
            <w:r w:rsidRPr="009F337B">
              <w:rPr>
                <w:sz w:val="16"/>
                <w:szCs w:val="16"/>
                <w:lang w:val="en-US"/>
              </w:rPr>
              <w:t>)</w:t>
            </w:r>
          </w:p>
        </w:tc>
      </w:tr>
      <w:tr w:rsidR="007F3128" w:rsidRPr="009F337B" w14:paraId="6525D43E" w14:textId="77777777" w:rsidTr="0010522A">
        <w:tc>
          <w:tcPr>
            <w:tcW w:w="560" w:type="dxa"/>
            <w:gridSpan w:val="2"/>
            <w:vMerge/>
            <w:vAlign w:val="center"/>
          </w:tcPr>
          <w:p w14:paraId="18D9815E" w14:textId="77777777" w:rsidR="007F3128" w:rsidRPr="009F337B" w:rsidRDefault="007F3128" w:rsidP="00F608A7">
            <w:pPr>
              <w:jc w:val="left"/>
              <w:rPr>
                <w:sz w:val="16"/>
                <w:szCs w:val="16"/>
                <w:lang w:val="en-US"/>
              </w:rPr>
            </w:pPr>
          </w:p>
        </w:tc>
        <w:tc>
          <w:tcPr>
            <w:tcW w:w="2950" w:type="dxa"/>
            <w:vMerge/>
            <w:vAlign w:val="center"/>
          </w:tcPr>
          <w:p w14:paraId="6B44AF50" w14:textId="77777777" w:rsidR="007F3128" w:rsidRPr="009F337B" w:rsidRDefault="007F3128" w:rsidP="00F608A7">
            <w:pPr>
              <w:jc w:val="left"/>
              <w:rPr>
                <w:sz w:val="16"/>
                <w:szCs w:val="16"/>
                <w:lang w:val="en-US"/>
              </w:rPr>
            </w:pPr>
          </w:p>
        </w:tc>
        <w:tc>
          <w:tcPr>
            <w:tcW w:w="567" w:type="dxa"/>
            <w:vAlign w:val="center"/>
          </w:tcPr>
          <w:p w14:paraId="45068ACC" w14:textId="77777777" w:rsidR="007F3128" w:rsidRPr="009F337B" w:rsidRDefault="007F3128" w:rsidP="00F608A7">
            <w:pPr>
              <w:jc w:val="left"/>
              <w:rPr>
                <w:sz w:val="16"/>
                <w:szCs w:val="16"/>
                <w:lang w:val="en-US"/>
              </w:rPr>
            </w:pPr>
            <w:r w:rsidRPr="009F337B">
              <w:rPr>
                <w:sz w:val="16"/>
                <w:szCs w:val="16"/>
                <w:lang w:val="en-US"/>
              </w:rPr>
              <w:t>8</w:t>
            </w:r>
          </w:p>
        </w:tc>
        <w:tc>
          <w:tcPr>
            <w:tcW w:w="5211" w:type="dxa"/>
            <w:vAlign w:val="center"/>
          </w:tcPr>
          <w:p w14:paraId="27077BD1" w14:textId="51F22A5F" w:rsidR="007F3128" w:rsidRPr="009F337B" w:rsidRDefault="007F3128" w:rsidP="00F608A7">
            <w:pPr>
              <w:tabs>
                <w:tab w:val="left" w:pos="1277"/>
              </w:tabs>
              <w:jc w:val="left"/>
              <w:rPr>
                <w:sz w:val="16"/>
                <w:szCs w:val="16"/>
                <w:lang w:val="en-US"/>
              </w:rPr>
            </w:pPr>
            <w:r w:rsidRPr="009F337B">
              <w:rPr>
                <w:sz w:val="16"/>
                <w:szCs w:val="16"/>
                <w:lang w:val="en-US"/>
              </w:rPr>
              <w:t>Noret Adali Barrios (</w:t>
            </w:r>
            <w:r w:rsidR="0010522A" w:rsidRPr="009F337B">
              <w:rPr>
                <w:sz w:val="16"/>
                <w:szCs w:val="16"/>
                <w:lang w:val="en-US"/>
              </w:rPr>
              <w:t>Daughter</w:t>
            </w:r>
            <w:r w:rsidRPr="009F337B">
              <w:rPr>
                <w:sz w:val="16"/>
                <w:szCs w:val="16"/>
                <w:lang w:val="en-US"/>
              </w:rPr>
              <w:t>)</w:t>
            </w:r>
          </w:p>
        </w:tc>
      </w:tr>
      <w:tr w:rsidR="007F3128" w:rsidRPr="009F337B" w14:paraId="2886AF99" w14:textId="77777777" w:rsidTr="0010522A">
        <w:tc>
          <w:tcPr>
            <w:tcW w:w="560" w:type="dxa"/>
            <w:gridSpan w:val="2"/>
            <w:vMerge w:val="restart"/>
            <w:vAlign w:val="center"/>
          </w:tcPr>
          <w:p w14:paraId="774C4E20" w14:textId="77777777" w:rsidR="007F3128" w:rsidRPr="009F337B" w:rsidRDefault="007F3128" w:rsidP="00F608A7">
            <w:pPr>
              <w:jc w:val="left"/>
              <w:rPr>
                <w:sz w:val="16"/>
                <w:szCs w:val="16"/>
                <w:lang w:val="en-US"/>
              </w:rPr>
            </w:pPr>
            <w:r w:rsidRPr="009F337B">
              <w:rPr>
                <w:sz w:val="16"/>
                <w:szCs w:val="16"/>
                <w:lang w:val="en-US"/>
              </w:rPr>
              <w:t>23</w:t>
            </w:r>
          </w:p>
        </w:tc>
        <w:tc>
          <w:tcPr>
            <w:tcW w:w="2950" w:type="dxa"/>
            <w:vMerge w:val="restart"/>
            <w:vAlign w:val="center"/>
          </w:tcPr>
          <w:p w14:paraId="455E0847" w14:textId="44F82CE9" w:rsidR="007F3128" w:rsidRPr="00542AB5" w:rsidRDefault="007F3128" w:rsidP="00F608A7">
            <w:pPr>
              <w:jc w:val="left"/>
              <w:rPr>
                <w:sz w:val="16"/>
                <w:szCs w:val="16"/>
                <w:lang w:val="es-CR"/>
              </w:rPr>
            </w:pPr>
            <w:r w:rsidRPr="00542AB5">
              <w:rPr>
                <w:sz w:val="16"/>
                <w:szCs w:val="16"/>
                <w:lang w:val="es-CR"/>
              </w:rPr>
              <w:t>Felix de Jesús Cabrera Morales</w:t>
            </w:r>
          </w:p>
        </w:tc>
        <w:tc>
          <w:tcPr>
            <w:tcW w:w="567" w:type="dxa"/>
            <w:vAlign w:val="center"/>
          </w:tcPr>
          <w:p w14:paraId="43705FCA" w14:textId="77777777" w:rsidR="007F3128" w:rsidRPr="009F337B" w:rsidRDefault="007F3128" w:rsidP="00F608A7">
            <w:pPr>
              <w:jc w:val="left"/>
              <w:rPr>
                <w:sz w:val="16"/>
                <w:szCs w:val="16"/>
                <w:lang w:val="en-US"/>
              </w:rPr>
            </w:pPr>
            <w:r w:rsidRPr="009F337B">
              <w:rPr>
                <w:sz w:val="16"/>
                <w:szCs w:val="16"/>
                <w:lang w:val="en-US"/>
              </w:rPr>
              <w:t>1</w:t>
            </w:r>
          </w:p>
        </w:tc>
        <w:tc>
          <w:tcPr>
            <w:tcW w:w="5211" w:type="dxa"/>
            <w:vAlign w:val="center"/>
          </w:tcPr>
          <w:p w14:paraId="4917939C" w14:textId="7CFD60B5" w:rsidR="007F3128" w:rsidRPr="00542AB5" w:rsidRDefault="0093475B" w:rsidP="00F608A7">
            <w:pPr>
              <w:tabs>
                <w:tab w:val="left" w:pos="1277"/>
              </w:tabs>
              <w:jc w:val="left"/>
              <w:rPr>
                <w:sz w:val="16"/>
                <w:szCs w:val="16"/>
                <w:lang w:val="es-CR"/>
              </w:rPr>
            </w:pPr>
            <w:r w:rsidRPr="00542AB5">
              <w:rPr>
                <w:sz w:val="16"/>
                <w:szCs w:val="16"/>
                <w:lang w:val="es-CR"/>
              </w:rPr>
              <w:t>Ma</w:t>
            </w:r>
            <w:r w:rsidR="007F3128" w:rsidRPr="00542AB5">
              <w:rPr>
                <w:sz w:val="16"/>
                <w:szCs w:val="16"/>
                <w:lang w:val="es-CR"/>
              </w:rPr>
              <w:t>villa Ester Morales Agustín (</w:t>
            </w:r>
            <w:r w:rsidR="0010522A" w:rsidRPr="00542AB5">
              <w:rPr>
                <w:sz w:val="16"/>
                <w:szCs w:val="16"/>
                <w:lang w:val="es-CR"/>
              </w:rPr>
              <w:t>Mother</w:t>
            </w:r>
            <w:r w:rsidR="007F3128" w:rsidRPr="00542AB5">
              <w:rPr>
                <w:sz w:val="16"/>
                <w:szCs w:val="16"/>
                <w:lang w:val="es-CR"/>
              </w:rPr>
              <w:t>)</w:t>
            </w:r>
          </w:p>
        </w:tc>
      </w:tr>
      <w:tr w:rsidR="007F3128" w:rsidRPr="009F337B" w14:paraId="75BED1C4" w14:textId="77777777" w:rsidTr="0010522A">
        <w:tc>
          <w:tcPr>
            <w:tcW w:w="560" w:type="dxa"/>
            <w:gridSpan w:val="2"/>
            <w:vMerge/>
            <w:vAlign w:val="center"/>
          </w:tcPr>
          <w:p w14:paraId="520B57F3" w14:textId="77777777" w:rsidR="007F3128" w:rsidRPr="00542AB5" w:rsidRDefault="007F3128" w:rsidP="00F608A7">
            <w:pPr>
              <w:jc w:val="left"/>
              <w:rPr>
                <w:sz w:val="16"/>
                <w:szCs w:val="16"/>
                <w:lang w:val="es-CR"/>
              </w:rPr>
            </w:pPr>
          </w:p>
        </w:tc>
        <w:tc>
          <w:tcPr>
            <w:tcW w:w="2950" w:type="dxa"/>
            <w:vMerge/>
            <w:vAlign w:val="center"/>
          </w:tcPr>
          <w:p w14:paraId="1839D72D" w14:textId="77777777" w:rsidR="007F3128" w:rsidRPr="00542AB5" w:rsidRDefault="007F3128" w:rsidP="00F608A7">
            <w:pPr>
              <w:jc w:val="left"/>
              <w:rPr>
                <w:sz w:val="16"/>
                <w:szCs w:val="16"/>
                <w:lang w:val="es-CR"/>
              </w:rPr>
            </w:pPr>
          </w:p>
        </w:tc>
        <w:tc>
          <w:tcPr>
            <w:tcW w:w="567" w:type="dxa"/>
            <w:vAlign w:val="center"/>
          </w:tcPr>
          <w:p w14:paraId="7E00A146" w14:textId="77777777" w:rsidR="007F3128" w:rsidRPr="009F337B" w:rsidRDefault="007F3128" w:rsidP="00F608A7">
            <w:pPr>
              <w:jc w:val="left"/>
              <w:rPr>
                <w:sz w:val="16"/>
                <w:szCs w:val="16"/>
                <w:lang w:val="en-US"/>
              </w:rPr>
            </w:pPr>
            <w:r w:rsidRPr="009F337B">
              <w:rPr>
                <w:sz w:val="16"/>
                <w:szCs w:val="16"/>
                <w:lang w:val="en-US"/>
              </w:rPr>
              <w:t>2</w:t>
            </w:r>
          </w:p>
        </w:tc>
        <w:tc>
          <w:tcPr>
            <w:tcW w:w="5211" w:type="dxa"/>
            <w:vAlign w:val="center"/>
          </w:tcPr>
          <w:p w14:paraId="79380904" w14:textId="095BD9EF" w:rsidR="007F3128" w:rsidRPr="00542AB5" w:rsidRDefault="007F3128" w:rsidP="00F608A7">
            <w:pPr>
              <w:tabs>
                <w:tab w:val="left" w:pos="1277"/>
              </w:tabs>
              <w:jc w:val="left"/>
              <w:rPr>
                <w:sz w:val="16"/>
                <w:szCs w:val="16"/>
                <w:lang w:val="es-CR"/>
              </w:rPr>
            </w:pPr>
            <w:r w:rsidRPr="00542AB5">
              <w:rPr>
                <w:sz w:val="16"/>
                <w:szCs w:val="16"/>
                <w:lang w:val="es-CR"/>
              </w:rPr>
              <w:t>Juan Pablo Cabrera Gatica (</w:t>
            </w:r>
            <w:r w:rsidR="0010522A" w:rsidRPr="00542AB5">
              <w:rPr>
                <w:sz w:val="16"/>
                <w:szCs w:val="16"/>
                <w:lang w:val="es-CR"/>
              </w:rPr>
              <w:t>Father</w:t>
            </w:r>
            <w:r w:rsidRPr="00542AB5">
              <w:rPr>
                <w:sz w:val="16"/>
                <w:szCs w:val="16"/>
                <w:lang w:val="es-CR"/>
              </w:rPr>
              <w:t>)</w:t>
            </w:r>
          </w:p>
        </w:tc>
      </w:tr>
      <w:tr w:rsidR="007F3128" w:rsidRPr="009F337B" w14:paraId="6DFBC133" w14:textId="77777777" w:rsidTr="0010522A">
        <w:tc>
          <w:tcPr>
            <w:tcW w:w="560" w:type="dxa"/>
            <w:gridSpan w:val="2"/>
            <w:vMerge/>
            <w:vAlign w:val="center"/>
          </w:tcPr>
          <w:p w14:paraId="34823B06" w14:textId="77777777" w:rsidR="007F3128" w:rsidRPr="00542AB5" w:rsidRDefault="007F3128" w:rsidP="00F608A7">
            <w:pPr>
              <w:jc w:val="left"/>
              <w:rPr>
                <w:sz w:val="16"/>
                <w:szCs w:val="16"/>
                <w:lang w:val="es-CR"/>
              </w:rPr>
            </w:pPr>
          </w:p>
        </w:tc>
        <w:tc>
          <w:tcPr>
            <w:tcW w:w="2950" w:type="dxa"/>
            <w:vMerge/>
            <w:vAlign w:val="center"/>
          </w:tcPr>
          <w:p w14:paraId="031F2189" w14:textId="77777777" w:rsidR="007F3128" w:rsidRPr="00542AB5" w:rsidRDefault="007F3128" w:rsidP="00F608A7">
            <w:pPr>
              <w:jc w:val="left"/>
              <w:rPr>
                <w:sz w:val="16"/>
                <w:szCs w:val="16"/>
                <w:lang w:val="es-CR"/>
              </w:rPr>
            </w:pPr>
          </w:p>
        </w:tc>
        <w:tc>
          <w:tcPr>
            <w:tcW w:w="567" w:type="dxa"/>
            <w:vAlign w:val="center"/>
          </w:tcPr>
          <w:p w14:paraId="5C563BC4" w14:textId="77777777" w:rsidR="007F3128" w:rsidRPr="009F337B" w:rsidRDefault="007F3128" w:rsidP="00F608A7">
            <w:pPr>
              <w:jc w:val="left"/>
              <w:rPr>
                <w:sz w:val="16"/>
                <w:szCs w:val="16"/>
                <w:lang w:val="en-US"/>
              </w:rPr>
            </w:pPr>
            <w:r w:rsidRPr="009F337B">
              <w:rPr>
                <w:sz w:val="16"/>
                <w:szCs w:val="16"/>
                <w:lang w:val="en-US"/>
              </w:rPr>
              <w:t>3</w:t>
            </w:r>
          </w:p>
        </w:tc>
        <w:tc>
          <w:tcPr>
            <w:tcW w:w="5211" w:type="dxa"/>
            <w:vAlign w:val="center"/>
          </w:tcPr>
          <w:p w14:paraId="733FB47B" w14:textId="08B0F3DD" w:rsidR="007F3128" w:rsidRPr="00542AB5" w:rsidRDefault="007F3128" w:rsidP="00F608A7">
            <w:pPr>
              <w:tabs>
                <w:tab w:val="left" w:pos="1277"/>
              </w:tabs>
              <w:jc w:val="left"/>
              <w:rPr>
                <w:sz w:val="16"/>
                <w:szCs w:val="16"/>
                <w:lang w:val="es-CR"/>
              </w:rPr>
            </w:pPr>
            <w:r w:rsidRPr="00542AB5">
              <w:rPr>
                <w:sz w:val="16"/>
                <w:szCs w:val="16"/>
                <w:lang w:val="es-CR"/>
              </w:rPr>
              <w:t>Jesús Alberto González Cabrera (</w:t>
            </w:r>
            <w:r w:rsidR="0010522A" w:rsidRPr="00542AB5">
              <w:rPr>
                <w:sz w:val="16"/>
                <w:szCs w:val="16"/>
                <w:lang w:val="es-CR"/>
              </w:rPr>
              <w:t>Son</w:t>
            </w:r>
            <w:r w:rsidRPr="00542AB5">
              <w:rPr>
                <w:sz w:val="16"/>
                <w:szCs w:val="16"/>
                <w:lang w:val="es-CR"/>
              </w:rPr>
              <w:t>)</w:t>
            </w:r>
          </w:p>
        </w:tc>
      </w:tr>
      <w:tr w:rsidR="007F3128" w:rsidRPr="009F337B" w14:paraId="5194C8B3" w14:textId="77777777" w:rsidTr="0010522A">
        <w:tc>
          <w:tcPr>
            <w:tcW w:w="560" w:type="dxa"/>
            <w:gridSpan w:val="2"/>
            <w:vMerge w:val="restart"/>
            <w:vAlign w:val="center"/>
          </w:tcPr>
          <w:p w14:paraId="6E2FBEBB" w14:textId="77777777" w:rsidR="007F3128" w:rsidRPr="009F337B" w:rsidRDefault="007F3128" w:rsidP="00F608A7">
            <w:pPr>
              <w:jc w:val="left"/>
              <w:rPr>
                <w:sz w:val="16"/>
                <w:szCs w:val="16"/>
                <w:lang w:val="en-US"/>
              </w:rPr>
            </w:pPr>
            <w:r w:rsidRPr="009F337B">
              <w:rPr>
                <w:sz w:val="16"/>
                <w:szCs w:val="16"/>
                <w:lang w:val="en-US"/>
              </w:rPr>
              <w:t>24</w:t>
            </w:r>
          </w:p>
        </w:tc>
        <w:tc>
          <w:tcPr>
            <w:tcW w:w="2950" w:type="dxa"/>
            <w:vMerge w:val="restart"/>
            <w:vAlign w:val="center"/>
          </w:tcPr>
          <w:p w14:paraId="38B4F9DB" w14:textId="7FDFBE15" w:rsidR="007F3128" w:rsidRPr="009F337B" w:rsidRDefault="0022189F" w:rsidP="00F608A7">
            <w:pPr>
              <w:jc w:val="left"/>
              <w:rPr>
                <w:sz w:val="16"/>
                <w:szCs w:val="16"/>
                <w:lang w:val="en-US"/>
              </w:rPr>
            </w:pPr>
            <w:r w:rsidRPr="009F337B">
              <w:rPr>
                <w:sz w:val="16"/>
                <w:szCs w:val="16"/>
                <w:lang w:val="en-US"/>
              </w:rPr>
              <w:t>Cé</w:t>
            </w:r>
            <w:r w:rsidR="007F3128" w:rsidRPr="009F337B">
              <w:rPr>
                <w:sz w:val="16"/>
                <w:szCs w:val="16"/>
                <w:lang w:val="en-US"/>
              </w:rPr>
              <w:t>sar Noé Cancinos Gómez</w:t>
            </w:r>
          </w:p>
        </w:tc>
        <w:tc>
          <w:tcPr>
            <w:tcW w:w="567" w:type="dxa"/>
            <w:vAlign w:val="center"/>
          </w:tcPr>
          <w:p w14:paraId="11E20C05" w14:textId="77777777" w:rsidR="007F3128" w:rsidRPr="009F337B" w:rsidRDefault="007F3128" w:rsidP="00F608A7">
            <w:pPr>
              <w:jc w:val="left"/>
              <w:rPr>
                <w:sz w:val="16"/>
                <w:szCs w:val="16"/>
                <w:lang w:val="en-US"/>
              </w:rPr>
            </w:pPr>
            <w:r w:rsidRPr="009F337B">
              <w:rPr>
                <w:sz w:val="16"/>
                <w:szCs w:val="16"/>
                <w:lang w:val="en-US"/>
              </w:rPr>
              <w:t>1</w:t>
            </w:r>
          </w:p>
        </w:tc>
        <w:tc>
          <w:tcPr>
            <w:tcW w:w="5211" w:type="dxa"/>
            <w:vAlign w:val="center"/>
          </w:tcPr>
          <w:p w14:paraId="27F3DDE8" w14:textId="034D8004" w:rsidR="007F3128" w:rsidRPr="00542AB5" w:rsidRDefault="007F3128" w:rsidP="00F608A7">
            <w:pPr>
              <w:tabs>
                <w:tab w:val="left" w:pos="1277"/>
              </w:tabs>
              <w:jc w:val="left"/>
              <w:rPr>
                <w:sz w:val="16"/>
                <w:szCs w:val="16"/>
                <w:lang w:val="es-CR"/>
              </w:rPr>
            </w:pPr>
            <w:r w:rsidRPr="00542AB5">
              <w:rPr>
                <w:sz w:val="16"/>
                <w:szCs w:val="16"/>
                <w:lang w:val="es-CR"/>
              </w:rPr>
              <w:t>Irma Leticia Vicente Morales (</w:t>
            </w:r>
            <w:r w:rsidR="0010522A" w:rsidRPr="00542AB5">
              <w:rPr>
                <w:sz w:val="16"/>
                <w:szCs w:val="16"/>
                <w:lang w:val="es-CR"/>
              </w:rPr>
              <w:t>Wife</w:t>
            </w:r>
            <w:r w:rsidRPr="00542AB5">
              <w:rPr>
                <w:sz w:val="16"/>
                <w:szCs w:val="16"/>
                <w:lang w:val="es-CR"/>
              </w:rPr>
              <w:t>)</w:t>
            </w:r>
          </w:p>
        </w:tc>
      </w:tr>
      <w:tr w:rsidR="007F3128" w:rsidRPr="009F337B" w14:paraId="61D494C3" w14:textId="77777777" w:rsidTr="0010522A">
        <w:tc>
          <w:tcPr>
            <w:tcW w:w="560" w:type="dxa"/>
            <w:gridSpan w:val="2"/>
            <w:vMerge/>
            <w:vAlign w:val="center"/>
          </w:tcPr>
          <w:p w14:paraId="53E45670" w14:textId="77777777" w:rsidR="007F3128" w:rsidRPr="00542AB5" w:rsidRDefault="007F3128" w:rsidP="00F608A7">
            <w:pPr>
              <w:jc w:val="left"/>
              <w:rPr>
                <w:sz w:val="16"/>
                <w:szCs w:val="16"/>
                <w:lang w:val="es-CR"/>
              </w:rPr>
            </w:pPr>
          </w:p>
        </w:tc>
        <w:tc>
          <w:tcPr>
            <w:tcW w:w="2950" w:type="dxa"/>
            <w:vMerge/>
            <w:vAlign w:val="center"/>
          </w:tcPr>
          <w:p w14:paraId="79D4F79A" w14:textId="77777777" w:rsidR="007F3128" w:rsidRPr="00542AB5" w:rsidRDefault="007F3128" w:rsidP="00F608A7">
            <w:pPr>
              <w:jc w:val="left"/>
              <w:rPr>
                <w:sz w:val="16"/>
                <w:szCs w:val="16"/>
                <w:lang w:val="es-CR"/>
              </w:rPr>
            </w:pPr>
          </w:p>
        </w:tc>
        <w:tc>
          <w:tcPr>
            <w:tcW w:w="567" w:type="dxa"/>
            <w:vAlign w:val="center"/>
          </w:tcPr>
          <w:p w14:paraId="7A2BC4E1" w14:textId="77777777" w:rsidR="007F3128" w:rsidRPr="009F337B" w:rsidRDefault="007F3128" w:rsidP="00F608A7">
            <w:pPr>
              <w:jc w:val="left"/>
              <w:rPr>
                <w:sz w:val="16"/>
                <w:szCs w:val="16"/>
                <w:lang w:val="en-US"/>
              </w:rPr>
            </w:pPr>
            <w:r w:rsidRPr="009F337B">
              <w:rPr>
                <w:sz w:val="16"/>
                <w:szCs w:val="16"/>
                <w:lang w:val="en-US"/>
              </w:rPr>
              <w:t>2</w:t>
            </w:r>
          </w:p>
        </w:tc>
        <w:tc>
          <w:tcPr>
            <w:tcW w:w="5211" w:type="dxa"/>
            <w:vAlign w:val="center"/>
          </w:tcPr>
          <w:p w14:paraId="7C2CE831" w14:textId="0A8F8980" w:rsidR="007F3128" w:rsidRPr="00542AB5" w:rsidRDefault="007F3128" w:rsidP="00F608A7">
            <w:pPr>
              <w:tabs>
                <w:tab w:val="left" w:pos="1277"/>
              </w:tabs>
              <w:jc w:val="left"/>
              <w:rPr>
                <w:sz w:val="16"/>
                <w:szCs w:val="16"/>
                <w:lang w:val="es-CR"/>
              </w:rPr>
            </w:pPr>
            <w:r w:rsidRPr="00542AB5">
              <w:rPr>
                <w:sz w:val="16"/>
                <w:szCs w:val="16"/>
                <w:lang w:val="es-CR"/>
              </w:rPr>
              <w:t>César Antonio Cancinos Vicente (</w:t>
            </w:r>
            <w:r w:rsidR="0010522A" w:rsidRPr="00542AB5">
              <w:rPr>
                <w:sz w:val="16"/>
                <w:szCs w:val="16"/>
                <w:lang w:val="es-CR"/>
              </w:rPr>
              <w:t>Son</w:t>
            </w:r>
            <w:r w:rsidRPr="00542AB5">
              <w:rPr>
                <w:sz w:val="16"/>
                <w:szCs w:val="16"/>
                <w:lang w:val="es-CR"/>
              </w:rPr>
              <w:t>)</w:t>
            </w:r>
          </w:p>
        </w:tc>
      </w:tr>
      <w:tr w:rsidR="007F3128" w:rsidRPr="009F337B" w14:paraId="31187556" w14:textId="77777777" w:rsidTr="0010522A">
        <w:tc>
          <w:tcPr>
            <w:tcW w:w="560" w:type="dxa"/>
            <w:gridSpan w:val="2"/>
            <w:vMerge/>
            <w:vAlign w:val="center"/>
          </w:tcPr>
          <w:p w14:paraId="335BEB83" w14:textId="77777777" w:rsidR="007F3128" w:rsidRPr="00542AB5" w:rsidRDefault="007F3128" w:rsidP="00F608A7">
            <w:pPr>
              <w:jc w:val="left"/>
              <w:rPr>
                <w:sz w:val="16"/>
                <w:szCs w:val="16"/>
                <w:lang w:val="es-CR"/>
              </w:rPr>
            </w:pPr>
          </w:p>
        </w:tc>
        <w:tc>
          <w:tcPr>
            <w:tcW w:w="2950" w:type="dxa"/>
            <w:vMerge/>
            <w:vAlign w:val="center"/>
          </w:tcPr>
          <w:p w14:paraId="6866BEEE" w14:textId="77777777" w:rsidR="007F3128" w:rsidRPr="00542AB5" w:rsidRDefault="007F3128" w:rsidP="00F608A7">
            <w:pPr>
              <w:jc w:val="left"/>
              <w:rPr>
                <w:sz w:val="16"/>
                <w:szCs w:val="16"/>
                <w:lang w:val="es-CR"/>
              </w:rPr>
            </w:pPr>
          </w:p>
        </w:tc>
        <w:tc>
          <w:tcPr>
            <w:tcW w:w="567" w:type="dxa"/>
            <w:vAlign w:val="center"/>
          </w:tcPr>
          <w:p w14:paraId="48B78F18" w14:textId="77777777" w:rsidR="007F3128" w:rsidRPr="009F337B" w:rsidRDefault="007F3128" w:rsidP="00F608A7">
            <w:pPr>
              <w:jc w:val="left"/>
              <w:rPr>
                <w:sz w:val="16"/>
                <w:szCs w:val="16"/>
                <w:lang w:val="en-US"/>
              </w:rPr>
            </w:pPr>
            <w:r w:rsidRPr="009F337B">
              <w:rPr>
                <w:sz w:val="16"/>
                <w:szCs w:val="16"/>
                <w:lang w:val="en-US"/>
              </w:rPr>
              <w:t>3</w:t>
            </w:r>
          </w:p>
        </w:tc>
        <w:tc>
          <w:tcPr>
            <w:tcW w:w="5211" w:type="dxa"/>
            <w:vAlign w:val="center"/>
          </w:tcPr>
          <w:p w14:paraId="44F9755E" w14:textId="6FFB3F1F" w:rsidR="007F3128" w:rsidRPr="009F337B" w:rsidRDefault="007F3128" w:rsidP="00F608A7">
            <w:pPr>
              <w:tabs>
                <w:tab w:val="left" w:pos="1277"/>
              </w:tabs>
              <w:jc w:val="left"/>
              <w:rPr>
                <w:sz w:val="16"/>
                <w:szCs w:val="16"/>
                <w:lang w:val="en-US"/>
              </w:rPr>
            </w:pPr>
            <w:r w:rsidRPr="009F337B">
              <w:rPr>
                <w:sz w:val="16"/>
                <w:szCs w:val="16"/>
                <w:lang w:val="en-US"/>
              </w:rPr>
              <w:t>Leticia Yamilet Cancinos Vicente (</w:t>
            </w:r>
            <w:r w:rsidR="0010522A" w:rsidRPr="009F337B">
              <w:rPr>
                <w:sz w:val="16"/>
                <w:szCs w:val="16"/>
                <w:lang w:val="en-US"/>
              </w:rPr>
              <w:t>Daughter</w:t>
            </w:r>
            <w:r w:rsidRPr="009F337B">
              <w:rPr>
                <w:sz w:val="16"/>
                <w:szCs w:val="16"/>
                <w:lang w:val="en-US"/>
              </w:rPr>
              <w:t>)</w:t>
            </w:r>
          </w:p>
        </w:tc>
      </w:tr>
      <w:tr w:rsidR="007F3128" w:rsidRPr="009F337B" w14:paraId="341783CD" w14:textId="77777777" w:rsidTr="0010522A">
        <w:tc>
          <w:tcPr>
            <w:tcW w:w="560" w:type="dxa"/>
            <w:gridSpan w:val="2"/>
            <w:vMerge/>
            <w:vAlign w:val="center"/>
          </w:tcPr>
          <w:p w14:paraId="125A2416" w14:textId="77777777" w:rsidR="007F3128" w:rsidRPr="009F337B" w:rsidRDefault="007F3128" w:rsidP="00F608A7">
            <w:pPr>
              <w:jc w:val="left"/>
              <w:rPr>
                <w:sz w:val="16"/>
                <w:szCs w:val="16"/>
                <w:lang w:val="en-US"/>
              </w:rPr>
            </w:pPr>
          </w:p>
        </w:tc>
        <w:tc>
          <w:tcPr>
            <w:tcW w:w="2950" w:type="dxa"/>
            <w:vMerge/>
            <w:vAlign w:val="center"/>
          </w:tcPr>
          <w:p w14:paraId="27270A2E" w14:textId="77777777" w:rsidR="007F3128" w:rsidRPr="009F337B" w:rsidRDefault="007F3128" w:rsidP="00F608A7">
            <w:pPr>
              <w:jc w:val="left"/>
              <w:rPr>
                <w:sz w:val="16"/>
                <w:szCs w:val="16"/>
                <w:lang w:val="en-US"/>
              </w:rPr>
            </w:pPr>
          </w:p>
        </w:tc>
        <w:tc>
          <w:tcPr>
            <w:tcW w:w="567" w:type="dxa"/>
            <w:vAlign w:val="center"/>
          </w:tcPr>
          <w:p w14:paraId="1FBE444E" w14:textId="77777777" w:rsidR="007F3128" w:rsidRPr="009F337B" w:rsidRDefault="007F3128" w:rsidP="00F608A7">
            <w:pPr>
              <w:jc w:val="left"/>
              <w:rPr>
                <w:sz w:val="16"/>
                <w:szCs w:val="16"/>
                <w:lang w:val="en-US"/>
              </w:rPr>
            </w:pPr>
            <w:r w:rsidRPr="009F337B">
              <w:rPr>
                <w:sz w:val="16"/>
                <w:szCs w:val="16"/>
                <w:lang w:val="en-US"/>
              </w:rPr>
              <w:t>4</w:t>
            </w:r>
          </w:p>
        </w:tc>
        <w:tc>
          <w:tcPr>
            <w:tcW w:w="5211" w:type="dxa"/>
            <w:vAlign w:val="center"/>
          </w:tcPr>
          <w:p w14:paraId="614F23A6" w14:textId="406BBC15" w:rsidR="007F3128" w:rsidRPr="00542AB5" w:rsidRDefault="007F3128" w:rsidP="00F608A7">
            <w:pPr>
              <w:tabs>
                <w:tab w:val="left" w:pos="1277"/>
              </w:tabs>
              <w:jc w:val="left"/>
              <w:rPr>
                <w:sz w:val="16"/>
                <w:szCs w:val="16"/>
                <w:lang w:val="es-CR"/>
              </w:rPr>
            </w:pPr>
            <w:r w:rsidRPr="00542AB5">
              <w:rPr>
                <w:sz w:val="16"/>
                <w:szCs w:val="16"/>
                <w:lang w:val="es-CR"/>
              </w:rPr>
              <w:t>Demecio Rogelio Cancinos Díaz (</w:t>
            </w:r>
            <w:r w:rsidR="0010522A" w:rsidRPr="00542AB5">
              <w:rPr>
                <w:sz w:val="16"/>
                <w:szCs w:val="16"/>
                <w:lang w:val="es-CR"/>
              </w:rPr>
              <w:t>Father</w:t>
            </w:r>
            <w:r w:rsidRPr="00542AB5">
              <w:rPr>
                <w:sz w:val="16"/>
                <w:szCs w:val="16"/>
                <w:lang w:val="es-CR"/>
              </w:rPr>
              <w:t>)</w:t>
            </w:r>
          </w:p>
        </w:tc>
      </w:tr>
      <w:tr w:rsidR="007F3128" w:rsidRPr="009F337B" w14:paraId="05C6D3D6" w14:textId="77777777" w:rsidTr="0010522A">
        <w:tc>
          <w:tcPr>
            <w:tcW w:w="560" w:type="dxa"/>
            <w:gridSpan w:val="2"/>
            <w:vMerge/>
            <w:vAlign w:val="center"/>
          </w:tcPr>
          <w:p w14:paraId="052829EA" w14:textId="77777777" w:rsidR="007F3128" w:rsidRPr="00542AB5" w:rsidRDefault="007F3128" w:rsidP="00F608A7">
            <w:pPr>
              <w:jc w:val="left"/>
              <w:rPr>
                <w:sz w:val="16"/>
                <w:szCs w:val="16"/>
                <w:lang w:val="es-CR"/>
              </w:rPr>
            </w:pPr>
          </w:p>
        </w:tc>
        <w:tc>
          <w:tcPr>
            <w:tcW w:w="2950" w:type="dxa"/>
            <w:vMerge/>
            <w:vAlign w:val="center"/>
          </w:tcPr>
          <w:p w14:paraId="70DCB2B2" w14:textId="77777777" w:rsidR="007F3128" w:rsidRPr="00542AB5" w:rsidRDefault="007F3128" w:rsidP="00F608A7">
            <w:pPr>
              <w:jc w:val="left"/>
              <w:rPr>
                <w:sz w:val="16"/>
                <w:szCs w:val="16"/>
                <w:lang w:val="es-CR"/>
              </w:rPr>
            </w:pPr>
          </w:p>
        </w:tc>
        <w:tc>
          <w:tcPr>
            <w:tcW w:w="567" w:type="dxa"/>
            <w:vAlign w:val="center"/>
          </w:tcPr>
          <w:p w14:paraId="5DC05BCF" w14:textId="77777777" w:rsidR="007F3128" w:rsidRPr="009F337B" w:rsidRDefault="007F3128" w:rsidP="00F608A7">
            <w:pPr>
              <w:jc w:val="left"/>
              <w:rPr>
                <w:sz w:val="16"/>
                <w:szCs w:val="16"/>
                <w:lang w:val="en-US"/>
              </w:rPr>
            </w:pPr>
            <w:r w:rsidRPr="009F337B">
              <w:rPr>
                <w:sz w:val="16"/>
                <w:szCs w:val="16"/>
                <w:lang w:val="en-US"/>
              </w:rPr>
              <w:t>5</w:t>
            </w:r>
          </w:p>
        </w:tc>
        <w:tc>
          <w:tcPr>
            <w:tcW w:w="5211" w:type="dxa"/>
            <w:vAlign w:val="center"/>
          </w:tcPr>
          <w:p w14:paraId="378F0BDC" w14:textId="3FC4D09C" w:rsidR="007F3128" w:rsidRPr="009F337B" w:rsidRDefault="007F3128" w:rsidP="00F608A7">
            <w:pPr>
              <w:tabs>
                <w:tab w:val="left" w:pos="1277"/>
              </w:tabs>
              <w:jc w:val="left"/>
              <w:rPr>
                <w:sz w:val="16"/>
                <w:szCs w:val="16"/>
                <w:lang w:val="en-US"/>
              </w:rPr>
            </w:pPr>
            <w:r w:rsidRPr="009F337B">
              <w:rPr>
                <w:sz w:val="16"/>
                <w:szCs w:val="16"/>
                <w:lang w:val="en-US"/>
              </w:rPr>
              <w:t>Macedonia Gómez Oxlaj (</w:t>
            </w:r>
            <w:r w:rsidR="0010522A" w:rsidRPr="009F337B">
              <w:rPr>
                <w:sz w:val="16"/>
                <w:szCs w:val="16"/>
                <w:lang w:val="en-US"/>
              </w:rPr>
              <w:t>Mother</w:t>
            </w:r>
            <w:r w:rsidRPr="009F337B">
              <w:rPr>
                <w:sz w:val="16"/>
                <w:szCs w:val="16"/>
                <w:lang w:val="en-US"/>
              </w:rPr>
              <w:t>)</w:t>
            </w:r>
          </w:p>
        </w:tc>
      </w:tr>
      <w:tr w:rsidR="007F3128" w:rsidRPr="009F337B" w14:paraId="37A524B3" w14:textId="77777777" w:rsidTr="0010522A">
        <w:tc>
          <w:tcPr>
            <w:tcW w:w="560" w:type="dxa"/>
            <w:gridSpan w:val="2"/>
            <w:vMerge w:val="restart"/>
            <w:vAlign w:val="center"/>
          </w:tcPr>
          <w:p w14:paraId="37B97536" w14:textId="77777777" w:rsidR="007F3128" w:rsidRPr="009F337B" w:rsidRDefault="007F3128" w:rsidP="00F608A7">
            <w:pPr>
              <w:jc w:val="left"/>
              <w:rPr>
                <w:sz w:val="16"/>
                <w:szCs w:val="16"/>
                <w:lang w:val="en-US"/>
              </w:rPr>
            </w:pPr>
            <w:r w:rsidRPr="009F337B">
              <w:rPr>
                <w:sz w:val="16"/>
                <w:szCs w:val="16"/>
                <w:lang w:val="en-US"/>
              </w:rPr>
              <w:t>25</w:t>
            </w:r>
          </w:p>
        </w:tc>
        <w:tc>
          <w:tcPr>
            <w:tcW w:w="2950" w:type="dxa"/>
            <w:vMerge w:val="restart"/>
            <w:vAlign w:val="center"/>
          </w:tcPr>
          <w:p w14:paraId="60D2627F" w14:textId="458C2ADB" w:rsidR="007F3128" w:rsidRPr="009F337B" w:rsidRDefault="007F3128" w:rsidP="00F608A7">
            <w:pPr>
              <w:jc w:val="left"/>
              <w:rPr>
                <w:sz w:val="16"/>
                <w:szCs w:val="16"/>
                <w:lang w:val="en-US"/>
              </w:rPr>
            </w:pPr>
            <w:r w:rsidRPr="009F337B">
              <w:rPr>
                <w:sz w:val="16"/>
                <w:szCs w:val="16"/>
                <w:lang w:val="en-US"/>
              </w:rPr>
              <w:t>Aracely Cinto</w:t>
            </w:r>
          </w:p>
        </w:tc>
        <w:tc>
          <w:tcPr>
            <w:tcW w:w="567" w:type="dxa"/>
            <w:vAlign w:val="center"/>
          </w:tcPr>
          <w:p w14:paraId="02197FBA" w14:textId="77777777" w:rsidR="007F3128" w:rsidRPr="009F337B" w:rsidRDefault="007F3128" w:rsidP="00F608A7">
            <w:pPr>
              <w:jc w:val="left"/>
              <w:rPr>
                <w:sz w:val="16"/>
                <w:szCs w:val="16"/>
                <w:lang w:val="en-US"/>
              </w:rPr>
            </w:pPr>
            <w:r w:rsidRPr="009F337B">
              <w:rPr>
                <w:sz w:val="16"/>
                <w:szCs w:val="16"/>
                <w:lang w:val="en-US"/>
              </w:rPr>
              <w:t>1</w:t>
            </w:r>
          </w:p>
        </w:tc>
        <w:tc>
          <w:tcPr>
            <w:tcW w:w="5211" w:type="dxa"/>
            <w:vAlign w:val="center"/>
          </w:tcPr>
          <w:p w14:paraId="2745B107" w14:textId="68DCDFA9" w:rsidR="007F3128" w:rsidRPr="00542AB5" w:rsidRDefault="007F3128" w:rsidP="00F608A7">
            <w:pPr>
              <w:tabs>
                <w:tab w:val="left" w:pos="1277"/>
              </w:tabs>
              <w:jc w:val="left"/>
              <w:rPr>
                <w:sz w:val="16"/>
                <w:szCs w:val="16"/>
                <w:lang w:val="es-CR"/>
              </w:rPr>
            </w:pPr>
            <w:r w:rsidRPr="00542AB5">
              <w:rPr>
                <w:sz w:val="16"/>
                <w:szCs w:val="16"/>
                <w:lang w:val="es-CR"/>
              </w:rPr>
              <w:t>María Teresa</w:t>
            </w:r>
            <w:r w:rsidR="006B7CFB" w:rsidRPr="00542AB5">
              <w:rPr>
                <w:sz w:val="16"/>
                <w:szCs w:val="16"/>
                <w:lang w:val="es-CR"/>
              </w:rPr>
              <w:t xml:space="preserve"> de</w:t>
            </w:r>
            <w:r w:rsidRPr="00542AB5">
              <w:rPr>
                <w:sz w:val="16"/>
                <w:szCs w:val="16"/>
                <w:lang w:val="es-CR"/>
              </w:rPr>
              <w:t xml:space="preserve"> Maldonado Cinto (</w:t>
            </w:r>
            <w:r w:rsidR="0010522A" w:rsidRPr="00542AB5">
              <w:rPr>
                <w:sz w:val="16"/>
                <w:szCs w:val="16"/>
                <w:lang w:val="es-CR"/>
              </w:rPr>
              <w:t>Mother</w:t>
            </w:r>
            <w:r w:rsidRPr="00542AB5">
              <w:rPr>
                <w:sz w:val="16"/>
                <w:szCs w:val="16"/>
                <w:lang w:val="es-CR"/>
              </w:rPr>
              <w:t>)</w:t>
            </w:r>
          </w:p>
        </w:tc>
      </w:tr>
      <w:tr w:rsidR="007F3128" w:rsidRPr="009F337B" w14:paraId="063B8B5B" w14:textId="77777777" w:rsidTr="0010522A">
        <w:tc>
          <w:tcPr>
            <w:tcW w:w="560" w:type="dxa"/>
            <w:gridSpan w:val="2"/>
            <w:vMerge/>
            <w:vAlign w:val="center"/>
          </w:tcPr>
          <w:p w14:paraId="557DB8A0" w14:textId="77777777" w:rsidR="007F3128" w:rsidRPr="00542AB5" w:rsidRDefault="007F3128" w:rsidP="00F608A7">
            <w:pPr>
              <w:jc w:val="left"/>
              <w:rPr>
                <w:sz w:val="16"/>
                <w:szCs w:val="16"/>
                <w:lang w:val="es-CR"/>
              </w:rPr>
            </w:pPr>
          </w:p>
        </w:tc>
        <w:tc>
          <w:tcPr>
            <w:tcW w:w="2950" w:type="dxa"/>
            <w:vMerge/>
            <w:vAlign w:val="center"/>
          </w:tcPr>
          <w:p w14:paraId="5320A48C" w14:textId="77777777" w:rsidR="007F3128" w:rsidRPr="00542AB5" w:rsidRDefault="007F3128" w:rsidP="00F608A7">
            <w:pPr>
              <w:jc w:val="left"/>
              <w:rPr>
                <w:sz w:val="16"/>
                <w:szCs w:val="16"/>
                <w:lang w:val="es-CR"/>
              </w:rPr>
            </w:pPr>
          </w:p>
        </w:tc>
        <w:tc>
          <w:tcPr>
            <w:tcW w:w="567" w:type="dxa"/>
            <w:vAlign w:val="center"/>
          </w:tcPr>
          <w:p w14:paraId="26556135" w14:textId="77777777" w:rsidR="007F3128" w:rsidRPr="009F337B" w:rsidRDefault="007F3128" w:rsidP="00F608A7">
            <w:pPr>
              <w:jc w:val="left"/>
              <w:rPr>
                <w:sz w:val="16"/>
                <w:szCs w:val="16"/>
                <w:lang w:val="en-US"/>
              </w:rPr>
            </w:pPr>
            <w:r w:rsidRPr="009F337B">
              <w:rPr>
                <w:sz w:val="16"/>
                <w:szCs w:val="16"/>
                <w:lang w:val="en-US"/>
              </w:rPr>
              <w:t>2</w:t>
            </w:r>
          </w:p>
        </w:tc>
        <w:tc>
          <w:tcPr>
            <w:tcW w:w="5211" w:type="dxa"/>
            <w:vAlign w:val="center"/>
          </w:tcPr>
          <w:p w14:paraId="347EF9A2" w14:textId="29CE2476" w:rsidR="007F3128" w:rsidRPr="00542AB5" w:rsidRDefault="007F3128" w:rsidP="00F608A7">
            <w:pPr>
              <w:tabs>
                <w:tab w:val="left" w:pos="1277"/>
              </w:tabs>
              <w:jc w:val="left"/>
              <w:rPr>
                <w:sz w:val="16"/>
                <w:szCs w:val="16"/>
                <w:lang w:val="es-CR"/>
              </w:rPr>
            </w:pPr>
            <w:r w:rsidRPr="00542AB5">
              <w:rPr>
                <w:sz w:val="16"/>
                <w:szCs w:val="16"/>
                <w:lang w:val="es-CR"/>
              </w:rPr>
              <w:t>Leonel Celestino Mazariegos Cinto (</w:t>
            </w:r>
            <w:r w:rsidR="0010522A" w:rsidRPr="00542AB5">
              <w:rPr>
                <w:sz w:val="16"/>
                <w:szCs w:val="16"/>
                <w:lang w:val="es-CR"/>
              </w:rPr>
              <w:t>Son</w:t>
            </w:r>
            <w:r w:rsidRPr="00542AB5">
              <w:rPr>
                <w:sz w:val="16"/>
                <w:szCs w:val="16"/>
                <w:lang w:val="es-CR"/>
              </w:rPr>
              <w:t>)</w:t>
            </w:r>
          </w:p>
        </w:tc>
      </w:tr>
      <w:tr w:rsidR="007F3128" w:rsidRPr="00310E7A" w14:paraId="0CA174C8" w14:textId="77777777" w:rsidTr="0010522A">
        <w:tc>
          <w:tcPr>
            <w:tcW w:w="560" w:type="dxa"/>
            <w:gridSpan w:val="2"/>
            <w:vMerge/>
            <w:vAlign w:val="center"/>
          </w:tcPr>
          <w:p w14:paraId="355DCAD2" w14:textId="77777777" w:rsidR="007F3128" w:rsidRPr="00542AB5" w:rsidRDefault="007F3128" w:rsidP="00F608A7">
            <w:pPr>
              <w:jc w:val="left"/>
              <w:rPr>
                <w:sz w:val="16"/>
                <w:szCs w:val="16"/>
                <w:lang w:val="es-CR"/>
              </w:rPr>
            </w:pPr>
          </w:p>
        </w:tc>
        <w:tc>
          <w:tcPr>
            <w:tcW w:w="2950" w:type="dxa"/>
            <w:vMerge/>
            <w:vAlign w:val="center"/>
          </w:tcPr>
          <w:p w14:paraId="6A3AACEF" w14:textId="77777777" w:rsidR="007F3128" w:rsidRPr="00542AB5" w:rsidRDefault="007F3128" w:rsidP="00F608A7">
            <w:pPr>
              <w:jc w:val="left"/>
              <w:rPr>
                <w:sz w:val="16"/>
                <w:szCs w:val="16"/>
                <w:lang w:val="es-CR"/>
              </w:rPr>
            </w:pPr>
          </w:p>
        </w:tc>
        <w:tc>
          <w:tcPr>
            <w:tcW w:w="567" w:type="dxa"/>
            <w:vAlign w:val="center"/>
          </w:tcPr>
          <w:p w14:paraId="68093413" w14:textId="77777777" w:rsidR="007F3128" w:rsidRPr="009F337B" w:rsidRDefault="007F3128" w:rsidP="00F608A7">
            <w:pPr>
              <w:jc w:val="left"/>
              <w:rPr>
                <w:sz w:val="16"/>
                <w:szCs w:val="16"/>
                <w:lang w:val="en-US"/>
              </w:rPr>
            </w:pPr>
            <w:r w:rsidRPr="009F337B">
              <w:rPr>
                <w:sz w:val="16"/>
                <w:szCs w:val="16"/>
                <w:lang w:val="en-US"/>
              </w:rPr>
              <w:t>3</w:t>
            </w:r>
          </w:p>
        </w:tc>
        <w:tc>
          <w:tcPr>
            <w:tcW w:w="5211" w:type="dxa"/>
            <w:vAlign w:val="center"/>
          </w:tcPr>
          <w:p w14:paraId="441FA248" w14:textId="62FFEDD2" w:rsidR="007F3128" w:rsidRPr="009F337B" w:rsidRDefault="007F3128" w:rsidP="00F608A7">
            <w:pPr>
              <w:tabs>
                <w:tab w:val="left" w:pos="1277"/>
              </w:tabs>
              <w:jc w:val="left"/>
              <w:rPr>
                <w:sz w:val="16"/>
                <w:szCs w:val="16"/>
                <w:lang w:val="en-US"/>
              </w:rPr>
            </w:pPr>
            <w:r w:rsidRPr="009F337B">
              <w:rPr>
                <w:sz w:val="16"/>
                <w:szCs w:val="16"/>
                <w:lang w:val="en-US"/>
              </w:rPr>
              <w:t>Gladys Francisca Mazariegos Cinto (</w:t>
            </w:r>
            <w:r w:rsidR="0010522A" w:rsidRPr="009F337B">
              <w:rPr>
                <w:sz w:val="16"/>
                <w:szCs w:val="16"/>
                <w:lang w:val="en-US"/>
              </w:rPr>
              <w:t>Daughter</w:t>
            </w:r>
            <w:r w:rsidRPr="009F337B">
              <w:rPr>
                <w:sz w:val="16"/>
                <w:szCs w:val="16"/>
                <w:lang w:val="en-US"/>
              </w:rPr>
              <w:t xml:space="preserve">, </w:t>
            </w:r>
            <w:r w:rsidR="0010522A" w:rsidRPr="009F337B">
              <w:rPr>
                <w:sz w:val="16"/>
                <w:szCs w:val="16"/>
                <w:lang w:val="en-US"/>
              </w:rPr>
              <w:t>deceased</w:t>
            </w:r>
            <w:r w:rsidRPr="009F337B">
              <w:rPr>
                <w:sz w:val="16"/>
                <w:szCs w:val="16"/>
                <w:lang w:val="en-US"/>
              </w:rPr>
              <w:t>)</w:t>
            </w:r>
          </w:p>
        </w:tc>
      </w:tr>
      <w:tr w:rsidR="007F3128" w:rsidRPr="009F337B" w14:paraId="40979888" w14:textId="77777777" w:rsidTr="0010522A">
        <w:tc>
          <w:tcPr>
            <w:tcW w:w="560" w:type="dxa"/>
            <w:gridSpan w:val="2"/>
            <w:vMerge/>
            <w:vAlign w:val="center"/>
          </w:tcPr>
          <w:p w14:paraId="2909E138" w14:textId="77777777" w:rsidR="007F3128" w:rsidRPr="009F337B" w:rsidRDefault="007F3128" w:rsidP="00F608A7">
            <w:pPr>
              <w:jc w:val="left"/>
              <w:rPr>
                <w:sz w:val="16"/>
                <w:szCs w:val="16"/>
                <w:lang w:val="en-US"/>
              </w:rPr>
            </w:pPr>
          </w:p>
        </w:tc>
        <w:tc>
          <w:tcPr>
            <w:tcW w:w="2950" w:type="dxa"/>
            <w:vMerge/>
            <w:vAlign w:val="center"/>
          </w:tcPr>
          <w:p w14:paraId="7B11DC89" w14:textId="77777777" w:rsidR="007F3128" w:rsidRPr="009F337B" w:rsidRDefault="007F3128" w:rsidP="00F608A7">
            <w:pPr>
              <w:jc w:val="left"/>
              <w:rPr>
                <w:sz w:val="16"/>
                <w:szCs w:val="16"/>
                <w:lang w:val="en-US"/>
              </w:rPr>
            </w:pPr>
          </w:p>
        </w:tc>
        <w:tc>
          <w:tcPr>
            <w:tcW w:w="567" w:type="dxa"/>
            <w:vAlign w:val="center"/>
          </w:tcPr>
          <w:p w14:paraId="774660A3" w14:textId="77777777" w:rsidR="007F3128" w:rsidRPr="009F337B" w:rsidRDefault="007F3128" w:rsidP="00F608A7">
            <w:pPr>
              <w:jc w:val="left"/>
              <w:rPr>
                <w:sz w:val="16"/>
                <w:szCs w:val="16"/>
                <w:lang w:val="en-US"/>
              </w:rPr>
            </w:pPr>
            <w:r w:rsidRPr="009F337B">
              <w:rPr>
                <w:sz w:val="16"/>
                <w:szCs w:val="16"/>
                <w:lang w:val="en-US"/>
              </w:rPr>
              <w:t>4</w:t>
            </w:r>
          </w:p>
        </w:tc>
        <w:tc>
          <w:tcPr>
            <w:tcW w:w="5211" w:type="dxa"/>
            <w:vAlign w:val="center"/>
          </w:tcPr>
          <w:p w14:paraId="61F64A91" w14:textId="5A81F895" w:rsidR="007F3128" w:rsidRPr="00542AB5" w:rsidRDefault="007F3128" w:rsidP="00F608A7">
            <w:pPr>
              <w:tabs>
                <w:tab w:val="left" w:pos="1277"/>
              </w:tabs>
              <w:jc w:val="left"/>
              <w:rPr>
                <w:sz w:val="16"/>
                <w:szCs w:val="16"/>
                <w:lang w:val="es-CR"/>
              </w:rPr>
            </w:pPr>
            <w:r w:rsidRPr="00542AB5">
              <w:rPr>
                <w:sz w:val="16"/>
                <w:szCs w:val="16"/>
                <w:lang w:val="es-CR"/>
              </w:rPr>
              <w:t>Edwin Amílcar Maldonado Cinto (</w:t>
            </w:r>
            <w:r w:rsidR="0010522A" w:rsidRPr="00542AB5">
              <w:rPr>
                <w:sz w:val="16"/>
                <w:szCs w:val="16"/>
                <w:lang w:val="es-CR"/>
              </w:rPr>
              <w:t>Son</w:t>
            </w:r>
            <w:r w:rsidRPr="00542AB5">
              <w:rPr>
                <w:sz w:val="16"/>
                <w:szCs w:val="16"/>
                <w:lang w:val="es-CR"/>
              </w:rPr>
              <w:t>)</w:t>
            </w:r>
          </w:p>
        </w:tc>
      </w:tr>
      <w:tr w:rsidR="007F3128" w:rsidRPr="009F337B" w14:paraId="5BB044BB" w14:textId="77777777" w:rsidTr="0010522A">
        <w:tc>
          <w:tcPr>
            <w:tcW w:w="560" w:type="dxa"/>
            <w:gridSpan w:val="2"/>
            <w:vMerge w:val="restart"/>
            <w:vAlign w:val="center"/>
          </w:tcPr>
          <w:p w14:paraId="12C37CEA" w14:textId="77777777" w:rsidR="007F3128" w:rsidRPr="009F337B" w:rsidRDefault="007F3128" w:rsidP="00F608A7">
            <w:pPr>
              <w:jc w:val="left"/>
              <w:rPr>
                <w:sz w:val="16"/>
                <w:szCs w:val="16"/>
                <w:lang w:val="en-US"/>
              </w:rPr>
            </w:pPr>
            <w:r w:rsidRPr="009F337B">
              <w:rPr>
                <w:sz w:val="16"/>
                <w:szCs w:val="16"/>
                <w:lang w:val="en-US"/>
              </w:rPr>
              <w:t>26</w:t>
            </w:r>
          </w:p>
        </w:tc>
        <w:tc>
          <w:tcPr>
            <w:tcW w:w="2950" w:type="dxa"/>
            <w:vMerge w:val="restart"/>
            <w:vAlign w:val="center"/>
          </w:tcPr>
          <w:p w14:paraId="709BD8DF" w14:textId="2D54FDBC" w:rsidR="007F3128" w:rsidRPr="009F337B" w:rsidRDefault="007F3128" w:rsidP="00F608A7">
            <w:pPr>
              <w:jc w:val="left"/>
              <w:rPr>
                <w:sz w:val="16"/>
                <w:szCs w:val="16"/>
                <w:lang w:val="en-US"/>
              </w:rPr>
            </w:pPr>
            <w:r w:rsidRPr="009F337B">
              <w:rPr>
                <w:sz w:val="16"/>
                <w:szCs w:val="16"/>
                <w:lang w:val="en-US"/>
              </w:rPr>
              <w:t>Luis Rolando Cuscul Pivaral</w:t>
            </w:r>
          </w:p>
        </w:tc>
        <w:tc>
          <w:tcPr>
            <w:tcW w:w="567" w:type="dxa"/>
            <w:vAlign w:val="center"/>
          </w:tcPr>
          <w:p w14:paraId="25DBE83C" w14:textId="77777777" w:rsidR="007F3128" w:rsidRPr="009F337B" w:rsidRDefault="007F3128" w:rsidP="00F608A7">
            <w:pPr>
              <w:jc w:val="left"/>
              <w:rPr>
                <w:sz w:val="16"/>
                <w:szCs w:val="16"/>
                <w:lang w:val="en-US"/>
              </w:rPr>
            </w:pPr>
            <w:r w:rsidRPr="009F337B">
              <w:rPr>
                <w:sz w:val="16"/>
                <w:szCs w:val="16"/>
                <w:lang w:val="en-US"/>
              </w:rPr>
              <w:t>1</w:t>
            </w:r>
          </w:p>
        </w:tc>
        <w:tc>
          <w:tcPr>
            <w:tcW w:w="5211" w:type="dxa"/>
            <w:vAlign w:val="center"/>
          </w:tcPr>
          <w:p w14:paraId="00691DFE" w14:textId="17EE4EB8" w:rsidR="007F3128" w:rsidRPr="00542AB5" w:rsidRDefault="007F3128" w:rsidP="00F608A7">
            <w:pPr>
              <w:jc w:val="left"/>
              <w:rPr>
                <w:sz w:val="16"/>
                <w:szCs w:val="16"/>
                <w:lang w:val="es-CR"/>
              </w:rPr>
            </w:pPr>
            <w:r w:rsidRPr="00542AB5">
              <w:rPr>
                <w:sz w:val="16"/>
                <w:szCs w:val="16"/>
                <w:lang w:val="es-CR"/>
              </w:rPr>
              <w:t>María de la Cruz Mundo Zelaya (</w:t>
            </w:r>
            <w:r w:rsidR="0010522A" w:rsidRPr="00542AB5">
              <w:rPr>
                <w:sz w:val="16"/>
                <w:szCs w:val="16"/>
                <w:lang w:val="es-CR"/>
              </w:rPr>
              <w:t>Step-mother</w:t>
            </w:r>
            <w:r w:rsidRPr="00542AB5">
              <w:rPr>
                <w:sz w:val="16"/>
                <w:szCs w:val="16"/>
                <w:lang w:val="es-CR"/>
              </w:rPr>
              <w:t>)</w:t>
            </w:r>
          </w:p>
        </w:tc>
      </w:tr>
      <w:tr w:rsidR="007F3128" w:rsidRPr="009F337B" w14:paraId="58EE32B2" w14:textId="77777777" w:rsidTr="0010522A">
        <w:tc>
          <w:tcPr>
            <w:tcW w:w="560" w:type="dxa"/>
            <w:gridSpan w:val="2"/>
            <w:vMerge/>
            <w:vAlign w:val="center"/>
          </w:tcPr>
          <w:p w14:paraId="1449A144" w14:textId="77777777" w:rsidR="007F3128" w:rsidRPr="00542AB5" w:rsidRDefault="007F3128" w:rsidP="00F608A7">
            <w:pPr>
              <w:jc w:val="left"/>
              <w:rPr>
                <w:sz w:val="16"/>
                <w:szCs w:val="16"/>
                <w:lang w:val="es-CR"/>
              </w:rPr>
            </w:pPr>
          </w:p>
        </w:tc>
        <w:tc>
          <w:tcPr>
            <w:tcW w:w="2950" w:type="dxa"/>
            <w:vMerge/>
            <w:vAlign w:val="center"/>
          </w:tcPr>
          <w:p w14:paraId="67BC5BB5" w14:textId="77777777" w:rsidR="007F3128" w:rsidRPr="00542AB5" w:rsidRDefault="007F3128" w:rsidP="00F608A7">
            <w:pPr>
              <w:jc w:val="left"/>
              <w:rPr>
                <w:sz w:val="16"/>
                <w:szCs w:val="16"/>
                <w:lang w:val="es-CR"/>
              </w:rPr>
            </w:pPr>
          </w:p>
        </w:tc>
        <w:tc>
          <w:tcPr>
            <w:tcW w:w="567" w:type="dxa"/>
            <w:vAlign w:val="center"/>
          </w:tcPr>
          <w:p w14:paraId="40171CD3" w14:textId="77777777" w:rsidR="007F3128" w:rsidRPr="009F337B" w:rsidRDefault="007F3128" w:rsidP="00F608A7">
            <w:pPr>
              <w:jc w:val="left"/>
              <w:rPr>
                <w:sz w:val="16"/>
                <w:szCs w:val="16"/>
                <w:lang w:val="en-US"/>
              </w:rPr>
            </w:pPr>
            <w:r w:rsidRPr="009F337B">
              <w:rPr>
                <w:sz w:val="16"/>
                <w:szCs w:val="16"/>
                <w:lang w:val="en-US"/>
              </w:rPr>
              <w:t>2</w:t>
            </w:r>
          </w:p>
        </w:tc>
        <w:tc>
          <w:tcPr>
            <w:tcW w:w="5211" w:type="dxa"/>
            <w:vAlign w:val="center"/>
          </w:tcPr>
          <w:p w14:paraId="51B99DF9" w14:textId="3C6A2F28" w:rsidR="007F3128" w:rsidRPr="009F337B" w:rsidRDefault="0010522A" w:rsidP="00F608A7">
            <w:pPr>
              <w:jc w:val="left"/>
              <w:rPr>
                <w:sz w:val="16"/>
                <w:szCs w:val="16"/>
                <w:lang w:val="en-US"/>
              </w:rPr>
            </w:pPr>
            <w:r w:rsidRPr="009F337B">
              <w:rPr>
                <w:sz w:val="16"/>
                <w:szCs w:val="16"/>
                <w:lang w:val="en-US"/>
              </w:rPr>
              <w:t>Partner</w:t>
            </w:r>
            <w:r w:rsidR="00703CA3" w:rsidRPr="009F337B">
              <w:rPr>
                <w:sz w:val="16"/>
                <w:szCs w:val="16"/>
                <w:lang w:val="en-US"/>
              </w:rPr>
              <w:t xml:space="preserve"> (</w:t>
            </w:r>
            <w:r w:rsidRPr="009F337B">
              <w:rPr>
                <w:sz w:val="16"/>
                <w:szCs w:val="16"/>
                <w:lang w:val="en-US"/>
              </w:rPr>
              <w:t>Deceased</w:t>
            </w:r>
            <w:r w:rsidR="007F3128" w:rsidRPr="009F337B">
              <w:rPr>
                <w:sz w:val="16"/>
                <w:szCs w:val="16"/>
                <w:lang w:val="en-US"/>
              </w:rPr>
              <w:t>)</w:t>
            </w:r>
          </w:p>
        </w:tc>
      </w:tr>
      <w:tr w:rsidR="007F3128" w:rsidRPr="009F337B" w14:paraId="06032B1E" w14:textId="77777777" w:rsidTr="0010522A">
        <w:tc>
          <w:tcPr>
            <w:tcW w:w="560" w:type="dxa"/>
            <w:gridSpan w:val="2"/>
            <w:vMerge/>
            <w:vAlign w:val="center"/>
          </w:tcPr>
          <w:p w14:paraId="451BBD51" w14:textId="77777777" w:rsidR="007F3128" w:rsidRPr="009F337B" w:rsidRDefault="007F3128" w:rsidP="00F608A7">
            <w:pPr>
              <w:jc w:val="left"/>
              <w:rPr>
                <w:sz w:val="16"/>
                <w:szCs w:val="16"/>
                <w:lang w:val="en-US"/>
              </w:rPr>
            </w:pPr>
          </w:p>
        </w:tc>
        <w:tc>
          <w:tcPr>
            <w:tcW w:w="2950" w:type="dxa"/>
            <w:vMerge/>
            <w:vAlign w:val="center"/>
          </w:tcPr>
          <w:p w14:paraId="543AA06B" w14:textId="77777777" w:rsidR="007F3128" w:rsidRPr="009F337B" w:rsidRDefault="007F3128" w:rsidP="00F608A7">
            <w:pPr>
              <w:jc w:val="left"/>
              <w:rPr>
                <w:sz w:val="16"/>
                <w:szCs w:val="16"/>
                <w:lang w:val="en-US"/>
              </w:rPr>
            </w:pPr>
          </w:p>
        </w:tc>
        <w:tc>
          <w:tcPr>
            <w:tcW w:w="567" w:type="dxa"/>
            <w:vAlign w:val="center"/>
          </w:tcPr>
          <w:p w14:paraId="68291A76" w14:textId="77777777" w:rsidR="007F3128" w:rsidRPr="009F337B" w:rsidRDefault="007F3128" w:rsidP="00F608A7">
            <w:pPr>
              <w:jc w:val="left"/>
              <w:rPr>
                <w:sz w:val="16"/>
                <w:szCs w:val="16"/>
                <w:lang w:val="en-US"/>
              </w:rPr>
            </w:pPr>
            <w:r w:rsidRPr="009F337B">
              <w:rPr>
                <w:sz w:val="16"/>
                <w:szCs w:val="16"/>
                <w:lang w:val="en-US"/>
              </w:rPr>
              <w:t>3</w:t>
            </w:r>
          </w:p>
        </w:tc>
        <w:tc>
          <w:tcPr>
            <w:tcW w:w="5211" w:type="dxa"/>
            <w:vAlign w:val="center"/>
          </w:tcPr>
          <w:p w14:paraId="0BE908CC" w14:textId="6F81C3D0" w:rsidR="007F3128" w:rsidRPr="009F337B" w:rsidRDefault="007F3128" w:rsidP="00F608A7">
            <w:pPr>
              <w:jc w:val="left"/>
              <w:rPr>
                <w:sz w:val="16"/>
                <w:szCs w:val="16"/>
                <w:lang w:val="en-US"/>
              </w:rPr>
            </w:pPr>
            <w:r w:rsidRPr="009F337B">
              <w:rPr>
                <w:sz w:val="16"/>
                <w:szCs w:val="16"/>
                <w:lang w:val="en-US"/>
              </w:rPr>
              <w:t>Isaías Cuscul Mundo (</w:t>
            </w:r>
            <w:r w:rsidR="0010522A" w:rsidRPr="009F337B">
              <w:rPr>
                <w:sz w:val="16"/>
                <w:szCs w:val="16"/>
                <w:lang w:val="en-US"/>
              </w:rPr>
              <w:t>Brother</w:t>
            </w:r>
            <w:r w:rsidRPr="009F337B">
              <w:rPr>
                <w:sz w:val="16"/>
                <w:szCs w:val="16"/>
                <w:lang w:val="en-US"/>
              </w:rPr>
              <w:t>)</w:t>
            </w:r>
          </w:p>
        </w:tc>
      </w:tr>
      <w:tr w:rsidR="007F3128" w:rsidRPr="009F337B" w14:paraId="008CB0F7" w14:textId="77777777" w:rsidTr="0010522A">
        <w:tc>
          <w:tcPr>
            <w:tcW w:w="560" w:type="dxa"/>
            <w:gridSpan w:val="2"/>
            <w:vMerge/>
            <w:vAlign w:val="center"/>
          </w:tcPr>
          <w:p w14:paraId="4299C96F" w14:textId="77777777" w:rsidR="007F3128" w:rsidRPr="009F337B" w:rsidRDefault="007F3128" w:rsidP="00F608A7">
            <w:pPr>
              <w:jc w:val="left"/>
              <w:rPr>
                <w:sz w:val="16"/>
                <w:szCs w:val="16"/>
                <w:lang w:val="en-US"/>
              </w:rPr>
            </w:pPr>
          </w:p>
        </w:tc>
        <w:tc>
          <w:tcPr>
            <w:tcW w:w="2950" w:type="dxa"/>
            <w:vMerge/>
            <w:vAlign w:val="center"/>
          </w:tcPr>
          <w:p w14:paraId="20D16F42" w14:textId="77777777" w:rsidR="007F3128" w:rsidRPr="009F337B" w:rsidRDefault="007F3128" w:rsidP="00F608A7">
            <w:pPr>
              <w:jc w:val="left"/>
              <w:rPr>
                <w:sz w:val="16"/>
                <w:szCs w:val="16"/>
                <w:lang w:val="en-US"/>
              </w:rPr>
            </w:pPr>
          </w:p>
        </w:tc>
        <w:tc>
          <w:tcPr>
            <w:tcW w:w="567" w:type="dxa"/>
            <w:vAlign w:val="center"/>
          </w:tcPr>
          <w:p w14:paraId="1DA5F8D7" w14:textId="77777777" w:rsidR="007F3128" w:rsidRPr="009F337B" w:rsidRDefault="007F3128" w:rsidP="00F608A7">
            <w:pPr>
              <w:jc w:val="left"/>
              <w:rPr>
                <w:sz w:val="16"/>
                <w:szCs w:val="16"/>
                <w:lang w:val="en-US"/>
              </w:rPr>
            </w:pPr>
            <w:r w:rsidRPr="009F337B">
              <w:rPr>
                <w:sz w:val="16"/>
                <w:szCs w:val="16"/>
                <w:lang w:val="en-US"/>
              </w:rPr>
              <w:t>4</w:t>
            </w:r>
          </w:p>
        </w:tc>
        <w:tc>
          <w:tcPr>
            <w:tcW w:w="5211" w:type="dxa"/>
            <w:vAlign w:val="center"/>
          </w:tcPr>
          <w:p w14:paraId="03481CFC" w14:textId="5D43440A" w:rsidR="007F3128" w:rsidRPr="009F337B" w:rsidRDefault="007F3128" w:rsidP="00F608A7">
            <w:pPr>
              <w:jc w:val="left"/>
              <w:rPr>
                <w:sz w:val="16"/>
                <w:szCs w:val="16"/>
                <w:lang w:val="en-US"/>
              </w:rPr>
            </w:pPr>
            <w:r w:rsidRPr="009F337B">
              <w:rPr>
                <w:sz w:val="16"/>
                <w:szCs w:val="16"/>
                <w:lang w:val="en-US"/>
              </w:rPr>
              <w:t>Raúl Cuscul Mundo (</w:t>
            </w:r>
            <w:r w:rsidR="0010522A" w:rsidRPr="009F337B">
              <w:rPr>
                <w:sz w:val="16"/>
                <w:szCs w:val="16"/>
                <w:lang w:val="en-US"/>
              </w:rPr>
              <w:t>Brother</w:t>
            </w:r>
            <w:r w:rsidRPr="009F337B">
              <w:rPr>
                <w:sz w:val="16"/>
                <w:szCs w:val="16"/>
                <w:lang w:val="en-US"/>
              </w:rPr>
              <w:t>)</w:t>
            </w:r>
          </w:p>
        </w:tc>
      </w:tr>
      <w:tr w:rsidR="007F3128" w:rsidRPr="009F337B" w14:paraId="2534D245" w14:textId="77777777" w:rsidTr="0010522A">
        <w:tc>
          <w:tcPr>
            <w:tcW w:w="560" w:type="dxa"/>
            <w:gridSpan w:val="2"/>
            <w:vMerge/>
            <w:vAlign w:val="center"/>
          </w:tcPr>
          <w:p w14:paraId="306D96CD" w14:textId="77777777" w:rsidR="007F3128" w:rsidRPr="009F337B" w:rsidRDefault="007F3128" w:rsidP="00F608A7">
            <w:pPr>
              <w:jc w:val="left"/>
              <w:rPr>
                <w:sz w:val="16"/>
                <w:szCs w:val="16"/>
                <w:lang w:val="en-US"/>
              </w:rPr>
            </w:pPr>
          </w:p>
        </w:tc>
        <w:tc>
          <w:tcPr>
            <w:tcW w:w="2950" w:type="dxa"/>
            <w:vMerge/>
            <w:vAlign w:val="center"/>
          </w:tcPr>
          <w:p w14:paraId="773F013E" w14:textId="77777777" w:rsidR="007F3128" w:rsidRPr="009F337B" w:rsidRDefault="007F3128" w:rsidP="00F608A7">
            <w:pPr>
              <w:jc w:val="left"/>
              <w:rPr>
                <w:sz w:val="16"/>
                <w:szCs w:val="16"/>
                <w:lang w:val="en-US"/>
              </w:rPr>
            </w:pPr>
          </w:p>
        </w:tc>
        <w:tc>
          <w:tcPr>
            <w:tcW w:w="567" w:type="dxa"/>
            <w:vAlign w:val="center"/>
          </w:tcPr>
          <w:p w14:paraId="471F9F42" w14:textId="77777777" w:rsidR="007F3128" w:rsidRPr="009F337B" w:rsidRDefault="007F3128" w:rsidP="00F608A7">
            <w:pPr>
              <w:jc w:val="left"/>
              <w:rPr>
                <w:sz w:val="16"/>
                <w:szCs w:val="16"/>
                <w:lang w:val="en-US"/>
              </w:rPr>
            </w:pPr>
            <w:r w:rsidRPr="009F337B">
              <w:rPr>
                <w:sz w:val="16"/>
                <w:szCs w:val="16"/>
                <w:lang w:val="en-US"/>
              </w:rPr>
              <w:t>5</w:t>
            </w:r>
          </w:p>
        </w:tc>
        <w:tc>
          <w:tcPr>
            <w:tcW w:w="5211" w:type="dxa"/>
            <w:vAlign w:val="center"/>
          </w:tcPr>
          <w:p w14:paraId="232D8ADC" w14:textId="2F9E0BFC" w:rsidR="007F3128" w:rsidRPr="00542AB5" w:rsidRDefault="007F3128" w:rsidP="00F608A7">
            <w:pPr>
              <w:jc w:val="left"/>
              <w:rPr>
                <w:sz w:val="16"/>
                <w:szCs w:val="16"/>
                <w:lang w:val="es-CR"/>
              </w:rPr>
            </w:pPr>
            <w:r w:rsidRPr="00542AB5">
              <w:rPr>
                <w:sz w:val="16"/>
                <w:szCs w:val="16"/>
                <w:lang w:val="es-CR"/>
              </w:rPr>
              <w:t>Manuel Antonio Cuscul Mundo (</w:t>
            </w:r>
            <w:r w:rsidR="0010522A" w:rsidRPr="00542AB5">
              <w:rPr>
                <w:sz w:val="16"/>
                <w:szCs w:val="16"/>
                <w:lang w:val="es-CR"/>
              </w:rPr>
              <w:t>Brother</w:t>
            </w:r>
            <w:r w:rsidRPr="00542AB5">
              <w:rPr>
                <w:sz w:val="16"/>
                <w:szCs w:val="16"/>
                <w:lang w:val="es-CR"/>
              </w:rPr>
              <w:t>)</w:t>
            </w:r>
          </w:p>
        </w:tc>
      </w:tr>
      <w:tr w:rsidR="007F3128" w:rsidRPr="009F337B" w14:paraId="7960015A" w14:textId="77777777" w:rsidTr="0010522A">
        <w:tc>
          <w:tcPr>
            <w:tcW w:w="560" w:type="dxa"/>
            <w:gridSpan w:val="2"/>
            <w:vMerge/>
            <w:vAlign w:val="center"/>
          </w:tcPr>
          <w:p w14:paraId="76736B51" w14:textId="77777777" w:rsidR="007F3128" w:rsidRPr="00542AB5" w:rsidRDefault="007F3128" w:rsidP="00F608A7">
            <w:pPr>
              <w:jc w:val="left"/>
              <w:rPr>
                <w:sz w:val="16"/>
                <w:szCs w:val="16"/>
                <w:lang w:val="es-CR"/>
              </w:rPr>
            </w:pPr>
          </w:p>
        </w:tc>
        <w:tc>
          <w:tcPr>
            <w:tcW w:w="2950" w:type="dxa"/>
            <w:vMerge/>
            <w:vAlign w:val="center"/>
          </w:tcPr>
          <w:p w14:paraId="44E902DA" w14:textId="77777777" w:rsidR="007F3128" w:rsidRPr="00542AB5" w:rsidRDefault="007F3128" w:rsidP="00F608A7">
            <w:pPr>
              <w:jc w:val="left"/>
              <w:rPr>
                <w:sz w:val="16"/>
                <w:szCs w:val="16"/>
                <w:lang w:val="es-CR"/>
              </w:rPr>
            </w:pPr>
          </w:p>
        </w:tc>
        <w:tc>
          <w:tcPr>
            <w:tcW w:w="567" w:type="dxa"/>
            <w:vAlign w:val="center"/>
          </w:tcPr>
          <w:p w14:paraId="3A1F4BC6" w14:textId="77777777" w:rsidR="007F3128" w:rsidRPr="009F337B" w:rsidRDefault="007F3128" w:rsidP="00F608A7">
            <w:pPr>
              <w:jc w:val="left"/>
              <w:rPr>
                <w:sz w:val="16"/>
                <w:szCs w:val="16"/>
                <w:lang w:val="en-US"/>
              </w:rPr>
            </w:pPr>
            <w:r w:rsidRPr="009F337B">
              <w:rPr>
                <w:sz w:val="16"/>
                <w:szCs w:val="16"/>
                <w:lang w:val="en-US"/>
              </w:rPr>
              <w:t>6</w:t>
            </w:r>
          </w:p>
        </w:tc>
        <w:tc>
          <w:tcPr>
            <w:tcW w:w="5211" w:type="dxa"/>
            <w:vAlign w:val="center"/>
          </w:tcPr>
          <w:p w14:paraId="5DAAB7F4" w14:textId="42DD77D9" w:rsidR="007F3128" w:rsidRPr="009F337B" w:rsidRDefault="007F3128" w:rsidP="00F608A7">
            <w:pPr>
              <w:jc w:val="left"/>
              <w:rPr>
                <w:sz w:val="16"/>
                <w:szCs w:val="16"/>
                <w:lang w:val="en-US"/>
              </w:rPr>
            </w:pPr>
            <w:r w:rsidRPr="009F337B">
              <w:rPr>
                <w:sz w:val="16"/>
                <w:szCs w:val="16"/>
                <w:lang w:val="en-US"/>
              </w:rPr>
              <w:t>Adolfo Cuscul Mundo (</w:t>
            </w:r>
            <w:r w:rsidR="0010522A" w:rsidRPr="009F337B">
              <w:rPr>
                <w:sz w:val="16"/>
                <w:szCs w:val="16"/>
                <w:lang w:val="en-US"/>
              </w:rPr>
              <w:t>Brother</w:t>
            </w:r>
            <w:r w:rsidRPr="009F337B">
              <w:rPr>
                <w:sz w:val="16"/>
                <w:szCs w:val="16"/>
                <w:lang w:val="en-US"/>
              </w:rPr>
              <w:t>)</w:t>
            </w:r>
          </w:p>
        </w:tc>
      </w:tr>
      <w:tr w:rsidR="007F3128" w:rsidRPr="009F337B" w14:paraId="7F235EF5" w14:textId="77777777" w:rsidTr="0010522A">
        <w:tc>
          <w:tcPr>
            <w:tcW w:w="560" w:type="dxa"/>
            <w:gridSpan w:val="2"/>
            <w:vMerge/>
            <w:vAlign w:val="center"/>
          </w:tcPr>
          <w:p w14:paraId="7320C13E" w14:textId="77777777" w:rsidR="007F3128" w:rsidRPr="009F337B" w:rsidRDefault="007F3128" w:rsidP="00F608A7">
            <w:pPr>
              <w:jc w:val="left"/>
              <w:rPr>
                <w:sz w:val="16"/>
                <w:szCs w:val="16"/>
                <w:lang w:val="en-US"/>
              </w:rPr>
            </w:pPr>
          </w:p>
        </w:tc>
        <w:tc>
          <w:tcPr>
            <w:tcW w:w="2950" w:type="dxa"/>
            <w:vMerge/>
            <w:vAlign w:val="center"/>
          </w:tcPr>
          <w:p w14:paraId="4AA268C6" w14:textId="77777777" w:rsidR="007F3128" w:rsidRPr="009F337B" w:rsidRDefault="007F3128" w:rsidP="00F608A7">
            <w:pPr>
              <w:jc w:val="left"/>
              <w:rPr>
                <w:sz w:val="16"/>
                <w:szCs w:val="16"/>
                <w:lang w:val="en-US"/>
              </w:rPr>
            </w:pPr>
          </w:p>
        </w:tc>
        <w:tc>
          <w:tcPr>
            <w:tcW w:w="567" w:type="dxa"/>
            <w:vAlign w:val="center"/>
          </w:tcPr>
          <w:p w14:paraId="539A5A81" w14:textId="77777777" w:rsidR="007F3128" w:rsidRPr="009F337B" w:rsidRDefault="007F3128" w:rsidP="00F608A7">
            <w:pPr>
              <w:jc w:val="left"/>
              <w:rPr>
                <w:sz w:val="16"/>
                <w:szCs w:val="16"/>
                <w:lang w:val="en-US"/>
              </w:rPr>
            </w:pPr>
            <w:r w:rsidRPr="009F337B">
              <w:rPr>
                <w:sz w:val="16"/>
                <w:szCs w:val="16"/>
                <w:lang w:val="en-US"/>
              </w:rPr>
              <w:t>7</w:t>
            </w:r>
          </w:p>
        </w:tc>
        <w:tc>
          <w:tcPr>
            <w:tcW w:w="5211" w:type="dxa"/>
            <w:vAlign w:val="center"/>
          </w:tcPr>
          <w:p w14:paraId="638EFA40" w14:textId="50F87B43" w:rsidR="007F3128" w:rsidRPr="009F337B" w:rsidRDefault="007F3128" w:rsidP="00F608A7">
            <w:pPr>
              <w:jc w:val="left"/>
              <w:rPr>
                <w:sz w:val="16"/>
                <w:szCs w:val="16"/>
                <w:lang w:val="en-US"/>
              </w:rPr>
            </w:pPr>
            <w:r w:rsidRPr="009F337B">
              <w:rPr>
                <w:sz w:val="16"/>
                <w:szCs w:val="16"/>
                <w:lang w:val="en-US"/>
              </w:rPr>
              <w:t>Etelvina Cuscul Mundo (</w:t>
            </w:r>
            <w:r w:rsidR="0010522A" w:rsidRPr="009F337B">
              <w:rPr>
                <w:sz w:val="16"/>
                <w:szCs w:val="16"/>
                <w:lang w:val="en-US"/>
              </w:rPr>
              <w:t>Sister</w:t>
            </w:r>
            <w:r w:rsidRPr="009F337B">
              <w:rPr>
                <w:sz w:val="16"/>
                <w:szCs w:val="16"/>
                <w:lang w:val="en-US"/>
              </w:rPr>
              <w:t>)</w:t>
            </w:r>
          </w:p>
        </w:tc>
      </w:tr>
      <w:tr w:rsidR="007F3128" w:rsidRPr="009F337B" w14:paraId="1B812E7F" w14:textId="77777777" w:rsidTr="0010522A">
        <w:tc>
          <w:tcPr>
            <w:tcW w:w="560" w:type="dxa"/>
            <w:gridSpan w:val="2"/>
            <w:vMerge/>
            <w:vAlign w:val="center"/>
          </w:tcPr>
          <w:p w14:paraId="0AFEEAEC" w14:textId="77777777" w:rsidR="007F3128" w:rsidRPr="009F337B" w:rsidRDefault="007F3128" w:rsidP="00F608A7">
            <w:pPr>
              <w:jc w:val="left"/>
              <w:rPr>
                <w:sz w:val="16"/>
                <w:szCs w:val="16"/>
                <w:lang w:val="en-US"/>
              </w:rPr>
            </w:pPr>
          </w:p>
        </w:tc>
        <w:tc>
          <w:tcPr>
            <w:tcW w:w="2950" w:type="dxa"/>
            <w:vMerge/>
            <w:vAlign w:val="center"/>
          </w:tcPr>
          <w:p w14:paraId="70871442" w14:textId="77777777" w:rsidR="007F3128" w:rsidRPr="009F337B" w:rsidRDefault="007F3128" w:rsidP="00F608A7">
            <w:pPr>
              <w:jc w:val="left"/>
              <w:rPr>
                <w:sz w:val="16"/>
                <w:szCs w:val="16"/>
                <w:lang w:val="en-US"/>
              </w:rPr>
            </w:pPr>
          </w:p>
        </w:tc>
        <w:tc>
          <w:tcPr>
            <w:tcW w:w="567" w:type="dxa"/>
            <w:vAlign w:val="center"/>
          </w:tcPr>
          <w:p w14:paraId="09210E7B" w14:textId="77777777" w:rsidR="007F3128" w:rsidRPr="009F337B" w:rsidRDefault="007F3128" w:rsidP="00F608A7">
            <w:pPr>
              <w:jc w:val="left"/>
              <w:rPr>
                <w:sz w:val="16"/>
                <w:szCs w:val="16"/>
                <w:lang w:val="en-US"/>
              </w:rPr>
            </w:pPr>
            <w:r w:rsidRPr="009F337B">
              <w:rPr>
                <w:sz w:val="16"/>
                <w:szCs w:val="16"/>
                <w:lang w:val="en-US"/>
              </w:rPr>
              <w:t>8</w:t>
            </w:r>
          </w:p>
        </w:tc>
        <w:tc>
          <w:tcPr>
            <w:tcW w:w="5211" w:type="dxa"/>
            <w:vAlign w:val="center"/>
          </w:tcPr>
          <w:p w14:paraId="54354ABE" w14:textId="6BB21B2E" w:rsidR="007F3128" w:rsidRPr="00542AB5" w:rsidRDefault="007F3128" w:rsidP="00F608A7">
            <w:pPr>
              <w:jc w:val="left"/>
              <w:rPr>
                <w:sz w:val="16"/>
                <w:szCs w:val="16"/>
                <w:lang w:val="es-CR"/>
              </w:rPr>
            </w:pPr>
            <w:r w:rsidRPr="00542AB5">
              <w:rPr>
                <w:sz w:val="16"/>
                <w:szCs w:val="16"/>
                <w:lang w:val="es-CR"/>
              </w:rPr>
              <w:t>Eduardo Isaías Cuscul Antonio (</w:t>
            </w:r>
            <w:r w:rsidR="0010522A" w:rsidRPr="00542AB5">
              <w:rPr>
                <w:sz w:val="16"/>
                <w:szCs w:val="16"/>
                <w:lang w:val="es-CR"/>
              </w:rPr>
              <w:t>Nephew</w:t>
            </w:r>
            <w:r w:rsidRPr="00542AB5">
              <w:rPr>
                <w:sz w:val="16"/>
                <w:szCs w:val="16"/>
                <w:lang w:val="es-CR"/>
              </w:rPr>
              <w:t>)</w:t>
            </w:r>
          </w:p>
        </w:tc>
      </w:tr>
      <w:tr w:rsidR="007F3128" w:rsidRPr="009F337B" w14:paraId="3810DA6D" w14:textId="77777777" w:rsidTr="0010522A">
        <w:tc>
          <w:tcPr>
            <w:tcW w:w="560" w:type="dxa"/>
            <w:gridSpan w:val="2"/>
            <w:vMerge/>
            <w:vAlign w:val="center"/>
          </w:tcPr>
          <w:p w14:paraId="45E17EF3" w14:textId="77777777" w:rsidR="007F3128" w:rsidRPr="00542AB5" w:rsidRDefault="007F3128" w:rsidP="00F608A7">
            <w:pPr>
              <w:jc w:val="left"/>
              <w:rPr>
                <w:sz w:val="16"/>
                <w:szCs w:val="16"/>
                <w:lang w:val="es-CR"/>
              </w:rPr>
            </w:pPr>
          </w:p>
        </w:tc>
        <w:tc>
          <w:tcPr>
            <w:tcW w:w="2950" w:type="dxa"/>
            <w:vMerge/>
            <w:vAlign w:val="center"/>
          </w:tcPr>
          <w:p w14:paraId="76D00EAF" w14:textId="77777777" w:rsidR="007F3128" w:rsidRPr="00542AB5" w:rsidRDefault="007F3128" w:rsidP="00F608A7">
            <w:pPr>
              <w:jc w:val="left"/>
              <w:rPr>
                <w:sz w:val="16"/>
                <w:szCs w:val="16"/>
                <w:lang w:val="es-CR"/>
              </w:rPr>
            </w:pPr>
          </w:p>
        </w:tc>
        <w:tc>
          <w:tcPr>
            <w:tcW w:w="567" w:type="dxa"/>
            <w:vAlign w:val="center"/>
          </w:tcPr>
          <w:p w14:paraId="26D04AAF" w14:textId="77777777" w:rsidR="007F3128" w:rsidRPr="009F337B" w:rsidRDefault="007F3128" w:rsidP="00F608A7">
            <w:pPr>
              <w:jc w:val="left"/>
              <w:rPr>
                <w:sz w:val="16"/>
                <w:szCs w:val="16"/>
                <w:lang w:val="en-US"/>
              </w:rPr>
            </w:pPr>
            <w:r w:rsidRPr="009F337B">
              <w:rPr>
                <w:sz w:val="16"/>
                <w:szCs w:val="16"/>
                <w:lang w:val="en-US"/>
              </w:rPr>
              <w:t>9</w:t>
            </w:r>
          </w:p>
        </w:tc>
        <w:tc>
          <w:tcPr>
            <w:tcW w:w="5211" w:type="dxa"/>
            <w:vAlign w:val="center"/>
          </w:tcPr>
          <w:p w14:paraId="1FCDDFD6" w14:textId="1702FBF6" w:rsidR="007F3128" w:rsidRPr="00542AB5" w:rsidRDefault="007F3128" w:rsidP="00F608A7">
            <w:pPr>
              <w:jc w:val="left"/>
              <w:rPr>
                <w:sz w:val="16"/>
                <w:szCs w:val="16"/>
                <w:lang w:val="es-CR"/>
              </w:rPr>
            </w:pPr>
            <w:r w:rsidRPr="00542AB5">
              <w:rPr>
                <w:sz w:val="16"/>
                <w:szCs w:val="16"/>
                <w:lang w:val="es-CR"/>
              </w:rPr>
              <w:t xml:space="preserve">Patricia Judith Cuscul </w:t>
            </w:r>
            <w:r w:rsidR="0028379E" w:rsidRPr="00542AB5">
              <w:rPr>
                <w:sz w:val="16"/>
                <w:szCs w:val="16"/>
                <w:lang w:val="es-CR"/>
              </w:rPr>
              <w:t>Antonio (</w:t>
            </w:r>
            <w:r w:rsidR="0010522A" w:rsidRPr="00542AB5">
              <w:rPr>
                <w:sz w:val="16"/>
                <w:szCs w:val="16"/>
                <w:lang w:val="es-CR"/>
              </w:rPr>
              <w:t>Niece</w:t>
            </w:r>
            <w:r w:rsidRPr="00542AB5">
              <w:rPr>
                <w:sz w:val="16"/>
                <w:szCs w:val="16"/>
                <w:lang w:val="es-CR"/>
              </w:rPr>
              <w:t>)</w:t>
            </w:r>
          </w:p>
        </w:tc>
      </w:tr>
      <w:tr w:rsidR="007F3128" w:rsidRPr="009F337B" w14:paraId="1F0FF31E" w14:textId="77777777" w:rsidTr="0010522A">
        <w:tc>
          <w:tcPr>
            <w:tcW w:w="560" w:type="dxa"/>
            <w:gridSpan w:val="2"/>
            <w:vMerge/>
            <w:vAlign w:val="center"/>
          </w:tcPr>
          <w:p w14:paraId="79985E96" w14:textId="77777777" w:rsidR="007F3128" w:rsidRPr="00542AB5" w:rsidRDefault="007F3128" w:rsidP="00F608A7">
            <w:pPr>
              <w:jc w:val="left"/>
              <w:rPr>
                <w:sz w:val="16"/>
                <w:szCs w:val="16"/>
                <w:lang w:val="es-CR"/>
              </w:rPr>
            </w:pPr>
          </w:p>
        </w:tc>
        <w:tc>
          <w:tcPr>
            <w:tcW w:w="2950" w:type="dxa"/>
            <w:vMerge/>
            <w:vAlign w:val="center"/>
          </w:tcPr>
          <w:p w14:paraId="65719C46" w14:textId="77777777" w:rsidR="007F3128" w:rsidRPr="00542AB5" w:rsidRDefault="007F3128" w:rsidP="00F608A7">
            <w:pPr>
              <w:jc w:val="left"/>
              <w:rPr>
                <w:sz w:val="16"/>
                <w:szCs w:val="16"/>
                <w:lang w:val="es-CR"/>
              </w:rPr>
            </w:pPr>
          </w:p>
        </w:tc>
        <w:tc>
          <w:tcPr>
            <w:tcW w:w="567" w:type="dxa"/>
            <w:vAlign w:val="center"/>
          </w:tcPr>
          <w:p w14:paraId="528505F7" w14:textId="77777777" w:rsidR="007F3128" w:rsidRPr="009F337B" w:rsidRDefault="007F3128" w:rsidP="00F608A7">
            <w:pPr>
              <w:jc w:val="left"/>
              <w:rPr>
                <w:sz w:val="16"/>
                <w:szCs w:val="16"/>
                <w:lang w:val="en-US"/>
              </w:rPr>
            </w:pPr>
            <w:r w:rsidRPr="009F337B">
              <w:rPr>
                <w:sz w:val="16"/>
                <w:szCs w:val="16"/>
                <w:lang w:val="en-US"/>
              </w:rPr>
              <w:t>10</w:t>
            </w:r>
          </w:p>
        </w:tc>
        <w:tc>
          <w:tcPr>
            <w:tcW w:w="5211" w:type="dxa"/>
            <w:vAlign w:val="center"/>
          </w:tcPr>
          <w:p w14:paraId="5442BB15" w14:textId="12DA99DE" w:rsidR="007F3128" w:rsidRPr="00542AB5" w:rsidRDefault="007F3128" w:rsidP="00F608A7">
            <w:pPr>
              <w:jc w:val="left"/>
              <w:rPr>
                <w:sz w:val="16"/>
                <w:szCs w:val="16"/>
                <w:lang w:val="es-CR"/>
              </w:rPr>
            </w:pPr>
            <w:r w:rsidRPr="00542AB5">
              <w:rPr>
                <w:sz w:val="16"/>
                <w:szCs w:val="16"/>
                <w:lang w:val="es-CR"/>
              </w:rPr>
              <w:t>Luis Pablo Cuscul Antonio (</w:t>
            </w:r>
            <w:r w:rsidR="0010522A" w:rsidRPr="00542AB5">
              <w:rPr>
                <w:sz w:val="16"/>
                <w:szCs w:val="16"/>
                <w:lang w:val="es-CR"/>
              </w:rPr>
              <w:t>Nephew</w:t>
            </w:r>
            <w:r w:rsidRPr="00542AB5">
              <w:rPr>
                <w:sz w:val="16"/>
                <w:szCs w:val="16"/>
                <w:lang w:val="es-CR"/>
              </w:rPr>
              <w:t>)</w:t>
            </w:r>
          </w:p>
        </w:tc>
      </w:tr>
      <w:tr w:rsidR="007F3128" w:rsidRPr="009F337B" w14:paraId="68900E4C" w14:textId="77777777" w:rsidTr="0010522A">
        <w:tc>
          <w:tcPr>
            <w:tcW w:w="560" w:type="dxa"/>
            <w:gridSpan w:val="2"/>
            <w:vMerge/>
            <w:vAlign w:val="center"/>
          </w:tcPr>
          <w:p w14:paraId="41EE7B3F" w14:textId="77777777" w:rsidR="007F3128" w:rsidRPr="00542AB5" w:rsidRDefault="007F3128" w:rsidP="00F608A7">
            <w:pPr>
              <w:jc w:val="left"/>
              <w:rPr>
                <w:sz w:val="16"/>
                <w:szCs w:val="16"/>
                <w:lang w:val="es-CR"/>
              </w:rPr>
            </w:pPr>
          </w:p>
        </w:tc>
        <w:tc>
          <w:tcPr>
            <w:tcW w:w="2950" w:type="dxa"/>
            <w:vMerge/>
            <w:vAlign w:val="center"/>
          </w:tcPr>
          <w:p w14:paraId="74FB0650" w14:textId="77777777" w:rsidR="007F3128" w:rsidRPr="00542AB5" w:rsidRDefault="007F3128" w:rsidP="00F608A7">
            <w:pPr>
              <w:jc w:val="left"/>
              <w:rPr>
                <w:sz w:val="16"/>
                <w:szCs w:val="16"/>
                <w:lang w:val="es-CR"/>
              </w:rPr>
            </w:pPr>
          </w:p>
        </w:tc>
        <w:tc>
          <w:tcPr>
            <w:tcW w:w="567" w:type="dxa"/>
            <w:vAlign w:val="center"/>
          </w:tcPr>
          <w:p w14:paraId="5D2E1084" w14:textId="77777777" w:rsidR="007F3128" w:rsidRPr="009F337B" w:rsidRDefault="007F3128" w:rsidP="00F608A7">
            <w:pPr>
              <w:jc w:val="left"/>
              <w:rPr>
                <w:sz w:val="16"/>
                <w:szCs w:val="16"/>
                <w:lang w:val="en-US"/>
              </w:rPr>
            </w:pPr>
            <w:r w:rsidRPr="009F337B">
              <w:rPr>
                <w:sz w:val="16"/>
                <w:szCs w:val="16"/>
                <w:lang w:val="en-US"/>
              </w:rPr>
              <w:t>11</w:t>
            </w:r>
          </w:p>
        </w:tc>
        <w:tc>
          <w:tcPr>
            <w:tcW w:w="5211" w:type="dxa"/>
            <w:vAlign w:val="center"/>
          </w:tcPr>
          <w:p w14:paraId="4B3C6F8B" w14:textId="25EC6DA2" w:rsidR="007F3128" w:rsidRPr="00542AB5" w:rsidRDefault="007F3128" w:rsidP="00F608A7">
            <w:pPr>
              <w:jc w:val="left"/>
              <w:rPr>
                <w:sz w:val="16"/>
                <w:szCs w:val="16"/>
                <w:lang w:val="es-CR"/>
              </w:rPr>
            </w:pPr>
            <w:r w:rsidRPr="00542AB5">
              <w:rPr>
                <w:sz w:val="16"/>
                <w:szCs w:val="16"/>
                <w:lang w:val="es-CR"/>
              </w:rPr>
              <w:t>Bryan Alexander Adolfo Cuscul Quiñonez (</w:t>
            </w:r>
            <w:r w:rsidR="0010522A" w:rsidRPr="00542AB5">
              <w:rPr>
                <w:sz w:val="16"/>
                <w:szCs w:val="16"/>
                <w:lang w:val="es-CR"/>
              </w:rPr>
              <w:t>Nephew</w:t>
            </w:r>
            <w:r w:rsidRPr="00542AB5">
              <w:rPr>
                <w:sz w:val="16"/>
                <w:szCs w:val="16"/>
                <w:lang w:val="es-CR"/>
              </w:rPr>
              <w:t>)</w:t>
            </w:r>
          </w:p>
        </w:tc>
      </w:tr>
      <w:tr w:rsidR="007F3128" w:rsidRPr="009F337B" w14:paraId="173A704F" w14:textId="77777777" w:rsidTr="0010522A">
        <w:tc>
          <w:tcPr>
            <w:tcW w:w="560" w:type="dxa"/>
            <w:gridSpan w:val="2"/>
            <w:vMerge/>
            <w:vAlign w:val="center"/>
          </w:tcPr>
          <w:p w14:paraId="79815B8A" w14:textId="77777777" w:rsidR="007F3128" w:rsidRPr="00542AB5" w:rsidRDefault="007F3128" w:rsidP="00F608A7">
            <w:pPr>
              <w:jc w:val="left"/>
              <w:rPr>
                <w:sz w:val="16"/>
                <w:szCs w:val="16"/>
                <w:lang w:val="es-CR"/>
              </w:rPr>
            </w:pPr>
          </w:p>
        </w:tc>
        <w:tc>
          <w:tcPr>
            <w:tcW w:w="2950" w:type="dxa"/>
            <w:vMerge/>
            <w:vAlign w:val="center"/>
          </w:tcPr>
          <w:p w14:paraId="72A1A67B" w14:textId="77777777" w:rsidR="007F3128" w:rsidRPr="00542AB5" w:rsidRDefault="007F3128" w:rsidP="00F608A7">
            <w:pPr>
              <w:jc w:val="left"/>
              <w:rPr>
                <w:sz w:val="16"/>
                <w:szCs w:val="16"/>
                <w:lang w:val="es-CR"/>
              </w:rPr>
            </w:pPr>
          </w:p>
        </w:tc>
        <w:tc>
          <w:tcPr>
            <w:tcW w:w="567" w:type="dxa"/>
            <w:vAlign w:val="center"/>
          </w:tcPr>
          <w:p w14:paraId="3E7CA55C" w14:textId="77777777" w:rsidR="007F3128" w:rsidRPr="009F337B" w:rsidRDefault="007F3128" w:rsidP="00F608A7">
            <w:pPr>
              <w:jc w:val="left"/>
              <w:rPr>
                <w:sz w:val="16"/>
                <w:szCs w:val="16"/>
                <w:lang w:val="en-US"/>
              </w:rPr>
            </w:pPr>
            <w:r w:rsidRPr="009F337B">
              <w:rPr>
                <w:sz w:val="16"/>
                <w:szCs w:val="16"/>
                <w:lang w:val="en-US"/>
              </w:rPr>
              <w:t>12</w:t>
            </w:r>
          </w:p>
        </w:tc>
        <w:tc>
          <w:tcPr>
            <w:tcW w:w="5211" w:type="dxa"/>
            <w:vAlign w:val="center"/>
          </w:tcPr>
          <w:p w14:paraId="4EE08AD2" w14:textId="1F4AFAD0" w:rsidR="007F3128" w:rsidRPr="009F337B" w:rsidRDefault="0028379E" w:rsidP="00F608A7">
            <w:pPr>
              <w:jc w:val="left"/>
              <w:rPr>
                <w:sz w:val="16"/>
                <w:szCs w:val="16"/>
                <w:lang w:val="en-US"/>
              </w:rPr>
            </w:pPr>
            <w:r w:rsidRPr="009F337B">
              <w:rPr>
                <w:sz w:val="16"/>
                <w:szCs w:val="16"/>
                <w:lang w:val="en-US"/>
              </w:rPr>
              <w:t>Andy Joe</w:t>
            </w:r>
            <w:r w:rsidR="007F3128" w:rsidRPr="009F337B">
              <w:rPr>
                <w:sz w:val="16"/>
                <w:szCs w:val="16"/>
                <w:lang w:val="en-US"/>
              </w:rPr>
              <w:t xml:space="preserve"> Cuscul Quiñonez (</w:t>
            </w:r>
            <w:r w:rsidR="0010522A" w:rsidRPr="009F337B">
              <w:rPr>
                <w:sz w:val="16"/>
                <w:szCs w:val="16"/>
                <w:lang w:val="en-US"/>
              </w:rPr>
              <w:t>Nephew</w:t>
            </w:r>
            <w:r w:rsidR="007F3128" w:rsidRPr="009F337B">
              <w:rPr>
                <w:sz w:val="16"/>
                <w:szCs w:val="16"/>
                <w:lang w:val="en-US"/>
              </w:rPr>
              <w:t>)</w:t>
            </w:r>
          </w:p>
        </w:tc>
      </w:tr>
      <w:tr w:rsidR="007F3128" w:rsidRPr="009F337B" w14:paraId="2ED05F54" w14:textId="77777777" w:rsidTr="0010522A">
        <w:tc>
          <w:tcPr>
            <w:tcW w:w="560" w:type="dxa"/>
            <w:gridSpan w:val="2"/>
            <w:vMerge/>
            <w:vAlign w:val="center"/>
          </w:tcPr>
          <w:p w14:paraId="37F34E42" w14:textId="77777777" w:rsidR="007F3128" w:rsidRPr="009F337B" w:rsidRDefault="007F3128" w:rsidP="00F608A7">
            <w:pPr>
              <w:jc w:val="left"/>
              <w:rPr>
                <w:sz w:val="16"/>
                <w:szCs w:val="16"/>
                <w:lang w:val="en-US"/>
              </w:rPr>
            </w:pPr>
          </w:p>
        </w:tc>
        <w:tc>
          <w:tcPr>
            <w:tcW w:w="2950" w:type="dxa"/>
            <w:vMerge/>
            <w:vAlign w:val="center"/>
          </w:tcPr>
          <w:p w14:paraId="0C0DFF5D" w14:textId="77777777" w:rsidR="007F3128" w:rsidRPr="009F337B" w:rsidRDefault="007F3128" w:rsidP="00F608A7">
            <w:pPr>
              <w:jc w:val="left"/>
              <w:rPr>
                <w:sz w:val="16"/>
                <w:szCs w:val="16"/>
                <w:lang w:val="en-US"/>
              </w:rPr>
            </w:pPr>
          </w:p>
        </w:tc>
        <w:tc>
          <w:tcPr>
            <w:tcW w:w="567" w:type="dxa"/>
            <w:vAlign w:val="center"/>
          </w:tcPr>
          <w:p w14:paraId="100A4DE8" w14:textId="77777777" w:rsidR="007F3128" w:rsidRPr="009F337B" w:rsidRDefault="007F3128" w:rsidP="00F608A7">
            <w:pPr>
              <w:jc w:val="left"/>
              <w:rPr>
                <w:sz w:val="16"/>
                <w:szCs w:val="16"/>
                <w:lang w:val="en-US"/>
              </w:rPr>
            </w:pPr>
            <w:r w:rsidRPr="009F337B">
              <w:rPr>
                <w:sz w:val="16"/>
                <w:szCs w:val="16"/>
                <w:lang w:val="en-US"/>
              </w:rPr>
              <w:t>13</w:t>
            </w:r>
          </w:p>
        </w:tc>
        <w:tc>
          <w:tcPr>
            <w:tcW w:w="5211" w:type="dxa"/>
            <w:vAlign w:val="center"/>
          </w:tcPr>
          <w:p w14:paraId="765B7CD1" w14:textId="72517E3B" w:rsidR="007F3128" w:rsidRPr="009F337B" w:rsidRDefault="007F3128" w:rsidP="00F608A7">
            <w:pPr>
              <w:jc w:val="left"/>
              <w:rPr>
                <w:sz w:val="16"/>
                <w:szCs w:val="16"/>
                <w:lang w:val="en-US"/>
              </w:rPr>
            </w:pPr>
            <w:r w:rsidRPr="009F337B">
              <w:rPr>
                <w:sz w:val="16"/>
                <w:szCs w:val="16"/>
                <w:lang w:val="en-US"/>
              </w:rPr>
              <w:t>Manuel Cuscul Álvarez (</w:t>
            </w:r>
            <w:r w:rsidR="0010522A" w:rsidRPr="009F337B">
              <w:rPr>
                <w:sz w:val="16"/>
                <w:szCs w:val="16"/>
                <w:lang w:val="en-US"/>
              </w:rPr>
              <w:t>Nephew</w:t>
            </w:r>
            <w:r w:rsidRPr="009F337B">
              <w:rPr>
                <w:sz w:val="16"/>
                <w:szCs w:val="16"/>
                <w:lang w:val="en-US"/>
              </w:rPr>
              <w:t>)</w:t>
            </w:r>
          </w:p>
        </w:tc>
      </w:tr>
      <w:tr w:rsidR="007F3128" w:rsidRPr="00310E7A" w14:paraId="21D65B6E" w14:textId="77777777" w:rsidTr="0010522A">
        <w:tc>
          <w:tcPr>
            <w:tcW w:w="560" w:type="dxa"/>
            <w:gridSpan w:val="2"/>
            <w:vMerge/>
            <w:vAlign w:val="center"/>
          </w:tcPr>
          <w:p w14:paraId="0AE5E7AB" w14:textId="77777777" w:rsidR="007F3128" w:rsidRPr="009F337B" w:rsidRDefault="007F3128" w:rsidP="00F608A7">
            <w:pPr>
              <w:jc w:val="left"/>
              <w:rPr>
                <w:sz w:val="16"/>
                <w:szCs w:val="16"/>
                <w:lang w:val="en-US"/>
              </w:rPr>
            </w:pPr>
          </w:p>
        </w:tc>
        <w:tc>
          <w:tcPr>
            <w:tcW w:w="2950" w:type="dxa"/>
            <w:vMerge/>
            <w:vAlign w:val="center"/>
          </w:tcPr>
          <w:p w14:paraId="30F54FE8" w14:textId="77777777" w:rsidR="007F3128" w:rsidRPr="009F337B" w:rsidRDefault="007F3128" w:rsidP="00F608A7">
            <w:pPr>
              <w:jc w:val="left"/>
              <w:rPr>
                <w:sz w:val="16"/>
                <w:szCs w:val="16"/>
                <w:lang w:val="en-US"/>
              </w:rPr>
            </w:pPr>
          </w:p>
        </w:tc>
        <w:tc>
          <w:tcPr>
            <w:tcW w:w="567" w:type="dxa"/>
            <w:vAlign w:val="center"/>
          </w:tcPr>
          <w:p w14:paraId="4E074761" w14:textId="77777777" w:rsidR="007F3128" w:rsidRPr="009F337B" w:rsidRDefault="007F3128" w:rsidP="00F608A7">
            <w:pPr>
              <w:jc w:val="left"/>
              <w:rPr>
                <w:sz w:val="16"/>
                <w:szCs w:val="16"/>
                <w:lang w:val="en-US"/>
              </w:rPr>
            </w:pPr>
            <w:r w:rsidRPr="009F337B">
              <w:rPr>
                <w:sz w:val="16"/>
                <w:szCs w:val="16"/>
                <w:lang w:val="en-US"/>
              </w:rPr>
              <w:t>14</w:t>
            </w:r>
          </w:p>
        </w:tc>
        <w:tc>
          <w:tcPr>
            <w:tcW w:w="5211" w:type="dxa"/>
            <w:vAlign w:val="center"/>
          </w:tcPr>
          <w:p w14:paraId="084A34C0" w14:textId="1A403329" w:rsidR="007F3128" w:rsidRPr="009F337B" w:rsidRDefault="007F3128" w:rsidP="00F608A7">
            <w:pPr>
              <w:jc w:val="left"/>
              <w:rPr>
                <w:sz w:val="16"/>
                <w:szCs w:val="16"/>
                <w:lang w:val="en-US"/>
              </w:rPr>
            </w:pPr>
            <w:r w:rsidRPr="009F337B">
              <w:rPr>
                <w:sz w:val="16"/>
                <w:szCs w:val="16"/>
                <w:lang w:val="en-US"/>
              </w:rPr>
              <w:t>Kevin Raúl Cuscul Flores (</w:t>
            </w:r>
            <w:r w:rsidR="0010522A" w:rsidRPr="009F337B">
              <w:rPr>
                <w:sz w:val="16"/>
                <w:szCs w:val="16"/>
                <w:lang w:val="en-US"/>
              </w:rPr>
              <w:t>Nephew</w:t>
            </w:r>
            <w:r w:rsidRPr="009F337B">
              <w:rPr>
                <w:sz w:val="16"/>
                <w:szCs w:val="16"/>
                <w:lang w:val="en-US"/>
              </w:rPr>
              <w:t>)</w:t>
            </w:r>
          </w:p>
        </w:tc>
      </w:tr>
      <w:tr w:rsidR="007F3128" w:rsidRPr="009F337B" w14:paraId="6B1C95F1" w14:textId="77777777" w:rsidTr="0010522A">
        <w:tc>
          <w:tcPr>
            <w:tcW w:w="560" w:type="dxa"/>
            <w:gridSpan w:val="2"/>
            <w:vMerge/>
            <w:vAlign w:val="center"/>
          </w:tcPr>
          <w:p w14:paraId="377E4ED9" w14:textId="77777777" w:rsidR="007F3128" w:rsidRPr="009F337B" w:rsidRDefault="007F3128" w:rsidP="00F608A7">
            <w:pPr>
              <w:jc w:val="left"/>
              <w:rPr>
                <w:sz w:val="16"/>
                <w:szCs w:val="16"/>
                <w:lang w:val="en-US"/>
              </w:rPr>
            </w:pPr>
          </w:p>
        </w:tc>
        <w:tc>
          <w:tcPr>
            <w:tcW w:w="2950" w:type="dxa"/>
            <w:vMerge/>
            <w:vAlign w:val="center"/>
          </w:tcPr>
          <w:p w14:paraId="03A3A40A" w14:textId="77777777" w:rsidR="007F3128" w:rsidRPr="009F337B" w:rsidRDefault="007F3128" w:rsidP="00F608A7">
            <w:pPr>
              <w:jc w:val="left"/>
              <w:rPr>
                <w:sz w:val="16"/>
                <w:szCs w:val="16"/>
                <w:lang w:val="en-US"/>
              </w:rPr>
            </w:pPr>
          </w:p>
        </w:tc>
        <w:tc>
          <w:tcPr>
            <w:tcW w:w="567" w:type="dxa"/>
            <w:vAlign w:val="center"/>
          </w:tcPr>
          <w:p w14:paraId="37D8D8DE" w14:textId="77777777" w:rsidR="007F3128" w:rsidRPr="009F337B" w:rsidRDefault="007F3128" w:rsidP="00F608A7">
            <w:pPr>
              <w:jc w:val="left"/>
              <w:rPr>
                <w:sz w:val="16"/>
                <w:szCs w:val="16"/>
                <w:lang w:val="en-US"/>
              </w:rPr>
            </w:pPr>
            <w:r w:rsidRPr="009F337B">
              <w:rPr>
                <w:sz w:val="16"/>
                <w:szCs w:val="16"/>
                <w:lang w:val="en-US"/>
              </w:rPr>
              <w:t>15</w:t>
            </w:r>
          </w:p>
        </w:tc>
        <w:tc>
          <w:tcPr>
            <w:tcW w:w="5211" w:type="dxa"/>
            <w:vAlign w:val="center"/>
          </w:tcPr>
          <w:p w14:paraId="15049032" w14:textId="61B75D41" w:rsidR="007F3128" w:rsidRPr="00542AB5" w:rsidRDefault="00DA5BCE" w:rsidP="00F608A7">
            <w:pPr>
              <w:jc w:val="left"/>
              <w:rPr>
                <w:sz w:val="16"/>
                <w:szCs w:val="16"/>
                <w:lang w:val="es-CR"/>
              </w:rPr>
            </w:pPr>
            <w:r w:rsidRPr="00542AB5">
              <w:rPr>
                <w:sz w:val="16"/>
                <w:szCs w:val="16"/>
                <w:lang w:val="es-CR"/>
              </w:rPr>
              <w:t>Andrea Etelvina Sá</w:t>
            </w:r>
            <w:r w:rsidR="007F3128" w:rsidRPr="00542AB5">
              <w:rPr>
                <w:sz w:val="16"/>
                <w:szCs w:val="16"/>
                <w:lang w:val="es-CR"/>
              </w:rPr>
              <w:t>nchez Cuscul (</w:t>
            </w:r>
            <w:r w:rsidR="0010522A" w:rsidRPr="00542AB5">
              <w:rPr>
                <w:sz w:val="16"/>
                <w:szCs w:val="16"/>
                <w:lang w:val="es-CR"/>
              </w:rPr>
              <w:t>Niece</w:t>
            </w:r>
            <w:r w:rsidR="007F3128" w:rsidRPr="00542AB5">
              <w:rPr>
                <w:sz w:val="16"/>
                <w:szCs w:val="16"/>
                <w:lang w:val="es-CR"/>
              </w:rPr>
              <w:t>)</w:t>
            </w:r>
          </w:p>
        </w:tc>
      </w:tr>
      <w:tr w:rsidR="007F3128" w:rsidRPr="009F337B" w14:paraId="5EF98DAE" w14:textId="77777777" w:rsidTr="0010522A">
        <w:tc>
          <w:tcPr>
            <w:tcW w:w="560" w:type="dxa"/>
            <w:gridSpan w:val="2"/>
            <w:vMerge/>
            <w:vAlign w:val="center"/>
          </w:tcPr>
          <w:p w14:paraId="42B13F34" w14:textId="77777777" w:rsidR="007F3128" w:rsidRPr="00542AB5" w:rsidRDefault="007F3128" w:rsidP="00F608A7">
            <w:pPr>
              <w:jc w:val="left"/>
              <w:rPr>
                <w:sz w:val="16"/>
                <w:szCs w:val="16"/>
                <w:lang w:val="es-CR"/>
              </w:rPr>
            </w:pPr>
          </w:p>
        </w:tc>
        <w:tc>
          <w:tcPr>
            <w:tcW w:w="2950" w:type="dxa"/>
            <w:vMerge/>
            <w:vAlign w:val="center"/>
          </w:tcPr>
          <w:p w14:paraId="24D28316" w14:textId="77777777" w:rsidR="007F3128" w:rsidRPr="00542AB5" w:rsidRDefault="007F3128" w:rsidP="00F608A7">
            <w:pPr>
              <w:jc w:val="left"/>
              <w:rPr>
                <w:sz w:val="16"/>
                <w:szCs w:val="16"/>
                <w:lang w:val="es-CR"/>
              </w:rPr>
            </w:pPr>
          </w:p>
        </w:tc>
        <w:tc>
          <w:tcPr>
            <w:tcW w:w="567" w:type="dxa"/>
            <w:vAlign w:val="center"/>
          </w:tcPr>
          <w:p w14:paraId="3AFBAAA0" w14:textId="77777777" w:rsidR="007F3128" w:rsidRPr="009F337B" w:rsidRDefault="007F3128" w:rsidP="00F608A7">
            <w:pPr>
              <w:jc w:val="left"/>
              <w:rPr>
                <w:sz w:val="16"/>
                <w:szCs w:val="16"/>
                <w:lang w:val="en-US"/>
              </w:rPr>
            </w:pPr>
            <w:r w:rsidRPr="009F337B">
              <w:rPr>
                <w:sz w:val="16"/>
                <w:szCs w:val="16"/>
                <w:lang w:val="en-US"/>
              </w:rPr>
              <w:t>16</w:t>
            </w:r>
          </w:p>
        </w:tc>
        <w:tc>
          <w:tcPr>
            <w:tcW w:w="5211" w:type="dxa"/>
            <w:vAlign w:val="center"/>
          </w:tcPr>
          <w:p w14:paraId="63CD887A" w14:textId="4BD08C1C" w:rsidR="007F3128" w:rsidRPr="009F337B" w:rsidRDefault="00DA5BCE" w:rsidP="00F608A7">
            <w:pPr>
              <w:jc w:val="left"/>
              <w:rPr>
                <w:sz w:val="16"/>
                <w:szCs w:val="16"/>
                <w:lang w:val="en-US"/>
              </w:rPr>
            </w:pPr>
            <w:r w:rsidRPr="009F337B">
              <w:rPr>
                <w:sz w:val="16"/>
                <w:szCs w:val="16"/>
                <w:lang w:val="en-US"/>
              </w:rPr>
              <w:t>Roxana Pamela Sá</w:t>
            </w:r>
            <w:r w:rsidR="007F3128" w:rsidRPr="009F337B">
              <w:rPr>
                <w:sz w:val="16"/>
                <w:szCs w:val="16"/>
                <w:lang w:val="en-US"/>
              </w:rPr>
              <w:t>nchez Cuscul (</w:t>
            </w:r>
            <w:r w:rsidR="0010522A" w:rsidRPr="009F337B">
              <w:rPr>
                <w:sz w:val="16"/>
                <w:szCs w:val="16"/>
                <w:lang w:val="en-US"/>
              </w:rPr>
              <w:t>Niece</w:t>
            </w:r>
            <w:r w:rsidR="007F3128" w:rsidRPr="009F337B">
              <w:rPr>
                <w:sz w:val="16"/>
                <w:szCs w:val="16"/>
                <w:lang w:val="en-US"/>
              </w:rPr>
              <w:t>)</w:t>
            </w:r>
          </w:p>
        </w:tc>
      </w:tr>
      <w:tr w:rsidR="007F3128" w:rsidRPr="009F337B" w14:paraId="277B4191" w14:textId="77777777" w:rsidTr="0010522A">
        <w:tc>
          <w:tcPr>
            <w:tcW w:w="560" w:type="dxa"/>
            <w:gridSpan w:val="2"/>
            <w:vMerge/>
            <w:vAlign w:val="center"/>
          </w:tcPr>
          <w:p w14:paraId="26BD327D" w14:textId="77777777" w:rsidR="007F3128" w:rsidRPr="009F337B" w:rsidRDefault="007F3128" w:rsidP="00F608A7">
            <w:pPr>
              <w:jc w:val="left"/>
              <w:rPr>
                <w:sz w:val="16"/>
                <w:szCs w:val="16"/>
                <w:lang w:val="en-US"/>
              </w:rPr>
            </w:pPr>
          </w:p>
        </w:tc>
        <w:tc>
          <w:tcPr>
            <w:tcW w:w="2950" w:type="dxa"/>
            <w:vMerge/>
            <w:vAlign w:val="center"/>
          </w:tcPr>
          <w:p w14:paraId="4346BCED" w14:textId="77777777" w:rsidR="007F3128" w:rsidRPr="009F337B" w:rsidRDefault="007F3128" w:rsidP="00F608A7">
            <w:pPr>
              <w:jc w:val="left"/>
              <w:rPr>
                <w:sz w:val="16"/>
                <w:szCs w:val="16"/>
                <w:lang w:val="en-US"/>
              </w:rPr>
            </w:pPr>
          </w:p>
        </w:tc>
        <w:tc>
          <w:tcPr>
            <w:tcW w:w="567" w:type="dxa"/>
            <w:vAlign w:val="center"/>
          </w:tcPr>
          <w:p w14:paraId="0BCAAFEF" w14:textId="77777777" w:rsidR="007F3128" w:rsidRPr="009F337B" w:rsidRDefault="007F3128" w:rsidP="00F608A7">
            <w:pPr>
              <w:jc w:val="left"/>
              <w:rPr>
                <w:sz w:val="16"/>
                <w:szCs w:val="16"/>
                <w:lang w:val="en-US"/>
              </w:rPr>
            </w:pPr>
            <w:r w:rsidRPr="009F337B">
              <w:rPr>
                <w:sz w:val="16"/>
                <w:szCs w:val="16"/>
                <w:lang w:val="en-US"/>
              </w:rPr>
              <w:t>17</w:t>
            </w:r>
          </w:p>
        </w:tc>
        <w:tc>
          <w:tcPr>
            <w:tcW w:w="5211" w:type="dxa"/>
            <w:vAlign w:val="center"/>
          </w:tcPr>
          <w:p w14:paraId="79CC2383" w14:textId="4C5A6DF3" w:rsidR="007F3128" w:rsidRPr="009F337B" w:rsidRDefault="007F3128" w:rsidP="00F608A7">
            <w:pPr>
              <w:jc w:val="left"/>
              <w:rPr>
                <w:sz w:val="16"/>
                <w:szCs w:val="16"/>
                <w:lang w:val="en-US"/>
              </w:rPr>
            </w:pPr>
            <w:r w:rsidRPr="009F337B">
              <w:rPr>
                <w:sz w:val="16"/>
                <w:szCs w:val="16"/>
                <w:lang w:val="en-US"/>
              </w:rPr>
              <w:t>Marlon Daniel Cuscul Flores (</w:t>
            </w:r>
            <w:r w:rsidR="0010522A" w:rsidRPr="009F337B">
              <w:rPr>
                <w:sz w:val="16"/>
                <w:szCs w:val="16"/>
                <w:lang w:val="en-US"/>
              </w:rPr>
              <w:t>Nephew</w:t>
            </w:r>
            <w:r w:rsidRPr="009F337B">
              <w:rPr>
                <w:sz w:val="16"/>
                <w:szCs w:val="16"/>
                <w:lang w:val="en-US"/>
              </w:rPr>
              <w:t>)</w:t>
            </w:r>
          </w:p>
        </w:tc>
      </w:tr>
      <w:tr w:rsidR="007F3128" w:rsidRPr="009F337B" w14:paraId="3F880F50" w14:textId="77777777" w:rsidTr="0010522A">
        <w:tc>
          <w:tcPr>
            <w:tcW w:w="560" w:type="dxa"/>
            <w:gridSpan w:val="2"/>
            <w:vMerge/>
            <w:vAlign w:val="center"/>
          </w:tcPr>
          <w:p w14:paraId="3E8F1D96" w14:textId="77777777" w:rsidR="007F3128" w:rsidRPr="009F337B" w:rsidRDefault="007F3128" w:rsidP="00F608A7">
            <w:pPr>
              <w:jc w:val="left"/>
              <w:rPr>
                <w:sz w:val="16"/>
                <w:szCs w:val="16"/>
                <w:lang w:val="en-US"/>
              </w:rPr>
            </w:pPr>
          </w:p>
        </w:tc>
        <w:tc>
          <w:tcPr>
            <w:tcW w:w="2950" w:type="dxa"/>
            <w:vMerge/>
            <w:vAlign w:val="center"/>
          </w:tcPr>
          <w:p w14:paraId="136EC907" w14:textId="77777777" w:rsidR="007F3128" w:rsidRPr="009F337B" w:rsidRDefault="007F3128" w:rsidP="00F608A7">
            <w:pPr>
              <w:jc w:val="left"/>
              <w:rPr>
                <w:sz w:val="16"/>
                <w:szCs w:val="16"/>
                <w:lang w:val="en-US"/>
              </w:rPr>
            </w:pPr>
          </w:p>
        </w:tc>
        <w:tc>
          <w:tcPr>
            <w:tcW w:w="567" w:type="dxa"/>
            <w:vAlign w:val="center"/>
          </w:tcPr>
          <w:p w14:paraId="1C22DA9A" w14:textId="77777777" w:rsidR="007F3128" w:rsidRPr="009F337B" w:rsidRDefault="007F3128" w:rsidP="00F608A7">
            <w:pPr>
              <w:jc w:val="left"/>
              <w:rPr>
                <w:sz w:val="16"/>
                <w:szCs w:val="16"/>
                <w:lang w:val="en-US"/>
              </w:rPr>
            </w:pPr>
            <w:r w:rsidRPr="009F337B">
              <w:rPr>
                <w:sz w:val="16"/>
                <w:szCs w:val="16"/>
                <w:lang w:val="en-US"/>
              </w:rPr>
              <w:t>18</w:t>
            </w:r>
          </w:p>
        </w:tc>
        <w:tc>
          <w:tcPr>
            <w:tcW w:w="5211" w:type="dxa"/>
            <w:vAlign w:val="center"/>
          </w:tcPr>
          <w:p w14:paraId="0028FD3F" w14:textId="56452586" w:rsidR="007F3128" w:rsidRPr="00542AB5" w:rsidRDefault="007F3128" w:rsidP="00F608A7">
            <w:pPr>
              <w:jc w:val="left"/>
              <w:rPr>
                <w:sz w:val="16"/>
                <w:szCs w:val="16"/>
                <w:lang w:val="es-CR"/>
              </w:rPr>
            </w:pPr>
            <w:r w:rsidRPr="00542AB5">
              <w:rPr>
                <w:sz w:val="16"/>
                <w:szCs w:val="16"/>
                <w:lang w:val="es-CR"/>
              </w:rPr>
              <w:t>Ángel Gabriel Cuscul Flores (</w:t>
            </w:r>
            <w:r w:rsidR="0010522A" w:rsidRPr="00542AB5">
              <w:rPr>
                <w:sz w:val="16"/>
                <w:szCs w:val="16"/>
                <w:lang w:val="es-CR"/>
              </w:rPr>
              <w:t>Nephew</w:t>
            </w:r>
            <w:r w:rsidRPr="00542AB5">
              <w:rPr>
                <w:sz w:val="16"/>
                <w:szCs w:val="16"/>
                <w:lang w:val="es-CR"/>
              </w:rPr>
              <w:t>)</w:t>
            </w:r>
          </w:p>
        </w:tc>
      </w:tr>
      <w:tr w:rsidR="007F3128" w:rsidRPr="009F337B" w14:paraId="1DF5929A" w14:textId="77777777" w:rsidTr="0010522A">
        <w:tc>
          <w:tcPr>
            <w:tcW w:w="560" w:type="dxa"/>
            <w:gridSpan w:val="2"/>
            <w:vAlign w:val="center"/>
          </w:tcPr>
          <w:p w14:paraId="61C03718" w14:textId="77777777" w:rsidR="007F3128" w:rsidRPr="009F337B" w:rsidRDefault="007F3128" w:rsidP="00F608A7">
            <w:pPr>
              <w:jc w:val="left"/>
              <w:rPr>
                <w:sz w:val="16"/>
                <w:szCs w:val="16"/>
                <w:lang w:val="en-US"/>
              </w:rPr>
            </w:pPr>
            <w:r w:rsidRPr="009F337B">
              <w:rPr>
                <w:sz w:val="16"/>
                <w:szCs w:val="16"/>
                <w:lang w:val="en-US"/>
              </w:rPr>
              <w:t>27</w:t>
            </w:r>
          </w:p>
        </w:tc>
        <w:tc>
          <w:tcPr>
            <w:tcW w:w="2950" w:type="dxa"/>
            <w:vAlign w:val="center"/>
          </w:tcPr>
          <w:p w14:paraId="260E8370" w14:textId="3096D789" w:rsidR="007F3128" w:rsidRPr="009F337B" w:rsidRDefault="007F3128" w:rsidP="00F608A7">
            <w:pPr>
              <w:jc w:val="left"/>
              <w:rPr>
                <w:sz w:val="16"/>
                <w:szCs w:val="16"/>
                <w:lang w:val="en-US"/>
              </w:rPr>
            </w:pPr>
            <w:r w:rsidRPr="009F337B">
              <w:rPr>
                <w:sz w:val="16"/>
                <w:szCs w:val="16"/>
                <w:lang w:val="en-US"/>
              </w:rPr>
              <w:t>Olga Marina Castillo</w:t>
            </w:r>
          </w:p>
        </w:tc>
        <w:tc>
          <w:tcPr>
            <w:tcW w:w="567" w:type="dxa"/>
            <w:vAlign w:val="center"/>
          </w:tcPr>
          <w:p w14:paraId="15D532DC" w14:textId="77777777" w:rsidR="007F3128" w:rsidRPr="009F337B" w:rsidRDefault="007F3128" w:rsidP="00F608A7">
            <w:pPr>
              <w:jc w:val="left"/>
              <w:rPr>
                <w:sz w:val="16"/>
                <w:szCs w:val="16"/>
                <w:lang w:val="en-US"/>
              </w:rPr>
            </w:pPr>
          </w:p>
        </w:tc>
        <w:tc>
          <w:tcPr>
            <w:tcW w:w="5211" w:type="dxa"/>
            <w:vAlign w:val="center"/>
          </w:tcPr>
          <w:p w14:paraId="2F0CED3A" w14:textId="5C3E6043" w:rsidR="007F3128" w:rsidRPr="009F337B" w:rsidRDefault="0010522A" w:rsidP="00F608A7">
            <w:pPr>
              <w:jc w:val="left"/>
              <w:rPr>
                <w:sz w:val="16"/>
                <w:szCs w:val="16"/>
                <w:lang w:val="en-US"/>
              </w:rPr>
            </w:pPr>
            <w:r w:rsidRPr="009F337B">
              <w:rPr>
                <w:sz w:val="16"/>
                <w:szCs w:val="16"/>
                <w:lang w:val="en-US"/>
              </w:rPr>
              <w:t>No information available</w:t>
            </w:r>
            <w:r w:rsidR="001B66B3" w:rsidRPr="009F337B">
              <w:rPr>
                <w:sz w:val="16"/>
                <w:szCs w:val="16"/>
                <w:lang w:val="en-US"/>
              </w:rPr>
              <w:t>.</w:t>
            </w:r>
          </w:p>
        </w:tc>
      </w:tr>
      <w:tr w:rsidR="007F3128" w:rsidRPr="009F337B" w14:paraId="3B3B7053" w14:textId="77777777" w:rsidTr="0010522A">
        <w:tc>
          <w:tcPr>
            <w:tcW w:w="560" w:type="dxa"/>
            <w:gridSpan w:val="2"/>
            <w:vMerge w:val="restart"/>
            <w:vAlign w:val="center"/>
          </w:tcPr>
          <w:p w14:paraId="7105F130" w14:textId="77777777" w:rsidR="007F3128" w:rsidRPr="009F337B" w:rsidRDefault="007F3128" w:rsidP="00F608A7">
            <w:pPr>
              <w:jc w:val="left"/>
              <w:rPr>
                <w:sz w:val="16"/>
                <w:szCs w:val="16"/>
                <w:lang w:val="en-US"/>
              </w:rPr>
            </w:pPr>
            <w:r w:rsidRPr="009F337B">
              <w:rPr>
                <w:sz w:val="16"/>
                <w:szCs w:val="16"/>
                <w:lang w:val="en-US"/>
              </w:rPr>
              <w:t>28</w:t>
            </w:r>
          </w:p>
        </w:tc>
        <w:tc>
          <w:tcPr>
            <w:tcW w:w="2950" w:type="dxa"/>
            <w:vMerge w:val="restart"/>
            <w:vAlign w:val="center"/>
          </w:tcPr>
          <w:p w14:paraId="0C02B713" w14:textId="25D76C20" w:rsidR="007F3128" w:rsidRPr="009F337B" w:rsidRDefault="007F3128" w:rsidP="00F608A7">
            <w:pPr>
              <w:jc w:val="left"/>
              <w:rPr>
                <w:sz w:val="16"/>
                <w:szCs w:val="16"/>
                <w:lang w:val="en-US"/>
              </w:rPr>
            </w:pPr>
            <w:r w:rsidRPr="009F337B">
              <w:rPr>
                <w:sz w:val="16"/>
                <w:szCs w:val="16"/>
                <w:lang w:val="en-US"/>
              </w:rPr>
              <w:t>Mar</w:t>
            </w:r>
            <w:r w:rsidR="00256EEB" w:rsidRPr="009F337B">
              <w:rPr>
                <w:sz w:val="16"/>
                <w:szCs w:val="16"/>
                <w:lang w:val="en-US"/>
              </w:rPr>
              <w:t>í</w:t>
            </w:r>
            <w:r w:rsidRPr="009F337B">
              <w:rPr>
                <w:sz w:val="16"/>
                <w:szCs w:val="16"/>
                <w:lang w:val="en-US"/>
              </w:rPr>
              <w:t>a Felipe Pérez</w:t>
            </w:r>
          </w:p>
        </w:tc>
        <w:tc>
          <w:tcPr>
            <w:tcW w:w="567" w:type="dxa"/>
            <w:vAlign w:val="center"/>
          </w:tcPr>
          <w:p w14:paraId="5F36184F" w14:textId="77777777" w:rsidR="007F3128" w:rsidRPr="009F337B" w:rsidRDefault="007F3128" w:rsidP="00F608A7">
            <w:pPr>
              <w:jc w:val="left"/>
              <w:rPr>
                <w:sz w:val="16"/>
                <w:szCs w:val="16"/>
                <w:lang w:val="en-US"/>
              </w:rPr>
            </w:pPr>
            <w:r w:rsidRPr="009F337B">
              <w:rPr>
                <w:sz w:val="16"/>
                <w:szCs w:val="16"/>
                <w:lang w:val="en-US"/>
              </w:rPr>
              <w:t>1</w:t>
            </w:r>
          </w:p>
        </w:tc>
        <w:tc>
          <w:tcPr>
            <w:tcW w:w="5211" w:type="dxa"/>
            <w:vAlign w:val="center"/>
          </w:tcPr>
          <w:p w14:paraId="394F88AF" w14:textId="3EEFE88E" w:rsidR="007F3128" w:rsidRPr="009F337B" w:rsidRDefault="007F3128" w:rsidP="00F608A7">
            <w:pPr>
              <w:tabs>
                <w:tab w:val="left" w:pos="1277"/>
              </w:tabs>
              <w:jc w:val="left"/>
              <w:rPr>
                <w:sz w:val="16"/>
                <w:szCs w:val="16"/>
                <w:lang w:val="en-US"/>
              </w:rPr>
            </w:pPr>
            <w:r w:rsidRPr="009F337B">
              <w:rPr>
                <w:sz w:val="16"/>
                <w:szCs w:val="16"/>
                <w:lang w:val="en-US"/>
              </w:rPr>
              <w:t>Rocael Gómez Felipe (</w:t>
            </w:r>
            <w:r w:rsidR="0010522A" w:rsidRPr="009F337B">
              <w:rPr>
                <w:sz w:val="16"/>
                <w:szCs w:val="16"/>
                <w:lang w:val="en-US"/>
              </w:rPr>
              <w:t>Son</w:t>
            </w:r>
            <w:r w:rsidRPr="009F337B">
              <w:rPr>
                <w:sz w:val="16"/>
                <w:szCs w:val="16"/>
                <w:lang w:val="en-US"/>
              </w:rPr>
              <w:t>)</w:t>
            </w:r>
          </w:p>
        </w:tc>
      </w:tr>
      <w:tr w:rsidR="007F3128" w:rsidRPr="009F337B" w14:paraId="4142C9E0" w14:textId="77777777" w:rsidTr="0010522A">
        <w:tc>
          <w:tcPr>
            <w:tcW w:w="560" w:type="dxa"/>
            <w:gridSpan w:val="2"/>
            <w:vMerge/>
            <w:vAlign w:val="center"/>
          </w:tcPr>
          <w:p w14:paraId="7250F651" w14:textId="77777777" w:rsidR="007F3128" w:rsidRPr="009F337B" w:rsidRDefault="007F3128" w:rsidP="00F608A7">
            <w:pPr>
              <w:jc w:val="left"/>
              <w:rPr>
                <w:sz w:val="16"/>
                <w:szCs w:val="16"/>
                <w:lang w:val="en-US"/>
              </w:rPr>
            </w:pPr>
          </w:p>
        </w:tc>
        <w:tc>
          <w:tcPr>
            <w:tcW w:w="2950" w:type="dxa"/>
            <w:vMerge/>
            <w:vAlign w:val="center"/>
          </w:tcPr>
          <w:p w14:paraId="27067D49" w14:textId="77777777" w:rsidR="007F3128" w:rsidRPr="009F337B" w:rsidRDefault="007F3128" w:rsidP="00F608A7">
            <w:pPr>
              <w:jc w:val="left"/>
              <w:rPr>
                <w:sz w:val="16"/>
                <w:szCs w:val="16"/>
                <w:lang w:val="en-US"/>
              </w:rPr>
            </w:pPr>
          </w:p>
        </w:tc>
        <w:tc>
          <w:tcPr>
            <w:tcW w:w="567" w:type="dxa"/>
            <w:vAlign w:val="center"/>
          </w:tcPr>
          <w:p w14:paraId="3F0116BD" w14:textId="77777777" w:rsidR="007F3128" w:rsidRPr="009F337B" w:rsidRDefault="007F3128" w:rsidP="00F608A7">
            <w:pPr>
              <w:jc w:val="left"/>
              <w:rPr>
                <w:sz w:val="16"/>
                <w:szCs w:val="16"/>
                <w:lang w:val="en-US"/>
              </w:rPr>
            </w:pPr>
            <w:r w:rsidRPr="009F337B">
              <w:rPr>
                <w:sz w:val="16"/>
                <w:szCs w:val="16"/>
                <w:lang w:val="en-US"/>
              </w:rPr>
              <w:t>2</w:t>
            </w:r>
          </w:p>
        </w:tc>
        <w:tc>
          <w:tcPr>
            <w:tcW w:w="5211" w:type="dxa"/>
            <w:vAlign w:val="center"/>
          </w:tcPr>
          <w:p w14:paraId="27D2137F" w14:textId="278A1238" w:rsidR="007F3128" w:rsidRPr="009F337B" w:rsidRDefault="007F3128" w:rsidP="00F608A7">
            <w:pPr>
              <w:tabs>
                <w:tab w:val="left" w:pos="1277"/>
              </w:tabs>
              <w:jc w:val="left"/>
              <w:rPr>
                <w:sz w:val="16"/>
                <w:szCs w:val="16"/>
                <w:lang w:val="en-US"/>
              </w:rPr>
            </w:pPr>
            <w:r w:rsidRPr="009F337B">
              <w:rPr>
                <w:sz w:val="16"/>
                <w:szCs w:val="16"/>
                <w:lang w:val="en-US"/>
              </w:rPr>
              <w:t>Jaime Gómez Felipe (</w:t>
            </w:r>
            <w:r w:rsidR="0010522A" w:rsidRPr="009F337B">
              <w:rPr>
                <w:sz w:val="16"/>
                <w:szCs w:val="16"/>
                <w:lang w:val="en-US"/>
              </w:rPr>
              <w:t>Son</w:t>
            </w:r>
            <w:r w:rsidRPr="009F337B">
              <w:rPr>
                <w:sz w:val="16"/>
                <w:szCs w:val="16"/>
                <w:lang w:val="en-US"/>
              </w:rPr>
              <w:t>)</w:t>
            </w:r>
          </w:p>
        </w:tc>
      </w:tr>
      <w:tr w:rsidR="007F3128" w:rsidRPr="009F337B" w14:paraId="4C7EBF54" w14:textId="77777777" w:rsidTr="0010522A">
        <w:tc>
          <w:tcPr>
            <w:tcW w:w="560" w:type="dxa"/>
            <w:gridSpan w:val="2"/>
            <w:vMerge/>
            <w:vAlign w:val="center"/>
          </w:tcPr>
          <w:p w14:paraId="3A476EF1" w14:textId="77777777" w:rsidR="007F3128" w:rsidRPr="009F337B" w:rsidRDefault="007F3128" w:rsidP="00F608A7">
            <w:pPr>
              <w:jc w:val="left"/>
              <w:rPr>
                <w:sz w:val="16"/>
                <w:szCs w:val="16"/>
                <w:lang w:val="en-US"/>
              </w:rPr>
            </w:pPr>
          </w:p>
        </w:tc>
        <w:tc>
          <w:tcPr>
            <w:tcW w:w="2950" w:type="dxa"/>
            <w:vMerge/>
            <w:vAlign w:val="center"/>
          </w:tcPr>
          <w:p w14:paraId="6177E1D9" w14:textId="77777777" w:rsidR="007F3128" w:rsidRPr="009F337B" w:rsidRDefault="007F3128" w:rsidP="00F608A7">
            <w:pPr>
              <w:jc w:val="left"/>
              <w:rPr>
                <w:sz w:val="16"/>
                <w:szCs w:val="16"/>
                <w:lang w:val="en-US"/>
              </w:rPr>
            </w:pPr>
          </w:p>
        </w:tc>
        <w:tc>
          <w:tcPr>
            <w:tcW w:w="567" w:type="dxa"/>
            <w:vAlign w:val="center"/>
          </w:tcPr>
          <w:p w14:paraId="4F203AEA" w14:textId="77777777" w:rsidR="007F3128" w:rsidRPr="009F337B" w:rsidRDefault="007F3128" w:rsidP="00F608A7">
            <w:pPr>
              <w:jc w:val="left"/>
              <w:rPr>
                <w:sz w:val="16"/>
                <w:szCs w:val="16"/>
                <w:lang w:val="en-US"/>
              </w:rPr>
            </w:pPr>
            <w:r w:rsidRPr="009F337B">
              <w:rPr>
                <w:sz w:val="16"/>
                <w:szCs w:val="16"/>
                <w:lang w:val="en-US"/>
              </w:rPr>
              <w:t>3</w:t>
            </w:r>
          </w:p>
        </w:tc>
        <w:tc>
          <w:tcPr>
            <w:tcW w:w="5211" w:type="dxa"/>
            <w:vAlign w:val="center"/>
          </w:tcPr>
          <w:p w14:paraId="2281113B" w14:textId="014A0968" w:rsidR="007F3128" w:rsidRPr="009F337B" w:rsidRDefault="007F3128" w:rsidP="00F608A7">
            <w:pPr>
              <w:tabs>
                <w:tab w:val="left" w:pos="1277"/>
              </w:tabs>
              <w:jc w:val="left"/>
              <w:rPr>
                <w:sz w:val="16"/>
                <w:szCs w:val="16"/>
                <w:lang w:val="en-US"/>
              </w:rPr>
            </w:pPr>
            <w:r w:rsidRPr="009F337B">
              <w:rPr>
                <w:sz w:val="16"/>
                <w:szCs w:val="16"/>
                <w:lang w:val="en-US"/>
              </w:rPr>
              <w:t>Miguel Gómez Felipe (</w:t>
            </w:r>
            <w:r w:rsidR="0010522A" w:rsidRPr="009F337B">
              <w:rPr>
                <w:sz w:val="16"/>
                <w:szCs w:val="16"/>
                <w:lang w:val="en-US"/>
              </w:rPr>
              <w:t>Son</w:t>
            </w:r>
            <w:r w:rsidRPr="009F337B">
              <w:rPr>
                <w:sz w:val="16"/>
                <w:szCs w:val="16"/>
                <w:lang w:val="en-US"/>
              </w:rPr>
              <w:t>)</w:t>
            </w:r>
          </w:p>
        </w:tc>
      </w:tr>
      <w:tr w:rsidR="007F3128" w:rsidRPr="009F337B" w14:paraId="66A53372" w14:textId="77777777" w:rsidTr="0010522A">
        <w:tc>
          <w:tcPr>
            <w:tcW w:w="560" w:type="dxa"/>
            <w:gridSpan w:val="2"/>
            <w:vMerge/>
            <w:vAlign w:val="center"/>
          </w:tcPr>
          <w:p w14:paraId="357ECA84" w14:textId="77777777" w:rsidR="007F3128" w:rsidRPr="009F337B" w:rsidRDefault="007F3128" w:rsidP="00F608A7">
            <w:pPr>
              <w:jc w:val="left"/>
              <w:rPr>
                <w:sz w:val="16"/>
                <w:szCs w:val="16"/>
                <w:lang w:val="en-US"/>
              </w:rPr>
            </w:pPr>
          </w:p>
        </w:tc>
        <w:tc>
          <w:tcPr>
            <w:tcW w:w="2950" w:type="dxa"/>
            <w:vMerge/>
            <w:vAlign w:val="center"/>
          </w:tcPr>
          <w:p w14:paraId="5C2BEAFD" w14:textId="77777777" w:rsidR="007F3128" w:rsidRPr="009F337B" w:rsidRDefault="007F3128" w:rsidP="00F608A7">
            <w:pPr>
              <w:jc w:val="left"/>
              <w:rPr>
                <w:sz w:val="16"/>
                <w:szCs w:val="16"/>
                <w:lang w:val="en-US"/>
              </w:rPr>
            </w:pPr>
          </w:p>
        </w:tc>
        <w:tc>
          <w:tcPr>
            <w:tcW w:w="567" w:type="dxa"/>
            <w:vAlign w:val="center"/>
          </w:tcPr>
          <w:p w14:paraId="1BE2DF3A" w14:textId="77777777" w:rsidR="007F3128" w:rsidRPr="009F337B" w:rsidRDefault="007F3128" w:rsidP="00F608A7">
            <w:pPr>
              <w:jc w:val="left"/>
              <w:rPr>
                <w:sz w:val="16"/>
                <w:szCs w:val="16"/>
                <w:lang w:val="en-US"/>
              </w:rPr>
            </w:pPr>
            <w:r w:rsidRPr="009F337B">
              <w:rPr>
                <w:sz w:val="16"/>
                <w:szCs w:val="16"/>
                <w:lang w:val="en-US"/>
              </w:rPr>
              <w:t>4</w:t>
            </w:r>
          </w:p>
        </w:tc>
        <w:tc>
          <w:tcPr>
            <w:tcW w:w="5211" w:type="dxa"/>
            <w:vAlign w:val="center"/>
          </w:tcPr>
          <w:p w14:paraId="699A7C73" w14:textId="092A54F7" w:rsidR="007F3128" w:rsidRPr="009F337B" w:rsidRDefault="007F3128" w:rsidP="00F608A7">
            <w:pPr>
              <w:tabs>
                <w:tab w:val="left" w:pos="1277"/>
              </w:tabs>
              <w:jc w:val="left"/>
              <w:rPr>
                <w:sz w:val="16"/>
                <w:szCs w:val="16"/>
                <w:lang w:val="en-US"/>
              </w:rPr>
            </w:pPr>
            <w:r w:rsidRPr="009F337B">
              <w:rPr>
                <w:sz w:val="16"/>
                <w:szCs w:val="16"/>
                <w:lang w:val="en-US"/>
              </w:rPr>
              <w:t>Carlos Gómez Felipe (</w:t>
            </w:r>
            <w:r w:rsidR="0010522A" w:rsidRPr="009F337B">
              <w:rPr>
                <w:sz w:val="16"/>
                <w:szCs w:val="16"/>
                <w:lang w:val="en-US"/>
              </w:rPr>
              <w:t>Son</w:t>
            </w:r>
            <w:r w:rsidRPr="009F337B">
              <w:rPr>
                <w:sz w:val="16"/>
                <w:szCs w:val="16"/>
                <w:lang w:val="en-US"/>
              </w:rPr>
              <w:t>)</w:t>
            </w:r>
          </w:p>
        </w:tc>
      </w:tr>
      <w:tr w:rsidR="007F3128" w:rsidRPr="009F337B" w14:paraId="6F625002" w14:textId="77777777" w:rsidTr="0010522A">
        <w:tc>
          <w:tcPr>
            <w:tcW w:w="560" w:type="dxa"/>
            <w:gridSpan w:val="2"/>
            <w:vMerge/>
            <w:vAlign w:val="center"/>
          </w:tcPr>
          <w:p w14:paraId="6AB39D4A" w14:textId="77777777" w:rsidR="007F3128" w:rsidRPr="009F337B" w:rsidRDefault="007F3128" w:rsidP="00F608A7">
            <w:pPr>
              <w:jc w:val="left"/>
              <w:rPr>
                <w:sz w:val="16"/>
                <w:szCs w:val="16"/>
                <w:lang w:val="en-US"/>
              </w:rPr>
            </w:pPr>
          </w:p>
        </w:tc>
        <w:tc>
          <w:tcPr>
            <w:tcW w:w="2950" w:type="dxa"/>
            <w:vMerge/>
            <w:vAlign w:val="center"/>
          </w:tcPr>
          <w:p w14:paraId="07A609E9" w14:textId="77777777" w:rsidR="007F3128" w:rsidRPr="009F337B" w:rsidRDefault="007F3128" w:rsidP="00F608A7">
            <w:pPr>
              <w:jc w:val="left"/>
              <w:rPr>
                <w:sz w:val="16"/>
                <w:szCs w:val="16"/>
                <w:lang w:val="en-US"/>
              </w:rPr>
            </w:pPr>
          </w:p>
        </w:tc>
        <w:tc>
          <w:tcPr>
            <w:tcW w:w="567" w:type="dxa"/>
            <w:vAlign w:val="center"/>
          </w:tcPr>
          <w:p w14:paraId="07D6E3F3" w14:textId="77777777" w:rsidR="007F3128" w:rsidRPr="009F337B" w:rsidRDefault="007F3128" w:rsidP="00F608A7">
            <w:pPr>
              <w:jc w:val="left"/>
              <w:rPr>
                <w:sz w:val="16"/>
                <w:szCs w:val="16"/>
                <w:lang w:val="en-US"/>
              </w:rPr>
            </w:pPr>
            <w:r w:rsidRPr="009F337B">
              <w:rPr>
                <w:sz w:val="16"/>
                <w:szCs w:val="16"/>
                <w:lang w:val="en-US"/>
              </w:rPr>
              <w:t>5</w:t>
            </w:r>
          </w:p>
        </w:tc>
        <w:tc>
          <w:tcPr>
            <w:tcW w:w="5211" w:type="dxa"/>
            <w:vAlign w:val="center"/>
          </w:tcPr>
          <w:p w14:paraId="59F38C82" w14:textId="7BAF406F" w:rsidR="007F3128" w:rsidRPr="009F337B" w:rsidRDefault="007F3128" w:rsidP="00F608A7">
            <w:pPr>
              <w:tabs>
                <w:tab w:val="left" w:pos="1277"/>
              </w:tabs>
              <w:jc w:val="left"/>
              <w:rPr>
                <w:sz w:val="16"/>
                <w:szCs w:val="16"/>
                <w:lang w:val="en-US"/>
              </w:rPr>
            </w:pPr>
            <w:r w:rsidRPr="009F337B">
              <w:rPr>
                <w:sz w:val="16"/>
                <w:szCs w:val="16"/>
                <w:lang w:val="en-US"/>
              </w:rPr>
              <w:t>Francisco Gómez Felipe (</w:t>
            </w:r>
            <w:r w:rsidR="0010522A" w:rsidRPr="009F337B">
              <w:rPr>
                <w:sz w:val="16"/>
                <w:szCs w:val="16"/>
                <w:lang w:val="en-US"/>
              </w:rPr>
              <w:t>Son</w:t>
            </w:r>
            <w:r w:rsidRPr="009F337B">
              <w:rPr>
                <w:sz w:val="16"/>
                <w:szCs w:val="16"/>
                <w:lang w:val="en-US"/>
              </w:rPr>
              <w:t>)</w:t>
            </w:r>
          </w:p>
        </w:tc>
      </w:tr>
      <w:tr w:rsidR="007F3128" w:rsidRPr="009F337B" w14:paraId="12201E4F" w14:textId="77777777" w:rsidTr="0010522A">
        <w:tc>
          <w:tcPr>
            <w:tcW w:w="560" w:type="dxa"/>
            <w:gridSpan w:val="2"/>
            <w:vMerge/>
            <w:vAlign w:val="center"/>
          </w:tcPr>
          <w:p w14:paraId="29A45570" w14:textId="77777777" w:rsidR="007F3128" w:rsidRPr="009F337B" w:rsidRDefault="007F3128" w:rsidP="00F608A7">
            <w:pPr>
              <w:jc w:val="left"/>
              <w:rPr>
                <w:sz w:val="16"/>
                <w:szCs w:val="16"/>
                <w:lang w:val="en-US"/>
              </w:rPr>
            </w:pPr>
          </w:p>
        </w:tc>
        <w:tc>
          <w:tcPr>
            <w:tcW w:w="2950" w:type="dxa"/>
            <w:vMerge/>
            <w:vAlign w:val="center"/>
          </w:tcPr>
          <w:p w14:paraId="206E7524" w14:textId="77777777" w:rsidR="007F3128" w:rsidRPr="009F337B" w:rsidRDefault="007F3128" w:rsidP="00F608A7">
            <w:pPr>
              <w:jc w:val="left"/>
              <w:rPr>
                <w:sz w:val="16"/>
                <w:szCs w:val="16"/>
                <w:lang w:val="en-US"/>
              </w:rPr>
            </w:pPr>
          </w:p>
        </w:tc>
        <w:tc>
          <w:tcPr>
            <w:tcW w:w="567" w:type="dxa"/>
            <w:vAlign w:val="center"/>
          </w:tcPr>
          <w:p w14:paraId="4890BC8C" w14:textId="77777777" w:rsidR="007F3128" w:rsidRPr="009F337B" w:rsidRDefault="007F3128" w:rsidP="00F608A7">
            <w:pPr>
              <w:jc w:val="left"/>
              <w:rPr>
                <w:sz w:val="16"/>
                <w:szCs w:val="16"/>
                <w:lang w:val="en-US"/>
              </w:rPr>
            </w:pPr>
            <w:r w:rsidRPr="009F337B">
              <w:rPr>
                <w:sz w:val="16"/>
                <w:szCs w:val="16"/>
                <w:lang w:val="en-US"/>
              </w:rPr>
              <w:t>6</w:t>
            </w:r>
          </w:p>
        </w:tc>
        <w:tc>
          <w:tcPr>
            <w:tcW w:w="5211" w:type="dxa"/>
            <w:vAlign w:val="center"/>
          </w:tcPr>
          <w:p w14:paraId="739E11DC" w14:textId="3E70E4FA" w:rsidR="007F3128" w:rsidRPr="009F337B" w:rsidRDefault="007F3128" w:rsidP="00F608A7">
            <w:pPr>
              <w:tabs>
                <w:tab w:val="left" w:pos="1277"/>
              </w:tabs>
              <w:jc w:val="left"/>
              <w:rPr>
                <w:sz w:val="16"/>
                <w:szCs w:val="16"/>
                <w:lang w:val="en-US"/>
              </w:rPr>
            </w:pPr>
            <w:r w:rsidRPr="009F337B">
              <w:rPr>
                <w:sz w:val="16"/>
                <w:szCs w:val="16"/>
                <w:lang w:val="en-US"/>
              </w:rPr>
              <w:t>Margarita Gómez Felipe (</w:t>
            </w:r>
            <w:r w:rsidR="0010522A" w:rsidRPr="009F337B">
              <w:rPr>
                <w:sz w:val="16"/>
                <w:szCs w:val="16"/>
                <w:lang w:val="en-US"/>
              </w:rPr>
              <w:t>Daughter</w:t>
            </w:r>
            <w:r w:rsidRPr="009F337B">
              <w:rPr>
                <w:sz w:val="16"/>
                <w:szCs w:val="16"/>
                <w:lang w:val="en-US"/>
              </w:rPr>
              <w:t>)</w:t>
            </w:r>
          </w:p>
        </w:tc>
      </w:tr>
      <w:tr w:rsidR="007F3128" w:rsidRPr="009F337B" w14:paraId="5FCAEB03" w14:textId="77777777" w:rsidTr="0010522A">
        <w:tc>
          <w:tcPr>
            <w:tcW w:w="560" w:type="dxa"/>
            <w:gridSpan w:val="2"/>
            <w:vMerge/>
            <w:vAlign w:val="center"/>
          </w:tcPr>
          <w:p w14:paraId="75377A10" w14:textId="77777777" w:rsidR="007F3128" w:rsidRPr="009F337B" w:rsidRDefault="007F3128" w:rsidP="00F608A7">
            <w:pPr>
              <w:jc w:val="left"/>
              <w:rPr>
                <w:sz w:val="16"/>
                <w:szCs w:val="16"/>
                <w:lang w:val="en-US"/>
              </w:rPr>
            </w:pPr>
          </w:p>
        </w:tc>
        <w:tc>
          <w:tcPr>
            <w:tcW w:w="2950" w:type="dxa"/>
            <w:vMerge/>
            <w:vAlign w:val="center"/>
          </w:tcPr>
          <w:p w14:paraId="6C52AEF2" w14:textId="77777777" w:rsidR="007F3128" w:rsidRPr="009F337B" w:rsidRDefault="007F3128" w:rsidP="00F608A7">
            <w:pPr>
              <w:jc w:val="left"/>
              <w:rPr>
                <w:sz w:val="16"/>
                <w:szCs w:val="16"/>
                <w:lang w:val="en-US"/>
              </w:rPr>
            </w:pPr>
          </w:p>
        </w:tc>
        <w:tc>
          <w:tcPr>
            <w:tcW w:w="567" w:type="dxa"/>
            <w:vAlign w:val="center"/>
          </w:tcPr>
          <w:p w14:paraId="3B0E72C6" w14:textId="77777777" w:rsidR="007F3128" w:rsidRPr="009F337B" w:rsidRDefault="007F3128" w:rsidP="00F608A7">
            <w:pPr>
              <w:jc w:val="left"/>
              <w:rPr>
                <w:sz w:val="16"/>
                <w:szCs w:val="16"/>
                <w:lang w:val="en-US"/>
              </w:rPr>
            </w:pPr>
            <w:r w:rsidRPr="009F337B">
              <w:rPr>
                <w:sz w:val="16"/>
                <w:szCs w:val="16"/>
                <w:lang w:val="en-US"/>
              </w:rPr>
              <w:t>7</w:t>
            </w:r>
          </w:p>
        </w:tc>
        <w:tc>
          <w:tcPr>
            <w:tcW w:w="5211" w:type="dxa"/>
            <w:vAlign w:val="center"/>
          </w:tcPr>
          <w:p w14:paraId="3455EF52" w14:textId="6ED9DDD9" w:rsidR="007F3128" w:rsidRPr="00542AB5" w:rsidRDefault="007F3128" w:rsidP="00F608A7">
            <w:pPr>
              <w:tabs>
                <w:tab w:val="left" w:pos="1277"/>
              </w:tabs>
              <w:jc w:val="left"/>
              <w:rPr>
                <w:sz w:val="16"/>
                <w:szCs w:val="16"/>
                <w:lang w:val="es-CR"/>
              </w:rPr>
            </w:pPr>
            <w:r w:rsidRPr="00542AB5">
              <w:rPr>
                <w:sz w:val="16"/>
                <w:szCs w:val="16"/>
                <w:lang w:val="es-CR"/>
              </w:rPr>
              <w:t>Ana Patricia Gómez Felipe (</w:t>
            </w:r>
            <w:r w:rsidR="0010522A" w:rsidRPr="00542AB5">
              <w:rPr>
                <w:sz w:val="16"/>
                <w:szCs w:val="16"/>
                <w:lang w:val="es-CR"/>
              </w:rPr>
              <w:t>Daughter</w:t>
            </w:r>
            <w:r w:rsidRPr="00542AB5">
              <w:rPr>
                <w:sz w:val="16"/>
                <w:szCs w:val="16"/>
                <w:lang w:val="es-CR"/>
              </w:rPr>
              <w:t>)</w:t>
            </w:r>
          </w:p>
        </w:tc>
      </w:tr>
      <w:tr w:rsidR="007F3128" w:rsidRPr="00310E7A" w14:paraId="45E4018F" w14:textId="77777777" w:rsidTr="0010522A">
        <w:tc>
          <w:tcPr>
            <w:tcW w:w="560" w:type="dxa"/>
            <w:gridSpan w:val="2"/>
            <w:vMerge/>
            <w:vAlign w:val="center"/>
          </w:tcPr>
          <w:p w14:paraId="06A6C436" w14:textId="77777777" w:rsidR="007F3128" w:rsidRPr="00542AB5" w:rsidRDefault="007F3128" w:rsidP="00F608A7">
            <w:pPr>
              <w:jc w:val="left"/>
              <w:rPr>
                <w:sz w:val="16"/>
                <w:szCs w:val="16"/>
                <w:lang w:val="es-CR"/>
              </w:rPr>
            </w:pPr>
          </w:p>
        </w:tc>
        <w:tc>
          <w:tcPr>
            <w:tcW w:w="2950" w:type="dxa"/>
            <w:vMerge/>
            <w:vAlign w:val="center"/>
          </w:tcPr>
          <w:p w14:paraId="46C1F13B" w14:textId="77777777" w:rsidR="007F3128" w:rsidRPr="00542AB5" w:rsidRDefault="007F3128" w:rsidP="00F608A7">
            <w:pPr>
              <w:jc w:val="left"/>
              <w:rPr>
                <w:sz w:val="16"/>
                <w:szCs w:val="16"/>
                <w:lang w:val="es-CR"/>
              </w:rPr>
            </w:pPr>
          </w:p>
        </w:tc>
        <w:tc>
          <w:tcPr>
            <w:tcW w:w="567" w:type="dxa"/>
            <w:vAlign w:val="center"/>
          </w:tcPr>
          <w:p w14:paraId="19504552" w14:textId="77777777" w:rsidR="007F3128" w:rsidRPr="009F337B" w:rsidRDefault="007F3128" w:rsidP="00F608A7">
            <w:pPr>
              <w:jc w:val="left"/>
              <w:rPr>
                <w:sz w:val="16"/>
                <w:szCs w:val="16"/>
                <w:lang w:val="en-US"/>
              </w:rPr>
            </w:pPr>
            <w:r w:rsidRPr="009F337B">
              <w:rPr>
                <w:sz w:val="16"/>
                <w:szCs w:val="16"/>
                <w:lang w:val="en-US"/>
              </w:rPr>
              <w:t>8</w:t>
            </w:r>
          </w:p>
        </w:tc>
        <w:tc>
          <w:tcPr>
            <w:tcW w:w="5211" w:type="dxa"/>
            <w:vAlign w:val="center"/>
          </w:tcPr>
          <w:p w14:paraId="378008F2" w14:textId="5DD83C96" w:rsidR="007F3128" w:rsidRPr="009F337B" w:rsidRDefault="007F3128" w:rsidP="00F608A7">
            <w:pPr>
              <w:tabs>
                <w:tab w:val="left" w:pos="1277"/>
              </w:tabs>
              <w:jc w:val="left"/>
              <w:rPr>
                <w:sz w:val="16"/>
                <w:szCs w:val="16"/>
                <w:lang w:val="en-US"/>
              </w:rPr>
            </w:pPr>
            <w:r w:rsidRPr="009F337B">
              <w:rPr>
                <w:sz w:val="16"/>
                <w:szCs w:val="16"/>
                <w:lang w:val="en-US"/>
              </w:rPr>
              <w:t>Roberto Gómez García (</w:t>
            </w:r>
            <w:r w:rsidR="0010522A" w:rsidRPr="009F337B">
              <w:rPr>
                <w:sz w:val="16"/>
                <w:szCs w:val="16"/>
                <w:lang w:val="en-US"/>
              </w:rPr>
              <w:t>Father</w:t>
            </w:r>
            <w:r w:rsidRPr="009F337B">
              <w:rPr>
                <w:sz w:val="16"/>
                <w:szCs w:val="16"/>
                <w:lang w:val="en-US"/>
              </w:rPr>
              <w:t xml:space="preserve"> </w:t>
            </w:r>
            <w:r w:rsidR="0010522A" w:rsidRPr="009F337B">
              <w:rPr>
                <w:sz w:val="16"/>
                <w:szCs w:val="16"/>
                <w:lang w:val="en-US"/>
              </w:rPr>
              <w:t>of her</w:t>
            </w:r>
            <w:r w:rsidRPr="009F337B">
              <w:rPr>
                <w:sz w:val="16"/>
                <w:szCs w:val="16"/>
                <w:lang w:val="en-US"/>
              </w:rPr>
              <w:t xml:space="preserve"> </w:t>
            </w:r>
            <w:r w:rsidR="0010522A" w:rsidRPr="009F337B">
              <w:rPr>
                <w:sz w:val="16"/>
                <w:szCs w:val="16"/>
                <w:lang w:val="en-US"/>
              </w:rPr>
              <w:t>son</w:t>
            </w:r>
            <w:r w:rsidRPr="009F337B">
              <w:rPr>
                <w:sz w:val="16"/>
                <w:szCs w:val="16"/>
                <w:lang w:val="en-US"/>
              </w:rPr>
              <w:t>s</w:t>
            </w:r>
            <w:r w:rsidR="0010522A" w:rsidRPr="009F337B">
              <w:rPr>
                <w:sz w:val="16"/>
                <w:szCs w:val="16"/>
                <w:lang w:val="en-US"/>
              </w:rPr>
              <w:t>,</w:t>
            </w:r>
            <w:r w:rsidRPr="009F337B">
              <w:rPr>
                <w:sz w:val="16"/>
                <w:szCs w:val="16"/>
                <w:lang w:val="en-US"/>
              </w:rPr>
              <w:t xml:space="preserve"> </w:t>
            </w:r>
            <w:r w:rsidR="0010522A" w:rsidRPr="009F337B">
              <w:rPr>
                <w:sz w:val="16"/>
                <w:szCs w:val="16"/>
                <w:lang w:val="en-US"/>
              </w:rPr>
              <w:t>deceased</w:t>
            </w:r>
            <w:r w:rsidRPr="009F337B">
              <w:rPr>
                <w:sz w:val="16"/>
                <w:szCs w:val="16"/>
                <w:lang w:val="en-US"/>
              </w:rPr>
              <w:t>)</w:t>
            </w:r>
          </w:p>
        </w:tc>
      </w:tr>
      <w:tr w:rsidR="007F3128" w:rsidRPr="009F337B" w14:paraId="197E61EC" w14:textId="77777777" w:rsidTr="0010522A">
        <w:tc>
          <w:tcPr>
            <w:tcW w:w="560" w:type="dxa"/>
            <w:gridSpan w:val="2"/>
            <w:vMerge w:val="restart"/>
            <w:vAlign w:val="center"/>
          </w:tcPr>
          <w:p w14:paraId="571C9607" w14:textId="77777777" w:rsidR="007F3128" w:rsidRPr="009F337B" w:rsidRDefault="007F3128" w:rsidP="00F608A7">
            <w:pPr>
              <w:jc w:val="left"/>
              <w:rPr>
                <w:sz w:val="16"/>
                <w:szCs w:val="16"/>
                <w:lang w:val="en-US"/>
              </w:rPr>
            </w:pPr>
            <w:r w:rsidRPr="009F337B">
              <w:rPr>
                <w:sz w:val="16"/>
                <w:szCs w:val="16"/>
                <w:lang w:val="en-US"/>
              </w:rPr>
              <w:t>29</w:t>
            </w:r>
          </w:p>
        </w:tc>
        <w:tc>
          <w:tcPr>
            <w:tcW w:w="2950" w:type="dxa"/>
            <w:vMerge w:val="restart"/>
            <w:vAlign w:val="center"/>
          </w:tcPr>
          <w:p w14:paraId="7EB46487" w14:textId="545BDACB" w:rsidR="007F3128" w:rsidRPr="009F337B" w:rsidRDefault="007F3128" w:rsidP="00F608A7">
            <w:pPr>
              <w:jc w:val="left"/>
              <w:rPr>
                <w:sz w:val="16"/>
                <w:szCs w:val="16"/>
                <w:lang w:val="en-US"/>
              </w:rPr>
            </w:pPr>
            <w:r w:rsidRPr="009F337B">
              <w:rPr>
                <w:sz w:val="16"/>
                <w:szCs w:val="16"/>
                <w:lang w:val="en-US"/>
              </w:rPr>
              <w:t>Ismerai Olibia García Castañ</w:t>
            </w:r>
            <w:r w:rsidR="00A04295" w:rsidRPr="009F337B">
              <w:rPr>
                <w:sz w:val="16"/>
                <w:szCs w:val="16"/>
                <w:lang w:val="en-US"/>
              </w:rPr>
              <w:t>o</w:t>
            </w:r>
            <w:r w:rsidRPr="009F337B">
              <w:rPr>
                <w:sz w:val="16"/>
                <w:szCs w:val="16"/>
                <w:lang w:val="en-US"/>
              </w:rPr>
              <w:t>n</w:t>
            </w:r>
          </w:p>
        </w:tc>
        <w:tc>
          <w:tcPr>
            <w:tcW w:w="567" w:type="dxa"/>
            <w:vAlign w:val="center"/>
          </w:tcPr>
          <w:p w14:paraId="69819503" w14:textId="77777777" w:rsidR="007F3128" w:rsidRPr="009F337B" w:rsidRDefault="007F3128" w:rsidP="00F608A7">
            <w:pPr>
              <w:jc w:val="left"/>
              <w:rPr>
                <w:sz w:val="16"/>
                <w:szCs w:val="16"/>
                <w:lang w:val="en-US"/>
              </w:rPr>
            </w:pPr>
            <w:r w:rsidRPr="009F337B">
              <w:rPr>
                <w:sz w:val="16"/>
                <w:szCs w:val="16"/>
                <w:lang w:val="en-US"/>
              </w:rPr>
              <w:t>1</w:t>
            </w:r>
          </w:p>
        </w:tc>
        <w:tc>
          <w:tcPr>
            <w:tcW w:w="5211" w:type="dxa"/>
            <w:vAlign w:val="center"/>
          </w:tcPr>
          <w:p w14:paraId="2B3E8B9A" w14:textId="74478A64" w:rsidR="007F3128" w:rsidRPr="00542AB5" w:rsidRDefault="007F3128" w:rsidP="00F608A7">
            <w:pPr>
              <w:tabs>
                <w:tab w:val="left" w:pos="1277"/>
              </w:tabs>
              <w:jc w:val="left"/>
              <w:rPr>
                <w:sz w:val="16"/>
                <w:szCs w:val="16"/>
                <w:lang w:val="es-CR"/>
              </w:rPr>
            </w:pPr>
            <w:r w:rsidRPr="00542AB5">
              <w:rPr>
                <w:sz w:val="16"/>
                <w:szCs w:val="16"/>
                <w:lang w:val="es-CR"/>
              </w:rPr>
              <w:t>Leonidas Alberto Cifuentes García (</w:t>
            </w:r>
            <w:r w:rsidR="0010522A" w:rsidRPr="00542AB5">
              <w:rPr>
                <w:sz w:val="16"/>
                <w:szCs w:val="16"/>
                <w:lang w:val="es-CR"/>
              </w:rPr>
              <w:t>Son</w:t>
            </w:r>
            <w:r w:rsidRPr="00542AB5">
              <w:rPr>
                <w:sz w:val="16"/>
                <w:szCs w:val="16"/>
                <w:lang w:val="es-CR"/>
              </w:rPr>
              <w:t>)</w:t>
            </w:r>
          </w:p>
        </w:tc>
      </w:tr>
      <w:tr w:rsidR="007F3128" w:rsidRPr="009F337B" w14:paraId="46FC61A7" w14:textId="77777777" w:rsidTr="0010522A">
        <w:tc>
          <w:tcPr>
            <w:tcW w:w="560" w:type="dxa"/>
            <w:gridSpan w:val="2"/>
            <w:vMerge/>
            <w:vAlign w:val="center"/>
          </w:tcPr>
          <w:p w14:paraId="207F5F72" w14:textId="77777777" w:rsidR="007F3128" w:rsidRPr="00542AB5" w:rsidRDefault="007F3128" w:rsidP="00F608A7">
            <w:pPr>
              <w:jc w:val="left"/>
              <w:rPr>
                <w:sz w:val="16"/>
                <w:szCs w:val="16"/>
                <w:lang w:val="es-CR"/>
              </w:rPr>
            </w:pPr>
          </w:p>
        </w:tc>
        <w:tc>
          <w:tcPr>
            <w:tcW w:w="2950" w:type="dxa"/>
            <w:vMerge/>
            <w:vAlign w:val="center"/>
          </w:tcPr>
          <w:p w14:paraId="517D618B" w14:textId="77777777" w:rsidR="007F3128" w:rsidRPr="00542AB5" w:rsidRDefault="007F3128" w:rsidP="00F608A7">
            <w:pPr>
              <w:jc w:val="left"/>
              <w:rPr>
                <w:sz w:val="16"/>
                <w:szCs w:val="16"/>
                <w:lang w:val="es-CR"/>
              </w:rPr>
            </w:pPr>
          </w:p>
        </w:tc>
        <w:tc>
          <w:tcPr>
            <w:tcW w:w="567" w:type="dxa"/>
            <w:vAlign w:val="center"/>
          </w:tcPr>
          <w:p w14:paraId="5213F620" w14:textId="77777777" w:rsidR="007F3128" w:rsidRPr="009F337B" w:rsidRDefault="007F3128" w:rsidP="00F608A7">
            <w:pPr>
              <w:jc w:val="left"/>
              <w:rPr>
                <w:sz w:val="16"/>
                <w:szCs w:val="16"/>
                <w:lang w:val="en-US"/>
              </w:rPr>
            </w:pPr>
            <w:r w:rsidRPr="009F337B">
              <w:rPr>
                <w:sz w:val="16"/>
                <w:szCs w:val="16"/>
                <w:lang w:val="en-US"/>
              </w:rPr>
              <w:t>2</w:t>
            </w:r>
          </w:p>
        </w:tc>
        <w:tc>
          <w:tcPr>
            <w:tcW w:w="5211" w:type="dxa"/>
            <w:vAlign w:val="center"/>
          </w:tcPr>
          <w:p w14:paraId="62D6014A" w14:textId="2D8D86EB" w:rsidR="007F3128" w:rsidRPr="00542AB5" w:rsidRDefault="007F3128" w:rsidP="00F608A7">
            <w:pPr>
              <w:tabs>
                <w:tab w:val="left" w:pos="1277"/>
              </w:tabs>
              <w:jc w:val="left"/>
              <w:rPr>
                <w:sz w:val="16"/>
                <w:szCs w:val="16"/>
                <w:lang w:val="es-CR"/>
              </w:rPr>
            </w:pPr>
            <w:r w:rsidRPr="00542AB5">
              <w:rPr>
                <w:sz w:val="16"/>
                <w:szCs w:val="16"/>
                <w:lang w:val="es-CR"/>
              </w:rPr>
              <w:t>Guillermo Neemias Cifuentes García (</w:t>
            </w:r>
            <w:r w:rsidR="0010522A" w:rsidRPr="00542AB5">
              <w:rPr>
                <w:sz w:val="16"/>
                <w:szCs w:val="16"/>
                <w:lang w:val="es-CR"/>
              </w:rPr>
              <w:t>Son</w:t>
            </w:r>
            <w:r w:rsidRPr="00542AB5">
              <w:rPr>
                <w:sz w:val="16"/>
                <w:szCs w:val="16"/>
                <w:lang w:val="es-CR"/>
              </w:rPr>
              <w:t>)</w:t>
            </w:r>
          </w:p>
        </w:tc>
      </w:tr>
      <w:tr w:rsidR="007F3128" w:rsidRPr="009F337B" w14:paraId="65034A76" w14:textId="77777777" w:rsidTr="0010522A">
        <w:tc>
          <w:tcPr>
            <w:tcW w:w="560" w:type="dxa"/>
            <w:gridSpan w:val="2"/>
            <w:vMerge/>
            <w:vAlign w:val="center"/>
          </w:tcPr>
          <w:p w14:paraId="5B3B217A" w14:textId="77777777" w:rsidR="007F3128" w:rsidRPr="00542AB5" w:rsidRDefault="007F3128" w:rsidP="00F608A7">
            <w:pPr>
              <w:jc w:val="left"/>
              <w:rPr>
                <w:sz w:val="16"/>
                <w:szCs w:val="16"/>
                <w:lang w:val="es-CR"/>
              </w:rPr>
            </w:pPr>
          </w:p>
        </w:tc>
        <w:tc>
          <w:tcPr>
            <w:tcW w:w="2950" w:type="dxa"/>
            <w:vMerge/>
            <w:vAlign w:val="center"/>
          </w:tcPr>
          <w:p w14:paraId="06802F0C" w14:textId="77777777" w:rsidR="007F3128" w:rsidRPr="00542AB5" w:rsidRDefault="007F3128" w:rsidP="00F608A7">
            <w:pPr>
              <w:jc w:val="left"/>
              <w:rPr>
                <w:sz w:val="16"/>
                <w:szCs w:val="16"/>
                <w:lang w:val="es-CR"/>
              </w:rPr>
            </w:pPr>
          </w:p>
        </w:tc>
        <w:tc>
          <w:tcPr>
            <w:tcW w:w="567" w:type="dxa"/>
            <w:vAlign w:val="center"/>
          </w:tcPr>
          <w:p w14:paraId="7E999E25" w14:textId="77777777" w:rsidR="007F3128" w:rsidRPr="009F337B" w:rsidRDefault="007F3128" w:rsidP="00F608A7">
            <w:pPr>
              <w:jc w:val="left"/>
              <w:rPr>
                <w:sz w:val="16"/>
                <w:szCs w:val="16"/>
                <w:lang w:val="en-US"/>
              </w:rPr>
            </w:pPr>
            <w:r w:rsidRPr="009F337B">
              <w:rPr>
                <w:sz w:val="16"/>
                <w:szCs w:val="16"/>
                <w:lang w:val="en-US"/>
              </w:rPr>
              <w:t>3</w:t>
            </w:r>
          </w:p>
        </w:tc>
        <w:tc>
          <w:tcPr>
            <w:tcW w:w="5211" w:type="dxa"/>
            <w:vAlign w:val="center"/>
          </w:tcPr>
          <w:p w14:paraId="6654F9E2" w14:textId="55266E6E" w:rsidR="007F3128" w:rsidRPr="00542AB5" w:rsidRDefault="007F3128" w:rsidP="00F608A7">
            <w:pPr>
              <w:tabs>
                <w:tab w:val="left" w:pos="1277"/>
              </w:tabs>
              <w:jc w:val="left"/>
              <w:rPr>
                <w:sz w:val="16"/>
                <w:szCs w:val="16"/>
                <w:lang w:val="es-CR"/>
              </w:rPr>
            </w:pPr>
            <w:r w:rsidRPr="00542AB5">
              <w:rPr>
                <w:sz w:val="16"/>
                <w:szCs w:val="16"/>
                <w:lang w:val="es-CR"/>
              </w:rPr>
              <w:t>Elder Neftali Cifuentes García (</w:t>
            </w:r>
            <w:r w:rsidR="0010522A" w:rsidRPr="00542AB5">
              <w:rPr>
                <w:sz w:val="16"/>
                <w:szCs w:val="16"/>
                <w:lang w:val="es-CR"/>
              </w:rPr>
              <w:t>Son</w:t>
            </w:r>
            <w:r w:rsidRPr="00542AB5">
              <w:rPr>
                <w:sz w:val="16"/>
                <w:szCs w:val="16"/>
                <w:lang w:val="es-CR"/>
              </w:rPr>
              <w:t>)</w:t>
            </w:r>
          </w:p>
        </w:tc>
      </w:tr>
      <w:tr w:rsidR="007F3128" w:rsidRPr="009F337B" w14:paraId="607E8541" w14:textId="77777777" w:rsidTr="0010522A">
        <w:tc>
          <w:tcPr>
            <w:tcW w:w="560" w:type="dxa"/>
            <w:gridSpan w:val="2"/>
            <w:vMerge/>
            <w:vAlign w:val="center"/>
          </w:tcPr>
          <w:p w14:paraId="4A4C7845" w14:textId="77777777" w:rsidR="007F3128" w:rsidRPr="00542AB5" w:rsidRDefault="007F3128" w:rsidP="00F608A7">
            <w:pPr>
              <w:jc w:val="left"/>
              <w:rPr>
                <w:sz w:val="16"/>
                <w:szCs w:val="16"/>
                <w:lang w:val="es-CR"/>
              </w:rPr>
            </w:pPr>
          </w:p>
        </w:tc>
        <w:tc>
          <w:tcPr>
            <w:tcW w:w="2950" w:type="dxa"/>
            <w:vMerge/>
            <w:vAlign w:val="center"/>
          </w:tcPr>
          <w:p w14:paraId="72AEBC04" w14:textId="77777777" w:rsidR="007F3128" w:rsidRPr="00542AB5" w:rsidRDefault="007F3128" w:rsidP="00F608A7">
            <w:pPr>
              <w:jc w:val="left"/>
              <w:rPr>
                <w:sz w:val="16"/>
                <w:szCs w:val="16"/>
                <w:lang w:val="es-CR"/>
              </w:rPr>
            </w:pPr>
          </w:p>
        </w:tc>
        <w:tc>
          <w:tcPr>
            <w:tcW w:w="567" w:type="dxa"/>
            <w:vAlign w:val="center"/>
          </w:tcPr>
          <w:p w14:paraId="346FD433" w14:textId="77777777" w:rsidR="007F3128" w:rsidRPr="009F337B" w:rsidRDefault="007F3128" w:rsidP="00F608A7">
            <w:pPr>
              <w:jc w:val="left"/>
              <w:rPr>
                <w:sz w:val="16"/>
                <w:szCs w:val="16"/>
                <w:lang w:val="en-US"/>
              </w:rPr>
            </w:pPr>
            <w:r w:rsidRPr="009F337B">
              <w:rPr>
                <w:sz w:val="16"/>
                <w:szCs w:val="16"/>
                <w:lang w:val="en-US"/>
              </w:rPr>
              <w:t>4</w:t>
            </w:r>
          </w:p>
        </w:tc>
        <w:tc>
          <w:tcPr>
            <w:tcW w:w="5211" w:type="dxa"/>
            <w:vAlign w:val="center"/>
          </w:tcPr>
          <w:p w14:paraId="412C6DD6" w14:textId="00566367" w:rsidR="007F3128" w:rsidRPr="00542AB5" w:rsidRDefault="007F3128" w:rsidP="00F608A7">
            <w:pPr>
              <w:tabs>
                <w:tab w:val="left" w:pos="1277"/>
              </w:tabs>
              <w:jc w:val="left"/>
              <w:rPr>
                <w:sz w:val="16"/>
                <w:szCs w:val="16"/>
                <w:lang w:val="es-CR"/>
              </w:rPr>
            </w:pPr>
            <w:r w:rsidRPr="00542AB5">
              <w:rPr>
                <w:sz w:val="16"/>
                <w:szCs w:val="16"/>
                <w:lang w:val="es-CR"/>
              </w:rPr>
              <w:t>Ingrid Olivia Cifuentes García (</w:t>
            </w:r>
            <w:r w:rsidR="0010522A" w:rsidRPr="00542AB5">
              <w:rPr>
                <w:sz w:val="16"/>
                <w:szCs w:val="16"/>
                <w:lang w:val="es-CR"/>
              </w:rPr>
              <w:t>Daughter</w:t>
            </w:r>
            <w:r w:rsidRPr="00542AB5">
              <w:rPr>
                <w:sz w:val="16"/>
                <w:szCs w:val="16"/>
                <w:lang w:val="es-CR"/>
              </w:rPr>
              <w:t>)</w:t>
            </w:r>
          </w:p>
        </w:tc>
      </w:tr>
      <w:tr w:rsidR="007F3128" w:rsidRPr="009F337B" w14:paraId="19B8791B" w14:textId="77777777" w:rsidTr="0010522A">
        <w:tc>
          <w:tcPr>
            <w:tcW w:w="560" w:type="dxa"/>
            <w:gridSpan w:val="2"/>
            <w:vMerge/>
            <w:vAlign w:val="center"/>
          </w:tcPr>
          <w:p w14:paraId="70CAF8A2" w14:textId="77777777" w:rsidR="007F3128" w:rsidRPr="00542AB5" w:rsidRDefault="007F3128" w:rsidP="00F608A7">
            <w:pPr>
              <w:jc w:val="left"/>
              <w:rPr>
                <w:sz w:val="16"/>
                <w:szCs w:val="16"/>
                <w:lang w:val="es-CR"/>
              </w:rPr>
            </w:pPr>
          </w:p>
        </w:tc>
        <w:tc>
          <w:tcPr>
            <w:tcW w:w="2950" w:type="dxa"/>
            <w:vMerge/>
            <w:vAlign w:val="center"/>
          </w:tcPr>
          <w:p w14:paraId="35B15FE1" w14:textId="77777777" w:rsidR="007F3128" w:rsidRPr="00542AB5" w:rsidRDefault="007F3128" w:rsidP="00F608A7">
            <w:pPr>
              <w:jc w:val="left"/>
              <w:rPr>
                <w:sz w:val="16"/>
                <w:szCs w:val="16"/>
                <w:lang w:val="es-CR"/>
              </w:rPr>
            </w:pPr>
          </w:p>
        </w:tc>
        <w:tc>
          <w:tcPr>
            <w:tcW w:w="567" w:type="dxa"/>
            <w:vAlign w:val="center"/>
          </w:tcPr>
          <w:p w14:paraId="70B80C55" w14:textId="77777777" w:rsidR="007F3128" w:rsidRPr="009F337B" w:rsidRDefault="007F3128" w:rsidP="00F608A7">
            <w:pPr>
              <w:jc w:val="left"/>
              <w:rPr>
                <w:sz w:val="16"/>
                <w:szCs w:val="16"/>
                <w:lang w:val="en-US"/>
              </w:rPr>
            </w:pPr>
            <w:r w:rsidRPr="009F337B">
              <w:rPr>
                <w:sz w:val="16"/>
                <w:szCs w:val="16"/>
                <w:lang w:val="en-US"/>
              </w:rPr>
              <w:t>5</w:t>
            </w:r>
          </w:p>
        </w:tc>
        <w:tc>
          <w:tcPr>
            <w:tcW w:w="5211" w:type="dxa"/>
            <w:vAlign w:val="center"/>
          </w:tcPr>
          <w:p w14:paraId="5FBE11A9" w14:textId="4B9927E6" w:rsidR="007F3128" w:rsidRPr="00542AB5" w:rsidRDefault="007F3128" w:rsidP="00F608A7">
            <w:pPr>
              <w:tabs>
                <w:tab w:val="left" w:pos="1277"/>
              </w:tabs>
              <w:jc w:val="left"/>
              <w:rPr>
                <w:sz w:val="16"/>
                <w:szCs w:val="16"/>
                <w:lang w:val="es-CR"/>
              </w:rPr>
            </w:pPr>
            <w:r w:rsidRPr="00542AB5">
              <w:rPr>
                <w:sz w:val="16"/>
                <w:szCs w:val="16"/>
                <w:lang w:val="es-CR"/>
              </w:rPr>
              <w:t>Juan Antonio Cifuentes García (</w:t>
            </w:r>
            <w:r w:rsidR="0010522A" w:rsidRPr="00542AB5">
              <w:rPr>
                <w:sz w:val="16"/>
                <w:szCs w:val="16"/>
                <w:lang w:val="es-CR"/>
              </w:rPr>
              <w:t>Son,</w:t>
            </w:r>
            <w:r w:rsidRPr="00542AB5">
              <w:rPr>
                <w:sz w:val="16"/>
                <w:szCs w:val="16"/>
                <w:lang w:val="es-CR"/>
              </w:rPr>
              <w:t xml:space="preserve"> </w:t>
            </w:r>
            <w:r w:rsidR="0010522A" w:rsidRPr="00542AB5">
              <w:rPr>
                <w:sz w:val="16"/>
                <w:szCs w:val="16"/>
                <w:lang w:val="es-CR"/>
              </w:rPr>
              <w:t>deceased</w:t>
            </w:r>
            <w:r w:rsidRPr="00542AB5">
              <w:rPr>
                <w:sz w:val="16"/>
                <w:szCs w:val="16"/>
                <w:lang w:val="es-CR"/>
              </w:rPr>
              <w:t>)</w:t>
            </w:r>
          </w:p>
        </w:tc>
      </w:tr>
      <w:tr w:rsidR="007F3128" w:rsidRPr="00310E7A" w14:paraId="24A73C02" w14:textId="77777777" w:rsidTr="0010522A">
        <w:tc>
          <w:tcPr>
            <w:tcW w:w="560" w:type="dxa"/>
            <w:gridSpan w:val="2"/>
            <w:vMerge/>
            <w:vAlign w:val="center"/>
          </w:tcPr>
          <w:p w14:paraId="550ACC2F" w14:textId="77777777" w:rsidR="007F3128" w:rsidRPr="00542AB5" w:rsidRDefault="007F3128" w:rsidP="00F608A7">
            <w:pPr>
              <w:jc w:val="left"/>
              <w:rPr>
                <w:sz w:val="16"/>
                <w:szCs w:val="16"/>
                <w:lang w:val="es-CR"/>
              </w:rPr>
            </w:pPr>
          </w:p>
        </w:tc>
        <w:tc>
          <w:tcPr>
            <w:tcW w:w="2950" w:type="dxa"/>
            <w:vMerge/>
            <w:vAlign w:val="center"/>
          </w:tcPr>
          <w:p w14:paraId="1A481CF0" w14:textId="77777777" w:rsidR="007F3128" w:rsidRPr="00542AB5" w:rsidRDefault="007F3128" w:rsidP="00F608A7">
            <w:pPr>
              <w:jc w:val="left"/>
              <w:rPr>
                <w:sz w:val="16"/>
                <w:szCs w:val="16"/>
                <w:lang w:val="es-CR"/>
              </w:rPr>
            </w:pPr>
          </w:p>
        </w:tc>
        <w:tc>
          <w:tcPr>
            <w:tcW w:w="567" w:type="dxa"/>
            <w:vAlign w:val="center"/>
          </w:tcPr>
          <w:p w14:paraId="5B8AF24F" w14:textId="77777777" w:rsidR="007F3128" w:rsidRPr="009F337B" w:rsidRDefault="007F3128" w:rsidP="00F608A7">
            <w:pPr>
              <w:jc w:val="left"/>
              <w:rPr>
                <w:sz w:val="16"/>
                <w:szCs w:val="16"/>
                <w:lang w:val="en-US"/>
              </w:rPr>
            </w:pPr>
            <w:r w:rsidRPr="009F337B">
              <w:rPr>
                <w:sz w:val="16"/>
                <w:szCs w:val="16"/>
                <w:lang w:val="en-US"/>
              </w:rPr>
              <w:t>6</w:t>
            </w:r>
          </w:p>
        </w:tc>
        <w:tc>
          <w:tcPr>
            <w:tcW w:w="5211" w:type="dxa"/>
            <w:vAlign w:val="center"/>
          </w:tcPr>
          <w:p w14:paraId="7C7EB9B4" w14:textId="332948C3" w:rsidR="007F3128" w:rsidRPr="009F337B" w:rsidRDefault="007F3128" w:rsidP="00F608A7">
            <w:pPr>
              <w:tabs>
                <w:tab w:val="left" w:pos="1277"/>
              </w:tabs>
              <w:jc w:val="left"/>
              <w:rPr>
                <w:sz w:val="16"/>
                <w:szCs w:val="16"/>
                <w:lang w:val="en-US"/>
              </w:rPr>
            </w:pPr>
            <w:r w:rsidRPr="009F337B">
              <w:rPr>
                <w:sz w:val="16"/>
                <w:szCs w:val="16"/>
                <w:lang w:val="en-US"/>
              </w:rPr>
              <w:t>Juan Guillermo Cifuentes Orozco (</w:t>
            </w:r>
            <w:r w:rsidR="0010522A" w:rsidRPr="009F337B">
              <w:rPr>
                <w:sz w:val="16"/>
                <w:szCs w:val="16"/>
                <w:lang w:val="en-US"/>
              </w:rPr>
              <w:t>Father</w:t>
            </w:r>
            <w:r w:rsidRPr="009F337B">
              <w:rPr>
                <w:sz w:val="16"/>
                <w:szCs w:val="16"/>
                <w:lang w:val="en-US"/>
              </w:rPr>
              <w:t xml:space="preserve"> </w:t>
            </w:r>
            <w:r w:rsidR="0010522A" w:rsidRPr="009F337B">
              <w:rPr>
                <w:sz w:val="16"/>
                <w:szCs w:val="16"/>
                <w:lang w:val="en-US"/>
              </w:rPr>
              <w:t>of her</w:t>
            </w:r>
            <w:r w:rsidRPr="009F337B">
              <w:rPr>
                <w:sz w:val="16"/>
                <w:szCs w:val="16"/>
                <w:lang w:val="en-US"/>
              </w:rPr>
              <w:t xml:space="preserve"> </w:t>
            </w:r>
            <w:r w:rsidR="0010522A" w:rsidRPr="009F337B">
              <w:rPr>
                <w:sz w:val="16"/>
                <w:szCs w:val="16"/>
                <w:lang w:val="en-US"/>
              </w:rPr>
              <w:t>son</w:t>
            </w:r>
            <w:r w:rsidRPr="009F337B">
              <w:rPr>
                <w:sz w:val="16"/>
                <w:szCs w:val="16"/>
                <w:lang w:val="en-US"/>
              </w:rPr>
              <w:t>s)</w:t>
            </w:r>
          </w:p>
        </w:tc>
      </w:tr>
      <w:tr w:rsidR="007F3128" w:rsidRPr="009F337B" w14:paraId="752A7FF9" w14:textId="77777777" w:rsidTr="0010522A">
        <w:tc>
          <w:tcPr>
            <w:tcW w:w="560" w:type="dxa"/>
            <w:gridSpan w:val="2"/>
            <w:vMerge/>
            <w:vAlign w:val="center"/>
          </w:tcPr>
          <w:p w14:paraId="3EB5D7BE" w14:textId="77777777" w:rsidR="007F3128" w:rsidRPr="009F337B" w:rsidRDefault="007F3128" w:rsidP="00F608A7">
            <w:pPr>
              <w:jc w:val="left"/>
              <w:rPr>
                <w:sz w:val="16"/>
                <w:szCs w:val="16"/>
                <w:lang w:val="en-US"/>
              </w:rPr>
            </w:pPr>
          </w:p>
        </w:tc>
        <w:tc>
          <w:tcPr>
            <w:tcW w:w="2950" w:type="dxa"/>
            <w:vMerge/>
            <w:vAlign w:val="center"/>
          </w:tcPr>
          <w:p w14:paraId="612264A5" w14:textId="77777777" w:rsidR="007F3128" w:rsidRPr="009F337B" w:rsidRDefault="007F3128" w:rsidP="00F608A7">
            <w:pPr>
              <w:jc w:val="left"/>
              <w:rPr>
                <w:sz w:val="16"/>
                <w:szCs w:val="16"/>
                <w:lang w:val="en-US"/>
              </w:rPr>
            </w:pPr>
          </w:p>
        </w:tc>
        <w:tc>
          <w:tcPr>
            <w:tcW w:w="567" w:type="dxa"/>
            <w:vAlign w:val="center"/>
          </w:tcPr>
          <w:p w14:paraId="7F7BF8DC" w14:textId="77777777" w:rsidR="007F3128" w:rsidRPr="009F337B" w:rsidRDefault="007F3128" w:rsidP="00F608A7">
            <w:pPr>
              <w:jc w:val="left"/>
              <w:rPr>
                <w:sz w:val="16"/>
                <w:szCs w:val="16"/>
                <w:lang w:val="en-US"/>
              </w:rPr>
            </w:pPr>
            <w:r w:rsidRPr="009F337B">
              <w:rPr>
                <w:sz w:val="16"/>
                <w:szCs w:val="16"/>
                <w:lang w:val="en-US"/>
              </w:rPr>
              <w:t>7</w:t>
            </w:r>
          </w:p>
        </w:tc>
        <w:tc>
          <w:tcPr>
            <w:tcW w:w="5211" w:type="dxa"/>
            <w:vAlign w:val="center"/>
          </w:tcPr>
          <w:p w14:paraId="520717D7" w14:textId="122299F0" w:rsidR="007F3128" w:rsidRPr="009F337B" w:rsidRDefault="005A6BF4" w:rsidP="00F608A7">
            <w:pPr>
              <w:tabs>
                <w:tab w:val="left" w:pos="1277"/>
              </w:tabs>
              <w:jc w:val="left"/>
              <w:rPr>
                <w:sz w:val="16"/>
                <w:szCs w:val="16"/>
                <w:lang w:val="en-US"/>
              </w:rPr>
            </w:pPr>
            <w:r w:rsidRPr="009F337B">
              <w:rPr>
                <w:sz w:val="16"/>
                <w:szCs w:val="16"/>
                <w:lang w:val="en-US"/>
              </w:rPr>
              <w:t>Leodora Castaño</w:t>
            </w:r>
            <w:r w:rsidR="007F3128" w:rsidRPr="009F337B">
              <w:rPr>
                <w:sz w:val="16"/>
                <w:szCs w:val="16"/>
                <w:lang w:val="en-US"/>
              </w:rPr>
              <w:t>n Cruz (</w:t>
            </w:r>
            <w:r w:rsidR="0010522A" w:rsidRPr="009F337B">
              <w:rPr>
                <w:sz w:val="16"/>
                <w:szCs w:val="16"/>
                <w:lang w:val="en-US"/>
              </w:rPr>
              <w:t>Mother</w:t>
            </w:r>
            <w:r w:rsidR="007F3128" w:rsidRPr="009F337B">
              <w:rPr>
                <w:sz w:val="16"/>
                <w:szCs w:val="16"/>
                <w:lang w:val="en-US"/>
              </w:rPr>
              <w:t>)</w:t>
            </w:r>
          </w:p>
        </w:tc>
      </w:tr>
      <w:tr w:rsidR="007F3128" w:rsidRPr="009F337B" w14:paraId="3FDD552C" w14:textId="77777777" w:rsidTr="0010522A">
        <w:tc>
          <w:tcPr>
            <w:tcW w:w="560" w:type="dxa"/>
            <w:gridSpan w:val="2"/>
            <w:vMerge/>
            <w:vAlign w:val="center"/>
          </w:tcPr>
          <w:p w14:paraId="7A7C70BC" w14:textId="77777777" w:rsidR="007F3128" w:rsidRPr="009F337B" w:rsidRDefault="007F3128" w:rsidP="00F608A7">
            <w:pPr>
              <w:jc w:val="left"/>
              <w:rPr>
                <w:sz w:val="16"/>
                <w:szCs w:val="16"/>
                <w:lang w:val="en-US"/>
              </w:rPr>
            </w:pPr>
          </w:p>
        </w:tc>
        <w:tc>
          <w:tcPr>
            <w:tcW w:w="2950" w:type="dxa"/>
            <w:vMerge/>
            <w:vAlign w:val="center"/>
          </w:tcPr>
          <w:p w14:paraId="12FDD11D" w14:textId="77777777" w:rsidR="007F3128" w:rsidRPr="009F337B" w:rsidRDefault="007F3128" w:rsidP="00F608A7">
            <w:pPr>
              <w:jc w:val="left"/>
              <w:rPr>
                <w:sz w:val="16"/>
                <w:szCs w:val="16"/>
                <w:lang w:val="en-US"/>
              </w:rPr>
            </w:pPr>
          </w:p>
        </w:tc>
        <w:tc>
          <w:tcPr>
            <w:tcW w:w="567" w:type="dxa"/>
            <w:vAlign w:val="center"/>
          </w:tcPr>
          <w:p w14:paraId="2E4BFFE8" w14:textId="77777777" w:rsidR="007F3128" w:rsidRPr="009F337B" w:rsidRDefault="007F3128" w:rsidP="00F608A7">
            <w:pPr>
              <w:jc w:val="left"/>
              <w:rPr>
                <w:sz w:val="16"/>
                <w:szCs w:val="16"/>
                <w:lang w:val="en-US"/>
              </w:rPr>
            </w:pPr>
            <w:r w:rsidRPr="009F337B">
              <w:rPr>
                <w:sz w:val="16"/>
                <w:szCs w:val="16"/>
                <w:lang w:val="en-US"/>
              </w:rPr>
              <w:t>8</w:t>
            </w:r>
          </w:p>
        </w:tc>
        <w:tc>
          <w:tcPr>
            <w:tcW w:w="5211" w:type="dxa"/>
            <w:vAlign w:val="center"/>
          </w:tcPr>
          <w:p w14:paraId="34A52DDD" w14:textId="13BF6816" w:rsidR="007F3128" w:rsidRPr="00542AB5" w:rsidRDefault="005A6BF4" w:rsidP="00F608A7">
            <w:pPr>
              <w:tabs>
                <w:tab w:val="left" w:pos="1277"/>
              </w:tabs>
              <w:jc w:val="left"/>
              <w:rPr>
                <w:sz w:val="16"/>
                <w:szCs w:val="16"/>
                <w:lang w:val="es-CR"/>
              </w:rPr>
            </w:pPr>
            <w:r w:rsidRPr="00542AB5">
              <w:rPr>
                <w:sz w:val="16"/>
                <w:szCs w:val="16"/>
                <w:lang w:val="es-CR"/>
              </w:rPr>
              <w:t>Santos Isacar</w:t>
            </w:r>
            <w:r w:rsidR="007F3128" w:rsidRPr="00542AB5">
              <w:rPr>
                <w:sz w:val="16"/>
                <w:szCs w:val="16"/>
                <w:lang w:val="es-CR"/>
              </w:rPr>
              <w:t xml:space="preserve"> Vásquez Barrios (</w:t>
            </w:r>
            <w:r w:rsidR="0010522A" w:rsidRPr="00542AB5">
              <w:rPr>
                <w:sz w:val="16"/>
                <w:szCs w:val="16"/>
                <w:lang w:val="es-CR"/>
              </w:rPr>
              <w:t>Current partner</w:t>
            </w:r>
            <w:r w:rsidR="007F3128" w:rsidRPr="00542AB5">
              <w:rPr>
                <w:sz w:val="16"/>
                <w:szCs w:val="16"/>
                <w:lang w:val="es-CR"/>
              </w:rPr>
              <w:t>)</w:t>
            </w:r>
          </w:p>
        </w:tc>
      </w:tr>
      <w:tr w:rsidR="007F3128" w:rsidRPr="009F337B" w14:paraId="0E25AC95" w14:textId="77777777" w:rsidTr="0010522A">
        <w:tc>
          <w:tcPr>
            <w:tcW w:w="560" w:type="dxa"/>
            <w:gridSpan w:val="2"/>
            <w:vMerge w:val="restart"/>
            <w:vAlign w:val="center"/>
          </w:tcPr>
          <w:p w14:paraId="29194351" w14:textId="77777777" w:rsidR="007F3128" w:rsidRPr="009F337B" w:rsidRDefault="007F3128" w:rsidP="00F608A7">
            <w:pPr>
              <w:jc w:val="left"/>
              <w:rPr>
                <w:sz w:val="16"/>
                <w:szCs w:val="16"/>
                <w:lang w:val="en-US"/>
              </w:rPr>
            </w:pPr>
            <w:r w:rsidRPr="009F337B">
              <w:rPr>
                <w:sz w:val="16"/>
                <w:szCs w:val="16"/>
                <w:lang w:val="en-US"/>
              </w:rPr>
              <w:t>30</w:t>
            </w:r>
          </w:p>
        </w:tc>
        <w:tc>
          <w:tcPr>
            <w:tcW w:w="2950" w:type="dxa"/>
            <w:vMerge w:val="restart"/>
            <w:vAlign w:val="center"/>
          </w:tcPr>
          <w:p w14:paraId="49383518" w14:textId="62E58F69" w:rsidR="007F3128" w:rsidRPr="009F337B" w:rsidRDefault="007F3128" w:rsidP="00F608A7">
            <w:pPr>
              <w:jc w:val="left"/>
              <w:rPr>
                <w:sz w:val="16"/>
                <w:szCs w:val="16"/>
                <w:lang w:val="en-US"/>
              </w:rPr>
            </w:pPr>
            <w:r w:rsidRPr="009F337B">
              <w:rPr>
                <w:sz w:val="16"/>
                <w:szCs w:val="16"/>
                <w:lang w:val="en-US"/>
              </w:rPr>
              <w:t>Santos Isacar Vásquez Barrios</w:t>
            </w:r>
          </w:p>
        </w:tc>
        <w:tc>
          <w:tcPr>
            <w:tcW w:w="567" w:type="dxa"/>
            <w:vAlign w:val="center"/>
          </w:tcPr>
          <w:p w14:paraId="0C59BC2E" w14:textId="77777777" w:rsidR="007F3128" w:rsidRPr="009F337B" w:rsidRDefault="007F3128" w:rsidP="00F608A7">
            <w:pPr>
              <w:jc w:val="left"/>
              <w:rPr>
                <w:sz w:val="16"/>
                <w:szCs w:val="16"/>
                <w:lang w:val="en-US"/>
              </w:rPr>
            </w:pPr>
            <w:r w:rsidRPr="009F337B">
              <w:rPr>
                <w:sz w:val="16"/>
                <w:szCs w:val="16"/>
                <w:lang w:val="en-US"/>
              </w:rPr>
              <w:t>1</w:t>
            </w:r>
          </w:p>
        </w:tc>
        <w:tc>
          <w:tcPr>
            <w:tcW w:w="5211" w:type="dxa"/>
            <w:vAlign w:val="center"/>
          </w:tcPr>
          <w:p w14:paraId="6994D7BF" w14:textId="53BA9961" w:rsidR="007F3128" w:rsidRPr="00542AB5" w:rsidRDefault="005A6BF4" w:rsidP="00F608A7">
            <w:pPr>
              <w:tabs>
                <w:tab w:val="left" w:pos="1277"/>
              </w:tabs>
              <w:jc w:val="left"/>
              <w:rPr>
                <w:sz w:val="16"/>
                <w:szCs w:val="16"/>
                <w:lang w:val="es-CR"/>
              </w:rPr>
            </w:pPr>
            <w:r w:rsidRPr="00542AB5">
              <w:rPr>
                <w:sz w:val="16"/>
                <w:szCs w:val="16"/>
                <w:lang w:val="es-CR"/>
              </w:rPr>
              <w:t>Ismerai Olibia García Castaño</w:t>
            </w:r>
            <w:r w:rsidR="007F3128" w:rsidRPr="00542AB5">
              <w:rPr>
                <w:sz w:val="16"/>
                <w:szCs w:val="16"/>
                <w:lang w:val="es-CR"/>
              </w:rPr>
              <w:t>n (</w:t>
            </w:r>
            <w:r w:rsidR="0010522A" w:rsidRPr="00542AB5">
              <w:rPr>
                <w:sz w:val="16"/>
                <w:szCs w:val="16"/>
                <w:lang w:val="es-CR"/>
              </w:rPr>
              <w:t>Partner</w:t>
            </w:r>
            <w:r w:rsidR="007F3128" w:rsidRPr="00542AB5">
              <w:rPr>
                <w:sz w:val="16"/>
                <w:szCs w:val="16"/>
                <w:lang w:val="es-CR"/>
              </w:rPr>
              <w:t>)</w:t>
            </w:r>
          </w:p>
        </w:tc>
      </w:tr>
      <w:tr w:rsidR="007F3128" w:rsidRPr="009F337B" w14:paraId="723FB74A" w14:textId="77777777" w:rsidTr="0010522A">
        <w:tc>
          <w:tcPr>
            <w:tcW w:w="560" w:type="dxa"/>
            <w:gridSpan w:val="2"/>
            <w:vMerge/>
            <w:vAlign w:val="center"/>
          </w:tcPr>
          <w:p w14:paraId="565A7CB6" w14:textId="77777777" w:rsidR="007F3128" w:rsidRPr="00542AB5" w:rsidRDefault="007F3128" w:rsidP="00F608A7">
            <w:pPr>
              <w:jc w:val="left"/>
              <w:rPr>
                <w:sz w:val="16"/>
                <w:szCs w:val="16"/>
                <w:lang w:val="es-CR"/>
              </w:rPr>
            </w:pPr>
          </w:p>
        </w:tc>
        <w:tc>
          <w:tcPr>
            <w:tcW w:w="2950" w:type="dxa"/>
            <w:vMerge/>
            <w:vAlign w:val="center"/>
          </w:tcPr>
          <w:p w14:paraId="686F2EE0" w14:textId="77777777" w:rsidR="007F3128" w:rsidRPr="00542AB5" w:rsidRDefault="007F3128" w:rsidP="00F608A7">
            <w:pPr>
              <w:jc w:val="left"/>
              <w:rPr>
                <w:sz w:val="16"/>
                <w:szCs w:val="16"/>
                <w:lang w:val="es-CR"/>
              </w:rPr>
            </w:pPr>
          </w:p>
        </w:tc>
        <w:tc>
          <w:tcPr>
            <w:tcW w:w="567" w:type="dxa"/>
            <w:vAlign w:val="center"/>
          </w:tcPr>
          <w:p w14:paraId="0C6642A3" w14:textId="77777777" w:rsidR="007F3128" w:rsidRPr="009F337B" w:rsidRDefault="007F3128" w:rsidP="00F608A7">
            <w:pPr>
              <w:jc w:val="left"/>
              <w:rPr>
                <w:sz w:val="16"/>
                <w:szCs w:val="16"/>
                <w:lang w:val="en-US"/>
              </w:rPr>
            </w:pPr>
            <w:r w:rsidRPr="009F337B">
              <w:rPr>
                <w:sz w:val="16"/>
                <w:szCs w:val="16"/>
                <w:lang w:val="en-US"/>
              </w:rPr>
              <w:t>2</w:t>
            </w:r>
          </w:p>
        </w:tc>
        <w:tc>
          <w:tcPr>
            <w:tcW w:w="5211" w:type="dxa"/>
            <w:vAlign w:val="center"/>
          </w:tcPr>
          <w:p w14:paraId="4A1712F9" w14:textId="098955EE" w:rsidR="007F3128" w:rsidRPr="00542AB5" w:rsidRDefault="007F3128" w:rsidP="00F608A7">
            <w:pPr>
              <w:tabs>
                <w:tab w:val="left" w:pos="1277"/>
              </w:tabs>
              <w:jc w:val="left"/>
              <w:rPr>
                <w:sz w:val="16"/>
                <w:szCs w:val="16"/>
                <w:lang w:val="es-CR"/>
              </w:rPr>
            </w:pPr>
            <w:r w:rsidRPr="00542AB5">
              <w:rPr>
                <w:sz w:val="16"/>
                <w:szCs w:val="16"/>
                <w:lang w:val="es-CR"/>
              </w:rPr>
              <w:t>Irma Noelia Vásquez Barrios (</w:t>
            </w:r>
            <w:r w:rsidR="0010522A" w:rsidRPr="00542AB5">
              <w:rPr>
                <w:sz w:val="16"/>
                <w:szCs w:val="16"/>
                <w:lang w:val="es-CR"/>
              </w:rPr>
              <w:t>Daughter</w:t>
            </w:r>
            <w:r w:rsidRPr="00542AB5">
              <w:rPr>
                <w:sz w:val="16"/>
                <w:szCs w:val="16"/>
                <w:lang w:val="es-CR"/>
              </w:rPr>
              <w:t>)</w:t>
            </w:r>
          </w:p>
        </w:tc>
      </w:tr>
      <w:tr w:rsidR="007F3128" w:rsidRPr="009F337B" w14:paraId="126023A0" w14:textId="77777777" w:rsidTr="0010522A">
        <w:tc>
          <w:tcPr>
            <w:tcW w:w="560" w:type="dxa"/>
            <w:gridSpan w:val="2"/>
            <w:vMerge/>
            <w:vAlign w:val="center"/>
          </w:tcPr>
          <w:p w14:paraId="1167941D" w14:textId="77777777" w:rsidR="007F3128" w:rsidRPr="00542AB5" w:rsidRDefault="007F3128" w:rsidP="00F608A7">
            <w:pPr>
              <w:jc w:val="left"/>
              <w:rPr>
                <w:sz w:val="16"/>
                <w:szCs w:val="16"/>
                <w:lang w:val="es-CR"/>
              </w:rPr>
            </w:pPr>
          </w:p>
        </w:tc>
        <w:tc>
          <w:tcPr>
            <w:tcW w:w="2950" w:type="dxa"/>
            <w:vMerge/>
            <w:vAlign w:val="center"/>
          </w:tcPr>
          <w:p w14:paraId="4DA9C42C" w14:textId="77777777" w:rsidR="007F3128" w:rsidRPr="00542AB5" w:rsidRDefault="007F3128" w:rsidP="00F608A7">
            <w:pPr>
              <w:jc w:val="left"/>
              <w:rPr>
                <w:sz w:val="16"/>
                <w:szCs w:val="16"/>
                <w:lang w:val="es-CR"/>
              </w:rPr>
            </w:pPr>
          </w:p>
        </w:tc>
        <w:tc>
          <w:tcPr>
            <w:tcW w:w="567" w:type="dxa"/>
            <w:vAlign w:val="center"/>
          </w:tcPr>
          <w:p w14:paraId="04D7A933" w14:textId="77777777" w:rsidR="007F3128" w:rsidRPr="009F337B" w:rsidRDefault="007F3128" w:rsidP="00F608A7">
            <w:pPr>
              <w:jc w:val="left"/>
              <w:rPr>
                <w:sz w:val="16"/>
                <w:szCs w:val="16"/>
                <w:lang w:val="en-US"/>
              </w:rPr>
            </w:pPr>
            <w:r w:rsidRPr="009F337B">
              <w:rPr>
                <w:sz w:val="16"/>
                <w:szCs w:val="16"/>
                <w:lang w:val="en-US"/>
              </w:rPr>
              <w:t>3</w:t>
            </w:r>
          </w:p>
        </w:tc>
        <w:tc>
          <w:tcPr>
            <w:tcW w:w="5211" w:type="dxa"/>
            <w:vAlign w:val="center"/>
          </w:tcPr>
          <w:p w14:paraId="6082BB81" w14:textId="22DBF764" w:rsidR="007F3128" w:rsidRPr="00542AB5" w:rsidRDefault="007F3128" w:rsidP="00F608A7">
            <w:pPr>
              <w:tabs>
                <w:tab w:val="left" w:pos="1277"/>
              </w:tabs>
              <w:jc w:val="left"/>
              <w:rPr>
                <w:sz w:val="16"/>
                <w:szCs w:val="16"/>
                <w:lang w:val="es-CR"/>
              </w:rPr>
            </w:pPr>
            <w:r w:rsidRPr="00542AB5">
              <w:rPr>
                <w:sz w:val="16"/>
                <w:szCs w:val="16"/>
                <w:lang w:val="es-CR"/>
              </w:rPr>
              <w:t>Juana de Jesús Vásquez (</w:t>
            </w:r>
            <w:r w:rsidR="0010522A" w:rsidRPr="00542AB5">
              <w:rPr>
                <w:sz w:val="16"/>
                <w:szCs w:val="16"/>
                <w:lang w:val="es-CR"/>
              </w:rPr>
              <w:t>Grandmother</w:t>
            </w:r>
            <w:r w:rsidRPr="00542AB5">
              <w:rPr>
                <w:sz w:val="16"/>
                <w:szCs w:val="16"/>
                <w:lang w:val="es-CR"/>
              </w:rPr>
              <w:t>)</w:t>
            </w:r>
          </w:p>
        </w:tc>
      </w:tr>
      <w:tr w:rsidR="007F3128" w:rsidRPr="009F337B" w14:paraId="32112A20" w14:textId="77777777" w:rsidTr="0010522A">
        <w:tc>
          <w:tcPr>
            <w:tcW w:w="560" w:type="dxa"/>
            <w:gridSpan w:val="2"/>
            <w:vMerge/>
            <w:vAlign w:val="center"/>
          </w:tcPr>
          <w:p w14:paraId="0D4369D9" w14:textId="77777777" w:rsidR="007F3128" w:rsidRPr="00542AB5" w:rsidRDefault="007F3128" w:rsidP="00F608A7">
            <w:pPr>
              <w:jc w:val="left"/>
              <w:rPr>
                <w:sz w:val="16"/>
                <w:szCs w:val="16"/>
                <w:lang w:val="es-CR"/>
              </w:rPr>
            </w:pPr>
          </w:p>
        </w:tc>
        <w:tc>
          <w:tcPr>
            <w:tcW w:w="2950" w:type="dxa"/>
            <w:vMerge/>
            <w:vAlign w:val="center"/>
          </w:tcPr>
          <w:p w14:paraId="6E407090" w14:textId="77777777" w:rsidR="007F3128" w:rsidRPr="00542AB5" w:rsidRDefault="007F3128" w:rsidP="00F608A7">
            <w:pPr>
              <w:jc w:val="left"/>
              <w:rPr>
                <w:sz w:val="16"/>
                <w:szCs w:val="16"/>
                <w:lang w:val="es-CR"/>
              </w:rPr>
            </w:pPr>
          </w:p>
        </w:tc>
        <w:tc>
          <w:tcPr>
            <w:tcW w:w="567" w:type="dxa"/>
            <w:vAlign w:val="center"/>
          </w:tcPr>
          <w:p w14:paraId="392B3023" w14:textId="77777777" w:rsidR="007F3128" w:rsidRPr="009F337B" w:rsidRDefault="007F3128" w:rsidP="00F608A7">
            <w:pPr>
              <w:jc w:val="left"/>
              <w:rPr>
                <w:sz w:val="16"/>
                <w:szCs w:val="16"/>
                <w:lang w:val="en-US"/>
              </w:rPr>
            </w:pPr>
            <w:r w:rsidRPr="009F337B">
              <w:rPr>
                <w:sz w:val="16"/>
                <w:szCs w:val="16"/>
                <w:lang w:val="en-US"/>
              </w:rPr>
              <w:t>4</w:t>
            </w:r>
          </w:p>
        </w:tc>
        <w:tc>
          <w:tcPr>
            <w:tcW w:w="5211" w:type="dxa"/>
            <w:vAlign w:val="center"/>
          </w:tcPr>
          <w:p w14:paraId="48E270E0" w14:textId="2FA8F560" w:rsidR="007F3128" w:rsidRPr="009F337B" w:rsidRDefault="007F3128" w:rsidP="00F608A7">
            <w:pPr>
              <w:tabs>
                <w:tab w:val="left" w:pos="1277"/>
              </w:tabs>
              <w:jc w:val="left"/>
              <w:rPr>
                <w:sz w:val="16"/>
                <w:szCs w:val="16"/>
                <w:lang w:val="en-US"/>
              </w:rPr>
            </w:pPr>
            <w:r w:rsidRPr="009F337B">
              <w:rPr>
                <w:sz w:val="16"/>
                <w:szCs w:val="16"/>
                <w:lang w:val="en-US"/>
              </w:rPr>
              <w:t>Rogelio Saturnino Vásquez (</w:t>
            </w:r>
            <w:r w:rsidR="0010522A" w:rsidRPr="009F337B">
              <w:rPr>
                <w:sz w:val="16"/>
                <w:szCs w:val="16"/>
                <w:lang w:val="en-US"/>
              </w:rPr>
              <w:t>Father</w:t>
            </w:r>
            <w:r w:rsidRPr="009F337B">
              <w:rPr>
                <w:sz w:val="16"/>
                <w:szCs w:val="16"/>
                <w:lang w:val="en-US"/>
              </w:rPr>
              <w:t>)</w:t>
            </w:r>
          </w:p>
        </w:tc>
      </w:tr>
      <w:tr w:rsidR="007F3128" w:rsidRPr="009F337B" w14:paraId="050E8D4F" w14:textId="77777777" w:rsidTr="0010522A">
        <w:tc>
          <w:tcPr>
            <w:tcW w:w="560" w:type="dxa"/>
            <w:gridSpan w:val="2"/>
            <w:vMerge/>
            <w:vAlign w:val="center"/>
          </w:tcPr>
          <w:p w14:paraId="5789E4EA" w14:textId="77777777" w:rsidR="007F3128" w:rsidRPr="009F337B" w:rsidRDefault="007F3128" w:rsidP="00F608A7">
            <w:pPr>
              <w:jc w:val="left"/>
              <w:rPr>
                <w:sz w:val="16"/>
                <w:szCs w:val="16"/>
                <w:lang w:val="en-US"/>
              </w:rPr>
            </w:pPr>
          </w:p>
        </w:tc>
        <w:tc>
          <w:tcPr>
            <w:tcW w:w="2950" w:type="dxa"/>
            <w:vMerge/>
            <w:vAlign w:val="center"/>
          </w:tcPr>
          <w:p w14:paraId="601FD64C" w14:textId="77777777" w:rsidR="007F3128" w:rsidRPr="009F337B" w:rsidRDefault="007F3128" w:rsidP="00F608A7">
            <w:pPr>
              <w:jc w:val="left"/>
              <w:rPr>
                <w:sz w:val="16"/>
                <w:szCs w:val="16"/>
                <w:lang w:val="en-US"/>
              </w:rPr>
            </w:pPr>
          </w:p>
        </w:tc>
        <w:tc>
          <w:tcPr>
            <w:tcW w:w="567" w:type="dxa"/>
            <w:vAlign w:val="center"/>
          </w:tcPr>
          <w:p w14:paraId="406D1406" w14:textId="77777777" w:rsidR="007F3128" w:rsidRPr="009F337B" w:rsidRDefault="007F3128" w:rsidP="00F608A7">
            <w:pPr>
              <w:jc w:val="left"/>
              <w:rPr>
                <w:sz w:val="16"/>
                <w:szCs w:val="16"/>
                <w:lang w:val="en-US"/>
              </w:rPr>
            </w:pPr>
            <w:r w:rsidRPr="009F337B">
              <w:rPr>
                <w:sz w:val="16"/>
                <w:szCs w:val="16"/>
                <w:lang w:val="en-US"/>
              </w:rPr>
              <w:t>5</w:t>
            </w:r>
          </w:p>
        </w:tc>
        <w:tc>
          <w:tcPr>
            <w:tcW w:w="5211" w:type="dxa"/>
            <w:vAlign w:val="center"/>
          </w:tcPr>
          <w:p w14:paraId="33A61208" w14:textId="26A4B21C" w:rsidR="007F3128" w:rsidRPr="009F337B" w:rsidRDefault="007F3128" w:rsidP="00F608A7">
            <w:pPr>
              <w:tabs>
                <w:tab w:val="left" w:pos="1277"/>
              </w:tabs>
              <w:jc w:val="left"/>
              <w:rPr>
                <w:sz w:val="16"/>
                <w:szCs w:val="16"/>
                <w:lang w:val="en-US"/>
              </w:rPr>
            </w:pPr>
            <w:r w:rsidRPr="009F337B">
              <w:rPr>
                <w:sz w:val="16"/>
                <w:szCs w:val="16"/>
                <w:lang w:val="en-US"/>
              </w:rPr>
              <w:t>Margarita Barrios Hernández (</w:t>
            </w:r>
            <w:r w:rsidR="0010522A" w:rsidRPr="009F337B">
              <w:rPr>
                <w:sz w:val="16"/>
                <w:szCs w:val="16"/>
                <w:lang w:val="en-US"/>
              </w:rPr>
              <w:t>Mother</w:t>
            </w:r>
            <w:r w:rsidRPr="009F337B">
              <w:rPr>
                <w:sz w:val="16"/>
                <w:szCs w:val="16"/>
                <w:lang w:val="en-US"/>
              </w:rPr>
              <w:t>)</w:t>
            </w:r>
          </w:p>
        </w:tc>
      </w:tr>
      <w:tr w:rsidR="007F3128" w:rsidRPr="00310E7A" w14:paraId="150EE516" w14:textId="77777777" w:rsidTr="0010522A">
        <w:tc>
          <w:tcPr>
            <w:tcW w:w="560" w:type="dxa"/>
            <w:gridSpan w:val="2"/>
            <w:vMerge w:val="restart"/>
            <w:vAlign w:val="center"/>
          </w:tcPr>
          <w:p w14:paraId="1A4FBF5B" w14:textId="77777777" w:rsidR="007F3128" w:rsidRPr="009F337B" w:rsidRDefault="007F3128" w:rsidP="00F608A7">
            <w:pPr>
              <w:jc w:val="left"/>
              <w:rPr>
                <w:sz w:val="16"/>
                <w:szCs w:val="16"/>
                <w:lang w:val="en-US"/>
              </w:rPr>
            </w:pPr>
            <w:r w:rsidRPr="009F337B">
              <w:rPr>
                <w:sz w:val="16"/>
                <w:szCs w:val="16"/>
                <w:lang w:val="en-US"/>
              </w:rPr>
              <w:t>31</w:t>
            </w:r>
          </w:p>
        </w:tc>
        <w:tc>
          <w:tcPr>
            <w:tcW w:w="2950" w:type="dxa"/>
            <w:vMerge w:val="restart"/>
            <w:vAlign w:val="center"/>
          </w:tcPr>
          <w:p w14:paraId="006CCD9F" w14:textId="0AFCC37E" w:rsidR="007F3128" w:rsidRPr="00542AB5" w:rsidRDefault="007F3128" w:rsidP="00F608A7">
            <w:pPr>
              <w:jc w:val="left"/>
              <w:rPr>
                <w:sz w:val="16"/>
                <w:szCs w:val="16"/>
                <w:lang w:val="es-CR"/>
              </w:rPr>
            </w:pPr>
            <w:r w:rsidRPr="00542AB5">
              <w:rPr>
                <w:sz w:val="16"/>
                <w:szCs w:val="16"/>
                <w:lang w:val="es-CR"/>
              </w:rPr>
              <w:t>Mardo Luis Hernández</w:t>
            </w:r>
            <w:r w:rsidR="003C46A3" w:rsidRPr="00542AB5">
              <w:rPr>
                <w:sz w:val="16"/>
                <w:szCs w:val="16"/>
                <w:lang w:val="es-CR"/>
              </w:rPr>
              <w:t xml:space="preserve"> and </w:t>
            </w:r>
            <w:r w:rsidRPr="00542AB5">
              <w:rPr>
                <w:sz w:val="16"/>
                <w:szCs w:val="16"/>
                <w:lang w:val="es-CR"/>
              </w:rPr>
              <w:t>Hernández</w:t>
            </w:r>
          </w:p>
        </w:tc>
        <w:tc>
          <w:tcPr>
            <w:tcW w:w="567" w:type="dxa"/>
            <w:vAlign w:val="center"/>
          </w:tcPr>
          <w:p w14:paraId="6918EBC8" w14:textId="77777777" w:rsidR="007F3128" w:rsidRPr="009F337B" w:rsidRDefault="007F3128" w:rsidP="00F608A7">
            <w:pPr>
              <w:jc w:val="left"/>
              <w:rPr>
                <w:sz w:val="16"/>
                <w:szCs w:val="16"/>
                <w:lang w:val="en-US"/>
              </w:rPr>
            </w:pPr>
            <w:r w:rsidRPr="009F337B">
              <w:rPr>
                <w:sz w:val="16"/>
                <w:szCs w:val="16"/>
                <w:lang w:val="en-US"/>
              </w:rPr>
              <w:t>1</w:t>
            </w:r>
          </w:p>
        </w:tc>
        <w:tc>
          <w:tcPr>
            <w:tcW w:w="5211" w:type="dxa"/>
            <w:vAlign w:val="center"/>
          </w:tcPr>
          <w:p w14:paraId="7C1A3923" w14:textId="37F71484" w:rsidR="007F3128" w:rsidRPr="009F337B" w:rsidRDefault="005761FD" w:rsidP="00F608A7">
            <w:pPr>
              <w:tabs>
                <w:tab w:val="left" w:pos="1277"/>
              </w:tabs>
              <w:jc w:val="left"/>
              <w:rPr>
                <w:sz w:val="16"/>
                <w:szCs w:val="16"/>
                <w:lang w:val="en-US"/>
              </w:rPr>
            </w:pPr>
            <w:r w:rsidRPr="009F337B">
              <w:rPr>
                <w:sz w:val="16"/>
                <w:szCs w:val="16"/>
                <w:lang w:val="en-US"/>
              </w:rPr>
              <w:t>Nidya Roxana Z</w:t>
            </w:r>
            <w:r w:rsidR="007F3128" w:rsidRPr="009F337B">
              <w:rPr>
                <w:sz w:val="16"/>
                <w:szCs w:val="16"/>
                <w:lang w:val="en-US"/>
              </w:rPr>
              <w:t>apet Gómez (</w:t>
            </w:r>
            <w:r w:rsidR="0010522A" w:rsidRPr="009F337B">
              <w:rPr>
                <w:sz w:val="16"/>
                <w:szCs w:val="16"/>
                <w:lang w:val="en-US"/>
              </w:rPr>
              <w:t>Wife</w:t>
            </w:r>
            <w:r w:rsidR="007F3128" w:rsidRPr="009F337B">
              <w:rPr>
                <w:sz w:val="16"/>
                <w:szCs w:val="16"/>
                <w:lang w:val="en-US"/>
              </w:rPr>
              <w:t>)</w:t>
            </w:r>
          </w:p>
        </w:tc>
      </w:tr>
      <w:tr w:rsidR="007F3128" w:rsidRPr="009F337B" w14:paraId="53977175" w14:textId="77777777" w:rsidTr="0010522A">
        <w:tc>
          <w:tcPr>
            <w:tcW w:w="560" w:type="dxa"/>
            <w:gridSpan w:val="2"/>
            <w:vMerge/>
            <w:vAlign w:val="center"/>
          </w:tcPr>
          <w:p w14:paraId="777729B9" w14:textId="77777777" w:rsidR="007F3128" w:rsidRPr="009F337B" w:rsidRDefault="007F3128" w:rsidP="00F608A7">
            <w:pPr>
              <w:jc w:val="left"/>
              <w:rPr>
                <w:sz w:val="16"/>
                <w:szCs w:val="16"/>
                <w:lang w:val="en-US"/>
              </w:rPr>
            </w:pPr>
          </w:p>
        </w:tc>
        <w:tc>
          <w:tcPr>
            <w:tcW w:w="2950" w:type="dxa"/>
            <w:vMerge/>
            <w:vAlign w:val="center"/>
          </w:tcPr>
          <w:p w14:paraId="318888E8" w14:textId="77777777" w:rsidR="007F3128" w:rsidRPr="009F337B" w:rsidRDefault="007F3128" w:rsidP="00F608A7">
            <w:pPr>
              <w:jc w:val="left"/>
              <w:rPr>
                <w:sz w:val="16"/>
                <w:szCs w:val="16"/>
                <w:lang w:val="en-US"/>
              </w:rPr>
            </w:pPr>
          </w:p>
        </w:tc>
        <w:tc>
          <w:tcPr>
            <w:tcW w:w="567" w:type="dxa"/>
            <w:vAlign w:val="center"/>
          </w:tcPr>
          <w:p w14:paraId="5DF8F8EE" w14:textId="77777777" w:rsidR="007F3128" w:rsidRPr="009F337B" w:rsidRDefault="007F3128" w:rsidP="00F608A7">
            <w:pPr>
              <w:jc w:val="left"/>
              <w:rPr>
                <w:sz w:val="16"/>
                <w:szCs w:val="16"/>
                <w:lang w:val="en-US"/>
              </w:rPr>
            </w:pPr>
            <w:r w:rsidRPr="009F337B">
              <w:rPr>
                <w:sz w:val="16"/>
                <w:szCs w:val="16"/>
                <w:lang w:val="en-US"/>
              </w:rPr>
              <w:t>2</w:t>
            </w:r>
          </w:p>
        </w:tc>
        <w:tc>
          <w:tcPr>
            <w:tcW w:w="5211" w:type="dxa"/>
            <w:vAlign w:val="center"/>
          </w:tcPr>
          <w:p w14:paraId="3372BBB2" w14:textId="68183322" w:rsidR="007F3128" w:rsidRPr="009F337B" w:rsidRDefault="007F3128" w:rsidP="00F608A7">
            <w:pPr>
              <w:tabs>
                <w:tab w:val="left" w:pos="1277"/>
              </w:tabs>
              <w:jc w:val="left"/>
              <w:rPr>
                <w:sz w:val="16"/>
                <w:szCs w:val="16"/>
                <w:lang w:val="en-US"/>
              </w:rPr>
            </w:pPr>
            <w:r w:rsidRPr="009F337B">
              <w:rPr>
                <w:sz w:val="16"/>
                <w:szCs w:val="16"/>
                <w:lang w:val="en-US"/>
              </w:rPr>
              <w:t>Mardo Kleiber Hernández Zapet (</w:t>
            </w:r>
            <w:r w:rsidR="0010522A" w:rsidRPr="009F337B">
              <w:rPr>
                <w:sz w:val="16"/>
                <w:szCs w:val="16"/>
                <w:lang w:val="en-US"/>
              </w:rPr>
              <w:t>Son</w:t>
            </w:r>
            <w:r w:rsidRPr="009F337B">
              <w:rPr>
                <w:sz w:val="16"/>
                <w:szCs w:val="16"/>
                <w:lang w:val="en-US"/>
              </w:rPr>
              <w:t>)</w:t>
            </w:r>
          </w:p>
        </w:tc>
      </w:tr>
      <w:tr w:rsidR="007F3128" w:rsidRPr="009F337B" w14:paraId="4240C660" w14:textId="77777777" w:rsidTr="0010522A">
        <w:tc>
          <w:tcPr>
            <w:tcW w:w="560" w:type="dxa"/>
            <w:gridSpan w:val="2"/>
            <w:vMerge/>
            <w:vAlign w:val="center"/>
          </w:tcPr>
          <w:p w14:paraId="73E86E84" w14:textId="77777777" w:rsidR="007F3128" w:rsidRPr="009F337B" w:rsidRDefault="007F3128" w:rsidP="00F608A7">
            <w:pPr>
              <w:jc w:val="left"/>
              <w:rPr>
                <w:sz w:val="16"/>
                <w:szCs w:val="16"/>
                <w:lang w:val="en-US"/>
              </w:rPr>
            </w:pPr>
          </w:p>
        </w:tc>
        <w:tc>
          <w:tcPr>
            <w:tcW w:w="2950" w:type="dxa"/>
            <w:vMerge/>
            <w:vAlign w:val="center"/>
          </w:tcPr>
          <w:p w14:paraId="36E4B610" w14:textId="77777777" w:rsidR="007F3128" w:rsidRPr="009F337B" w:rsidRDefault="007F3128" w:rsidP="00F608A7">
            <w:pPr>
              <w:jc w:val="left"/>
              <w:rPr>
                <w:sz w:val="16"/>
                <w:szCs w:val="16"/>
                <w:lang w:val="en-US"/>
              </w:rPr>
            </w:pPr>
          </w:p>
        </w:tc>
        <w:tc>
          <w:tcPr>
            <w:tcW w:w="567" w:type="dxa"/>
            <w:vAlign w:val="center"/>
          </w:tcPr>
          <w:p w14:paraId="7F29643E" w14:textId="77777777" w:rsidR="007F3128" w:rsidRPr="009F337B" w:rsidRDefault="007F3128" w:rsidP="00F608A7">
            <w:pPr>
              <w:jc w:val="left"/>
              <w:rPr>
                <w:sz w:val="16"/>
                <w:szCs w:val="16"/>
                <w:lang w:val="en-US"/>
              </w:rPr>
            </w:pPr>
            <w:r w:rsidRPr="009F337B">
              <w:rPr>
                <w:sz w:val="16"/>
                <w:szCs w:val="16"/>
                <w:lang w:val="en-US"/>
              </w:rPr>
              <w:t>3</w:t>
            </w:r>
          </w:p>
        </w:tc>
        <w:tc>
          <w:tcPr>
            <w:tcW w:w="5211" w:type="dxa"/>
            <w:vAlign w:val="center"/>
          </w:tcPr>
          <w:p w14:paraId="71F795F5" w14:textId="31A9E654" w:rsidR="007F3128" w:rsidRPr="00542AB5" w:rsidRDefault="007F3128" w:rsidP="00F608A7">
            <w:pPr>
              <w:tabs>
                <w:tab w:val="left" w:pos="1277"/>
              </w:tabs>
              <w:jc w:val="left"/>
              <w:rPr>
                <w:sz w:val="16"/>
                <w:szCs w:val="16"/>
                <w:lang w:val="es-CR"/>
              </w:rPr>
            </w:pPr>
            <w:r w:rsidRPr="00542AB5">
              <w:rPr>
                <w:sz w:val="16"/>
                <w:szCs w:val="16"/>
                <w:lang w:val="es-CR"/>
              </w:rPr>
              <w:t>Irma Erminia Hernández Mérida (</w:t>
            </w:r>
            <w:r w:rsidR="0010522A" w:rsidRPr="00542AB5">
              <w:rPr>
                <w:sz w:val="16"/>
                <w:szCs w:val="16"/>
                <w:lang w:val="es-CR"/>
              </w:rPr>
              <w:t>Mother</w:t>
            </w:r>
            <w:r w:rsidRPr="00542AB5">
              <w:rPr>
                <w:sz w:val="16"/>
                <w:szCs w:val="16"/>
                <w:lang w:val="es-CR"/>
              </w:rPr>
              <w:t>)</w:t>
            </w:r>
          </w:p>
        </w:tc>
      </w:tr>
      <w:tr w:rsidR="007F3128" w:rsidRPr="009F337B" w14:paraId="72BFADB4" w14:textId="77777777" w:rsidTr="0010522A">
        <w:tc>
          <w:tcPr>
            <w:tcW w:w="560" w:type="dxa"/>
            <w:gridSpan w:val="2"/>
            <w:vMerge/>
            <w:vAlign w:val="center"/>
          </w:tcPr>
          <w:p w14:paraId="4A0719C8" w14:textId="77777777" w:rsidR="007F3128" w:rsidRPr="00542AB5" w:rsidRDefault="007F3128" w:rsidP="00F608A7">
            <w:pPr>
              <w:jc w:val="left"/>
              <w:rPr>
                <w:sz w:val="16"/>
                <w:szCs w:val="16"/>
                <w:lang w:val="es-CR"/>
              </w:rPr>
            </w:pPr>
          </w:p>
        </w:tc>
        <w:tc>
          <w:tcPr>
            <w:tcW w:w="2950" w:type="dxa"/>
            <w:vMerge/>
            <w:vAlign w:val="center"/>
          </w:tcPr>
          <w:p w14:paraId="0D74DD62" w14:textId="77777777" w:rsidR="007F3128" w:rsidRPr="00542AB5" w:rsidRDefault="007F3128" w:rsidP="00F608A7">
            <w:pPr>
              <w:jc w:val="left"/>
              <w:rPr>
                <w:sz w:val="16"/>
                <w:szCs w:val="16"/>
                <w:lang w:val="es-CR"/>
              </w:rPr>
            </w:pPr>
          </w:p>
        </w:tc>
        <w:tc>
          <w:tcPr>
            <w:tcW w:w="567" w:type="dxa"/>
            <w:vAlign w:val="center"/>
          </w:tcPr>
          <w:p w14:paraId="575DB644" w14:textId="77777777" w:rsidR="007F3128" w:rsidRPr="009F337B" w:rsidRDefault="007F3128" w:rsidP="00F608A7">
            <w:pPr>
              <w:jc w:val="left"/>
              <w:rPr>
                <w:sz w:val="16"/>
                <w:szCs w:val="16"/>
                <w:lang w:val="en-US"/>
              </w:rPr>
            </w:pPr>
            <w:r w:rsidRPr="009F337B">
              <w:rPr>
                <w:sz w:val="16"/>
                <w:szCs w:val="16"/>
                <w:lang w:val="en-US"/>
              </w:rPr>
              <w:t>4</w:t>
            </w:r>
          </w:p>
        </w:tc>
        <w:tc>
          <w:tcPr>
            <w:tcW w:w="5211" w:type="dxa"/>
            <w:vAlign w:val="center"/>
          </w:tcPr>
          <w:p w14:paraId="41263B59" w14:textId="70847DE9" w:rsidR="007F3128" w:rsidRPr="00542AB5" w:rsidRDefault="007F3128" w:rsidP="00F608A7">
            <w:pPr>
              <w:tabs>
                <w:tab w:val="left" w:pos="1277"/>
              </w:tabs>
              <w:jc w:val="left"/>
              <w:rPr>
                <w:sz w:val="16"/>
                <w:szCs w:val="16"/>
                <w:lang w:val="es-CR"/>
              </w:rPr>
            </w:pPr>
            <w:r w:rsidRPr="00542AB5">
              <w:rPr>
                <w:sz w:val="16"/>
                <w:szCs w:val="16"/>
                <w:lang w:val="es-CR"/>
              </w:rPr>
              <w:t>Francisco Luis Hernández Ramírez (</w:t>
            </w:r>
            <w:r w:rsidR="0010522A" w:rsidRPr="00542AB5">
              <w:rPr>
                <w:sz w:val="16"/>
                <w:szCs w:val="16"/>
                <w:lang w:val="es-CR"/>
              </w:rPr>
              <w:t>Father</w:t>
            </w:r>
            <w:r w:rsidRPr="00542AB5">
              <w:rPr>
                <w:sz w:val="16"/>
                <w:szCs w:val="16"/>
                <w:lang w:val="es-CR"/>
              </w:rPr>
              <w:t>)</w:t>
            </w:r>
          </w:p>
        </w:tc>
      </w:tr>
      <w:tr w:rsidR="007F3128" w:rsidRPr="009F337B" w14:paraId="0B0D5498" w14:textId="77777777" w:rsidTr="0010522A">
        <w:tc>
          <w:tcPr>
            <w:tcW w:w="560" w:type="dxa"/>
            <w:gridSpan w:val="2"/>
            <w:vMerge/>
            <w:vAlign w:val="center"/>
          </w:tcPr>
          <w:p w14:paraId="3E77D391" w14:textId="77777777" w:rsidR="007F3128" w:rsidRPr="00542AB5" w:rsidRDefault="007F3128" w:rsidP="00F608A7">
            <w:pPr>
              <w:jc w:val="left"/>
              <w:rPr>
                <w:sz w:val="16"/>
                <w:szCs w:val="16"/>
                <w:lang w:val="es-CR"/>
              </w:rPr>
            </w:pPr>
          </w:p>
        </w:tc>
        <w:tc>
          <w:tcPr>
            <w:tcW w:w="2950" w:type="dxa"/>
            <w:vMerge/>
            <w:vAlign w:val="center"/>
          </w:tcPr>
          <w:p w14:paraId="15FC4136" w14:textId="77777777" w:rsidR="007F3128" w:rsidRPr="00542AB5" w:rsidRDefault="007F3128" w:rsidP="00F608A7">
            <w:pPr>
              <w:jc w:val="left"/>
              <w:rPr>
                <w:sz w:val="16"/>
                <w:szCs w:val="16"/>
                <w:lang w:val="es-CR"/>
              </w:rPr>
            </w:pPr>
          </w:p>
        </w:tc>
        <w:tc>
          <w:tcPr>
            <w:tcW w:w="567" w:type="dxa"/>
            <w:vAlign w:val="center"/>
          </w:tcPr>
          <w:p w14:paraId="095E7ECD" w14:textId="77777777" w:rsidR="007F3128" w:rsidRPr="009F337B" w:rsidRDefault="007F3128" w:rsidP="00F608A7">
            <w:pPr>
              <w:jc w:val="left"/>
              <w:rPr>
                <w:sz w:val="16"/>
                <w:szCs w:val="16"/>
                <w:lang w:val="en-US"/>
              </w:rPr>
            </w:pPr>
            <w:r w:rsidRPr="009F337B">
              <w:rPr>
                <w:sz w:val="16"/>
                <w:szCs w:val="16"/>
                <w:lang w:val="en-US"/>
              </w:rPr>
              <w:t>5</w:t>
            </w:r>
          </w:p>
        </w:tc>
        <w:tc>
          <w:tcPr>
            <w:tcW w:w="5211" w:type="dxa"/>
            <w:vAlign w:val="center"/>
          </w:tcPr>
          <w:p w14:paraId="09332B35" w14:textId="00B4E8C3" w:rsidR="007F3128" w:rsidRPr="009F337B" w:rsidRDefault="007F3128" w:rsidP="00F608A7">
            <w:pPr>
              <w:tabs>
                <w:tab w:val="left" w:pos="1277"/>
              </w:tabs>
              <w:jc w:val="left"/>
              <w:rPr>
                <w:sz w:val="16"/>
                <w:szCs w:val="16"/>
                <w:lang w:val="en-US"/>
              </w:rPr>
            </w:pPr>
            <w:r w:rsidRPr="009F337B">
              <w:rPr>
                <w:sz w:val="16"/>
                <w:szCs w:val="16"/>
                <w:lang w:val="en-US"/>
              </w:rPr>
              <w:t>Menfil Elsido Hernández Hernández (</w:t>
            </w:r>
            <w:r w:rsidR="0010522A" w:rsidRPr="009F337B">
              <w:rPr>
                <w:sz w:val="16"/>
                <w:szCs w:val="16"/>
                <w:lang w:val="en-US"/>
              </w:rPr>
              <w:t>Brother</w:t>
            </w:r>
            <w:r w:rsidRPr="009F337B">
              <w:rPr>
                <w:sz w:val="16"/>
                <w:szCs w:val="16"/>
                <w:lang w:val="en-US"/>
              </w:rPr>
              <w:t>)</w:t>
            </w:r>
          </w:p>
        </w:tc>
      </w:tr>
      <w:tr w:rsidR="007F3128" w:rsidRPr="009F337B" w14:paraId="7C5BCB12" w14:textId="77777777" w:rsidTr="0010522A">
        <w:tc>
          <w:tcPr>
            <w:tcW w:w="560" w:type="dxa"/>
            <w:gridSpan w:val="2"/>
            <w:vMerge/>
            <w:vAlign w:val="center"/>
          </w:tcPr>
          <w:p w14:paraId="1972F183" w14:textId="77777777" w:rsidR="007F3128" w:rsidRPr="009F337B" w:rsidRDefault="007F3128" w:rsidP="00F608A7">
            <w:pPr>
              <w:jc w:val="left"/>
              <w:rPr>
                <w:sz w:val="16"/>
                <w:szCs w:val="16"/>
                <w:lang w:val="en-US"/>
              </w:rPr>
            </w:pPr>
          </w:p>
        </w:tc>
        <w:tc>
          <w:tcPr>
            <w:tcW w:w="2950" w:type="dxa"/>
            <w:vMerge/>
            <w:vAlign w:val="center"/>
          </w:tcPr>
          <w:p w14:paraId="69A7DB18" w14:textId="77777777" w:rsidR="007F3128" w:rsidRPr="009F337B" w:rsidRDefault="007F3128" w:rsidP="00F608A7">
            <w:pPr>
              <w:jc w:val="left"/>
              <w:rPr>
                <w:sz w:val="16"/>
                <w:szCs w:val="16"/>
                <w:lang w:val="en-US"/>
              </w:rPr>
            </w:pPr>
          </w:p>
        </w:tc>
        <w:tc>
          <w:tcPr>
            <w:tcW w:w="567" w:type="dxa"/>
            <w:vAlign w:val="center"/>
          </w:tcPr>
          <w:p w14:paraId="678D23DF" w14:textId="77777777" w:rsidR="007F3128" w:rsidRPr="009F337B" w:rsidRDefault="007F3128" w:rsidP="00F608A7">
            <w:pPr>
              <w:jc w:val="left"/>
              <w:rPr>
                <w:sz w:val="16"/>
                <w:szCs w:val="16"/>
                <w:lang w:val="en-US"/>
              </w:rPr>
            </w:pPr>
            <w:r w:rsidRPr="009F337B">
              <w:rPr>
                <w:sz w:val="16"/>
                <w:szCs w:val="16"/>
                <w:lang w:val="en-US"/>
              </w:rPr>
              <w:t>6</w:t>
            </w:r>
          </w:p>
        </w:tc>
        <w:tc>
          <w:tcPr>
            <w:tcW w:w="5211" w:type="dxa"/>
            <w:vAlign w:val="center"/>
          </w:tcPr>
          <w:p w14:paraId="2CA62164" w14:textId="237D3960" w:rsidR="007F3128" w:rsidRPr="00542AB5" w:rsidRDefault="007F3128" w:rsidP="00F608A7">
            <w:pPr>
              <w:tabs>
                <w:tab w:val="left" w:pos="1277"/>
              </w:tabs>
              <w:jc w:val="left"/>
              <w:rPr>
                <w:sz w:val="16"/>
                <w:szCs w:val="16"/>
                <w:lang w:val="es-CR"/>
              </w:rPr>
            </w:pPr>
            <w:r w:rsidRPr="00542AB5">
              <w:rPr>
                <w:sz w:val="16"/>
                <w:szCs w:val="16"/>
                <w:lang w:val="es-CR"/>
              </w:rPr>
              <w:t>Jessica Isenia Hernández Hernández (</w:t>
            </w:r>
            <w:r w:rsidR="0010522A" w:rsidRPr="00542AB5">
              <w:rPr>
                <w:sz w:val="16"/>
                <w:szCs w:val="16"/>
                <w:lang w:val="es-CR"/>
              </w:rPr>
              <w:t>Sister</w:t>
            </w:r>
            <w:r w:rsidRPr="00542AB5">
              <w:rPr>
                <w:sz w:val="16"/>
                <w:szCs w:val="16"/>
                <w:lang w:val="es-CR"/>
              </w:rPr>
              <w:t>)</w:t>
            </w:r>
          </w:p>
        </w:tc>
      </w:tr>
      <w:tr w:rsidR="007F3128" w:rsidRPr="009F337B" w14:paraId="5487CDEB" w14:textId="77777777" w:rsidTr="0010522A">
        <w:tc>
          <w:tcPr>
            <w:tcW w:w="560" w:type="dxa"/>
            <w:gridSpan w:val="2"/>
            <w:vAlign w:val="center"/>
          </w:tcPr>
          <w:p w14:paraId="688A7842" w14:textId="77777777" w:rsidR="007F3128" w:rsidRPr="009F337B" w:rsidRDefault="007F3128" w:rsidP="00F608A7">
            <w:pPr>
              <w:jc w:val="left"/>
              <w:rPr>
                <w:sz w:val="16"/>
                <w:szCs w:val="16"/>
                <w:lang w:val="en-US"/>
              </w:rPr>
            </w:pPr>
            <w:r w:rsidRPr="009F337B">
              <w:rPr>
                <w:sz w:val="16"/>
                <w:szCs w:val="16"/>
                <w:lang w:val="en-US"/>
              </w:rPr>
              <w:t>32</w:t>
            </w:r>
          </w:p>
        </w:tc>
        <w:tc>
          <w:tcPr>
            <w:tcW w:w="2950" w:type="dxa"/>
            <w:vAlign w:val="center"/>
          </w:tcPr>
          <w:p w14:paraId="23346C72" w14:textId="07AAB8E2" w:rsidR="007F3128" w:rsidRPr="009F337B" w:rsidRDefault="007F3128" w:rsidP="00F608A7">
            <w:pPr>
              <w:jc w:val="left"/>
              <w:rPr>
                <w:sz w:val="16"/>
                <w:szCs w:val="16"/>
                <w:lang w:val="en-US"/>
              </w:rPr>
            </w:pPr>
            <w:r w:rsidRPr="009F337B">
              <w:rPr>
                <w:sz w:val="16"/>
                <w:szCs w:val="16"/>
                <w:lang w:val="en-US"/>
              </w:rPr>
              <w:t>Luis Armando Linares Ruano</w:t>
            </w:r>
          </w:p>
        </w:tc>
        <w:tc>
          <w:tcPr>
            <w:tcW w:w="567" w:type="dxa"/>
            <w:vAlign w:val="center"/>
          </w:tcPr>
          <w:p w14:paraId="2D311D8B" w14:textId="77777777" w:rsidR="007F3128" w:rsidRPr="009F337B" w:rsidRDefault="007F3128" w:rsidP="00F608A7">
            <w:pPr>
              <w:jc w:val="left"/>
              <w:rPr>
                <w:sz w:val="16"/>
                <w:szCs w:val="16"/>
                <w:lang w:val="en-US"/>
              </w:rPr>
            </w:pPr>
          </w:p>
        </w:tc>
        <w:tc>
          <w:tcPr>
            <w:tcW w:w="5211" w:type="dxa"/>
            <w:vAlign w:val="center"/>
          </w:tcPr>
          <w:p w14:paraId="504725F3" w14:textId="76C77452" w:rsidR="007F3128" w:rsidRPr="009F337B" w:rsidRDefault="0010522A" w:rsidP="00F608A7">
            <w:pPr>
              <w:jc w:val="left"/>
              <w:rPr>
                <w:sz w:val="16"/>
                <w:szCs w:val="16"/>
                <w:lang w:val="en-US"/>
              </w:rPr>
            </w:pPr>
            <w:r w:rsidRPr="009F337B">
              <w:rPr>
                <w:sz w:val="16"/>
                <w:szCs w:val="16"/>
                <w:lang w:val="en-US"/>
              </w:rPr>
              <w:t>No information available</w:t>
            </w:r>
          </w:p>
        </w:tc>
      </w:tr>
      <w:tr w:rsidR="007F3128" w:rsidRPr="009F337B" w14:paraId="1C9D2BD0" w14:textId="77777777" w:rsidTr="0010522A">
        <w:tc>
          <w:tcPr>
            <w:tcW w:w="560" w:type="dxa"/>
            <w:gridSpan w:val="2"/>
            <w:vMerge w:val="restart"/>
            <w:vAlign w:val="center"/>
          </w:tcPr>
          <w:p w14:paraId="78F386C3" w14:textId="77777777" w:rsidR="007F3128" w:rsidRPr="009F337B" w:rsidRDefault="007F3128" w:rsidP="00F608A7">
            <w:pPr>
              <w:jc w:val="left"/>
              <w:rPr>
                <w:sz w:val="16"/>
                <w:szCs w:val="16"/>
                <w:lang w:val="en-US"/>
              </w:rPr>
            </w:pPr>
            <w:r w:rsidRPr="009F337B">
              <w:rPr>
                <w:sz w:val="16"/>
                <w:szCs w:val="16"/>
                <w:lang w:val="en-US"/>
              </w:rPr>
              <w:t>33</w:t>
            </w:r>
          </w:p>
        </w:tc>
        <w:tc>
          <w:tcPr>
            <w:tcW w:w="2950" w:type="dxa"/>
            <w:vMerge w:val="restart"/>
            <w:vAlign w:val="center"/>
          </w:tcPr>
          <w:p w14:paraId="3185D13D" w14:textId="3B836203" w:rsidR="007F3128" w:rsidRPr="009F337B" w:rsidRDefault="007F3128" w:rsidP="00F608A7">
            <w:pPr>
              <w:jc w:val="left"/>
              <w:rPr>
                <w:sz w:val="16"/>
                <w:szCs w:val="16"/>
                <w:lang w:val="en-US"/>
              </w:rPr>
            </w:pPr>
            <w:r w:rsidRPr="009F337B">
              <w:rPr>
                <w:sz w:val="16"/>
                <w:szCs w:val="16"/>
                <w:lang w:val="en-US"/>
              </w:rPr>
              <w:t>Marta Alicia Maldonado Paz</w:t>
            </w:r>
          </w:p>
        </w:tc>
        <w:tc>
          <w:tcPr>
            <w:tcW w:w="567" w:type="dxa"/>
            <w:vAlign w:val="center"/>
          </w:tcPr>
          <w:p w14:paraId="75B8E84C" w14:textId="77777777" w:rsidR="007F3128" w:rsidRPr="009F337B" w:rsidRDefault="007F3128" w:rsidP="00F608A7">
            <w:pPr>
              <w:jc w:val="left"/>
              <w:rPr>
                <w:sz w:val="16"/>
                <w:szCs w:val="16"/>
                <w:lang w:val="en-US"/>
              </w:rPr>
            </w:pPr>
            <w:r w:rsidRPr="009F337B">
              <w:rPr>
                <w:sz w:val="16"/>
                <w:szCs w:val="16"/>
                <w:lang w:val="en-US"/>
              </w:rPr>
              <w:t>1</w:t>
            </w:r>
          </w:p>
        </w:tc>
        <w:tc>
          <w:tcPr>
            <w:tcW w:w="5211" w:type="dxa"/>
            <w:vAlign w:val="center"/>
          </w:tcPr>
          <w:p w14:paraId="51B4B554" w14:textId="666F726F" w:rsidR="007F3128" w:rsidRPr="00542AB5" w:rsidRDefault="007F3128" w:rsidP="00F608A7">
            <w:pPr>
              <w:tabs>
                <w:tab w:val="left" w:pos="1277"/>
              </w:tabs>
              <w:jc w:val="left"/>
              <w:rPr>
                <w:sz w:val="16"/>
                <w:szCs w:val="16"/>
                <w:lang w:val="es-CR"/>
              </w:rPr>
            </w:pPr>
            <w:r w:rsidRPr="00542AB5">
              <w:rPr>
                <w:sz w:val="16"/>
                <w:szCs w:val="16"/>
                <w:lang w:val="es-CR"/>
              </w:rPr>
              <w:t>Carlos Humberto Vásquez Pérez (</w:t>
            </w:r>
            <w:r w:rsidR="0010522A" w:rsidRPr="00542AB5">
              <w:rPr>
                <w:sz w:val="16"/>
                <w:szCs w:val="16"/>
                <w:lang w:val="es-CR"/>
              </w:rPr>
              <w:t>Husband</w:t>
            </w:r>
            <w:r w:rsidRPr="00542AB5">
              <w:rPr>
                <w:sz w:val="16"/>
                <w:szCs w:val="16"/>
                <w:lang w:val="es-CR"/>
              </w:rPr>
              <w:t>)</w:t>
            </w:r>
          </w:p>
        </w:tc>
      </w:tr>
      <w:tr w:rsidR="007F3128" w:rsidRPr="009F337B" w14:paraId="046C232E" w14:textId="77777777" w:rsidTr="0010522A">
        <w:tc>
          <w:tcPr>
            <w:tcW w:w="560" w:type="dxa"/>
            <w:gridSpan w:val="2"/>
            <w:vMerge/>
            <w:vAlign w:val="center"/>
          </w:tcPr>
          <w:p w14:paraId="54A68B4D" w14:textId="77777777" w:rsidR="007F3128" w:rsidRPr="00542AB5" w:rsidRDefault="007F3128" w:rsidP="00F608A7">
            <w:pPr>
              <w:jc w:val="left"/>
              <w:rPr>
                <w:sz w:val="16"/>
                <w:szCs w:val="16"/>
                <w:lang w:val="es-CR"/>
              </w:rPr>
            </w:pPr>
          </w:p>
        </w:tc>
        <w:tc>
          <w:tcPr>
            <w:tcW w:w="2950" w:type="dxa"/>
            <w:vMerge/>
            <w:vAlign w:val="center"/>
          </w:tcPr>
          <w:p w14:paraId="143AE06B" w14:textId="77777777" w:rsidR="007F3128" w:rsidRPr="00542AB5" w:rsidRDefault="007F3128" w:rsidP="00F608A7">
            <w:pPr>
              <w:jc w:val="left"/>
              <w:rPr>
                <w:sz w:val="16"/>
                <w:szCs w:val="16"/>
                <w:lang w:val="es-CR"/>
              </w:rPr>
            </w:pPr>
          </w:p>
        </w:tc>
        <w:tc>
          <w:tcPr>
            <w:tcW w:w="567" w:type="dxa"/>
            <w:vAlign w:val="center"/>
          </w:tcPr>
          <w:p w14:paraId="31C01B60" w14:textId="77777777" w:rsidR="007F3128" w:rsidRPr="009F337B" w:rsidRDefault="007F3128" w:rsidP="00F608A7">
            <w:pPr>
              <w:jc w:val="left"/>
              <w:rPr>
                <w:sz w:val="16"/>
                <w:szCs w:val="16"/>
                <w:lang w:val="en-US"/>
              </w:rPr>
            </w:pPr>
            <w:r w:rsidRPr="009F337B">
              <w:rPr>
                <w:sz w:val="16"/>
                <w:szCs w:val="16"/>
                <w:lang w:val="en-US"/>
              </w:rPr>
              <w:t>2</w:t>
            </w:r>
          </w:p>
        </w:tc>
        <w:tc>
          <w:tcPr>
            <w:tcW w:w="5211" w:type="dxa"/>
            <w:vAlign w:val="center"/>
          </w:tcPr>
          <w:p w14:paraId="31E6F5B0" w14:textId="5464C1C9" w:rsidR="007F3128" w:rsidRPr="009F337B" w:rsidRDefault="007F3128" w:rsidP="00F608A7">
            <w:pPr>
              <w:tabs>
                <w:tab w:val="left" w:pos="1277"/>
              </w:tabs>
              <w:jc w:val="left"/>
              <w:rPr>
                <w:sz w:val="16"/>
                <w:szCs w:val="16"/>
                <w:lang w:val="en-US"/>
              </w:rPr>
            </w:pPr>
            <w:r w:rsidRPr="009F337B">
              <w:rPr>
                <w:sz w:val="16"/>
                <w:szCs w:val="16"/>
                <w:lang w:val="en-US"/>
              </w:rPr>
              <w:t>Telma Maldonado Andrade (</w:t>
            </w:r>
            <w:r w:rsidR="0010522A" w:rsidRPr="009F337B">
              <w:rPr>
                <w:sz w:val="16"/>
                <w:szCs w:val="16"/>
                <w:lang w:val="en-US"/>
              </w:rPr>
              <w:t>Sister</w:t>
            </w:r>
            <w:r w:rsidRPr="009F337B">
              <w:rPr>
                <w:sz w:val="16"/>
                <w:szCs w:val="16"/>
                <w:lang w:val="en-US"/>
              </w:rPr>
              <w:t>)</w:t>
            </w:r>
          </w:p>
        </w:tc>
      </w:tr>
      <w:tr w:rsidR="007F3128" w:rsidRPr="009F337B" w14:paraId="55262FB5" w14:textId="77777777" w:rsidTr="0010522A">
        <w:tc>
          <w:tcPr>
            <w:tcW w:w="560" w:type="dxa"/>
            <w:gridSpan w:val="2"/>
            <w:vMerge/>
            <w:vAlign w:val="center"/>
          </w:tcPr>
          <w:p w14:paraId="438E3EB4" w14:textId="77777777" w:rsidR="007F3128" w:rsidRPr="009F337B" w:rsidRDefault="007F3128" w:rsidP="00F608A7">
            <w:pPr>
              <w:jc w:val="left"/>
              <w:rPr>
                <w:sz w:val="16"/>
                <w:szCs w:val="16"/>
                <w:lang w:val="en-US"/>
              </w:rPr>
            </w:pPr>
          </w:p>
        </w:tc>
        <w:tc>
          <w:tcPr>
            <w:tcW w:w="2950" w:type="dxa"/>
            <w:vMerge/>
            <w:vAlign w:val="center"/>
          </w:tcPr>
          <w:p w14:paraId="43085290" w14:textId="77777777" w:rsidR="007F3128" w:rsidRPr="009F337B" w:rsidRDefault="007F3128" w:rsidP="00F608A7">
            <w:pPr>
              <w:jc w:val="left"/>
              <w:rPr>
                <w:sz w:val="16"/>
                <w:szCs w:val="16"/>
                <w:lang w:val="en-US"/>
              </w:rPr>
            </w:pPr>
          </w:p>
        </w:tc>
        <w:tc>
          <w:tcPr>
            <w:tcW w:w="567" w:type="dxa"/>
            <w:vAlign w:val="center"/>
          </w:tcPr>
          <w:p w14:paraId="3154299E" w14:textId="77777777" w:rsidR="007F3128" w:rsidRPr="009F337B" w:rsidRDefault="007F3128" w:rsidP="00F608A7">
            <w:pPr>
              <w:jc w:val="left"/>
              <w:rPr>
                <w:sz w:val="16"/>
                <w:szCs w:val="16"/>
                <w:lang w:val="en-US"/>
              </w:rPr>
            </w:pPr>
            <w:r w:rsidRPr="009F337B">
              <w:rPr>
                <w:sz w:val="16"/>
                <w:szCs w:val="16"/>
                <w:lang w:val="en-US"/>
              </w:rPr>
              <w:t>3</w:t>
            </w:r>
          </w:p>
        </w:tc>
        <w:tc>
          <w:tcPr>
            <w:tcW w:w="5211" w:type="dxa"/>
            <w:vAlign w:val="center"/>
          </w:tcPr>
          <w:p w14:paraId="04CD5AEF" w14:textId="73B7E34C" w:rsidR="007F3128" w:rsidRPr="00542AB5" w:rsidRDefault="007F3128" w:rsidP="00F608A7">
            <w:pPr>
              <w:tabs>
                <w:tab w:val="left" w:pos="1277"/>
              </w:tabs>
              <w:jc w:val="left"/>
              <w:rPr>
                <w:sz w:val="16"/>
                <w:szCs w:val="16"/>
                <w:lang w:val="es-CR"/>
              </w:rPr>
            </w:pPr>
            <w:r w:rsidRPr="00542AB5">
              <w:rPr>
                <w:sz w:val="16"/>
                <w:szCs w:val="16"/>
                <w:lang w:val="es-CR"/>
              </w:rPr>
              <w:t>Delia Marlenee Pérez Maldonado (</w:t>
            </w:r>
            <w:r w:rsidR="0010522A" w:rsidRPr="00542AB5">
              <w:rPr>
                <w:sz w:val="16"/>
                <w:szCs w:val="16"/>
                <w:lang w:val="es-CR"/>
              </w:rPr>
              <w:t>Daughter</w:t>
            </w:r>
            <w:r w:rsidRPr="00542AB5">
              <w:rPr>
                <w:sz w:val="16"/>
                <w:szCs w:val="16"/>
                <w:lang w:val="es-CR"/>
              </w:rPr>
              <w:t>)</w:t>
            </w:r>
          </w:p>
        </w:tc>
      </w:tr>
      <w:tr w:rsidR="007F3128" w:rsidRPr="009F337B" w14:paraId="53CBDD86" w14:textId="77777777" w:rsidTr="0010522A">
        <w:tc>
          <w:tcPr>
            <w:tcW w:w="560" w:type="dxa"/>
            <w:gridSpan w:val="2"/>
            <w:vMerge/>
            <w:vAlign w:val="center"/>
          </w:tcPr>
          <w:p w14:paraId="35010507" w14:textId="77777777" w:rsidR="007F3128" w:rsidRPr="00542AB5" w:rsidRDefault="007F3128" w:rsidP="00F608A7">
            <w:pPr>
              <w:jc w:val="left"/>
              <w:rPr>
                <w:sz w:val="16"/>
                <w:szCs w:val="16"/>
                <w:lang w:val="es-CR"/>
              </w:rPr>
            </w:pPr>
          </w:p>
        </w:tc>
        <w:tc>
          <w:tcPr>
            <w:tcW w:w="2950" w:type="dxa"/>
            <w:vMerge/>
            <w:vAlign w:val="center"/>
          </w:tcPr>
          <w:p w14:paraId="032AA1F5" w14:textId="77777777" w:rsidR="007F3128" w:rsidRPr="00542AB5" w:rsidRDefault="007F3128" w:rsidP="00F608A7">
            <w:pPr>
              <w:jc w:val="left"/>
              <w:rPr>
                <w:sz w:val="16"/>
                <w:szCs w:val="16"/>
                <w:lang w:val="es-CR"/>
              </w:rPr>
            </w:pPr>
          </w:p>
        </w:tc>
        <w:tc>
          <w:tcPr>
            <w:tcW w:w="567" w:type="dxa"/>
            <w:vAlign w:val="center"/>
          </w:tcPr>
          <w:p w14:paraId="1593E143" w14:textId="77777777" w:rsidR="007F3128" w:rsidRPr="009F337B" w:rsidRDefault="007F3128" w:rsidP="00F608A7">
            <w:pPr>
              <w:jc w:val="left"/>
              <w:rPr>
                <w:sz w:val="16"/>
                <w:szCs w:val="16"/>
                <w:lang w:val="en-US"/>
              </w:rPr>
            </w:pPr>
            <w:r w:rsidRPr="009F337B">
              <w:rPr>
                <w:sz w:val="16"/>
                <w:szCs w:val="16"/>
                <w:lang w:val="en-US"/>
              </w:rPr>
              <w:t>4</w:t>
            </w:r>
          </w:p>
        </w:tc>
        <w:tc>
          <w:tcPr>
            <w:tcW w:w="5211" w:type="dxa"/>
            <w:vAlign w:val="center"/>
          </w:tcPr>
          <w:p w14:paraId="65359617" w14:textId="6BAE7597" w:rsidR="007F3128" w:rsidRPr="00542AB5" w:rsidRDefault="007F3128" w:rsidP="00F608A7">
            <w:pPr>
              <w:tabs>
                <w:tab w:val="left" w:pos="1277"/>
              </w:tabs>
              <w:jc w:val="left"/>
              <w:rPr>
                <w:sz w:val="16"/>
                <w:szCs w:val="16"/>
                <w:lang w:val="es-CR"/>
              </w:rPr>
            </w:pPr>
            <w:r w:rsidRPr="00542AB5">
              <w:rPr>
                <w:sz w:val="16"/>
                <w:szCs w:val="16"/>
                <w:lang w:val="es-CR"/>
              </w:rPr>
              <w:t>Adela Nohemí Pérez Maldonado (</w:t>
            </w:r>
            <w:r w:rsidR="0010522A" w:rsidRPr="00542AB5">
              <w:rPr>
                <w:sz w:val="16"/>
                <w:szCs w:val="16"/>
                <w:lang w:val="es-CR"/>
              </w:rPr>
              <w:t>Daughter,</w:t>
            </w:r>
            <w:r w:rsidRPr="00542AB5">
              <w:rPr>
                <w:sz w:val="16"/>
                <w:szCs w:val="16"/>
                <w:lang w:val="es-CR"/>
              </w:rPr>
              <w:t xml:space="preserve"> </w:t>
            </w:r>
            <w:r w:rsidR="0010522A" w:rsidRPr="00542AB5">
              <w:rPr>
                <w:sz w:val="16"/>
                <w:szCs w:val="16"/>
                <w:lang w:val="es-CR"/>
              </w:rPr>
              <w:t>deceased</w:t>
            </w:r>
            <w:r w:rsidRPr="00542AB5">
              <w:rPr>
                <w:sz w:val="16"/>
                <w:szCs w:val="16"/>
                <w:lang w:val="es-CR"/>
              </w:rPr>
              <w:t>)</w:t>
            </w:r>
          </w:p>
        </w:tc>
      </w:tr>
      <w:tr w:rsidR="007F3128" w:rsidRPr="009F337B" w14:paraId="308E4B28" w14:textId="77777777" w:rsidTr="0010522A">
        <w:tc>
          <w:tcPr>
            <w:tcW w:w="560" w:type="dxa"/>
            <w:gridSpan w:val="2"/>
            <w:vAlign w:val="center"/>
          </w:tcPr>
          <w:p w14:paraId="4EFE5078" w14:textId="77777777" w:rsidR="007F3128" w:rsidRPr="009F337B" w:rsidRDefault="007F3128" w:rsidP="00F608A7">
            <w:pPr>
              <w:jc w:val="left"/>
              <w:rPr>
                <w:sz w:val="16"/>
                <w:szCs w:val="16"/>
                <w:lang w:val="en-US"/>
              </w:rPr>
            </w:pPr>
            <w:r w:rsidRPr="009F337B">
              <w:rPr>
                <w:sz w:val="16"/>
                <w:szCs w:val="16"/>
                <w:lang w:val="en-US"/>
              </w:rPr>
              <w:t>34</w:t>
            </w:r>
          </w:p>
        </w:tc>
        <w:tc>
          <w:tcPr>
            <w:tcW w:w="2950" w:type="dxa"/>
            <w:vAlign w:val="center"/>
          </w:tcPr>
          <w:p w14:paraId="0D61EFED" w14:textId="3A53D180" w:rsidR="007F3128" w:rsidRPr="009F337B" w:rsidRDefault="000531AD" w:rsidP="00F608A7">
            <w:pPr>
              <w:jc w:val="left"/>
              <w:rPr>
                <w:sz w:val="16"/>
                <w:szCs w:val="16"/>
                <w:lang w:val="en-US"/>
              </w:rPr>
            </w:pPr>
            <w:r w:rsidRPr="009F337B">
              <w:rPr>
                <w:sz w:val="16"/>
                <w:szCs w:val="16"/>
                <w:lang w:val="en-US"/>
              </w:rPr>
              <w:t>Dora Marina Marti</w:t>
            </w:r>
            <w:r w:rsidR="007F3128" w:rsidRPr="009F337B">
              <w:rPr>
                <w:sz w:val="16"/>
                <w:szCs w:val="16"/>
                <w:lang w:val="en-US"/>
              </w:rPr>
              <w:t>nez Sofoifa</w:t>
            </w:r>
          </w:p>
        </w:tc>
        <w:tc>
          <w:tcPr>
            <w:tcW w:w="567" w:type="dxa"/>
            <w:vAlign w:val="center"/>
          </w:tcPr>
          <w:p w14:paraId="013E12E5" w14:textId="77777777" w:rsidR="007F3128" w:rsidRPr="009F337B" w:rsidRDefault="007F3128" w:rsidP="00F608A7">
            <w:pPr>
              <w:jc w:val="left"/>
              <w:rPr>
                <w:sz w:val="16"/>
                <w:szCs w:val="16"/>
                <w:lang w:val="en-US"/>
              </w:rPr>
            </w:pPr>
          </w:p>
        </w:tc>
        <w:tc>
          <w:tcPr>
            <w:tcW w:w="5211" w:type="dxa"/>
            <w:vAlign w:val="center"/>
          </w:tcPr>
          <w:p w14:paraId="45678CB8" w14:textId="43F4F554" w:rsidR="007F3128" w:rsidRPr="009F337B" w:rsidRDefault="0010522A" w:rsidP="00F608A7">
            <w:pPr>
              <w:jc w:val="left"/>
              <w:rPr>
                <w:sz w:val="16"/>
                <w:szCs w:val="16"/>
                <w:lang w:val="en-US"/>
              </w:rPr>
            </w:pPr>
            <w:r w:rsidRPr="009F337B">
              <w:rPr>
                <w:sz w:val="16"/>
                <w:szCs w:val="16"/>
                <w:lang w:val="en-US"/>
              </w:rPr>
              <w:t>No information available</w:t>
            </w:r>
          </w:p>
        </w:tc>
      </w:tr>
      <w:tr w:rsidR="007F3128" w:rsidRPr="00310E7A" w14:paraId="6FB71A62" w14:textId="77777777" w:rsidTr="0010522A">
        <w:tc>
          <w:tcPr>
            <w:tcW w:w="560" w:type="dxa"/>
            <w:gridSpan w:val="2"/>
            <w:vMerge w:val="restart"/>
            <w:vAlign w:val="center"/>
          </w:tcPr>
          <w:p w14:paraId="5DE61A71" w14:textId="77777777" w:rsidR="007F3128" w:rsidRPr="009F337B" w:rsidRDefault="007F3128" w:rsidP="00F608A7">
            <w:pPr>
              <w:jc w:val="left"/>
              <w:rPr>
                <w:sz w:val="16"/>
                <w:szCs w:val="16"/>
                <w:lang w:val="en-US"/>
              </w:rPr>
            </w:pPr>
            <w:r w:rsidRPr="009F337B">
              <w:rPr>
                <w:sz w:val="16"/>
                <w:szCs w:val="16"/>
                <w:lang w:val="en-US"/>
              </w:rPr>
              <w:t>35</w:t>
            </w:r>
          </w:p>
        </w:tc>
        <w:tc>
          <w:tcPr>
            <w:tcW w:w="2950" w:type="dxa"/>
            <w:vMerge w:val="restart"/>
            <w:vAlign w:val="center"/>
          </w:tcPr>
          <w:p w14:paraId="5F9143E1" w14:textId="6C443696" w:rsidR="007F3128" w:rsidRPr="00542AB5" w:rsidRDefault="007F3128" w:rsidP="00F608A7">
            <w:pPr>
              <w:jc w:val="left"/>
              <w:rPr>
                <w:sz w:val="16"/>
                <w:szCs w:val="16"/>
                <w:lang w:val="es-CR"/>
              </w:rPr>
            </w:pPr>
            <w:r w:rsidRPr="00542AB5">
              <w:rPr>
                <w:sz w:val="16"/>
                <w:szCs w:val="16"/>
                <w:lang w:val="es-CR"/>
              </w:rPr>
              <w:t xml:space="preserve">Pascuala de Jesús Mérida </w:t>
            </w:r>
            <w:r w:rsidRPr="00542AB5">
              <w:rPr>
                <w:sz w:val="16"/>
                <w:szCs w:val="16"/>
                <w:lang w:val="es-CR"/>
              </w:rPr>
              <w:lastRenderedPageBreak/>
              <w:t>Rodr</w:t>
            </w:r>
            <w:r w:rsidR="00F608A7" w:rsidRPr="00542AB5">
              <w:rPr>
                <w:sz w:val="16"/>
                <w:szCs w:val="16"/>
                <w:lang w:val="es-CR"/>
              </w:rPr>
              <w:t>í</w:t>
            </w:r>
            <w:r w:rsidRPr="00542AB5">
              <w:rPr>
                <w:sz w:val="16"/>
                <w:szCs w:val="16"/>
                <w:lang w:val="es-CR"/>
              </w:rPr>
              <w:t>guez</w:t>
            </w:r>
          </w:p>
        </w:tc>
        <w:tc>
          <w:tcPr>
            <w:tcW w:w="567" w:type="dxa"/>
            <w:vAlign w:val="center"/>
          </w:tcPr>
          <w:p w14:paraId="62E5FEFB" w14:textId="77777777" w:rsidR="007F3128" w:rsidRPr="009F337B" w:rsidRDefault="007F3128" w:rsidP="00F608A7">
            <w:pPr>
              <w:jc w:val="left"/>
              <w:rPr>
                <w:sz w:val="16"/>
                <w:szCs w:val="16"/>
                <w:lang w:val="en-US"/>
              </w:rPr>
            </w:pPr>
            <w:r w:rsidRPr="009F337B">
              <w:rPr>
                <w:sz w:val="16"/>
                <w:szCs w:val="16"/>
                <w:lang w:val="en-US"/>
              </w:rPr>
              <w:lastRenderedPageBreak/>
              <w:t>1</w:t>
            </w:r>
          </w:p>
        </w:tc>
        <w:tc>
          <w:tcPr>
            <w:tcW w:w="5211" w:type="dxa"/>
            <w:vAlign w:val="center"/>
          </w:tcPr>
          <w:p w14:paraId="2C73C0C5" w14:textId="0E4B2856" w:rsidR="007F3128" w:rsidRPr="009F337B" w:rsidRDefault="007F3128" w:rsidP="00F608A7">
            <w:pPr>
              <w:tabs>
                <w:tab w:val="left" w:pos="1277"/>
              </w:tabs>
              <w:jc w:val="left"/>
              <w:rPr>
                <w:sz w:val="16"/>
                <w:szCs w:val="16"/>
                <w:lang w:val="en-US"/>
              </w:rPr>
            </w:pPr>
            <w:r w:rsidRPr="009F337B">
              <w:rPr>
                <w:sz w:val="16"/>
                <w:szCs w:val="16"/>
                <w:lang w:val="en-US"/>
              </w:rPr>
              <w:t>Sixto Mérida Mendoza (</w:t>
            </w:r>
            <w:r w:rsidR="0010522A" w:rsidRPr="009F337B">
              <w:rPr>
                <w:sz w:val="16"/>
                <w:szCs w:val="16"/>
                <w:lang w:val="en-US"/>
              </w:rPr>
              <w:t>Father,</w:t>
            </w:r>
            <w:r w:rsidRPr="009F337B">
              <w:rPr>
                <w:sz w:val="16"/>
                <w:szCs w:val="16"/>
                <w:lang w:val="en-US"/>
              </w:rPr>
              <w:t xml:space="preserve"> </w:t>
            </w:r>
            <w:r w:rsidR="0010522A" w:rsidRPr="009F337B">
              <w:rPr>
                <w:sz w:val="16"/>
                <w:szCs w:val="16"/>
                <w:lang w:val="en-US"/>
              </w:rPr>
              <w:t>deceased</w:t>
            </w:r>
            <w:r w:rsidRPr="009F337B">
              <w:rPr>
                <w:sz w:val="16"/>
                <w:szCs w:val="16"/>
                <w:lang w:val="en-US"/>
              </w:rPr>
              <w:t xml:space="preserve"> 5 </w:t>
            </w:r>
            <w:r w:rsidR="0010522A" w:rsidRPr="009F337B">
              <w:rPr>
                <w:sz w:val="16"/>
                <w:szCs w:val="16"/>
                <w:lang w:val="en-US"/>
              </w:rPr>
              <w:t>years ago</w:t>
            </w:r>
            <w:r w:rsidRPr="009F337B">
              <w:rPr>
                <w:sz w:val="16"/>
                <w:szCs w:val="16"/>
                <w:lang w:val="en-US"/>
              </w:rPr>
              <w:t>)</w:t>
            </w:r>
          </w:p>
        </w:tc>
      </w:tr>
      <w:tr w:rsidR="007F3128" w:rsidRPr="009F337B" w14:paraId="162D35D6" w14:textId="77777777" w:rsidTr="0010522A">
        <w:tc>
          <w:tcPr>
            <w:tcW w:w="560" w:type="dxa"/>
            <w:gridSpan w:val="2"/>
            <w:vMerge/>
            <w:vAlign w:val="center"/>
          </w:tcPr>
          <w:p w14:paraId="5E7C131E" w14:textId="77777777" w:rsidR="007F3128" w:rsidRPr="009F337B" w:rsidRDefault="007F3128" w:rsidP="00F608A7">
            <w:pPr>
              <w:jc w:val="left"/>
              <w:rPr>
                <w:sz w:val="16"/>
                <w:szCs w:val="16"/>
                <w:lang w:val="en-US"/>
              </w:rPr>
            </w:pPr>
          </w:p>
        </w:tc>
        <w:tc>
          <w:tcPr>
            <w:tcW w:w="2950" w:type="dxa"/>
            <w:vMerge/>
            <w:vAlign w:val="center"/>
          </w:tcPr>
          <w:p w14:paraId="58F646EE" w14:textId="77777777" w:rsidR="007F3128" w:rsidRPr="009F337B" w:rsidRDefault="007F3128" w:rsidP="00F608A7">
            <w:pPr>
              <w:jc w:val="left"/>
              <w:rPr>
                <w:sz w:val="16"/>
                <w:szCs w:val="16"/>
                <w:lang w:val="en-US"/>
              </w:rPr>
            </w:pPr>
          </w:p>
        </w:tc>
        <w:tc>
          <w:tcPr>
            <w:tcW w:w="567" w:type="dxa"/>
            <w:vAlign w:val="center"/>
          </w:tcPr>
          <w:p w14:paraId="7B0BFAEA" w14:textId="77777777" w:rsidR="007F3128" w:rsidRPr="009F337B" w:rsidRDefault="007F3128" w:rsidP="00F608A7">
            <w:pPr>
              <w:jc w:val="left"/>
              <w:rPr>
                <w:sz w:val="16"/>
                <w:szCs w:val="16"/>
                <w:lang w:val="en-US"/>
              </w:rPr>
            </w:pPr>
            <w:r w:rsidRPr="009F337B">
              <w:rPr>
                <w:sz w:val="16"/>
                <w:szCs w:val="16"/>
                <w:lang w:val="en-US"/>
              </w:rPr>
              <w:t>2</w:t>
            </w:r>
          </w:p>
        </w:tc>
        <w:tc>
          <w:tcPr>
            <w:tcW w:w="5211" w:type="dxa"/>
            <w:vAlign w:val="center"/>
          </w:tcPr>
          <w:p w14:paraId="15A5D6C6" w14:textId="3E76F9E6" w:rsidR="007F3128" w:rsidRPr="009F337B" w:rsidRDefault="007F3128" w:rsidP="00F608A7">
            <w:pPr>
              <w:tabs>
                <w:tab w:val="left" w:pos="1277"/>
              </w:tabs>
              <w:jc w:val="left"/>
              <w:rPr>
                <w:sz w:val="16"/>
                <w:szCs w:val="16"/>
                <w:lang w:val="en-US"/>
              </w:rPr>
            </w:pPr>
            <w:r w:rsidRPr="009F337B">
              <w:rPr>
                <w:sz w:val="16"/>
                <w:szCs w:val="16"/>
                <w:lang w:val="en-US"/>
              </w:rPr>
              <w:t>Hermin</w:t>
            </w:r>
            <w:r w:rsidR="00B81C69" w:rsidRPr="009F337B">
              <w:rPr>
                <w:sz w:val="16"/>
                <w:szCs w:val="16"/>
                <w:lang w:val="en-US"/>
              </w:rPr>
              <w:t>i</w:t>
            </w:r>
            <w:r w:rsidRPr="009F337B">
              <w:rPr>
                <w:sz w:val="16"/>
                <w:szCs w:val="16"/>
                <w:lang w:val="en-US"/>
              </w:rPr>
              <w:t>a Rodríguez Coculista (</w:t>
            </w:r>
            <w:r w:rsidR="0010522A" w:rsidRPr="009F337B">
              <w:rPr>
                <w:sz w:val="16"/>
                <w:szCs w:val="16"/>
                <w:lang w:val="en-US"/>
              </w:rPr>
              <w:t>Mother</w:t>
            </w:r>
            <w:r w:rsidRPr="009F337B">
              <w:rPr>
                <w:sz w:val="16"/>
                <w:szCs w:val="16"/>
                <w:lang w:val="en-US"/>
              </w:rPr>
              <w:t>)</w:t>
            </w:r>
          </w:p>
        </w:tc>
      </w:tr>
      <w:tr w:rsidR="007F3128" w:rsidRPr="009F337B" w14:paraId="1DA1C1CA" w14:textId="77777777" w:rsidTr="0010522A">
        <w:tc>
          <w:tcPr>
            <w:tcW w:w="560" w:type="dxa"/>
            <w:gridSpan w:val="2"/>
            <w:vMerge/>
            <w:vAlign w:val="center"/>
          </w:tcPr>
          <w:p w14:paraId="5F77064B" w14:textId="77777777" w:rsidR="007F3128" w:rsidRPr="009F337B" w:rsidRDefault="007F3128" w:rsidP="00F608A7">
            <w:pPr>
              <w:jc w:val="left"/>
              <w:rPr>
                <w:sz w:val="16"/>
                <w:szCs w:val="16"/>
                <w:lang w:val="en-US"/>
              </w:rPr>
            </w:pPr>
          </w:p>
        </w:tc>
        <w:tc>
          <w:tcPr>
            <w:tcW w:w="2950" w:type="dxa"/>
            <w:vMerge/>
            <w:vAlign w:val="center"/>
          </w:tcPr>
          <w:p w14:paraId="743943E2" w14:textId="77777777" w:rsidR="007F3128" w:rsidRPr="009F337B" w:rsidRDefault="007F3128" w:rsidP="00F608A7">
            <w:pPr>
              <w:jc w:val="left"/>
              <w:rPr>
                <w:sz w:val="16"/>
                <w:szCs w:val="16"/>
                <w:lang w:val="en-US"/>
              </w:rPr>
            </w:pPr>
          </w:p>
        </w:tc>
        <w:tc>
          <w:tcPr>
            <w:tcW w:w="567" w:type="dxa"/>
            <w:vAlign w:val="center"/>
          </w:tcPr>
          <w:p w14:paraId="53EE30BB" w14:textId="77777777" w:rsidR="007F3128" w:rsidRPr="009F337B" w:rsidRDefault="007F3128" w:rsidP="00F608A7">
            <w:pPr>
              <w:jc w:val="left"/>
              <w:rPr>
                <w:sz w:val="16"/>
                <w:szCs w:val="16"/>
                <w:lang w:val="en-US"/>
              </w:rPr>
            </w:pPr>
            <w:r w:rsidRPr="009F337B">
              <w:rPr>
                <w:sz w:val="16"/>
                <w:szCs w:val="16"/>
                <w:lang w:val="en-US"/>
              </w:rPr>
              <w:t>3</w:t>
            </w:r>
          </w:p>
        </w:tc>
        <w:tc>
          <w:tcPr>
            <w:tcW w:w="5211" w:type="dxa"/>
            <w:vAlign w:val="center"/>
          </w:tcPr>
          <w:p w14:paraId="73D06AE5" w14:textId="2EA35380" w:rsidR="007F3128" w:rsidRPr="00542AB5" w:rsidRDefault="007F3128" w:rsidP="00F608A7">
            <w:pPr>
              <w:tabs>
                <w:tab w:val="left" w:pos="1277"/>
              </w:tabs>
              <w:jc w:val="left"/>
              <w:rPr>
                <w:sz w:val="16"/>
                <w:szCs w:val="16"/>
                <w:lang w:val="es-CR"/>
              </w:rPr>
            </w:pPr>
            <w:r w:rsidRPr="00542AB5">
              <w:rPr>
                <w:sz w:val="16"/>
                <w:szCs w:val="16"/>
                <w:lang w:val="es-CR"/>
              </w:rPr>
              <w:t>Karla de Jesús Coronado Mérida (</w:t>
            </w:r>
            <w:r w:rsidR="0010522A" w:rsidRPr="00542AB5">
              <w:rPr>
                <w:sz w:val="16"/>
                <w:szCs w:val="16"/>
                <w:lang w:val="es-CR"/>
              </w:rPr>
              <w:t>Daughter</w:t>
            </w:r>
            <w:r w:rsidRPr="00542AB5">
              <w:rPr>
                <w:sz w:val="16"/>
                <w:szCs w:val="16"/>
                <w:lang w:val="es-CR"/>
              </w:rPr>
              <w:t>)</w:t>
            </w:r>
          </w:p>
        </w:tc>
      </w:tr>
      <w:tr w:rsidR="007F3128" w:rsidRPr="009F337B" w14:paraId="01316A80" w14:textId="77777777" w:rsidTr="0010522A">
        <w:tc>
          <w:tcPr>
            <w:tcW w:w="560" w:type="dxa"/>
            <w:gridSpan w:val="2"/>
            <w:vMerge/>
            <w:vAlign w:val="center"/>
          </w:tcPr>
          <w:p w14:paraId="619419C1" w14:textId="77777777" w:rsidR="007F3128" w:rsidRPr="00542AB5" w:rsidRDefault="007F3128" w:rsidP="00F608A7">
            <w:pPr>
              <w:jc w:val="left"/>
              <w:rPr>
                <w:sz w:val="16"/>
                <w:szCs w:val="16"/>
                <w:lang w:val="es-CR"/>
              </w:rPr>
            </w:pPr>
          </w:p>
        </w:tc>
        <w:tc>
          <w:tcPr>
            <w:tcW w:w="2950" w:type="dxa"/>
            <w:vMerge/>
            <w:vAlign w:val="center"/>
          </w:tcPr>
          <w:p w14:paraId="09ACE3DF" w14:textId="77777777" w:rsidR="007F3128" w:rsidRPr="00542AB5" w:rsidRDefault="007F3128" w:rsidP="00F608A7">
            <w:pPr>
              <w:jc w:val="left"/>
              <w:rPr>
                <w:sz w:val="16"/>
                <w:szCs w:val="16"/>
                <w:lang w:val="es-CR"/>
              </w:rPr>
            </w:pPr>
          </w:p>
        </w:tc>
        <w:tc>
          <w:tcPr>
            <w:tcW w:w="567" w:type="dxa"/>
            <w:vAlign w:val="center"/>
          </w:tcPr>
          <w:p w14:paraId="48AEA4EC" w14:textId="77777777" w:rsidR="007F3128" w:rsidRPr="009F337B" w:rsidRDefault="007F3128" w:rsidP="00F608A7">
            <w:pPr>
              <w:jc w:val="left"/>
              <w:rPr>
                <w:sz w:val="16"/>
                <w:szCs w:val="16"/>
                <w:lang w:val="en-US"/>
              </w:rPr>
            </w:pPr>
            <w:r w:rsidRPr="009F337B">
              <w:rPr>
                <w:sz w:val="16"/>
                <w:szCs w:val="16"/>
                <w:lang w:val="en-US"/>
              </w:rPr>
              <w:t>4</w:t>
            </w:r>
          </w:p>
        </w:tc>
        <w:tc>
          <w:tcPr>
            <w:tcW w:w="5211" w:type="dxa"/>
            <w:vAlign w:val="center"/>
          </w:tcPr>
          <w:p w14:paraId="6EF9D370" w14:textId="52CC982E" w:rsidR="007F3128" w:rsidRPr="00542AB5" w:rsidRDefault="007F3128" w:rsidP="00F608A7">
            <w:pPr>
              <w:tabs>
                <w:tab w:val="left" w:pos="1277"/>
              </w:tabs>
              <w:jc w:val="left"/>
              <w:rPr>
                <w:sz w:val="16"/>
                <w:szCs w:val="16"/>
                <w:lang w:val="es-CR"/>
              </w:rPr>
            </w:pPr>
            <w:r w:rsidRPr="00542AB5">
              <w:rPr>
                <w:sz w:val="16"/>
                <w:szCs w:val="16"/>
                <w:lang w:val="es-CR"/>
              </w:rPr>
              <w:t>Benita del Rosario Soto Mérida (</w:t>
            </w:r>
            <w:r w:rsidR="0010522A" w:rsidRPr="00542AB5">
              <w:rPr>
                <w:sz w:val="16"/>
                <w:szCs w:val="16"/>
                <w:lang w:val="es-CR"/>
              </w:rPr>
              <w:t>Daughter</w:t>
            </w:r>
            <w:r w:rsidRPr="00542AB5">
              <w:rPr>
                <w:sz w:val="16"/>
                <w:szCs w:val="16"/>
                <w:lang w:val="es-CR"/>
              </w:rPr>
              <w:t>)</w:t>
            </w:r>
          </w:p>
        </w:tc>
      </w:tr>
      <w:tr w:rsidR="007F3128" w:rsidRPr="009F337B" w14:paraId="49374A76" w14:textId="77777777" w:rsidTr="0010522A">
        <w:tc>
          <w:tcPr>
            <w:tcW w:w="560" w:type="dxa"/>
            <w:gridSpan w:val="2"/>
            <w:vMerge/>
            <w:vAlign w:val="center"/>
          </w:tcPr>
          <w:p w14:paraId="5FCF58E2" w14:textId="77777777" w:rsidR="007F3128" w:rsidRPr="00542AB5" w:rsidRDefault="007F3128" w:rsidP="00F608A7">
            <w:pPr>
              <w:jc w:val="left"/>
              <w:rPr>
                <w:sz w:val="16"/>
                <w:szCs w:val="16"/>
                <w:lang w:val="es-CR"/>
              </w:rPr>
            </w:pPr>
          </w:p>
        </w:tc>
        <w:tc>
          <w:tcPr>
            <w:tcW w:w="2950" w:type="dxa"/>
            <w:vMerge/>
            <w:vAlign w:val="center"/>
          </w:tcPr>
          <w:p w14:paraId="3091D2A3" w14:textId="77777777" w:rsidR="007F3128" w:rsidRPr="00542AB5" w:rsidRDefault="007F3128" w:rsidP="00F608A7">
            <w:pPr>
              <w:jc w:val="left"/>
              <w:rPr>
                <w:sz w:val="16"/>
                <w:szCs w:val="16"/>
                <w:lang w:val="es-CR"/>
              </w:rPr>
            </w:pPr>
          </w:p>
        </w:tc>
        <w:tc>
          <w:tcPr>
            <w:tcW w:w="567" w:type="dxa"/>
            <w:vAlign w:val="center"/>
          </w:tcPr>
          <w:p w14:paraId="654A71CF" w14:textId="77777777" w:rsidR="007F3128" w:rsidRPr="009F337B" w:rsidRDefault="007F3128" w:rsidP="00F608A7">
            <w:pPr>
              <w:jc w:val="left"/>
              <w:rPr>
                <w:sz w:val="16"/>
                <w:szCs w:val="16"/>
                <w:lang w:val="en-US"/>
              </w:rPr>
            </w:pPr>
            <w:r w:rsidRPr="009F337B">
              <w:rPr>
                <w:sz w:val="16"/>
                <w:szCs w:val="16"/>
                <w:lang w:val="en-US"/>
              </w:rPr>
              <w:t>5</w:t>
            </w:r>
          </w:p>
        </w:tc>
        <w:tc>
          <w:tcPr>
            <w:tcW w:w="5211" w:type="dxa"/>
            <w:vAlign w:val="center"/>
          </w:tcPr>
          <w:p w14:paraId="73FCEDAF" w14:textId="4533E489" w:rsidR="007F3128" w:rsidRPr="00542AB5" w:rsidRDefault="007F3128" w:rsidP="00F608A7">
            <w:pPr>
              <w:tabs>
                <w:tab w:val="left" w:pos="1277"/>
              </w:tabs>
              <w:jc w:val="left"/>
              <w:rPr>
                <w:sz w:val="16"/>
                <w:szCs w:val="16"/>
                <w:lang w:val="es-CR"/>
              </w:rPr>
            </w:pPr>
            <w:r w:rsidRPr="00542AB5">
              <w:rPr>
                <w:sz w:val="16"/>
                <w:szCs w:val="16"/>
                <w:lang w:val="es-CR"/>
              </w:rPr>
              <w:t>Erick Alexander Maldonado Mérida (</w:t>
            </w:r>
            <w:r w:rsidR="0010522A" w:rsidRPr="00542AB5">
              <w:rPr>
                <w:sz w:val="16"/>
                <w:szCs w:val="16"/>
                <w:lang w:val="es-CR"/>
              </w:rPr>
              <w:t>Son</w:t>
            </w:r>
            <w:r w:rsidRPr="00542AB5">
              <w:rPr>
                <w:sz w:val="16"/>
                <w:szCs w:val="16"/>
                <w:lang w:val="es-CR"/>
              </w:rPr>
              <w:t>)</w:t>
            </w:r>
          </w:p>
        </w:tc>
      </w:tr>
      <w:tr w:rsidR="007F3128" w:rsidRPr="009F337B" w14:paraId="2C4B987E" w14:textId="77777777" w:rsidTr="0010522A">
        <w:tc>
          <w:tcPr>
            <w:tcW w:w="560" w:type="dxa"/>
            <w:gridSpan w:val="2"/>
            <w:vMerge/>
            <w:vAlign w:val="center"/>
          </w:tcPr>
          <w:p w14:paraId="69305C51" w14:textId="77777777" w:rsidR="007F3128" w:rsidRPr="00542AB5" w:rsidRDefault="007F3128" w:rsidP="00F608A7">
            <w:pPr>
              <w:jc w:val="left"/>
              <w:rPr>
                <w:sz w:val="16"/>
                <w:szCs w:val="16"/>
                <w:lang w:val="es-CR"/>
              </w:rPr>
            </w:pPr>
          </w:p>
        </w:tc>
        <w:tc>
          <w:tcPr>
            <w:tcW w:w="2950" w:type="dxa"/>
            <w:vMerge/>
            <w:vAlign w:val="center"/>
          </w:tcPr>
          <w:p w14:paraId="7F528C41" w14:textId="77777777" w:rsidR="007F3128" w:rsidRPr="00542AB5" w:rsidRDefault="007F3128" w:rsidP="00F608A7">
            <w:pPr>
              <w:jc w:val="left"/>
              <w:rPr>
                <w:sz w:val="16"/>
                <w:szCs w:val="16"/>
                <w:lang w:val="es-CR"/>
              </w:rPr>
            </w:pPr>
          </w:p>
        </w:tc>
        <w:tc>
          <w:tcPr>
            <w:tcW w:w="567" w:type="dxa"/>
            <w:vAlign w:val="center"/>
          </w:tcPr>
          <w:p w14:paraId="1CDB8AFB" w14:textId="77777777" w:rsidR="007F3128" w:rsidRPr="009F337B" w:rsidRDefault="007F3128" w:rsidP="00F608A7">
            <w:pPr>
              <w:jc w:val="left"/>
              <w:rPr>
                <w:sz w:val="16"/>
                <w:szCs w:val="16"/>
                <w:lang w:val="en-US"/>
              </w:rPr>
            </w:pPr>
            <w:r w:rsidRPr="009F337B">
              <w:rPr>
                <w:sz w:val="16"/>
                <w:szCs w:val="16"/>
                <w:lang w:val="en-US"/>
              </w:rPr>
              <w:t>6</w:t>
            </w:r>
          </w:p>
        </w:tc>
        <w:tc>
          <w:tcPr>
            <w:tcW w:w="5211" w:type="dxa"/>
            <w:vAlign w:val="center"/>
          </w:tcPr>
          <w:p w14:paraId="2D6F9248" w14:textId="060E6A9B" w:rsidR="007F3128" w:rsidRPr="00542AB5" w:rsidRDefault="007F3128" w:rsidP="00F608A7">
            <w:pPr>
              <w:tabs>
                <w:tab w:val="left" w:pos="1277"/>
              </w:tabs>
              <w:jc w:val="left"/>
              <w:rPr>
                <w:sz w:val="16"/>
                <w:szCs w:val="16"/>
                <w:lang w:val="es-CR"/>
              </w:rPr>
            </w:pPr>
            <w:r w:rsidRPr="00542AB5">
              <w:rPr>
                <w:sz w:val="16"/>
                <w:szCs w:val="16"/>
                <w:lang w:val="es-CR"/>
              </w:rPr>
              <w:t>Alejo Ranfer</w:t>
            </w:r>
            <w:r w:rsidR="00565EA6" w:rsidRPr="00542AB5">
              <w:rPr>
                <w:sz w:val="16"/>
                <w:szCs w:val="16"/>
                <w:lang w:val="es-CR"/>
              </w:rPr>
              <w:t>í</w:t>
            </w:r>
            <w:r w:rsidRPr="00542AB5">
              <w:rPr>
                <w:sz w:val="16"/>
                <w:szCs w:val="16"/>
                <w:lang w:val="es-CR"/>
              </w:rPr>
              <w:t xml:space="preserve"> Maldonado Oxlaj (</w:t>
            </w:r>
            <w:r w:rsidR="0010522A" w:rsidRPr="00542AB5">
              <w:rPr>
                <w:sz w:val="16"/>
                <w:szCs w:val="16"/>
                <w:lang w:val="es-CR"/>
              </w:rPr>
              <w:t>Current partner</w:t>
            </w:r>
            <w:r w:rsidRPr="00542AB5">
              <w:rPr>
                <w:sz w:val="16"/>
                <w:szCs w:val="16"/>
                <w:lang w:val="es-CR"/>
              </w:rPr>
              <w:t>)</w:t>
            </w:r>
          </w:p>
        </w:tc>
      </w:tr>
      <w:tr w:rsidR="007F3128" w:rsidRPr="009F337B" w14:paraId="4AE04BEE" w14:textId="77777777" w:rsidTr="0010522A">
        <w:tc>
          <w:tcPr>
            <w:tcW w:w="560" w:type="dxa"/>
            <w:gridSpan w:val="2"/>
            <w:vMerge/>
            <w:vAlign w:val="center"/>
          </w:tcPr>
          <w:p w14:paraId="6B25E66C" w14:textId="77777777" w:rsidR="007F3128" w:rsidRPr="00542AB5" w:rsidRDefault="007F3128" w:rsidP="00F608A7">
            <w:pPr>
              <w:jc w:val="left"/>
              <w:rPr>
                <w:sz w:val="16"/>
                <w:szCs w:val="16"/>
                <w:lang w:val="es-CR"/>
              </w:rPr>
            </w:pPr>
          </w:p>
        </w:tc>
        <w:tc>
          <w:tcPr>
            <w:tcW w:w="2950" w:type="dxa"/>
            <w:vMerge/>
            <w:vAlign w:val="center"/>
          </w:tcPr>
          <w:p w14:paraId="2805B678" w14:textId="77777777" w:rsidR="007F3128" w:rsidRPr="00542AB5" w:rsidRDefault="007F3128" w:rsidP="00F608A7">
            <w:pPr>
              <w:jc w:val="left"/>
              <w:rPr>
                <w:sz w:val="16"/>
                <w:szCs w:val="16"/>
                <w:lang w:val="es-CR"/>
              </w:rPr>
            </w:pPr>
          </w:p>
        </w:tc>
        <w:tc>
          <w:tcPr>
            <w:tcW w:w="567" w:type="dxa"/>
            <w:vAlign w:val="center"/>
          </w:tcPr>
          <w:p w14:paraId="7E35EF62" w14:textId="77777777" w:rsidR="007F3128" w:rsidRPr="009F337B" w:rsidRDefault="007F3128" w:rsidP="00F608A7">
            <w:pPr>
              <w:jc w:val="left"/>
              <w:rPr>
                <w:sz w:val="16"/>
                <w:szCs w:val="16"/>
                <w:lang w:val="en-US"/>
              </w:rPr>
            </w:pPr>
            <w:r w:rsidRPr="009F337B">
              <w:rPr>
                <w:sz w:val="16"/>
                <w:szCs w:val="16"/>
                <w:lang w:val="en-US"/>
              </w:rPr>
              <w:t>7</w:t>
            </w:r>
          </w:p>
        </w:tc>
        <w:tc>
          <w:tcPr>
            <w:tcW w:w="5211" w:type="dxa"/>
            <w:vAlign w:val="center"/>
          </w:tcPr>
          <w:p w14:paraId="762D81FA" w14:textId="7DF918B0" w:rsidR="007F3128" w:rsidRPr="00542AB5" w:rsidRDefault="007F3128" w:rsidP="00F608A7">
            <w:pPr>
              <w:tabs>
                <w:tab w:val="left" w:pos="1277"/>
              </w:tabs>
              <w:jc w:val="left"/>
              <w:rPr>
                <w:sz w:val="16"/>
                <w:szCs w:val="16"/>
                <w:lang w:val="es-CR"/>
              </w:rPr>
            </w:pPr>
            <w:r w:rsidRPr="00542AB5">
              <w:rPr>
                <w:sz w:val="16"/>
                <w:szCs w:val="16"/>
                <w:lang w:val="es-CR"/>
              </w:rPr>
              <w:t>Mercedes Patricia Mérida Rodríguez (</w:t>
            </w:r>
            <w:r w:rsidR="0010522A" w:rsidRPr="00542AB5">
              <w:rPr>
                <w:sz w:val="16"/>
                <w:szCs w:val="16"/>
                <w:lang w:val="es-CR"/>
              </w:rPr>
              <w:t>Sister</w:t>
            </w:r>
            <w:r w:rsidRPr="00542AB5">
              <w:rPr>
                <w:sz w:val="16"/>
                <w:szCs w:val="16"/>
                <w:lang w:val="es-CR"/>
              </w:rPr>
              <w:t>)</w:t>
            </w:r>
          </w:p>
        </w:tc>
      </w:tr>
      <w:tr w:rsidR="007F3128" w:rsidRPr="00310E7A" w14:paraId="0A4EC409" w14:textId="77777777" w:rsidTr="0010522A">
        <w:tc>
          <w:tcPr>
            <w:tcW w:w="560" w:type="dxa"/>
            <w:gridSpan w:val="2"/>
            <w:vMerge/>
            <w:vAlign w:val="center"/>
          </w:tcPr>
          <w:p w14:paraId="19CDC9E5" w14:textId="77777777" w:rsidR="007F3128" w:rsidRPr="00542AB5" w:rsidRDefault="007F3128" w:rsidP="00F608A7">
            <w:pPr>
              <w:jc w:val="left"/>
              <w:rPr>
                <w:sz w:val="16"/>
                <w:szCs w:val="16"/>
                <w:lang w:val="es-CR"/>
              </w:rPr>
            </w:pPr>
          </w:p>
        </w:tc>
        <w:tc>
          <w:tcPr>
            <w:tcW w:w="2950" w:type="dxa"/>
            <w:vMerge/>
            <w:vAlign w:val="center"/>
          </w:tcPr>
          <w:p w14:paraId="06C72745" w14:textId="77777777" w:rsidR="007F3128" w:rsidRPr="00542AB5" w:rsidRDefault="007F3128" w:rsidP="00F608A7">
            <w:pPr>
              <w:jc w:val="left"/>
              <w:rPr>
                <w:sz w:val="16"/>
                <w:szCs w:val="16"/>
                <w:lang w:val="es-CR"/>
              </w:rPr>
            </w:pPr>
          </w:p>
        </w:tc>
        <w:tc>
          <w:tcPr>
            <w:tcW w:w="567" w:type="dxa"/>
            <w:vAlign w:val="center"/>
          </w:tcPr>
          <w:p w14:paraId="213A23B6" w14:textId="77777777" w:rsidR="007F3128" w:rsidRPr="009F337B" w:rsidRDefault="007F3128" w:rsidP="00F608A7">
            <w:pPr>
              <w:jc w:val="left"/>
              <w:rPr>
                <w:sz w:val="16"/>
                <w:szCs w:val="16"/>
                <w:lang w:val="en-US"/>
              </w:rPr>
            </w:pPr>
            <w:r w:rsidRPr="009F337B">
              <w:rPr>
                <w:sz w:val="16"/>
                <w:szCs w:val="16"/>
                <w:lang w:val="en-US"/>
              </w:rPr>
              <w:t>8</w:t>
            </w:r>
          </w:p>
        </w:tc>
        <w:tc>
          <w:tcPr>
            <w:tcW w:w="5211" w:type="dxa"/>
            <w:vAlign w:val="center"/>
          </w:tcPr>
          <w:p w14:paraId="4E78C5F2" w14:textId="66D63C6E" w:rsidR="007F3128" w:rsidRPr="009F337B" w:rsidRDefault="007F3128" w:rsidP="00F608A7">
            <w:pPr>
              <w:tabs>
                <w:tab w:val="left" w:pos="1277"/>
              </w:tabs>
              <w:jc w:val="left"/>
              <w:rPr>
                <w:sz w:val="16"/>
                <w:szCs w:val="16"/>
                <w:lang w:val="en-US"/>
              </w:rPr>
            </w:pPr>
            <w:r w:rsidRPr="009F337B">
              <w:rPr>
                <w:sz w:val="16"/>
                <w:szCs w:val="16"/>
                <w:lang w:val="en-US"/>
              </w:rPr>
              <w:t>Baudillo Soto de León (</w:t>
            </w:r>
            <w:r w:rsidR="0010522A" w:rsidRPr="009F337B">
              <w:rPr>
                <w:sz w:val="16"/>
                <w:szCs w:val="16"/>
                <w:lang w:val="en-US"/>
              </w:rPr>
              <w:t>Father</w:t>
            </w:r>
            <w:r w:rsidRPr="009F337B">
              <w:rPr>
                <w:sz w:val="16"/>
                <w:szCs w:val="16"/>
                <w:lang w:val="en-US"/>
              </w:rPr>
              <w:t xml:space="preserve"> </w:t>
            </w:r>
            <w:r w:rsidR="0010522A" w:rsidRPr="009F337B">
              <w:rPr>
                <w:sz w:val="16"/>
                <w:szCs w:val="16"/>
                <w:lang w:val="en-US"/>
              </w:rPr>
              <w:t>of her</w:t>
            </w:r>
            <w:r w:rsidRPr="009F337B">
              <w:rPr>
                <w:sz w:val="16"/>
                <w:szCs w:val="16"/>
                <w:lang w:val="en-US"/>
              </w:rPr>
              <w:t xml:space="preserve"> </w:t>
            </w:r>
            <w:r w:rsidR="0010522A" w:rsidRPr="009F337B">
              <w:rPr>
                <w:sz w:val="16"/>
                <w:szCs w:val="16"/>
                <w:lang w:val="en-US"/>
              </w:rPr>
              <w:t>son</w:t>
            </w:r>
            <w:r w:rsidRPr="009F337B">
              <w:rPr>
                <w:sz w:val="16"/>
                <w:szCs w:val="16"/>
                <w:lang w:val="en-US"/>
              </w:rPr>
              <w:t xml:space="preserve">s, </w:t>
            </w:r>
            <w:r w:rsidR="0010522A" w:rsidRPr="009F337B">
              <w:rPr>
                <w:sz w:val="16"/>
                <w:szCs w:val="16"/>
                <w:lang w:val="en-US"/>
              </w:rPr>
              <w:t>deceased</w:t>
            </w:r>
            <w:r w:rsidRPr="009F337B">
              <w:rPr>
                <w:sz w:val="16"/>
                <w:szCs w:val="16"/>
                <w:lang w:val="en-US"/>
              </w:rPr>
              <w:t>)</w:t>
            </w:r>
          </w:p>
        </w:tc>
      </w:tr>
      <w:tr w:rsidR="007F3128" w:rsidRPr="009F337B" w14:paraId="4A29CA1D" w14:textId="77777777" w:rsidTr="0010522A">
        <w:tc>
          <w:tcPr>
            <w:tcW w:w="560" w:type="dxa"/>
            <w:gridSpan w:val="2"/>
            <w:vMerge w:val="restart"/>
            <w:vAlign w:val="center"/>
          </w:tcPr>
          <w:p w14:paraId="0AC34F0F" w14:textId="77777777" w:rsidR="007F3128" w:rsidRPr="009F337B" w:rsidRDefault="007F3128" w:rsidP="00F608A7">
            <w:pPr>
              <w:jc w:val="left"/>
              <w:rPr>
                <w:sz w:val="16"/>
                <w:szCs w:val="16"/>
                <w:lang w:val="en-US"/>
              </w:rPr>
            </w:pPr>
            <w:r w:rsidRPr="009F337B">
              <w:rPr>
                <w:sz w:val="16"/>
                <w:szCs w:val="16"/>
                <w:lang w:val="en-US"/>
              </w:rPr>
              <w:t>36</w:t>
            </w:r>
          </w:p>
        </w:tc>
        <w:tc>
          <w:tcPr>
            <w:tcW w:w="2950" w:type="dxa"/>
            <w:vMerge w:val="restart"/>
            <w:vAlign w:val="center"/>
          </w:tcPr>
          <w:p w14:paraId="01BCB85D" w14:textId="521A4703" w:rsidR="007F3128" w:rsidRPr="009F337B" w:rsidRDefault="007F3128" w:rsidP="00F608A7">
            <w:pPr>
              <w:jc w:val="left"/>
              <w:rPr>
                <w:sz w:val="16"/>
                <w:szCs w:val="16"/>
                <w:lang w:val="en-US"/>
              </w:rPr>
            </w:pPr>
            <w:r w:rsidRPr="009F337B">
              <w:rPr>
                <w:sz w:val="16"/>
                <w:szCs w:val="16"/>
                <w:lang w:val="en-US"/>
              </w:rPr>
              <w:t>Darinel López Montes de Oca</w:t>
            </w:r>
          </w:p>
        </w:tc>
        <w:tc>
          <w:tcPr>
            <w:tcW w:w="567" w:type="dxa"/>
            <w:vAlign w:val="center"/>
          </w:tcPr>
          <w:p w14:paraId="3FF966F5" w14:textId="77777777" w:rsidR="007F3128" w:rsidRPr="009F337B" w:rsidRDefault="007F3128" w:rsidP="00F608A7">
            <w:pPr>
              <w:jc w:val="left"/>
              <w:rPr>
                <w:sz w:val="16"/>
                <w:szCs w:val="16"/>
                <w:lang w:val="en-US"/>
              </w:rPr>
            </w:pPr>
            <w:r w:rsidRPr="009F337B">
              <w:rPr>
                <w:sz w:val="16"/>
                <w:szCs w:val="16"/>
                <w:lang w:val="en-US"/>
              </w:rPr>
              <w:t>1</w:t>
            </w:r>
          </w:p>
        </w:tc>
        <w:tc>
          <w:tcPr>
            <w:tcW w:w="5211" w:type="dxa"/>
            <w:vAlign w:val="center"/>
          </w:tcPr>
          <w:p w14:paraId="5DEF8E0F" w14:textId="7E5BDEE4" w:rsidR="007F3128" w:rsidRPr="009F337B" w:rsidRDefault="007F3128" w:rsidP="00F608A7">
            <w:pPr>
              <w:jc w:val="left"/>
              <w:rPr>
                <w:sz w:val="16"/>
                <w:szCs w:val="16"/>
                <w:lang w:val="en-US"/>
              </w:rPr>
            </w:pPr>
            <w:r w:rsidRPr="009F337B">
              <w:rPr>
                <w:sz w:val="16"/>
                <w:szCs w:val="16"/>
                <w:lang w:val="en-US"/>
              </w:rPr>
              <w:t>Ana Castillo López (</w:t>
            </w:r>
            <w:r w:rsidR="0010522A" w:rsidRPr="009F337B">
              <w:rPr>
                <w:sz w:val="16"/>
                <w:szCs w:val="16"/>
                <w:lang w:val="en-US"/>
              </w:rPr>
              <w:t>Cousin</w:t>
            </w:r>
            <w:r w:rsidRPr="009F337B">
              <w:rPr>
                <w:sz w:val="16"/>
                <w:szCs w:val="16"/>
                <w:lang w:val="en-US"/>
              </w:rPr>
              <w:t>)</w:t>
            </w:r>
          </w:p>
        </w:tc>
      </w:tr>
      <w:tr w:rsidR="007F3128" w:rsidRPr="009F337B" w14:paraId="4FFB2505" w14:textId="77777777" w:rsidTr="0010522A">
        <w:tc>
          <w:tcPr>
            <w:tcW w:w="560" w:type="dxa"/>
            <w:gridSpan w:val="2"/>
            <w:vMerge/>
            <w:vAlign w:val="center"/>
          </w:tcPr>
          <w:p w14:paraId="403B8D42" w14:textId="77777777" w:rsidR="007F3128" w:rsidRPr="009F337B" w:rsidRDefault="007F3128" w:rsidP="00F608A7">
            <w:pPr>
              <w:jc w:val="left"/>
              <w:rPr>
                <w:sz w:val="16"/>
                <w:szCs w:val="16"/>
                <w:lang w:val="en-US"/>
              </w:rPr>
            </w:pPr>
          </w:p>
        </w:tc>
        <w:tc>
          <w:tcPr>
            <w:tcW w:w="2950" w:type="dxa"/>
            <w:vMerge/>
            <w:vAlign w:val="center"/>
          </w:tcPr>
          <w:p w14:paraId="47A6E4D5" w14:textId="77777777" w:rsidR="007F3128" w:rsidRPr="009F337B" w:rsidRDefault="007F3128" w:rsidP="00F608A7">
            <w:pPr>
              <w:jc w:val="left"/>
              <w:rPr>
                <w:sz w:val="16"/>
                <w:szCs w:val="16"/>
                <w:lang w:val="en-US"/>
              </w:rPr>
            </w:pPr>
          </w:p>
        </w:tc>
        <w:tc>
          <w:tcPr>
            <w:tcW w:w="567" w:type="dxa"/>
            <w:vAlign w:val="center"/>
          </w:tcPr>
          <w:p w14:paraId="68A5A0A2" w14:textId="77777777" w:rsidR="007F3128" w:rsidRPr="009F337B" w:rsidRDefault="007F3128" w:rsidP="00F608A7">
            <w:pPr>
              <w:jc w:val="left"/>
              <w:rPr>
                <w:sz w:val="16"/>
                <w:szCs w:val="16"/>
                <w:lang w:val="en-US"/>
              </w:rPr>
            </w:pPr>
            <w:r w:rsidRPr="009F337B">
              <w:rPr>
                <w:sz w:val="16"/>
                <w:szCs w:val="16"/>
                <w:lang w:val="en-US"/>
              </w:rPr>
              <w:t>2</w:t>
            </w:r>
          </w:p>
        </w:tc>
        <w:tc>
          <w:tcPr>
            <w:tcW w:w="5211" w:type="dxa"/>
            <w:vAlign w:val="center"/>
          </w:tcPr>
          <w:p w14:paraId="35105E37" w14:textId="6A2EEC1D" w:rsidR="007F3128" w:rsidRPr="009F337B" w:rsidRDefault="007F3128" w:rsidP="00F608A7">
            <w:pPr>
              <w:jc w:val="left"/>
              <w:rPr>
                <w:sz w:val="16"/>
                <w:szCs w:val="16"/>
                <w:lang w:val="en-US"/>
              </w:rPr>
            </w:pPr>
            <w:r w:rsidRPr="009F337B">
              <w:rPr>
                <w:sz w:val="16"/>
                <w:szCs w:val="16"/>
                <w:lang w:val="en-US"/>
              </w:rPr>
              <w:t>Aracely Méndez Castillo (</w:t>
            </w:r>
            <w:r w:rsidR="0010522A" w:rsidRPr="009F337B">
              <w:rPr>
                <w:sz w:val="16"/>
                <w:szCs w:val="16"/>
                <w:lang w:val="en-US"/>
              </w:rPr>
              <w:t>Niece</w:t>
            </w:r>
            <w:r w:rsidRPr="009F337B">
              <w:rPr>
                <w:sz w:val="16"/>
                <w:szCs w:val="16"/>
                <w:lang w:val="en-US"/>
              </w:rPr>
              <w:t>)</w:t>
            </w:r>
          </w:p>
        </w:tc>
      </w:tr>
      <w:tr w:rsidR="007F3128" w:rsidRPr="009F337B" w14:paraId="24DDE664" w14:textId="77777777" w:rsidTr="0010522A">
        <w:tc>
          <w:tcPr>
            <w:tcW w:w="560" w:type="dxa"/>
            <w:gridSpan w:val="2"/>
            <w:vAlign w:val="center"/>
          </w:tcPr>
          <w:p w14:paraId="70C7FDC4" w14:textId="77777777" w:rsidR="007F3128" w:rsidRPr="009F337B" w:rsidRDefault="007F3128" w:rsidP="00F608A7">
            <w:pPr>
              <w:jc w:val="left"/>
              <w:rPr>
                <w:sz w:val="16"/>
                <w:szCs w:val="16"/>
                <w:lang w:val="en-US"/>
              </w:rPr>
            </w:pPr>
            <w:r w:rsidRPr="009F337B">
              <w:rPr>
                <w:sz w:val="16"/>
                <w:szCs w:val="16"/>
                <w:lang w:val="en-US"/>
              </w:rPr>
              <w:t>37</w:t>
            </w:r>
          </w:p>
        </w:tc>
        <w:tc>
          <w:tcPr>
            <w:tcW w:w="2950" w:type="dxa"/>
            <w:vAlign w:val="center"/>
          </w:tcPr>
          <w:p w14:paraId="435F36F2" w14:textId="55231442" w:rsidR="007F3128" w:rsidRPr="009F337B" w:rsidRDefault="00E70BC9" w:rsidP="00F608A7">
            <w:pPr>
              <w:jc w:val="left"/>
              <w:rPr>
                <w:sz w:val="16"/>
                <w:szCs w:val="16"/>
                <w:lang w:val="en-US"/>
              </w:rPr>
            </w:pPr>
            <w:r w:rsidRPr="009F337B">
              <w:rPr>
                <w:sz w:val="16"/>
                <w:szCs w:val="16"/>
                <w:lang w:val="en-US"/>
              </w:rPr>
              <w:t>Israel Pe</w:t>
            </w:r>
            <w:r w:rsidR="007F3128" w:rsidRPr="009F337B">
              <w:rPr>
                <w:sz w:val="16"/>
                <w:szCs w:val="16"/>
                <w:lang w:val="en-US"/>
              </w:rPr>
              <w:t>rez Charal</w:t>
            </w:r>
          </w:p>
        </w:tc>
        <w:tc>
          <w:tcPr>
            <w:tcW w:w="567" w:type="dxa"/>
            <w:vAlign w:val="center"/>
          </w:tcPr>
          <w:p w14:paraId="36CBCD96" w14:textId="77777777" w:rsidR="007F3128" w:rsidRPr="009F337B" w:rsidRDefault="007F3128" w:rsidP="00F608A7">
            <w:pPr>
              <w:jc w:val="left"/>
              <w:rPr>
                <w:sz w:val="16"/>
                <w:szCs w:val="16"/>
                <w:lang w:val="en-US"/>
              </w:rPr>
            </w:pPr>
          </w:p>
        </w:tc>
        <w:tc>
          <w:tcPr>
            <w:tcW w:w="5211" w:type="dxa"/>
            <w:vAlign w:val="center"/>
          </w:tcPr>
          <w:p w14:paraId="439ACE01" w14:textId="3BBA0460" w:rsidR="007F3128" w:rsidRPr="009F337B" w:rsidRDefault="0010522A" w:rsidP="00F608A7">
            <w:pPr>
              <w:jc w:val="left"/>
              <w:rPr>
                <w:sz w:val="16"/>
                <w:szCs w:val="16"/>
                <w:lang w:val="en-US"/>
              </w:rPr>
            </w:pPr>
            <w:r w:rsidRPr="009F337B">
              <w:rPr>
                <w:sz w:val="16"/>
                <w:szCs w:val="16"/>
                <w:lang w:val="en-US"/>
              </w:rPr>
              <w:t>No information available</w:t>
            </w:r>
          </w:p>
        </w:tc>
      </w:tr>
      <w:tr w:rsidR="007F3128" w:rsidRPr="009F337B" w14:paraId="37F330B3" w14:textId="77777777" w:rsidTr="0010522A">
        <w:tc>
          <w:tcPr>
            <w:tcW w:w="560" w:type="dxa"/>
            <w:gridSpan w:val="2"/>
            <w:vMerge w:val="restart"/>
            <w:vAlign w:val="center"/>
          </w:tcPr>
          <w:p w14:paraId="6FDC3EA0" w14:textId="77777777" w:rsidR="007F3128" w:rsidRPr="009F337B" w:rsidRDefault="007F3128" w:rsidP="00F608A7">
            <w:pPr>
              <w:jc w:val="left"/>
              <w:rPr>
                <w:sz w:val="16"/>
                <w:szCs w:val="16"/>
                <w:lang w:val="en-US"/>
              </w:rPr>
            </w:pPr>
            <w:r w:rsidRPr="009F337B">
              <w:rPr>
                <w:sz w:val="16"/>
                <w:szCs w:val="16"/>
                <w:lang w:val="en-US"/>
              </w:rPr>
              <w:t>38</w:t>
            </w:r>
          </w:p>
        </w:tc>
        <w:tc>
          <w:tcPr>
            <w:tcW w:w="2950" w:type="dxa"/>
            <w:vMerge w:val="restart"/>
            <w:vAlign w:val="center"/>
          </w:tcPr>
          <w:p w14:paraId="6F5B7815" w14:textId="3DCCFD78" w:rsidR="007F3128" w:rsidRPr="009F337B" w:rsidRDefault="007F3128" w:rsidP="00F608A7">
            <w:pPr>
              <w:jc w:val="left"/>
              <w:rPr>
                <w:sz w:val="16"/>
                <w:szCs w:val="16"/>
                <w:lang w:val="en-US"/>
              </w:rPr>
            </w:pPr>
            <w:r w:rsidRPr="009F337B">
              <w:rPr>
                <w:sz w:val="16"/>
                <w:szCs w:val="16"/>
                <w:lang w:val="en-US"/>
              </w:rPr>
              <w:t>Corina Dianeth Robledo Alvarado</w:t>
            </w:r>
          </w:p>
        </w:tc>
        <w:tc>
          <w:tcPr>
            <w:tcW w:w="567" w:type="dxa"/>
            <w:vAlign w:val="center"/>
          </w:tcPr>
          <w:p w14:paraId="231AB67E" w14:textId="77777777" w:rsidR="007F3128" w:rsidRPr="009F337B" w:rsidRDefault="007F3128" w:rsidP="00F608A7">
            <w:pPr>
              <w:jc w:val="left"/>
              <w:rPr>
                <w:sz w:val="16"/>
                <w:szCs w:val="16"/>
                <w:lang w:val="en-US"/>
              </w:rPr>
            </w:pPr>
            <w:r w:rsidRPr="009F337B">
              <w:rPr>
                <w:sz w:val="16"/>
                <w:szCs w:val="16"/>
                <w:lang w:val="en-US"/>
              </w:rPr>
              <w:t>1</w:t>
            </w:r>
          </w:p>
        </w:tc>
        <w:tc>
          <w:tcPr>
            <w:tcW w:w="5211" w:type="dxa"/>
            <w:vAlign w:val="center"/>
          </w:tcPr>
          <w:p w14:paraId="52D7B2CC" w14:textId="1BD81D06" w:rsidR="007F3128" w:rsidRPr="009F337B" w:rsidRDefault="007F3128" w:rsidP="00F608A7">
            <w:pPr>
              <w:tabs>
                <w:tab w:val="left" w:pos="1277"/>
              </w:tabs>
              <w:jc w:val="left"/>
              <w:rPr>
                <w:sz w:val="16"/>
                <w:szCs w:val="16"/>
                <w:lang w:val="en-US"/>
              </w:rPr>
            </w:pPr>
            <w:r w:rsidRPr="009F337B">
              <w:rPr>
                <w:sz w:val="16"/>
                <w:szCs w:val="16"/>
                <w:lang w:val="en-US"/>
              </w:rPr>
              <w:t>Luis de León (</w:t>
            </w:r>
            <w:r w:rsidR="0010522A" w:rsidRPr="009F337B">
              <w:rPr>
                <w:sz w:val="16"/>
                <w:szCs w:val="16"/>
                <w:lang w:val="en-US"/>
              </w:rPr>
              <w:t>Husband</w:t>
            </w:r>
            <w:r w:rsidRPr="009F337B">
              <w:rPr>
                <w:sz w:val="16"/>
                <w:szCs w:val="16"/>
                <w:lang w:val="en-US"/>
              </w:rPr>
              <w:t>)</w:t>
            </w:r>
          </w:p>
        </w:tc>
      </w:tr>
      <w:tr w:rsidR="007F3128" w:rsidRPr="009F337B" w14:paraId="424B0892" w14:textId="77777777" w:rsidTr="0010522A">
        <w:tc>
          <w:tcPr>
            <w:tcW w:w="560" w:type="dxa"/>
            <w:gridSpan w:val="2"/>
            <w:vMerge/>
            <w:vAlign w:val="center"/>
          </w:tcPr>
          <w:p w14:paraId="07A00EC9" w14:textId="77777777" w:rsidR="007F3128" w:rsidRPr="009F337B" w:rsidRDefault="007F3128" w:rsidP="00F608A7">
            <w:pPr>
              <w:jc w:val="left"/>
              <w:rPr>
                <w:sz w:val="16"/>
                <w:szCs w:val="16"/>
                <w:lang w:val="en-US"/>
              </w:rPr>
            </w:pPr>
          </w:p>
        </w:tc>
        <w:tc>
          <w:tcPr>
            <w:tcW w:w="2950" w:type="dxa"/>
            <w:vMerge/>
            <w:vAlign w:val="center"/>
          </w:tcPr>
          <w:p w14:paraId="2263DAA3" w14:textId="77777777" w:rsidR="007F3128" w:rsidRPr="009F337B" w:rsidRDefault="007F3128" w:rsidP="00F608A7">
            <w:pPr>
              <w:jc w:val="left"/>
              <w:rPr>
                <w:sz w:val="16"/>
                <w:szCs w:val="16"/>
                <w:lang w:val="en-US"/>
              </w:rPr>
            </w:pPr>
          </w:p>
        </w:tc>
        <w:tc>
          <w:tcPr>
            <w:tcW w:w="567" w:type="dxa"/>
            <w:vAlign w:val="center"/>
          </w:tcPr>
          <w:p w14:paraId="6BC759BB" w14:textId="77777777" w:rsidR="007F3128" w:rsidRPr="009F337B" w:rsidRDefault="007F3128" w:rsidP="00F608A7">
            <w:pPr>
              <w:jc w:val="left"/>
              <w:rPr>
                <w:sz w:val="16"/>
                <w:szCs w:val="16"/>
                <w:lang w:val="en-US"/>
              </w:rPr>
            </w:pPr>
            <w:r w:rsidRPr="009F337B">
              <w:rPr>
                <w:sz w:val="16"/>
                <w:szCs w:val="16"/>
                <w:lang w:val="en-US"/>
              </w:rPr>
              <w:t>2</w:t>
            </w:r>
          </w:p>
        </w:tc>
        <w:tc>
          <w:tcPr>
            <w:tcW w:w="5211" w:type="dxa"/>
            <w:vAlign w:val="center"/>
          </w:tcPr>
          <w:p w14:paraId="59CA55D1" w14:textId="49918921" w:rsidR="007F3128" w:rsidRPr="009F337B" w:rsidRDefault="00B936FF" w:rsidP="00F608A7">
            <w:pPr>
              <w:tabs>
                <w:tab w:val="left" w:pos="1277"/>
              </w:tabs>
              <w:jc w:val="left"/>
              <w:rPr>
                <w:sz w:val="16"/>
                <w:szCs w:val="16"/>
                <w:lang w:val="en-US"/>
              </w:rPr>
            </w:pPr>
            <w:r w:rsidRPr="009F337B">
              <w:rPr>
                <w:sz w:val="16"/>
                <w:szCs w:val="16"/>
                <w:lang w:val="en-US"/>
              </w:rPr>
              <w:t>L.A.L.</w:t>
            </w:r>
            <w:r w:rsidRPr="009F337B">
              <w:rPr>
                <w:rStyle w:val="Refdenotaalpie"/>
                <w:sz w:val="16"/>
                <w:lang w:val="en-US"/>
              </w:rPr>
              <w:footnoteReference w:id="259"/>
            </w:r>
          </w:p>
        </w:tc>
      </w:tr>
      <w:tr w:rsidR="007F3128" w:rsidRPr="009F337B" w14:paraId="751013B2" w14:textId="77777777" w:rsidTr="0010522A">
        <w:tc>
          <w:tcPr>
            <w:tcW w:w="560" w:type="dxa"/>
            <w:gridSpan w:val="2"/>
            <w:vMerge/>
            <w:vAlign w:val="center"/>
          </w:tcPr>
          <w:p w14:paraId="5394941E" w14:textId="77777777" w:rsidR="007F3128" w:rsidRPr="009F337B" w:rsidRDefault="007F3128" w:rsidP="00F608A7">
            <w:pPr>
              <w:jc w:val="left"/>
              <w:rPr>
                <w:sz w:val="16"/>
                <w:szCs w:val="16"/>
                <w:lang w:val="en-US"/>
              </w:rPr>
            </w:pPr>
          </w:p>
        </w:tc>
        <w:tc>
          <w:tcPr>
            <w:tcW w:w="2950" w:type="dxa"/>
            <w:vMerge/>
            <w:vAlign w:val="center"/>
          </w:tcPr>
          <w:p w14:paraId="06031CE4" w14:textId="77777777" w:rsidR="007F3128" w:rsidRPr="009F337B" w:rsidRDefault="007F3128" w:rsidP="00F608A7">
            <w:pPr>
              <w:jc w:val="left"/>
              <w:rPr>
                <w:sz w:val="16"/>
                <w:szCs w:val="16"/>
                <w:lang w:val="en-US"/>
              </w:rPr>
            </w:pPr>
          </w:p>
        </w:tc>
        <w:tc>
          <w:tcPr>
            <w:tcW w:w="567" w:type="dxa"/>
            <w:vAlign w:val="center"/>
          </w:tcPr>
          <w:p w14:paraId="40781013" w14:textId="77777777" w:rsidR="007F3128" w:rsidRPr="009F337B" w:rsidRDefault="007F3128" w:rsidP="00F608A7">
            <w:pPr>
              <w:jc w:val="left"/>
              <w:rPr>
                <w:sz w:val="16"/>
                <w:szCs w:val="16"/>
                <w:lang w:val="en-US"/>
              </w:rPr>
            </w:pPr>
            <w:r w:rsidRPr="009F337B">
              <w:rPr>
                <w:sz w:val="16"/>
                <w:szCs w:val="16"/>
                <w:lang w:val="en-US"/>
              </w:rPr>
              <w:t>3</w:t>
            </w:r>
          </w:p>
        </w:tc>
        <w:tc>
          <w:tcPr>
            <w:tcW w:w="5211" w:type="dxa"/>
            <w:vAlign w:val="center"/>
          </w:tcPr>
          <w:p w14:paraId="590D7A0C" w14:textId="5A7BA96E" w:rsidR="007F3128" w:rsidRPr="00542AB5" w:rsidRDefault="007F3128" w:rsidP="00F608A7">
            <w:pPr>
              <w:tabs>
                <w:tab w:val="left" w:pos="1277"/>
              </w:tabs>
              <w:jc w:val="left"/>
              <w:rPr>
                <w:sz w:val="16"/>
                <w:szCs w:val="16"/>
                <w:lang w:val="es-CR"/>
              </w:rPr>
            </w:pPr>
            <w:r w:rsidRPr="00542AB5">
              <w:rPr>
                <w:sz w:val="16"/>
                <w:szCs w:val="16"/>
                <w:lang w:val="es-CR"/>
              </w:rPr>
              <w:t>Virgilio Ladislao Robledo Rodríguez (</w:t>
            </w:r>
            <w:r w:rsidR="0010522A" w:rsidRPr="00542AB5">
              <w:rPr>
                <w:sz w:val="16"/>
                <w:szCs w:val="16"/>
                <w:lang w:val="es-CR"/>
              </w:rPr>
              <w:t>Father</w:t>
            </w:r>
            <w:r w:rsidRPr="00542AB5">
              <w:rPr>
                <w:sz w:val="16"/>
                <w:szCs w:val="16"/>
                <w:lang w:val="es-CR"/>
              </w:rPr>
              <w:t>)</w:t>
            </w:r>
          </w:p>
        </w:tc>
      </w:tr>
      <w:tr w:rsidR="007F3128" w:rsidRPr="009F337B" w14:paraId="6AFA6B15" w14:textId="77777777" w:rsidTr="0010522A">
        <w:tc>
          <w:tcPr>
            <w:tcW w:w="560" w:type="dxa"/>
            <w:gridSpan w:val="2"/>
            <w:vMerge/>
            <w:vAlign w:val="center"/>
          </w:tcPr>
          <w:p w14:paraId="04D07EBE" w14:textId="77777777" w:rsidR="007F3128" w:rsidRPr="00542AB5" w:rsidRDefault="007F3128" w:rsidP="00F608A7">
            <w:pPr>
              <w:jc w:val="left"/>
              <w:rPr>
                <w:sz w:val="16"/>
                <w:szCs w:val="16"/>
                <w:lang w:val="es-CR"/>
              </w:rPr>
            </w:pPr>
          </w:p>
        </w:tc>
        <w:tc>
          <w:tcPr>
            <w:tcW w:w="2950" w:type="dxa"/>
            <w:vMerge/>
            <w:vAlign w:val="center"/>
          </w:tcPr>
          <w:p w14:paraId="4D9AE1DD" w14:textId="77777777" w:rsidR="007F3128" w:rsidRPr="00542AB5" w:rsidRDefault="007F3128" w:rsidP="00F608A7">
            <w:pPr>
              <w:jc w:val="left"/>
              <w:rPr>
                <w:sz w:val="16"/>
                <w:szCs w:val="16"/>
                <w:lang w:val="es-CR"/>
              </w:rPr>
            </w:pPr>
          </w:p>
        </w:tc>
        <w:tc>
          <w:tcPr>
            <w:tcW w:w="567" w:type="dxa"/>
            <w:vAlign w:val="center"/>
          </w:tcPr>
          <w:p w14:paraId="49D7C6E2" w14:textId="77777777" w:rsidR="007F3128" w:rsidRPr="009F337B" w:rsidRDefault="007F3128" w:rsidP="00F608A7">
            <w:pPr>
              <w:jc w:val="left"/>
              <w:rPr>
                <w:sz w:val="16"/>
                <w:szCs w:val="16"/>
                <w:lang w:val="en-US"/>
              </w:rPr>
            </w:pPr>
            <w:r w:rsidRPr="009F337B">
              <w:rPr>
                <w:sz w:val="16"/>
                <w:szCs w:val="16"/>
                <w:lang w:val="en-US"/>
              </w:rPr>
              <w:t>4</w:t>
            </w:r>
          </w:p>
        </w:tc>
        <w:tc>
          <w:tcPr>
            <w:tcW w:w="5211" w:type="dxa"/>
            <w:vAlign w:val="center"/>
          </w:tcPr>
          <w:p w14:paraId="75F59FA5" w14:textId="2582CC89" w:rsidR="007F3128" w:rsidRPr="00542AB5" w:rsidRDefault="007F3128" w:rsidP="00F608A7">
            <w:pPr>
              <w:tabs>
                <w:tab w:val="left" w:pos="1277"/>
              </w:tabs>
              <w:jc w:val="left"/>
              <w:rPr>
                <w:sz w:val="16"/>
                <w:szCs w:val="16"/>
                <w:lang w:val="es-CR"/>
              </w:rPr>
            </w:pPr>
            <w:r w:rsidRPr="00542AB5">
              <w:rPr>
                <w:sz w:val="16"/>
                <w:szCs w:val="16"/>
                <w:lang w:val="es-CR"/>
              </w:rPr>
              <w:t>Katarina Alvarado Mazariegos (</w:t>
            </w:r>
            <w:r w:rsidR="0010522A" w:rsidRPr="00542AB5">
              <w:rPr>
                <w:sz w:val="16"/>
                <w:szCs w:val="16"/>
                <w:lang w:val="es-CR"/>
              </w:rPr>
              <w:t>Mother,</w:t>
            </w:r>
            <w:r w:rsidRPr="00542AB5">
              <w:rPr>
                <w:sz w:val="16"/>
                <w:szCs w:val="16"/>
                <w:lang w:val="es-CR"/>
              </w:rPr>
              <w:t xml:space="preserve"> </w:t>
            </w:r>
            <w:r w:rsidR="0010522A" w:rsidRPr="00542AB5">
              <w:rPr>
                <w:sz w:val="16"/>
                <w:szCs w:val="16"/>
                <w:lang w:val="es-CR"/>
              </w:rPr>
              <w:t>deceased</w:t>
            </w:r>
            <w:r w:rsidRPr="00542AB5">
              <w:rPr>
                <w:sz w:val="16"/>
                <w:szCs w:val="16"/>
                <w:lang w:val="es-CR"/>
              </w:rPr>
              <w:t>)</w:t>
            </w:r>
          </w:p>
        </w:tc>
      </w:tr>
      <w:tr w:rsidR="007F3128" w:rsidRPr="009F337B" w14:paraId="2A565003" w14:textId="77777777" w:rsidTr="0010522A">
        <w:tc>
          <w:tcPr>
            <w:tcW w:w="560" w:type="dxa"/>
            <w:gridSpan w:val="2"/>
            <w:vMerge/>
            <w:vAlign w:val="center"/>
          </w:tcPr>
          <w:p w14:paraId="23EB0548" w14:textId="77777777" w:rsidR="007F3128" w:rsidRPr="00542AB5" w:rsidRDefault="007F3128" w:rsidP="00F608A7">
            <w:pPr>
              <w:jc w:val="left"/>
              <w:rPr>
                <w:sz w:val="16"/>
                <w:szCs w:val="16"/>
                <w:lang w:val="es-CR"/>
              </w:rPr>
            </w:pPr>
          </w:p>
        </w:tc>
        <w:tc>
          <w:tcPr>
            <w:tcW w:w="2950" w:type="dxa"/>
            <w:vMerge/>
            <w:vAlign w:val="center"/>
          </w:tcPr>
          <w:p w14:paraId="0A36705A" w14:textId="77777777" w:rsidR="007F3128" w:rsidRPr="00542AB5" w:rsidRDefault="007F3128" w:rsidP="00F608A7">
            <w:pPr>
              <w:jc w:val="left"/>
              <w:rPr>
                <w:sz w:val="16"/>
                <w:szCs w:val="16"/>
                <w:lang w:val="es-CR"/>
              </w:rPr>
            </w:pPr>
          </w:p>
        </w:tc>
        <w:tc>
          <w:tcPr>
            <w:tcW w:w="567" w:type="dxa"/>
            <w:vAlign w:val="center"/>
          </w:tcPr>
          <w:p w14:paraId="6580F453" w14:textId="77777777" w:rsidR="007F3128" w:rsidRPr="009F337B" w:rsidRDefault="007F3128" w:rsidP="00F608A7">
            <w:pPr>
              <w:jc w:val="left"/>
              <w:rPr>
                <w:sz w:val="16"/>
                <w:szCs w:val="16"/>
                <w:lang w:val="en-US"/>
              </w:rPr>
            </w:pPr>
            <w:r w:rsidRPr="009F337B">
              <w:rPr>
                <w:sz w:val="16"/>
                <w:szCs w:val="16"/>
                <w:lang w:val="en-US"/>
              </w:rPr>
              <w:t>5</w:t>
            </w:r>
          </w:p>
        </w:tc>
        <w:tc>
          <w:tcPr>
            <w:tcW w:w="5211" w:type="dxa"/>
            <w:vAlign w:val="center"/>
          </w:tcPr>
          <w:p w14:paraId="1F2A06DF" w14:textId="699C42DA" w:rsidR="007F3128" w:rsidRPr="00542AB5" w:rsidRDefault="007F3128" w:rsidP="00F608A7">
            <w:pPr>
              <w:tabs>
                <w:tab w:val="left" w:pos="1277"/>
              </w:tabs>
              <w:jc w:val="left"/>
              <w:rPr>
                <w:sz w:val="16"/>
                <w:szCs w:val="16"/>
                <w:lang w:val="es-CR"/>
              </w:rPr>
            </w:pPr>
            <w:r w:rsidRPr="00542AB5">
              <w:rPr>
                <w:sz w:val="16"/>
                <w:szCs w:val="16"/>
                <w:lang w:val="es-CR"/>
              </w:rPr>
              <w:t>Osvaldo Romeo Robledo Alvarado (</w:t>
            </w:r>
            <w:r w:rsidR="0010522A" w:rsidRPr="00542AB5">
              <w:rPr>
                <w:sz w:val="16"/>
                <w:szCs w:val="16"/>
                <w:lang w:val="es-CR"/>
              </w:rPr>
              <w:t>Brother</w:t>
            </w:r>
            <w:r w:rsidRPr="00542AB5">
              <w:rPr>
                <w:sz w:val="16"/>
                <w:szCs w:val="16"/>
                <w:lang w:val="es-CR"/>
              </w:rPr>
              <w:t>)</w:t>
            </w:r>
          </w:p>
        </w:tc>
      </w:tr>
      <w:tr w:rsidR="007F3128" w:rsidRPr="009F337B" w14:paraId="7428D954" w14:textId="77777777" w:rsidTr="0010522A">
        <w:tc>
          <w:tcPr>
            <w:tcW w:w="560" w:type="dxa"/>
            <w:gridSpan w:val="2"/>
            <w:vMerge/>
            <w:vAlign w:val="center"/>
          </w:tcPr>
          <w:p w14:paraId="4C484301" w14:textId="77777777" w:rsidR="007F3128" w:rsidRPr="00542AB5" w:rsidRDefault="007F3128" w:rsidP="00F608A7">
            <w:pPr>
              <w:jc w:val="left"/>
              <w:rPr>
                <w:sz w:val="16"/>
                <w:szCs w:val="16"/>
                <w:lang w:val="es-CR"/>
              </w:rPr>
            </w:pPr>
          </w:p>
        </w:tc>
        <w:tc>
          <w:tcPr>
            <w:tcW w:w="2950" w:type="dxa"/>
            <w:vMerge/>
            <w:vAlign w:val="center"/>
          </w:tcPr>
          <w:p w14:paraId="0B3F54E2" w14:textId="77777777" w:rsidR="007F3128" w:rsidRPr="00542AB5" w:rsidRDefault="007F3128" w:rsidP="00F608A7">
            <w:pPr>
              <w:jc w:val="left"/>
              <w:rPr>
                <w:sz w:val="16"/>
                <w:szCs w:val="16"/>
                <w:lang w:val="es-CR"/>
              </w:rPr>
            </w:pPr>
          </w:p>
        </w:tc>
        <w:tc>
          <w:tcPr>
            <w:tcW w:w="567" w:type="dxa"/>
            <w:vAlign w:val="center"/>
          </w:tcPr>
          <w:p w14:paraId="17A81B93" w14:textId="77777777" w:rsidR="007F3128" w:rsidRPr="009F337B" w:rsidRDefault="007F3128" w:rsidP="00F608A7">
            <w:pPr>
              <w:jc w:val="left"/>
              <w:rPr>
                <w:sz w:val="16"/>
                <w:szCs w:val="16"/>
                <w:lang w:val="en-US"/>
              </w:rPr>
            </w:pPr>
            <w:r w:rsidRPr="009F337B">
              <w:rPr>
                <w:sz w:val="16"/>
                <w:szCs w:val="16"/>
                <w:lang w:val="en-US"/>
              </w:rPr>
              <w:t>6</w:t>
            </w:r>
          </w:p>
        </w:tc>
        <w:tc>
          <w:tcPr>
            <w:tcW w:w="5211" w:type="dxa"/>
            <w:vAlign w:val="center"/>
          </w:tcPr>
          <w:p w14:paraId="27369618" w14:textId="062E62CD" w:rsidR="007F3128" w:rsidRPr="00542AB5" w:rsidRDefault="007F3128" w:rsidP="00F608A7">
            <w:pPr>
              <w:tabs>
                <w:tab w:val="left" w:pos="1277"/>
              </w:tabs>
              <w:jc w:val="left"/>
              <w:rPr>
                <w:sz w:val="16"/>
                <w:szCs w:val="16"/>
                <w:lang w:val="es-CR"/>
              </w:rPr>
            </w:pPr>
            <w:r w:rsidRPr="00542AB5">
              <w:rPr>
                <w:sz w:val="16"/>
                <w:szCs w:val="16"/>
                <w:lang w:val="es-CR"/>
              </w:rPr>
              <w:t>Bertha Luz Robledo Alvarado (</w:t>
            </w:r>
            <w:r w:rsidR="0010522A" w:rsidRPr="00542AB5">
              <w:rPr>
                <w:sz w:val="16"/>
                <w:szCs w:val="16"/>
                <w:lang w:val="es-CR"/>
              </w:rPr>
              <w:t>Sister</w:t>
            </w:r>
            <w:r w:rsidRPr="00542AB5">
              <w:rPr>
                <w:sz w:val="16"/>
                <w:szCs w:val="16"/>
                <w:lang w:val="es-CR"/>
              </w:rPr>
              <w:t>)</w:t>
            </w:r>
          </w:p>
        </w:tc>
      </w:tr>
      <w:tr w:rsidR="007F3128" w:rsidRPr="009F337B" w14:paraId="1C48A866" w14:textId="77777777" w:rsidTr="0010522A">
        <w:tc>
          <w:tcPr>
            <w:tcW w:w="560" w:type="dxa"/>
            <w:gridSpan w:val="2"/>
            <w:vMerge/>
            <w:vAlign w:val="center"/>
          </w:tcPr>
          <w:p w14:paraId="5E2657B6" w14:textId="77777777" w:rsidR="007F3128" w:rsidRPr="00542AB5" w:rsidRDefault="007F3128" w:rsidP="00F608A7">
            <w:pPr>
              <w:jc w:val="left"/>
              <w:rPr>
                <w:sz w:val="16"/>
                <w:szCs w:val="16"/>
                <w:lang w:val="es-CR"/>
              </w:rPr>
            </w:pPr>
          </w:p>
        </w:tc>
        <w:tc>
          <w:tcPr>
            <w:tcW w:w="2950" w:type="dxa"/>
            <w:vMerge/>
            <w:vAlign w:val="center"/>
          </w:tcPr>
          <w:p w14:paraId="7FFFC60B" w14:textId="77777777" w:rsidR="007F3128" w:rsidRPr="00542AB5" w:rsidRDefault="007F3128" w:rsidP="00F608A7">
            <w:pPr>
              <w:jc w:val="left"/>
              <w:rPr>
                <w:sz w:val="16"/>
                <w:szCs w:val="16"/>
                <w:lang w:val="es-CR"/>
              </w:rPr>
            </w:pPr>
          </w:p>
        </w:tc>
        <w:tc>
          <w:tcPr>
            <w:tcW w:w="567" w:type="dxa"/>
            <w:vAlign w:val="center"/>
          </w:tcPr>
          <w:p w14:paraId="125D878A" w14:textId="77777777" w:rsidR="007F3128" w:rsidRPr="009F337B" w:rsidRDefault="007F3128" w:rsidP="00F608A7">
            <w:pPr>
              <w:jc w:val="left"/>
              <w:rPr>
                <w:sz w:val="16"/>
                <w:szCs w:val="16"/>
                <w:lang w:val="en-US"/>
              </w:rPr>
            </w:pPr>
            <w:r w:rsidRPr="009F337B">
              <w:rPr>
                <w:sz w:val="16"/>
                <w:szCs w:val="16"/>
                <w:lang w:val="en-US"/>
              </w:rPr>
              <w:t>7</w:t>
            </w:r>
          </w:p>
        </w:tc>
        <w:tc>
          <w:tcPr>
            <w:tcW w:w="5211" w:type="dxa"/>
            <w:vAlign w:val="center"/>
          </w:tcPr>
          <w:p w14:paraId="2925700F" w14:textId="47683845" w:rsidR="007F3128" w:rsidRPr="009F337B" w:rsidRDefault="007F3128" w:rsidP="00F608A7">
            <w:pPr>
              <w:tabs>
                <w:tab w:val="left" w:pos="1277"/>
              </w:tabs>
              <w:jc w:val="left"/>
              <w:rPr>
                <w:sz w:val="16"/>
                <w:szCs w:val="16"/>
                <w:lang w:val="en-US"/>
              </w:rPr>
            </w:pPr>
            <w:r w:rsidRPr="009F337B">
              <w:rPr>
                <w:sz w:val="16"/>
                <w:szCs w:val="16"/>
                <w:lang w:val="en-US"/>
              </w:rPr>
              <w:t>Gelber Manuel Robledo Alvarado (</w:t>
            </w:r>
            <w:r w:rsidR="0010522A" w:rsidRPr="009F337B">
              <w:rPr>
                <w:sz w:val="16"/>
                <w:szCs w:val="16"/>
                <w:lang w:val="en-US"/>
              </w:rPr>
              <w:t>Brother</w:t>
            </w:r>
            <w:r w:rsidRPr="009F337B">
              <w:rPr>
                <w:sz w:val="16"/>
                <w:szCs w:val="16"/>
                <w:lang w:val="en-US"/>
              </w:rPr>
              <w:t>)</w:t>
            </w:r>
          </w:p>
        </w:tc>
      </w:tr>
      <w:tr w:rsidR="007F3128" w:rsidRPr="009F337B" w14:paraId="737FEA95" w14:textId="77777777" w:rsidTr="0010522A">
        <w:tc>
          <w:tcPr>
            <w:tcW w:w="560" w:type="dxa"/>
            <w:gridSpan w:val="2"/>
            <w:vMerge/>
            <w:vAlign w:val="center"/>
          </w:tcPr>
          <w:p w14:paraId="2A710655" w14:textId="77777777" w:rsidR="007F3128" w:rsidRPr="009F337B" w:rsidRDefault="007F3128" w:rsidP="00F608A7">
            <w:pPr>
              <w:jc w:val="left"/>
              <w:rPr>
                <w:sz w:val="16"/>
                <w:szCs w:val="16"/>
                <w:lang w:val="en-US"/>
              </w:rPr>
            </w:pPr>
          </w:p>
        </w:tc>
        <w:tc>
          <w:tcPr>
            <w:tcW w:w="2950" w:type="dxa"/>
            <w:vMerge/>
            <w:vAlign w:val="center"/>
          </w:tcPr>
          <w:p w14:paraId="4D0CA3F9" w14:textId="77777777" w:rsidR="007F3128" w:rsidRPr="009F337B" w:rsidRDefault="007F3128" w:rsidP="00F608A7">
            <w:pPr>
              <w:jc w:val="left"/>
              <w:rPr>
                <w:sz w:val="16"/>
                <w:szCs w:val="16"/>
                <w:lang w:val="en-US"/>
              </w:rPr>
            </w:pPr>
          </w:p>
        </w:tc>
        <w:tc>
          <w:tcPr>
            <w:tcW w:w="567" w:type="dxa"/>
            <w:vAlign w:val="center"/>
          </w:tcPr>
          <w:p w14:paraId="78FB7107" w14:textId="77777777" w:rsidR="007F3128" w:rsidRPr="009F337B" w:rsidRDefault="007F3128" w:rsidP="00F608A7">
            <w:pPr>
              <w:jc w:val="left"/>
              <w:rPr>
                <w:sz w:val="16"/>
                <w:szCs w:val="16"/>
                <w:lang w:val="en-US"/>
              </w:rPr>
            </w:pPr>
            <w:r w:rsidRPr="009F337B">
              <w:rPr>
                <w:sz w:val="16"/>
                <w:szCs w:val="16"/>
                <w:lang w:val="en-US"/>
              </w:rPr>
              <w:t>8</w:t>
            </w:r>
          </w:p>
        </w:tc>
        <w:tc>
          <w:tcPr>
            <w:tcW w:w="5211" w:type="dxa"/>
            <w:vAlign w:val="center"/>
          </w:tcPr>
          <w:p w14:paraId="612C171F" w14:textId="208A44E0" w:rsidR="007F3128" w:rsidRPr="009F337B" w:rsidRDefault="007F3128" w:rsidP="00F608A7">
            <w:pPr>
              <w:tabs>
                <w:tab w:val="left" w:pos="1277"/>
              </w:tabs>
              <w:jc w:val="left"/>
              <w:rPr>
                <w:sz w:val="16"/>
                <w:szCs w:val="16"/>
                <w:lang w:val="en-US"/>
              </w:rPr>
            </w:pPr>
            <w:r w:rsidRPr="009F337B">
              <w:rPr>
                <w:sz w:val="16"/>
                <w:szCs w:val="16"/>
                <w:lang w:val="en-US"/>
              </w:rPr>
              <w:t>Leticia Robledo Alvarado (</w:t>
            </w:r>
            <w:r w:rsidR="0010522A" w:rsidRPr="009F337B">
              <w:rPr>
                <w:sz w:val="16"/>
                <w:szCs w:val="16"/>
                <w:lang w:val="en-US"/>
              </w:rPr>
              <w:t>Sister</w:t>
            </w:r>
            <w:r w:rsidRPr="009F337B">
              <w:rPr>
                <w:sz w:val="16"/>
                <w:szCs w:val="16"/>
                <w:lang w:val="en-US"/>
              </w:rPr>
              <w:t>)</w:t>
            </w:r>
          </w:p>
        </w:tc>
      </w:tr>
      <w:tr w:rsidR="007F3128" w:rsidRPr="009F337B" w14:paraId="3E71767E" w14:textId="77777777" w:rsidTr="0010522A">
        <w:tc>
          <w:tcPr>
            <w:tcW w:w="560" w:type="dxa"/>
            <w:gridSpan w:val="2"/>
            <w:vMerge/>
            <w:vAlign w:val="center"/>
          </w:tcPr>
          <w:p w14:paraId="0D574CAB" w14:textId="77777777" w:rsidR="007F3128" w:rsidRPr="009F337B" w:rsidRDefault="007F3128" w:rsidP="00F608A7">
            <w:pPr>
              <w:jc w:val="left"/>
              <w:rPr>
                <w:sz w:val="16"/>
                <w:szCs w:val="16"/>
                <w:lang w:val="en-US"/>
              </w:rPr>
            </w:pPr>
          </w:p>
        </w:tc>
        <w:tc>
          <w:tcPr>
            <w:tcW w:w="2950" w:type="dxa"/>
            <w:vMerge/>
            <w:vAlign w:val="center"/>
          </w:tcPr>
          <w:p w14:paraId="6924FD3B" w14:textId="77777777" w:rsidR="007F3128" w:rsidRPr="009F337B" w:rsidRDefault="007F3128" w:rsidP="00F608A7">
            <w:pPr>
              <w:jc w:val="left"/>
              <w:rPr>
                <w:sz w:val="16"/>
                <w:szCs w:val="16"/>
                <w:lang w:val="en-US"/>
              </w:rPr>
            </w:pPr>
          </w:p>
        </w:tc>
        <w:tc>
          <w:tcPr>
            <w:tcW w:w="567" w:type="dxa"/>
            <w:vAlign w:val="center"/>
          </w:tcPr>
          <w:p w14:paraId="4B13BAB7" w14:textId="77777777" w:rsidR="007F3128" w:rsidRPr="009F337B" w:rsidRDefault="007F3128" w:rsidP="00F608A7">
            <w:pPr>
              <w:jc w:val="left"/>
              <w:rPr>
                <w:sz w:val="16"/>
                <w:szCs w:val="16"/>
                <w:lang w:val="en-US"/>
              </w:rPr>
            </w:pPr>
            <w:r w:rsidRPr="009F337B">
              <w:rPr>
                <w:sz w:val="16"/>
                <w:szCs w:val="16"/>
                <w:lang w:val="en-US"/>
              </w:rPr>
              <w:t>9</w:t>
            </w:r>
          </w:p>
        </w:tc>
        <w:tc>
          <w:tcPr>
            <w:tcW w:w="5211" w:type="dxa"/>
            <w:vAlign w:val="center"/>
          </w:tcPr>
          <w:p w14:paraId="4EEEE91A" w14:textId="3040C2ED" w:rsidR="007F3128" w:rsidRPr="009F337B" w:rsidRDefault="007F3128" w:rsidP="00F608A7">
            <w:pPr>
              <w:tabs>
                <w:tab w:val="left" w:pos="1277"/>
              </w:tabs>
              <w:jc w:val="left"/>
              <w:rPr>
                <w:sz w:val="16"/>
                <w:szCs w:val="16"/>
                <w:lang w:val="en-US"/>
              </w:rPr>
            </w:pPr>
            <w:r w:rsidRPr="009F337B">
              <w:rPr>
                <w:sz w:val="16"/>
                <w:szCs w:val="16"/>
                <w:lang w:val="en-US"/>
              </w:rPr>
              <w:t>Kener Guilfredo Robledo Alvarado (</w:t>
            </w:r>
            <w:r w:rsidR="0010522A" w:rsidRPr="009F337B">
              <w:rPr>
                <w:sz w:val="16"/>
                <w:szCs w:val="16"/>
                <w:lang w:val="en-US"/>
              </w:rPr>
              <w:t>Brother</w:t>
            </w:r>
            <w:r w:rsidRPr="009F337B">
              <w:rPr>
                <w:sz w:val="16"/>
                <w:szCs w:val="16"/>
                <w:lang w:val="en-US"/>
              </w:rPr>
              <w:t>)</w:t>
            </w:r>
          </w:p>
        </w:tc>
      </w:tr>
      <w:tr w:rsidR="007F3128" w:rsidRPr="00310E7A" w14:paraId="5DAAF93D" w14:textId="77777777" w:rsidTr="0010522A">
        <w:tc>
          <w:tcPr>
            <w:tcW w:w="560" w:type="dxa"/>
            <w:gridSpan w:val="2"/>
            <w:vMerge/>
            <w:vAlign w:val="center"/>
          </w:tcPr>
          <w:p w14:paraId="21DB96C4" w14:textId="77777777" w:rsidR="007F3128" w:rsidRPr="009F337B" w:rsidRDefault="007F3128" w:rsidP="00F608A7">
            <w:pPr>
              <w:jc w:val="left"/>
              <w:rPr>
                <w:sz w:val="16"/>
                <w:szCs w:val="16"/>
                <w:lang w:val="en-US"/>
              </w:rPr>
            </w:pPr>
          </w:p>
        </w:tc>
        <w:tc>
          <w:tcPr>
            <w:tcW w:w="2950" w:type="dxa"/>
            <w:vMerge/>
            <w:vAlign w:val="center"/>
          </w:tcPr>
          <w:p w14:paraId="0033B2A0" w14:textId="77777777" w:rsidR="007F3128" w:rsidRPr="009F337B" w:rsidRDefault="007F3128" w:rsidP="00F608A7">
            <w:pPr>
              <w:jc w:val="left"/>
              <w:rPr>
                <w:sz w:val="16"/>
                <w:szCs w:val="16"/>
                <w:lang w:val="en-US"/>
              </w:rPr>
            </w:pPr>
          </w:p>
        </w:tc>
        <w:tc>
          <w:tcPr>
            <w:tcW w:w="567" w:type="dxa"/>
            <w:vAlign w:val="center"/>
          </w:tcPr>
          <w:p w14:paraId="5A585A4C" w14:textId="77777777" w:rsidR="007F3128" w:rsidRPr="009F337B" w:rsidRDefault="007F3128" w:rsidP="00F608A7">
            <w:pPr>
              <w:jc w:val="left"/>
              <w:rPr>
                <w:sz w:val="16"/>
                <w:szCs w:val="16"/>
                <w:lang w:val="en-US"/>
              </w:rPr>
            </w:pPr>
            <w:r w:rsidRPr="009F337B">
              <w:rPr>
                <w:sz w:val="16"/>
                <w:szCs w:val="16"/>
                <w:lang w:val="en-US"/>
              </w:rPr>
              <w:t>10</w:t>
            </w:r>
          </w:p>
        </w:tc>
        <w:tc>
          <w:tcPr>
            <w:tcW w:w="5211" w:type="dxa"/>
            <w:vAlign w:val="center"/>
          </w:tcPr>
          <w:p w14:paraId="0A8CFBF7" w14:textId="16F9A283" w:rsidR="007F3128" w:rsidRPr="009F337B" w:rsidRDefault="007F3128" w:rsidP="00F608A7">
            <w:pPr>
              <w:tabs>
                <w:tab w:val="left" w:pos="1277"/>
              </w:tabs>
              <w:jc w:val="left"/>
              <w:rPr>
                <w:sz w:val="16"/>
                <w:szCs w:val="16"/>
                <w:lang w:val="en-US"/>
              </w:rPr>
            </w:pPr>
            <w:r w:rsidRPr="009F337B">
              <w:rPr>
                <w:sz w:val="16"/>
                <w:szCs w:val="16"/>
                <w:lang w:val="en-US"/>
              </w:rPr>
              <w:t>Boanerges Onelio Robledo Alvarado (</w:t>
            </w:r>
            <w:r w:rsidR="0010522A" w:rsidRPr="009F337B">
              <w:rPr>
                <w:sz w:val="16"/>
                <w:szCs w:val="16"/>
                <w:lang w:val="en-US"/>
              </w:rPr>
              <w:t>Brother</w:t>
            </w:r>
            <w:r w:rsidRPr="009F337B">
              <w:rPr>
                <w:sz w:val="16"/>
                <w:szCs w:val="16"/>
                <w:lang w:val="en-US"/>
              </w:rPr>
              <w:t>)</w:t>
            </w:r>
          </w:p>
        </w:tc>
      </w:tr>
      <w:tr w:rsidR="007F3128" w:rsidRPr="009F337B" w14:paraId="5B90DA9A" w14:textId="77777777" w:rsidTr="0010522A">
        <w:tc>
          <w:tcPr>
            <w:tcW w:w="560" w:type="dxa"/>
            <w:gridSpan w:val="2"/>
            <w:vMerge/>
            <w:vAlign w:val="center"/>
          </w:tcPr>
          <w:p w14:paraId="03287015" w14:textId="77777777" w:rsidR="007F3128" w:rsidRPr="009F337B" w:rsidRDefault="007F3128" w:rsidP="00F608A7">
            <w:pPr>
              <w:jc w:val="left"/>
              <w:rPr>
                <w:sz w:val="16"/>
                <w:szCs w:val="16"/>
                <w:lang w:val="en-US"/>
              </w:rPr>
            </w:pPr>
          </w:p>
        </w:tc>
        <w:tc>
          <w:tcPr>
            <w:tcW w:w="2950" w:type="dxa"/>
            <w:vMerge/>
            <w:vAlign w:val="center"/>
          </w:tcPr>
          <w:p w14:paraId="41607DB7" w14:textId="77777777" w:rsidR="007F3128" w:rsidRPr="009F337B" w:rsidRDefault="007F3128" w:rsidP="00F608A7">
            <w:pPr>
              <w:jc w:val="left"/>
              <w:rPr>
                <w:sz w:val="16"/>
                <w:szCs w:val="16"/>
                <w:lang w:val="en-US"/>
              </w:rPr>
            </w:pPr>
          </w:p>
        </w:tc>
        <w:tc>
          <w:tcPr>
            <w:tcW w:w="567" w:type="dxa"/>
            <w:vAlign w:val="center"/>
          </w:tcPr>
          <w:p w14:paraId="2DC3B624" w14:textId="77777777" w:rsidR="007F3128" w:rsidRPr="009F337B" w:rsidRDefault="007F3128" w:rsidP="00F608A7">
            <w:pPr>
              <w:jc w:val="left"/>
              <w:rPr>
                <w:sz w:val="16"/>
                <w:szCs w:val="16"/>
                <w:lang w:val="en-US"/>
              </w:rPr>
            </w:pPr>
            <w:r w:rsidRPr="009F337B">
              <w:rPr>
                <w:sz w:val="16"/>
                <w:szCs w:val="16"/>
                <w:lang w:val="en-US"/>
              </w:rPr>
              <w:t>11</w:t>
            </w:r>
          </w:p>
        </w:tc>
        <w:tc>
          <w:tcPr>
            <w:tcW w:w="5211" w:type="dxa"/>
            <w:vAlign w:val="center"/>
          </w:tcPr>
          <w:p w14:paraId="482F59B2" w14:textId="3EF78C9E" w:rsidR="007F3128" w:rsidRPr="00542AB5" w:rsidRDefault="007F3128" w:rsidP="00F608A7">
            <w:pPr>
              <w:tabs>
                <w:tab w:val="left" w:pos="1277"/>
              </w:tabs>
              <w:jc w:val="left"/>
              <w:rPr>
                <w:sz w:val="16"/>
                <w:szCs w:val="16"/>
                <w:lang w:val="es-CR"/>
              </w:rPr>
            </w:pPr>
            <w:r w:rsidRPr="00542AB5">
              <w:rPr>
                <w:sz w:val="16"/>
                <w:szCs w:val="16"/>
                <w:lang w:val="es-CR"/>
              </w:rPr>
              <w:t>Edvin Otoniel Gómez Robledo Alvarado (</w:t>
            </w:r>
            <w:r w:rsidR="0010522A" w:rsidRPr="00542AB5">
              <w:rPr>
                <w:sz w:val="16"/>
                <w:szCs w:val="16"/>
                <w:lang w:val="es-CR"/>
              </w:rPr>
              <w:t>Nephew</w:t>
            </w:r>
            <w:r w:rsidRPr="00542AB5">
              <w:rPr>
                <w:sz w:val="16"/>
                <w:szCs w:val="16"/>
                <w:lang w:val="es-CR"/>
              </w:rPr>
              <w:t>)</w:t>
            </w:r>
          </w:p>
        </w:tc>
      </w:tr>
      <w:tr w:rsidR="007F3128" w:rsidRPr="009F337B" w14:paraId="118CC48E" w14:textId="77777777" w:rsidTr="0010522A">
        <w:tc>
          <w:tcPr>
            <w:tcW w:w="560" w:type="dxa"/>
            <w:gridSpan w:val="2"/>
            <w:vMerge w:val="restart"/>
            <w:vAlign w:val="center"/>
          </w:tcPr>
          <w:p w14:paraId="5F1F3716" w14:textId="77777777" w:rsidR="007F3128" w:rsidRPr="009F337B" w:rsidRDefault="007F3128" w:rsidP="00F608A7">
            <w:pPr>
              <w:jc w:val="left"/>
              <w:rPr>
                <w:sz w:val="16"/>
                <w:szCs w:val="16"/>
                <w:lang w:val="en-US"/>
              </w:rPr>
            </w:pPr>
            <w:r w:rsidRPr="009F337B">
              <w:rPr>
                <w:sz w:val="16"/>
                <w:szCs w:val="16"/>
                <w:lang w:val="en-US"/>
              </w:rPr>
              <w:t>39</w:t>
            </w:r>
          </w:p>
        </w:tc>
        <w:tc>
          <w:tcPr>
            <w:tcW w:w="2950" w:type="dxa"/>
            <w:vMerge w:val="restart"/>
            <w:vAlign w:val="center"/>
          </w:tcPr>
          <w:p w14:paraId="4B912B78" w14:textId="7C24C818" w:rsidR="007F3128" w:rsidRPr="009F337B" w:rsidRDefault="007F3128" w:rsidP="00F608A7">
            <w:pPr>
              <w:jc w:val="left"/>
              <w:rPr>
                <w:sz w:val="16"/>
                <w:szCs w:val="16"/>
                <w:lang w:val="en-US"/>
              </w:rPr>
            </w:pPr>
            <w:r w:rsidRPr="009F337B">
              <w:rPr>
                <w:sz w:val="16"/>
                <w:szCs w:val="16"/>
                <w:lang w:val="en-US"/>
              </w:rPr>
              <w:t>Audencio Rodas Rodríguez</w:t>
            </w:r>
          </w:p>
        </w:tc>
        <w:tc>
          <w:tcPr>
            <w:tcW w:w="567" w:type="dxa"/>
            <w:vAlign w:val="center"/>
          </w:tcPr>
          <w:p w14:paraId="1B3D8AB0" w14:textId="77777777" w:rsidR="007F3128" w:rsidRPr="009F337B" w:rsidRDefault="007F3128" w:rsidP="00F608A7">
            <w:pPr>
              <w:jc w:val="left"/>
              <w:rPr>
                <w:sz w:val="16"/>
                <w:szCs w:val="16"/>
                <w:lang w:val="en-US"/>
              </w:rPr>
            </w:pPr>
            <w:r w:rsidRPr="009F337B">
              <w:rPr>
                <w:sz w:val="16"/>
                <w:szCs w:val="16"/>
                <w:lang w:val="en-US"/>
              </w:rPr>
              <w:t>1</w:t>
            </w:r>
          </w:p>
        </w:tc>
        <w:tc>
          <w:tcPr>
            <w:tcW w:w="5211" w:type="dxa"/>
            <w:vAlign w:val="center"/>
          </w:tcPr>
          <w:p w14:paraId="22FE5197" w14:textId="12446A3A" w:rsidR="007F3128" w:rsidRPr="009F337B" w:rsidRDefault="007F3128" w:rsidP="00F608A7">
            <w:pPr>
              <w:tabs>
                <w:tab w:val="left" w:pos="1277"/>
              </w:tabs>
              <w:jc w:val="left"/>
              <w:rPr>
                <w:sz w:val="16"/>
                <w:szCs w:val="16"/>
                <w:lang w:val="en-US"/>
              </w:rPr>
            </w:pPr>
            <w:r w:rsidRPr="009F337B">
              <w:rPr>
                <w:sz w:val="16"/>
                <w:szCs w:val="16"/>
                <w:lang w:val="en-US"/>
              </w:rPr>
              <w:t>Carmen Mérida Coronado (</w:t>
            </w:r>
            <w:r w:rsidR="0010522A" w:rsidRPr="009F337B">
              <w:rPr>
                <w:sz w:val="16"/>
                <w:szCs w:val="16"/>
                <w:lang w:val="en-US"/>
              </w:rPr>
              <w:t>Wife</w:t>
            </w:r>
            <w:r w:rsidRPr="009F337B">
              <w:rPr>
                <w:sz w:val="16"/>
                <w:szCs w:val="16"/>
                <w:lang w:val="en-US"/>
              </w:rPr>
              <w:t>)</w:t>
            </w:r>
          </w:p>
        </w:tc>
      </w:tr>
      <w:tr w:rsidR="007F3128" w:rsidRPr="009F337B" w14:paraId="209B798C" w14:textId="77777777" w:rsidTr="0010522A">
        <w:tc>
          <w:tcPr>
            <w:tcW w:w="560" w:type="dxa"/>
            <w:gridSpan w:val="2"/>
            <w:vMerge/>
            <w:vAlign w:val="center"/>
          </w:tcPr>
          <w:p w14:paraId="605D45FD" w14:textId="77777777" w:rsidR="007F3128" w:rsidRPr="009F337B" w:rsidRDefault="007F3128" w:rsidP="00F608A7">
            <w:pPr>
              <w:jc w:val="left"/>
              <w:rPr>
                <w:sz w:val="16"/>
                <w:szCs w:val="16"/>
                <w:lang w:val="en-US"/>
              </w:rPr>
            </w:pPr>
          </w:p>
        </w:tc>
        <w:tc>
          <w:tcPr>
            <w:tcW w:w="2950" w:type="dxa"/>
            <w:vMerge/>
            <w:vAlign w:val="center"/>
          </w:tcPr>
          <w:p w14:paraId="7552E2E8" w14:textId="77777777" w:rsidR="007F3128" w:rsidRPr="009F337B" w:rsidRDefault="007F3128" w:rsidP="00F608A7">
            <w:pPr>
              <w:jc w:val="left"/>
              <w:rPr>
                <w:sz w:val="16"/>
                <w:szCs w:val="16"/>
                <w:lang w:val="en-US"/>
              </w:rPr>
            </w:pPr>
          </w:p>
        </w:tc>
        <w:tc>
          <w:tcPr>
            <w:tcW w:w="567" w:type="dxa"/>
            <w:vAlign w:val="center"/>
          </w:tcPr>
          <w:p w14:paraId="07D7E2FC" w14:textId="77777777" w:rsidR="007F3128" w:rsidRPr="009F337B" w:rsidRDefault="007F3128" w:rsidP="00F608A7">
            <w:pPr>
              <w:jc w:val="left"/>
              <w:rPr>
                <w:sz w:val="16"/>
                <w:szCs w:val="16"/>
                <w:lang w:val="en-US"/>
              </w:rPr>
            </w:pPr>
            <w:r w:rsidRPr="009F337B">
              <w:rPr>
                <w:sz w:val="16"/>
                <w:szCs w:val="16"/>
                <w:lang w:val="en-US"/>
              </w:rPr>
              <w:t>2</w:t>
            </w:r>
          </w:p>
        </w:tc>
        <w:tc>
          <w:tcPr>
            <w:tcW w:w="5211" w:type="dxa"/>
            <w:vAlign w:val="center"/>
          </w:tcPr>
          <w:p w14:paraId="002B850A" w14:textId="2EE53974" w:rsidR="007F3128" w:rsidRPr="00542AB5" w:rsidRDefault="007F3128" w:rsidP="00F608A7">
            <w:pPr>
              <w:tabs>
                <w:tab w:val="left" w:pos="1277"/>
              </w:tabs>
              <w:jc w:val="left"/>
              <w:rPr>
                <w:sz w:val="16"/>
                <w:szCs w:val="16"/>
                <w:lang w:val="es-CR"/>
              </w:rPr>
            </w:pPr>
            <w:r w:rsidRPr="00542AB5">
              <w:rPr>
                <w:sz w:val="16"/>
                <w:szCs w:val="16"/>
                <w:lang w:val="es-CR"/>
              </w:rPr>
              <w:t>Aníbal Leonel Rodas Mérida (</w:t>
            </w:r>
            <w:r w:rsidR="0010522A" w:rsidRPr="00542AB5">
              <w:rPr>
                <w:sz w:val="16"/>
                <w:szCs w:val="16"/>
                <w:lang w:val="es-CR"/>
              </w:rPr>
              <w:t>Son</w:t>
            </w:r>
            <w:r w:rsidRPr="00542AB5">
              <w:rPr>
                <w:sz w:val="16"/>
                <w:szCs w:val="16"/>
                <w:lang w:val="es-CR"/>
              </w:rPr>
              <w:t>)</w:t>
            </w:r>
          </w:p>
        </w:tc>
      </w:tr>
      <w:tr w:rsidR="007F3128" w:rsidRPr="009F337B" w14:paraId="424B200D" w14:textId="77777777" w:rsidTr="0010522A">
        <w:tc>
          <w:tcPr>
            <w:tcW w:w="560" w:type="dxa"/>
            <w:gridSpan w:val="2"/>
            <w:vMerge/>
            <w:vAlign w:val="center"/>
          </w:tcPr>
          <w:p w14:paraId="0792AA15" w14:textId="77777777" w:rsidR="007F3128" w:rsidRPr="00542AB5" w:rsidRDefault="007F3128" w:rsidP="00F608A7">
            <w:pPr>
              <w:jc w:val="left"/>
              <w:rPr>
                <w:sz w:val="16"/>
                <w:szCs w:val="16"/>
                <w:lang w:val="es-CR"/>
              </w:rPr>
            </w:pPr>
          </w:p>
        </w:tc>
        <w:tc>
          <w:tcPr>
            <w:tcW w:w="2950" w:type="dxa"/>
            <w:vMerge/>
            <w:vAlign w:val="center"/>
          </w:tcPr>
          <w:p w14:paraId="2093AEAA" w14:textId="77777777" w:rsidR="007F3128" w:rsidRPr="00542AB5" w:rsidRDefault="007F3128" w:rsidP="00F608A7">
            <w:pPr>
              <w:jc w:val="left"/>
              <w:rPr>
                <w:sz w:val="16"/>
                <w:szCs w:val="16"/>
                <w:lang w:val="es-CR"/>
              </w:rPr>
            </w:pPr>
          </w:p>
        </w:tc>
        <w:tc>
          <w:tcPr>
            <w:tcW w:w="567" w:type="dxa"/>
            <w:vAlign w:val="center"/>
          </w:tcPr>
          <w:p w14:paraId="5CA06ABA" w14:textId="77777777" w:rsidR="007F3128" w:rsidRPr="009F337B" w:rsidRDefault="007F3128" w:rsidP="00F608A7">
            <w:pPr>
              <w:jc w:val="left"/>
              <w:rPr>
                <w:sz w:val="16"/>
                <w:szCs w:val="16"/>
                <w:lang w:val="en-US"/>
              </w:rPr>
            </w:pPr>
            <w:r w:rsidRPr="009F337B">
              <w:rPr>
                <w:sz w:val="16"/>
                <w:szCs w:val="16"/>
                <w:lang w:val="en-US"/>
              </w:rPr>
              <w:t>3</w:t>
            </w:r>
          </w:p>
        </w:tc>
        <w:tc>
          <w:tcPr>
            <w:tcW w:w="5211" w:type="dxa"/>
            <w:vAlign w:val="center"/>
          </w:tcPr>
          <w:p w14:paraId="112B398A" w14:textId="552C9E9A" w:rsidR="007F3128" w:rsidRPr="00542AB5" w:rsidRDefault="007F3128" w:rsidP="00F608A7">
            <w:pPr>
              <w:tabs>
                <w:tab w:val="left" w:pos="1277"/>
              </w:tabs>
              <w:jc w:val="left"/>
              <w:rPr>
                <w:b/>
                <w:sz w:val="16"/>
                <w:szCs w:val="16"/>
                <w:lang w:val="es-CR"/>
              </w:rPr>
            </w:pPr>
            <w:r w:rsidRPr="00542AB5">
              <w:rPr>
                <w:sz w:val="16"/>
                <w:szCs w:val="16"/>
                <w:lang w:val="es-CR"/>
              </w:rPr>
              <w:t>Clara Verónica Rodas Mérida (</w:t>
            </w:r>
            <w:r w:rsidR="0010522A" w:rsidRPr="00542AB5">
              <w:rPr>
                <w:sz w:val="16"/>
                <w:szCs w:val="16"/>
                <w:lang w:val="es-CR"/>
              </w:rPr>
              <w:t>Daughter</w:t>
            </w:r>
            <w:r w:rsidRPr="00542AB5">
              <w:rPr>
                <w:sz w:val="16"/>
                <w:szCs w:val="16"/>
                <w:lang w:val="es-CR"/>
              </w:rPr>
              <w:t>)</w:t>
            </w:r>
          </w:p>
        </w:tc>
      </w:tr>
      <w:tr w:rsidR="007F3128" w:rsidRPr="009F337B" w14:paraId="7DD761A2" w14:textId="77777777" w:rsidTr="0010522A">
        <w:tc>
          <w:tcPr>
            <w:tcW w:w="560" w:type="dxa"/>
            <w:gridSpan w:val="2"/>
            <w:vMerge/>
            <w:vAlign w:val="center"/>
          </w:tcPr>
          <w:p w14:paraId="5719600C" w14:textId="77777777" w:rsidR="007F3128" w:rsidRPr="00542AB5" w:rsidRDefault="007F3128" w:rsidP="00F608A7">
            <w:pPr>
              <w:jc w:val="left"/>
              <w:rPr>
                <w:sz w:val="16"/>
                <w:szCs w:val="16"/>
                <w:lang w:val="es-CR"/>
              </w:rPr>
            </w:pPr>
          </w:p>
        </w:tc>
        <w:tc>
          <w:tcPr>
            <w:tcW w:w="2950" w:type="dxa"/>
            <w:vMerge/>
            <w:vAlign w:val="center"/>
          </w:tcPr>
          <w:p w14:paraId="03869796" w14:textId="77777777" w:rsidR="007F3128" w:rsidRPr="00542AB5" w:rsidRDefault="007F3128" w:rsidP="00F608A7">
            <w:pPr>
              <w:jc w:val="left"/>
              <w:rPr>
                <w:sz w:val="16"/>
                <w:szCs w:val="16"/>
                <w:lang w:val="es-CR"/>
              </w:rPr>
            </w:pPr>
          </w:p>
        </w:tc>
        <w:tc>
          <w:tcPr>
            <w:tcW w:w="567" w:type="dxa"/>
            <w:vAlign w:val="center"/>
          </w:tcPr>
          <w:p w14:paraId="5D720632" w14:textId="77777777" w:rsidR="007F3128" w:rsidRPr="009F337B" w:rsidRDefault="007F3128" w:rsidP="00F608A7">
            <w:pPr>
              <w:jc w:val="left"/>
              <w:rPr>
                <w:sz w:val="16"/>
                <w:szCs w:val="16"/>
                <w:lang w:val="en-US"/>
              </w:rPr>
            </w:pPr>
            <w:r w:rsidRPr="009F337B">
              <w:rPr>
                <w:sz w:val="16"/>
                <w:szCs w:val="16"/>
                <w:lang w:val="en-US"/>
              </w:rPr>
              <w:t>4</w:t>
            </w:r>
          </w:p>
        </w:tc>
        <w:tc>
          <w:tcPr>
            <w:tcW w:w="5211" w:type="dxa"/>
            <w:vAlign w:val="center"/>
          </w:tcPr>
          <w:p w14:paraId="7A64888C" w14:textId="013BFEDD" w:rsidR="007F3128" w:rsidRPr="00542AB5" w:rsidRDefault="007F3128" w:rsidP="00F608A7">
            <w:pPr>
              <w:tabs>
                <w:tab w:val="left" w:pos="1277"/>
              </w:tabs>
              <w:jc w:val="left"/>
              <w:rPr>
                <w:sz w:val="16"/>
                <w:szCs w:val="16"/>
                <w:lang w:val="es-CR"/>
              </w:rPr>
            </w:pPr>
            <w:r w:rsidRPr="00542AB5">
              <w:rPr>
                <w:sz w:val="16"/>
                <w:szCs w:val="16"/>
                <w:lang w:val="es-CR"/>
              </w:rPr>
              <w:t>Sonia Maribel Rodas Mérida (</w:t>
            </w:r>
            <w:r w:rsidR="0010522A" w:rsidRPr="00542AB5">
              <w:rPr>
                <w:sz w:val="16"/>
                <w:szCs w:val="16"/>
                <w:lang w:val="es-CR"/>
              </w:rPr>
              <w:t>Daughter</w:t>
            </w:r>
            <w:r w:rsidRPr="00542AB5">
              <w:rPr>
                <w:sz w:val="16"/>
                <w:szCs w:val="16"/>
                <w:lang w:val="es-CR"/>
              </w:rPr>
              <w:t>)</w:t>
            </w:r>
          </w:p>
        </w:tc>
      </w:tr>
      <w:tr w:rsidR="007F3128" w:rsidRPr="009F337B" w14:paraId="1317C3CD" w14:textId="77777777" w:rsidTr="0010522A">
        <w:tc>
          <w:tcPr>
            <w:tcW w:w="560" w:type="dxa"/>
            <w:gridSpan w:val="2"/>
            <w:vMerge/>
            <w:vAlign w:val="center"/>
          </w:tcPr>
          <w:p w14:paraId="4AC990F1" w14:textId="77777777" w:rsidR="007F3128" w:rsidRPr="00542AB5" w:rsidRDefault="007F3128" w:rsidP="00F608A7">
            <w:pPr>
              <w:jc w:val="left"/>
              <w:rPr>
                <w:sz w:val="16"/>
                <w:szCs w:val="16"/>
                <w:lang w:val="es-CR"/>
              </w:rPr>
            </w:pPr>
          </w:p>
        </w:tc>
        <w:tc>
          <w:tcPr>
            <w:tcW w:w="2950" w:type="dxa"/>
            <w:vMerge/>
            <w:vAlign w:val="center"/>
          </w:tcPr>
          <w:p w14:paraId="31CA4897" w14:textId="77777777" w:rsidR="007F3128" w:rsidRPr="00542AB5" w:rsidRDefault="007F3128" w:rsidP="00F608A7">
            <w:pPr>
              <w:jc w:val="left"/>
              <w:rPr>
                <w:sz w:val="16"/>
                <w:szCs w:val="16"/>
                <w:lang w:val="es-CR"/>
              </w:rPr>
            </w:pPr>
          </w:p>
        </w:tc>
        <w:tc>
          <w:tcPr>
            <w:tcW w:w="567" w:type="dxa"/>
            <w:vAlign w:val="center"/>
          </w:tcPr>
          <w:p w14:paraId="384F96EE" w14:textId="77777777" w:rsidR="007F3128" w:rsidRPr="009F337B" w:rsidRDefault="007F3128" w:rsidP="00F608A7">
            <w:pPr>
              <w:jc w:val="left"/>
              <w:rPr>
                <w:sz w:val="16"/>
                <w:szCs w:val="16"/>
                <w:lang w:val="en-US"/>
              </w:rPr>
            </w:pPr>
            <w:r w:rsidRPr="009F337B">
              <w:rPr>
                <w:sz w:val="16"/>
                <w:szCs w:val="16"/>
                <w:lang w:val="en-US"/>
              </w:rPr>
              <w:t>5</w:t>
            </w:r>
          </w:p>
        </w:tc>
        <w:tc>
          <w:tcPr>
            <w:tcW w:w="5211" w:type="dxa"/>
            <w:vAlign w:val="center"/>
          </w:tcPr>
          <w:p w14:paraId="605E0CA3" w14:textId="0654DAFB" w:rsidR="007F3128" w:rsidRPr="00542AB5" w:rsidRDefault="007F3128" w:rsidP="00F608A7">
            <w:pPr>
              <w:tabs>
                <w:tab w:val="left" w:pos="1277"/>
              </w:tabs>
              <w:jc w:val="left"/>
              <w:rPr>
                <w:sz w:val="16"/>
                <w:szCs w:val="16"/>
                <w:lang w:val="es-CR"/>
              </w:rPr>
            </w:pPr>
            <w:r w:rsidRPr="00542AB5">
              <w:rPr>
                <w:sz w:val="16"/>
                <w:szCs w:val="16"/>
                <w:lang w:val="es-CR"/>
              </w:rPr>
              <w:t>Braulio Adán Rodas Mérida (</w:t>
            </w:r>
            <w:r w:rsidR="0010522A" w:rsidRPr="00542AB5">
              <w:rPr>
                <w:sz w:val="16"/>
                <w:szCs w:val="16"/>
                <w:lang w:val="es-CR"/>
              </w:rPr>
              <w:t>Son</w:t>
            </w:r>
            <w:r w:rsidRPr="00542AB5">
              <w:rPr>
                <w:sz w:val="16"/>
                <w:szCs w:val="16"/>
                <w:lang w:val="es-CR"/>
              </w:rPr>
              <w:t>)</w:t>
            </w:r>
          </w:p>
        </w:tc>
      </w:tr>
      <w:tr w:rsidR="007F3128" w:rsidRPr="009F337B" w14:paraId="5E1346F3" w14:textId="77777777" w:rsidTr="0010522A">
        <w:tc>
          <w:tcPr>
            <w:tcW w:w="560" w:type="dxa"/>
            <w:gridSpan w:val="2"/>
            <w:vMerge/>
            <w:vAlign w:val="center"/>
          </w:tcPr>
          <w:p w14:paraId="11BF493F" w14:textId="77777777" w:rsidR="007F3128" w:rsidRPr="00542AB5" w:rsidRDefault="007F3128" w:rsidP="00F608A7">
            <w:pPr>
              <w:jc w:val="left"/>
              <w:rPr>
                <w:sz w:val="16"/>
                <w:szCs w:val="16"/>
                <w:lang w:val="es-CR"/>
              </w:rPr>
            </w:pPr>
          </w:p>
        </w:tc>
        <w:tc>
          <w:tcPr>
            <w:tcW w:w="2950" w:type="dxa"/>
            <w:vMerge/>
            <w:vAlign w:val="center"/>
          </w:tcPr>
          <w:p w14:paraId="7269AB15" w14:textId="77777777" w:rsidR="007F3128" w:rsidRPr="00542AB5" w:rsidRDefault="007F3128" w:rsidP="00F608A7">
            <w:pPr>
              <w:jc w:val="left"/>
              <w:rPr>
                <w:sz w:val="16"/>
                <w:szCs w:val="16"/>
                <w:lang w:val="es-CR"/>
              </w:rPr>
            </w:pPr>
          </w:p>
        </w:tc>
        <w:tc>
          <w:tcPr>
            <w:tcW w:w="567" w:type="dxa"/>
            <w:vAlign w:val="center"/>
          </w:tcPr>
          <w:p w14:paraId="5AD5437B" w14:textId="77777777" w:rsidR="007F3128" w:rsidRPr="009F337B" w:rsidRDefault="007F3128" w:rsidP="00F608A7">
            <w:pPr>
              <w:jc w:val="left"/>
              <w:rPr>
                <w:sz w:val="16"/>
                <w:szCs w:val="16"/>
                <w:lang w:val="en-US"/>
              </w:rPr>
            </w:pPr>
            <w:r w:rsidRPr="009F337B">
              <w:rPr>
                <w:sz w:val="16"/>
                <w:szCs w:val="16"/>
                <w:lang w:val="en-US"/>
              </w:rPr>
              <w:t>6</w:t>
            </w:r>
          </w:p>
        </w:tc>
        <w:tc>
          <w:tcPr>
            <w:tcW w:w="5211" w:type="dxa"/>
            <w:vAlign w:val="center"/>
          </w:tcPr>
          <w:p w14:paraId="428AB374" w14:textId="36856E96" w:rsidR="007F3128" w:rsidRPr="00542AB5" w:rsidRDefault="007F3128" w:rsidP="00F608A7">
            <w:pPr>
              <w:tabs>
                <w:tab w:val="left" w:pos="1277"/>
              </w:tabs>
              <w:jc w:val="left"/>
              <w:rPr>
                <w:sz w:val="16"/>
                <w:szCs w:val="16"/>
                <w:lang w:val="es-CR"/>
              </w:rPr>
            </w:pPr>
            <w:r w:rsidRPr="00542AB5">
              <w:rPr>
                <w:sz w:val="16"/>
                <w:szCs w:val="16"/>
                <w:lang w:val="es-CR"/>
              </w:rPr>
              <w:t>Andy Alberto Rodas Mérida (</w:t>
            </w:r>
            <w:r w:rsidR="0010522A" w:rsidRPr="00542AB5">
              <w:rPr>
                <w:sz w:val="16"/>
                <w:szCs w:val="16"/>
                <w:lang w:val="es-CR"/>
              </w:rPr>
              <w:t>Son</w:t>
            </w:r>
            <w:r w:rsidRPr="00542AB5">
              <w:rPr>
                <w:sz w:val="16"/>
                <w:szCs w:val="16"/>
                <w:lang w:val="es-CR"/>
              </w:rPr>
              <w:t>)</w:t>
            </w:r>
          </w:p>
        </w:tc>
      </w:tr>
      <w:tr w:rsidR="007F3128" w:rsidRPr="009F337B" w14:paraId="5927256A" w14:textId="77777777" w:rsidTr="0010522A">
        <w:tc>
          <w:tcPr>
            <w:tcW w:w="560" w:type="dxa"/>
            <w:gridSpan w:val="2"/>
            <w:vMerge/>
            <w:vAlign w:val="center"/>
          </w:tcPr>
          <w:p w14:paraId="2495C201" w14:textId="77777777" w:rsidR="007F3128" w:rsidRPr="00542AB5" w:rsidRDefault="007F3128" w:rsidP="00F608A7">
            <w:pPr>
              <w:jc w:val="left"/>
              <w:rPr>
                <w:sz w:val="16"/>
                <w:szCs w:val="16"/>
                <w:lang w:val="es-CR"/>
              </w:rPr>
            </w:pPr>
          </w:p>
        </w:tc>
        <w:tc>
          <w:tcPr>
            <w:tcW w:w="2950" w:type="dxa"/>
            <w:vMerge/>
            <w:vAlign w:val="center"/>
          </w:tcPr>
          <w:p w14:paraId="20405F28" w14:textId="77777777" w:rsidR="007F3128" w:rsidRPr="00542AB5" w:rsidRDefault="007F3128" w:rsidP="00F608A7">
            <w:pPr>
              <w:jc w:val="left"/>
              <w:rPr>
                <w:sz w:val="16"/>
                <w:szCs w:val="16"/>
                <w:lang w:val="es-CR"/>
              </w:rPr>
            </w:pPr>
          </w:p>
        </w:tc>
        <w:tc>
          <w:tcPr>
            <w:tcW w:w="567" w:type="dxa"/>
            <w:vAlign w:val="center"/>
          </w:tcPr>
          <w:p w14:paraId="608F3D3F" w14:textId="77777777" w:rsidR="007F3128" w:rsidRPr="009F337B" w:rsidRDefault="007F3128" w:rsidP="00F608A7">
            <w:pPr>
              <w:jc w:val="left"/>
              <w:rPr>
                <w:sz w:val="16"/>
                <w:szCs w:val="16"/>
                <w:lang w:val="en-US"/>
              </w:rPr>
            </w:pPr>
            <w:r w:rsidRPr="009F337B">
              <w:rPr>
                <w:sz w:val="16"/>
                <w:szCs w:val="16"/>
                <w:lang w:val="en-US"/>
              </w:rPr>
              <w:t>7</w:t>
            </w:r>
          </w:p>
        </w:tc>
        <w:tc>
          <w:tcPr>
            <w:tcW w:w="5211" w:type="dxa"/>
            <w:vAlign w:val="center"/>
          </w:tcPr>
          <w:p w14:paraId="722D912B" w14:textId="17AE46F5" w:rsidR="007F3128" w:rsidRPr="00542AB5" w:rsidRDefault="007F3128" w:rsidP="00F608A7">
            <w:pPr>
              <w:tabs>
                <w:tab w:val="left" w:pos="1277"/>
              </w:tabs>
              <w:jc w:val="left"/>
              <w:rPr>
                <w:sz w:val="16"/>
                <w:szCs w:val="16"/>
                <w:lang w:val="es-CR"/>
              </w:rPr>
            </w:pPr>
            <w:r w:rsidRPr="00542AB5">
              <w:rPr>
                <w:sz w:val="16"/>
                <w:szCs w:val="16"/>
                <w:lang w:val="es-CR"/>
              </w:rPr>
              <w:t>Walter Audencio Rodas Mérida (</w:t>
            </w:r>
            <w:r w:rsidR="0010522A" w:rsidRPr="00542AB5">
              <w:rPr>
                <w:sz w:val="16"/>
                <w:szCs w:val="16"/>
                <w:lang w:val="es-CR"/>
              </w:rPr>
              <w:t>Son</w:t>
            </w:r>
            <w:r w:rsidRPr="00542AB5">
              <w:rPr>
                <w:sz w:val="16"/>
                <w:szCs w:val="16"/>
                <w:lang w:val="es-CR"/>
              </w:rPr>
              <w:t>)</w:t>
            </w:r>
          </w:p>
        </w:tc>
      </w:tr>
      <w:tr w:rsidR="007F3128" w:rsidRPr="009F337B" w14:paraId="1168497C" w14:textId="77777777" w:rsidTr="0010522A">
        <w:tc>
          <w:tcPr>
            <w:tcW w:w="560" w:type="dxa"/>
            <w:gridSpan w:val="2"/>
            <w:vMerge/>
            <w:vAlign w:val="center"/>
          </w:tcPr>
          <w:p w14:paraId="4DD34B05" w14:textId="77777777" w:rsidR="007F3128" w:rsidRPr="00542AB5" w:rsidRDefault="007F3128" w:rsidP="00F608A7">
            <w:pPr>
              <w:jc w:val="left"/>
              <w:rPr>
                <w:sz w:val="16"/>
                <w:szCs w:val="16"/>
                <w:lang w:val="es-CR"/>
              </w:rPr>
            </w:pPr>
          </w:p>
        </w:tc>
        <w:tc>
          <w:tcPr>
            <w:tcW w:w="2950" w:type="dxa"/>
            <w:vMerge/>
            <w:vAlign w:val="center"/>
          </w:tcPr>
          <w:p w14:paraId="3DF1CDCB" w14:textId="77777777" w:rsidR="007F3128" w:rsidRPr="00542AB5" w:rsidRDefault="007F3128" w:rsidP="00F608A7">
            <w:pPr>
              <w:jc w:val="left"/>
              <w:rPr>
                <w:sz w:val="16"/>
                <w:szCs w:val="16"/>
                <w:lang w:val="es-CR"/>
              </w:rPr>
            </w:pPr>
          </w:p>
        </w:tc>
        <w:tc>
          <w:tcPr>
            <w:tcW w:w="567" w:type="dxa"/>
            <w:vAlign w:val="center"/>
          </w:tcPr>
          <w:p w14:paraId="0070A976" w14:textId="77777777" w:rsidR="007F3128" w:rsidRPr="009F337B" w:rsidRDefault="007F3128" w:rsidP="00F608A7">
            <w:pPr>
              <w:jc w:val="left"/>
              <w:rPr>
                <w:sz w:val="16"/>
                <w:szCs w:val="16"/>
                <w:lang w:val="en-US"/>
              </w:rPr>
            </w:pPr>
            <w:r w:rsidRPr="009F337B">
              <w:rPr>
                <w:sz w:val="16"/>
                <w:szCs w:val="16"/>
                <w:lang w:val="en-US"/>
              </w:rPr>
              <w:t>8</w:t>
            </w:r>
          </w:p>
        </w:tc>
        <w:tc>
          <w:tcPr>
            <w:tcW w:w="5211" w:type="dxa"/>
            <w:vAlign w:val="center"/>
          </w:tcPr>
          <w:p w14:paraId="7D21B6A1" w14:textId="0E8C0D76" w:rsidR="007F3128" w:rsidRPr="00542AB5" w:rsidRDefault="007F3128" w:rsidP="00F608A7">
            <w:pPr>
              <w:tabs>
                <w:tab w:val="left" w:pos="1277"/>
              </w:tabs>
              <w:jc w:val="left"/>
              <w:rPr>
                <w:sz w:val="16"/>
                <w:szCs w:val="16"/>
                <w:lang w:val="es-CR"/>
              </w:rPr>
            </w:pPr>
            <w:r w:rsidRPr="00542AB5">
              <w:rPr>
                <w:sz w:val="16"/>
                <w:szCs w:val="16"/>
                <w:lang w:val="es-CR"/>
              </w:rPr>
              <w:t>Flor de María Rodas Mérida (</w:t>
            </w:r>
            <w:r w:rsidR="0010522A" w:rsidRPr="00542AB5">
              <w:rPr>
                <w:sz w:val="16"/>
                <w:szCs w:val="16"/>
                <w:lang w:val="es-CR"/>
              </w:rPr>
              <w:t>Daughter</w:t>
            </w:r>
            <w:r w:rsidRPr="00542AB5">
              <w:rPr>
                <w:sz w:val="16"/>
                <w:szCs w:val="16"/>
                <w:lang w:val="es-CR"/>
              </w:rPr>
              <w:t>)</w:t>
            </w:r>
          </w:p>
        </w:tc>
      </w:tr>
      <w:tr w:rsidR="007F3128" w:rsidRPr="009F337B" w14:paraId="45DC54DA" w14:textId="77777777" w:rsidTr="0010522A">
        <w:tc>
          <w:tcPr>
            <w:tcW w:w="560" w:type="dxa"/>
            <w:gridSpan w:val="2"/>
            <w:vMerge/>
            <w:vAlign w:val="center"/>
          </w:tcPr>
          <w:p w14:paraId="68D7D6D0" w14:textId="77777777" w:rsidR="007F3128" w:rsidRPr="00542AB5" w:rsidRDefault="007F3128" w:rsidP="00F608A7">
            <w:pPr>
              <w:jc w:val="left"/>
              <w:rPr>
                <w:sz w:val="16"/>
                <w:szCs w:val="16"/>
                <w:lang w:val="es-CR"/>
              </w:rPr>
            </w:pPr>
          </w:p>
        </w:tc>
        <w:tc>
          <w:tcPr>
            <w:tcW w:w="2950" w:type="dxa"/>
            <w:vMerge/>
            <w:vAlign w:val="center"/>
          </w:tcPr>
          <w:p w14:paraId="3B58CF51" w14:textId="77777777" w:rsidR="007F3128" w:rsidRPr="00542AB5" w:rsidRDefault="007F3128" w:rsidP="00F608A7">
            <w:pPr>
              <w:jc w:val="left"/>
              <w:rPr>
                <w:sz w:val="16"/>
                <w:szCs w:val="16"/>
                <w:lang w:val="es-CR"/>
              </w:rPr>
            </w:pPr>
          </w:p>
        </w:tc>
        <w:tc>
          <w:tcPr>
            <w:tcW w:w="567" w:type="dxa"/>
            <w:vAlign w:val="center"/>
          </w:tcPr>
          <w:p w14:paraId="59162387" w14:textId="77777777" w:rsidR="007F3128" w:rsidRPr="009F337B" w:rsidRDefault="007F3128" w:rsidP="00F608A7">
            <w:pPr>
              <w:jc w:val="left"/>
              <w:rPr>
                <w:sz w:val="16"/>
                <w:szCs w:val="16"/>
                <w:lang w:val="en-US"/>
              </w:rPr>
            </w:pPr>
            <w:r w:rsidRPr="009F337B">
              <w:rPr>
                <w:sz w:val="16"/>
                <w:szCs w:val="16"/>
                <w:lang w:val="en-US"/>
              </w:rPr>
              <w:t>9</w:t>
            </w:r>
          </w:p>
        </w:tc>
        <w:tc>
          <w:tcPr>
            <w:tcW w:w="5211" w:type="dxa"/>
            <w:vAlign w:val="center"/>
          </w:tcPr>
          <w:p w14:paraId="415DC85C" w14:textId="7E04FC34" w:rsidR="007F3128" w:rsidRPr="00542AB5" w:rsidRDefault="007F3128" w:rsidP="00F608A7">
            <w:pPr>
              <w:tabs>
                <w:tab w:val="left" w:pos="1277"/>
              </w:tabs>
              <w:jc w:val="left"/>
              <w:rPr>
                <w:sz w:val="16"/>
                <w:szCs w:val="16"/>
                <w:lang w:val="es-CR"/>
              </w:rPr>
            </w:pPr>
            <w:r w:rsidRPr="00542AB5">
              <w:rPr>
                <w:sz w:val="16"/>
                <w:szCs w:val="16"/>
                <w:lang w:val="es-CR"/>
              </w:rPr>
              <w:t>María Magdalena Rodas Mérida (</w:t>
            </w:r>
            <w:r w:rsidR="0010522A" w:rsidRPr="00542AB5">
              <w:rPr>
                <w:sz w:val="16"/>
                <w:szCs w:val="16"/>
                <w:lang w:val="es-CR"/>
              </w:rPr>
              <w:t>Daughter</w:t>
            </w:r>
            <w:r w:rsidRPr="00542AB5">
              <w:rPr>
                <w:sz w:val="16"/>
                <w:szCs w:val="16"/>
                <w:lang w:val="es-CR"/>
              </w:rPr>
              <w:t>)</w:t>
            </w:r>
          </w:p>
        </w:tc>
      </w:tr>
      <w:tr w:rsidR="007F3128" w:rsidRPr="009F337B" w14:paraId="2F3E4A0F" w14:textId="77777777" w:rsidTr="0010522A">
        <w:tc>
          <w:tcPr>
            <w:tcW w:w="560" w:type="dxa"/>
            <w:gridSpan w:val="2"/>
            <w:vMerge/>
            <w:vAlign w:val="center"/>
          </w:tcPr>
          <w:p w14:paraId="30B00A76" w14:textId="77777777" w:rsidR="007F3128" w:rsidRPr="00542AB5" w:rsidRDefault="007F3128" w:rsidP="00F608A7">
            <w:pPr>
              <w:jc w:val="left"/>
              <w:rPr>
                <w:sz w:val="16"/>
                <w:szCs w:val="16"/>
                <w:lang w:val="es-CR"/>
              </w:rPr>
            </w:pPr>
          </w:p>
        </w:tc>
        <w:tc>
          <w:tcPr>
            <w:tcW w:w="2950" w:type="dxa"/>
            <w:vMerge/>
            <w:vAlign w:val="center"/>
          </w:tcPr>
          <w:p w14:paraId="6C8E0D7B" w14:textId="77777777" w:rsidR="007F3128" w:rsidRPr="00542AB5" w:rsidRDefault="007F3128" w:rsidP="00F608A7">
            <w:pPr>
              <w:jc w:val="left"/>
              <w:rPr>
                <w:sz w:val="16"/>
                <w:szCs w:val="16"/>
                <w:lang w:val="es-CR"/>
              </w:rPr>
            </w:pPr>
          </w:p>
        </w:tc>
        <w:tc>
          <w:tcPr>
            <w:tcW w:w="567" w:type="dxa"/>
            <w:vAlign w:val="center"/>
          </w:tcPr>
          <w:p w14:paraId="20A825DD" w14:textId="77777777" w:rsidR="007F3128" w:rsidRPr="009F337B" w:rsidRDefault="007F3128" w:rsidP="00F608A7">
            <w:pPr>
              <w:jc w:val="left"/>
              <w:rPr>
                <w:sz w:val="16"/>
                <w:szCs w:val="16"/>
                <w:lang w:val="en-US"/>
              </w:rPr>
            </w:pPr>
            <w:r w:rsidRPr="009F337B">
              <w:rPr>
                <w:sz w:val="16"/>
                <w:szCs w:val="16"/>
                <w:lang w:val="en-US"/>
              </w:rPr>
              <w:t>10</w:t>
            </w:r>
          </w:p>
        </w:tc>
        <w:tc>
          <w:tcPr>
            <w:tcW w:w="5211" w:type="dxa"/>
            <w:vAlign w:val="center"/>
          </w:tcPr>
          <w:p w14:paraId="6DC164A0" w14:textId="62EC4750" w:rsidR="007F3128" w:rsidRPr="00542AB5" w:rsidRDefault="007F3128" w:rsidP="00F608A7">
            <w:pPr>
              <w:tabs>
                <w:tab w:val="left" w:pos="1277"/>
              </w:tabs>
              <w:jc w:val="left"/>
              <w:rPr>
                <w:sz w:val="16"/>
                <w:szCs w:val="16"/>
                <w:lang w:val="es-CR"/>
              </w:rPr>
            </w:pPr>
            <w:r w:rsidRPr="00542AB5">
              <w:rPr>
                <w:sz w:val="16"/>
                <w:szCs w:val="16"/>
                <w:lang w:val="es-CR"/>
              </w:rPr>
              <w:t>Abni Eliezer Barrios Rodas (</w:t>
            </w:r>
            <w:r w:rsidR="0010522A" w:rsidRPr="00542AB5">
              <w:rPr>
                <w:sz w:val="16"/>
                <w:szCs w:val="16"/>
                <w:lang w:val="es-CR"/>
              </w:rPr>
              <w:t>Grandson</w:t>
            </w:r>
            <w:r w:rsidRPr="00542AB5">
              <w:rPr>
                <w:sz w:val="16"/>
                <w:szCs w:val="16"/>
                <w:lang w:val="es-CR"/>
              </w:rPr>
              <w:t>)</w:t>
            </w:r>
          </w:p>
        </w:tc>
      </w:tr>
      <w:tr w:rsidR="007F3128" w:rsidRPr="009F337B" w14:paraId="4DE622F9" w14:textId="77777777" w:rsidTr="0010522A">
        <w:tc>
          <w:tcPr>
            <w:tcW w:w="560" w:type="dxa"/>
            <w:gridSpan w:val="2"/>
            <w:vMerge/>
            <w:vAlign w:val="center"/>
          </w:tcPr>
          <w:p w14:paraId="03ABE590" w14:textId="77777777" w:rsidR="007F3128" w:rsidRPr="00542AB5" w:rsidRDefault="007F3128" w:rsidP="00F608A7">
            <w:pPr>
              <w:jc w:val="left"/>
              <w:rPr>
                <w:sz w:val="16"/>
                <w:szCs w:val="16"/>
                <w:lang w:val="es-CR"/>
              </w:rPr>
            </w:pPr>
          </w:p>
        </w:tc>
        <w:tc>
          <w:tcPr>
            <w:tcW w:w="2950" w:type="dxa"/>
            <w:vMerge/>
            <w:vAlign w:val="center"/>
          </w:tcPr>
          <w:p w14:paraId="74927D0E" w14:textId="77777777" w:rsidR="007F3128" w:rsidRPr="00542AB5" w:rsidRDefault="007F3128" w:rsidP="00F608A7">
            <w:pPr>
              <w:jc w:val="left"/>
              <w:rPr>
                <w:sz w:val="16"/>
                <w:szCs w:val="16"/>
                <w:lang w:val="es-CR"/>
              </w:rPr>
            </w:pPr>
          </w:p>
        </w:tc>
        <w:tc>
          <w:tcPr>
            <w:tcW w:w="567" w:type="dxa"/>
            <w:vAlign w:val="center"/>
          </w:tcPr>
          <w:p w14:paraId="32D487AF" w14:textId="77777777" w:rsidR="007F3128" w:rsidRPr="009F337B" w:rsidRDefault="007F3128" w:rsidP="00F608A7">
            <w:pPr>
              <w:jc w:val="left"/>
              <w:rPr>
                <w:sz w:val="16"/>
                <w:szCs w:val="16"/>
                <w:lang w:val="en-US"/>
              </w:rPr>
            </w:pPr>
            <w:r w:rsidRPr="009F337B">
              <w:rPr>
                <w:sz w:val="16"/>
                <w:szCs w:val="16"/>
                <w:lang w:val="en-US"/>
              </w:rPr>
              <w:t>11</w:t>
            </w:r>
          </w:p>
        </w:tc>
        <w:tc>
          <w:tcPr>
            <w:tcW w:w="5211" w:type="dxa"/>
            <w:vAlign w:val="center"/>
          </w:tcPr>
          <w:p w14:paraId="1E661952" w14:textId="00DDF145" w:rsidR="007F3128" w:rsidRPr="00542AB5" w:rsidRDefault="007F3128" w:rsidP="00F608A7">
            <w:pPr>
              <w:tabs>
                <w:tab w:val="left" w:pos="1277"/>
              </w:tabs>
              <w:jc w:val="left"/>
              <w:rPr>
                <w:sz w:val="16"/>
                <w:szCs w:val="16"/>
                <w:lang w:val="es-CR"/>
              </w:rPr>
            </w:pPr>
            <w:r w:rsidRPr="00542AB5">
              <w:rPr>
                <w:sz w:val="16"/>
                <w:szCs w:val="16"/>
                <w:lang w:val="es-CR"/>
              </w:rPr>
              <w:t>Cecia Verónica Barrios Rodas (</w:t>
            </w:r>
            <w:r w:rsidR="0010522A" w:rsidRPr="00542AB5">
              <w:rPr>
                <w:sz w:val="16"/>
                <w:szCs w:val="16"/>
                <w:lang w:val="es-CR"/>
              </w:rPr>
              <w:t>Granddaughter</w:t>
            </w:r>
            <w:r w:rsidRPr="00542AB5">
              <w:rPr>
                <w:sz w:val="16"/>
                <w:szCs w:val="16"/>
                <w:lang w:val="es-CR"/>
              </w:rPr>
              <w:t>)</w:t>
            </w:r>
          </w:p>
        </w:tc>
      </w:tr>
      <w:tr w:rsidR="007F3128" w:rsidRPr="009F337B" w14:paraId="30111618" w14:textId="77777777" w:rsidTr="0010522A">
        <w:tc>
          <w:tcPr>
            <w:tcW w:w="560" w:type="dxa"/>
            <w:gridSpan w:val="2"/>
            <w:vMerge/>
            <w:vAlign w:val="center"/>
          </w:tcPr>
          <w:p w14:paraId="10D88F8A" w14:textId="77777777" w:rsidR="007F3128" w:rsidRPr="00542AB5" w:rsidRDefault="007F3128" w:rsidP="00F608A7">
            <w:pPr>
              <w:jc w:val="left"/>
              <w:rPr>
                <w:sz w:val="16"/>
                <w:szCs w:val="16"/>
                <w:lang w:val="es-CR"/>
              </w:rPr>
            </w:pPr>
          </w:p>
        </w:tc>
        <w:tc>
          <w:tcPr>
            <w:tcW w:w="2950" w:type="dxa"/>
            <w:vMerge/>
            <w:vAlign w:val="center"/>
          </w:tcPr>
          <w:p w14:paraId="5F0755E1" w14:textId="77777777" w:rsidR="007F3128" w:rsidRPr="00542AB5" w:rsidRDefault="007F3128" w:rsidP="00F608A7">
            <w:pPr>
              <w:jc w:val="left"/>
              <w:rPr>
                <w:sz w:val="16"/>
                <w:szCs w:val="16"/>
                <w:lang w:val="es-CR"/>
              </w:rPr>
            </w:pPr>
          </w:p>
        </w:tc>
        <w:tc>
          <w:tcPr>
            <w:tcW w:w="567" w:type="dxa"/>
            <w:vAlign w:val="center"/>
          </w:tcPr>
          <w:p w14:paraId="37769425" w14:textId="77777777" w:rsidR="007F3128" w:rsidRPr="009F337B" w:rsidRDefault="007F3128" w:rsidP="00F608A7">
            <w:pPr>
              <w:jc w:val="left"/>
              <w:rPr>
                <w:sz w:val="16"/>
                <w:szCs w:val="16"/>
                <w:lang w:val="en-US"/>
              </w:rPr>
            </w:pPr>
            <w:r w:rsidRPr="009F337B">
              <w:rPr>
                <w:sz w:val="16"/>
                <w:szCs w:val="16"/>
                <w:lang w:val="en-US"/>
              </w:rPr>
              <w:t>12</w:t>
            </w:r>
          </w:p>
        </w:tc>
        <w:tc>
          <w:tcPr>
            <w:tcW w:w="5211" w:type="dxa"/>
            <w:vAlign w:val="center"/>
          </w:tcPr>
          <w:p w14:paraId="5B1E2F80" w14:textId="3943BCF1" w:rsidR="007F3128" w:rsidRPr="00542AB5" w:rsidRDefault="007F3128" w:rsidP="00F608A7">
            <w:pPr>
              <w:tabs>
                <w:tab w:val="left" w:pos="1277"/>
              </w:tabs>
              <w:jc w:val="left"/>
              <w:rPr>
                <w:sz w:val="16"/>
                <w:szCs w:val="16"/>
                <w:lang w:val="es-CR"/>
              </w:rPr>
            </w:pPr>
            <w:r w:rsidRPr="00542AB5">
              <w:rPr>
                <w:sz w:val="16"/>
                <w:szCs w:val="16"/>
                <w:lang w:val="es-CR"/>
              </w:rPr>
              <w:t>Christian Obdulio Barrios Rodas (</w:t>
            </w:r>
            <w:r w:rsidR="0010522A" w:rsidRPr="00542AB5">
              <w:rPr>
                <w:sz w:val="16"/>
                <w:szCs w:val="16"/>
                <w:lang w:val="es-CR"/>
              </w:rPr>
              <w:t>Grandson</w:t>
            </w:r>
            <w:r w:rsidRPr="00542AB5">
              <w:rPr>
                <w:sz w:val="16"/>
                <w:szCs w:val="16"/>
                <w:lang w:val="es-CR"/>
              </w:rPr>
              <w:t>)</w:t>
            </w:r>
          </w:p>
        </w:tc>
      </w:tr>
      <w:tr w:rsidR="007F3128" w:rsidRPr="00310E7A" w14:paraId="4D71DD19" w14:textId="77777777" w:rsidTr="0010522A">
        <w:tc>
          <w:tcPr>
            <w:tcW w:w="560" w:type="dxa"/>
            <w:gridSpan w:val="2"/>
            <w:vMerge/>
            <w:vAlign w:val="center"/>
          </w:tcPr>
          <w:p w14:paraId="1A897355" w14:textId="77777777" w:rsidR="007F3128" w:rsidRPr="00542AB5" w:rsidRDefault="007F3128" w:rsidP="00F608A7">
            <w:pPr>
              <w:jc w:val="left"/>
              <w:rPr>
                <w:sz w:val="16"/>
                <w:szCs w:val="16"/>
                <w:lang w:val="es-CR"/>
              </w:rPr>
            </w:pPr>
          </w:p>
        </w:tc>
        <w:tc>
          <w:tcPr>
            <w:tcW w:w="2950" w:type="dxa"/>
            <w:vMerge/>
            <w:vAlign w:val="center"/>
          </w:tcPr>
          <w:p w14:paraId="261A4AD7" w14:textId="77777777" w:rsidR="007F3128" w:rsidRPr="00542AB5" w:rsidRDefault="007F3128" w:rsidP="00F608A7">
            <w:pPr>
              <w:jc w:val="left"/>
              <w:rPr>
                <w:sz w:val="16"/>
                <w:szCs w:val="16"/>
                <w:lang w:val="es-CR"/>
              </w:rPr>
            </w:pPr>
          </w:p>
        </w:tc>
        <w:tc>
          <w:tcPr>
            <w:tcW w:w="567" w:type="dxa"/>
            <w:vAlign w:val="center"/>
          </w:tcPr>
          <w:p w14:paraId="59B5CE1B" w14:textId="77777777" w:rsidR="007F3128" w:rsidRPr="009F337B" w:rsidRDefault="007F3128" w:rsidP="00F608A7">
            <w:pPr>
              <w:jc w:val="left"/>
              <w:rPr>
                <w:sz w:val="16"/>
                <w:szCs w:val="16"/>
                <w:lang w:val="en-US"/>
              </w:rPr>
            </w:pPr>
            <w:r w:rsidRPr="009F337B">
              <w:rPr>
                <w:sz w:val="16"/>
                <w:szCs w:val="16"/>
                <w:lang w:val="en-US"/>
              </w:rPr>
              <w:t>13</w:t>
            </w:r>
          </w:p>
        </w:tc>
        <w:tc>
          <w:tcPr>
            <w:tcW w:w="5211" w:type="dxa"/>
            <w:vAlign w:val="center"/>
          </w:tcPr>
          <w:p w14:paraId="2EB0BDE6" w14:textId="37EBECFF" w:rsidR="007F3128" w:rsidRPr="009F337B" w:rsidRDefault="007F3128" w:rsidP="00F608A7">
            <w:pPr>
              <w:tabs>
                <w:tab w:val="left" w:pos="1277"/>
              </w:tabs>
              <w:jc w:val="left"/>
              <w:rPr>
                <w:sz w:val="16"/>
                <w:szCs w:val="16"/>
                <w:lang w:val="en-US"/>
              </w:rPr>
            </w:pPr>
            <w:r w:rsidRPr="009F337B">
              <w:rPr>
                <w:sz w:val="16"/>
                <w:szCs w:val="16"/>
                <w:lang w:val="en-US"/>
              </w:rPr>
              <w:t xml:space="preserve">Susely Berenice Rodas </w:t>
            </w:r>
            <w:r w:rsidR="0010063B" w:rsidRPr="009F337B">
              <w:rPr>
                <w:sz w:val="16"/>
                <w:szCs w:val="16"/>
                <w:lang w:val="en-US"/>
              </w:rPr>
              <w:t xml:space="preserve">Mérida </w:t>
            </w:r>
            <w:r w:rsidRPr="009F337B">
              <w:rPr>
                <w:sz w:val="16"/>
                <w:szCs w:val="16"/>
                <w:lang w:val="en-US"/>
              </w:rPr>
              <w:t>(</w:t>
            </w:r>
            <w:r w:rsidR="0010522A" w:rsidRPr="009F337B">
              <w:rPr>
                <w:sz w:val="16"/>
                <w:szCs w:val="16"/>
                <w:lang w:val="en-US"/>
              </w:rPr>
              <w:t>Granddaughter</w:t>
            </w:r>
            <w:r w:rsidRPr="009F337B">
              <w:rPr>
                <w:sz w:val="16"/>
                <w:szCs w:val="16"/>
                <w:lang w:val="en-US"/>
              </w:rPr>
              <w:t>)</w:t>
            </w:r>
          </w:p>
        </w:tc>
      </w:tr>
      <w:tr w:rsidR="007F3128" w:rsidRPr="009F337B" w14:paraId="0538C018" w14:textId="77777777" w:rsidTr="0010522A">
        <w:tc>
          <w:tcPr>
            <w:tcW w:w="560" w:type="dxa"/>
            <w:gridSpan w:val="2"/>
            <w:vMerge/>
            <w:vAlign w:val="center"/>
          </w:tcPr>
          <w:p w14:paraId="243BD8EF" w14:textId="77777777" w:rsidR="007F3128" w:rsidRPr="009F337B" w:rsidRDefault="007F3128" w:rsidP="00F608A7">
            <w:pPr>
              <w:jc w:val="left"/>
              <w:rPr>
                <w:sz w:val="16"/>
                <w:szCs w:val="16"/>
                <w:lang w:val="en-US"/>
              </w:rPr>
            </w:pPr>
          </w:p>
        </w:tc>
        <w:tc>
          <w:tcPr>
            <w:tcW w:w="2950" w:type="dxa"/>
            <w:vMerge/>
            <w:vAlign w:val="center"/>
          </w:tcPr>
          <w:p w14:paraId="26FDFBED" w14:textId="77777777" w:rsidR="007F3128" w:rsidRPr="009F337B" w:rsidRDefault="007F3128" w:rsidP="00F608A7">
            <w:pPr>
              <w:jc w:val="left"/>
              <w:rPr>
                <w:sz w:val="16"/>
                <w:szCs w:val="16"/>
                <w:lang w:val="en-US"/>
              </w:rPr>
            </w:pPr>
          </w:p>
        </w:tc>
        <w:tc>
          <w:tcPr>
            <w:tcW w:w="567" w:type="dxa"/>
            <w:vAlign w:val="center"/>
          </w:tcPr>
          <w:p w14:paraId="78B6884A" w14:textId="77777777" w:rsidR="007F3128" w:rsidRPr="009F337B" w:rsidRDefault="007F3128" w:rsidP="00F608A7">
            <w:pPr>
              <w:jc w:val="left"/>
              <w:rPr>
                <w:sz w:val="16"/>
                <w:szCs w:val="16"/>
                <w:lang w:val="en-US"/>
              </w:rPr>
            </w:pPr>
            <w:r w:rsidRPr="009F337B">
              <w:rPr>
                <w:sz w:val="16"/>
                <w:szCs w:val="16"/>
                <w:lang w:val="en-US"/>
              </w:rPr>
              <w:t>14</w:t>
            </w:r>
          </w:p>
        </w:tc>
        <w:tc>
          <w:tcPr>
            <w:tcW w:w="5211" w:type="dxa"/>
            <w:vAlign w:val="center"/>
          </w:tcPr>
          <w:p w14:paraId="0D976CE2" w14:textId="7C7BC5A5" w:rsidR="007F3128" w:rsidRPr="009F337B" w:rsidRDefault="007F3128" w:rsidP="00F608A7">
            <w:pPr>
              <w:tabs>
                <w:tab w:val="left" w:pos="1277"/>
              </w:tabs>
              <w:jc w:val="left"/>
              <w:rPr>
                <w:sz w:val="16"/>
                <w:szCs w:val="16"/>
                <w:lang w:val="en-US"/>
              </w:rPr>
            </w:pPr>
            <w:r w:rsidRPr="009F337B">
              <w:rPr>
                <w:sz w:val="16"/>
                <w:szCs w:val="16"/>
                <w:lang w:val="en-US"/>
              </w:rPr>
              <w:t>Brandon Isaac Rodas Mus (</w:t>
            </w:r>
            <w:r w:rsidR="0010522A" w:rsidRPr="009F337B">
              <w:rPr>
                <w:sz w:val="16"/>
                <w:szCs w:val="16"/>
                <w:lang w:val="en-US"/>
              </w:rPr>
              <w:t>Grandson</w:t>
            </w:r>
            <w:r w:rsidRPr="009F337B">
              <w:rPr>
                <w:sz w:val="16"/>
                <w:szCs w:val="16"/>
                <w:lang w:val="en-US"/>
              </w:rPr>
              <w:t>)</w:t>
            </w:r>
          </w:p>
        </w:tc>
      </w:tr>
      <w:tr w:rsidR="007F3128" w:rsidRPr="009F337B" w14:paraId="3EE255C1" w14:textId="77777777" w:rsidTr="0010522A">
        <w:tc>
          <w:tcPr>
            <w:tcW w:w="560" w:type="dxa"/>
            <w:gridSpan w:val="2"/>
            <w:vMerge/>
            <w:vAlign w:val="center"/>
          </w:tcPr>
          <w:p w14:paraId="6D2E0FB7" w14:textId="77777777" w:rsidR="007F3128" w:rsidRPr="009F337B" w:rsidRDefault="007F3128" w:rsidP="00F608A7">
            <w:pPr>
              <w:jc w:val="left"/>
              <w:rPr>
                <w:sz w:val="16"/>
                <w:szCs w:val="16"/>
                <w:lang w:val="en-US"/>
              </w:rPr>
            </w:pPr>
          </w:p>
        </w:tc>
        <w:tc>
          <w:tcPr>
            <w:tcW w:w="2950" w:type="dxa"/>
            <w:vMerge/>
            <w:vAlign w:val="center"/>
          </w:tcPr>
          <w:p w14:paraId="1B1DC5C3" w14:textId="77777777" w:rsidR="007F3128" w:rsidRPr="009F337B" w:rsidRDefault="007F3128" w:rsidP="00F608A7">
            <w:pPr>
              <w:jc w:val="left"/>
              <w:rPr>
                <w:sz w:val="16"/>
                <w:szCs w:val="16"/>
                <w:lang w:val="en-US"/>
              </w:rPr>
            </w:pPr>
          </w:p>
        </w:tc>
        <w:tc>
          <w:tcPr>
            <w:tcW w:w="567" w:type="dxa"/>
            <w:vAlign w:val="center"/>
          </w:tcPr>
          <w:p w14:paraId="60387B11" w14:textId="77777777" w:rsidR="007F3128" w:rsidRPr="009F337B" w:rsidRDefault="007F3128" w:rsidP="00F608A7">
            <w:pPr>
              <w:jc w:val="left"/>
              <w:rPr>
                <w:sz w:val="16"/>
                <w:szCs w:val="16"/>
                <w:lang w:val="en-US"/>
              </w:rPr>
            </w:pPr>
            <w:r w:rsidRPr="009F337B">
              <w:rPr>
                <w:sz w:val="16"/>
                <w:szCs w:val="16"/>
                <w:lang w:val="en-US"/>
              </w:rPr>
              <w:t>15</w:t>
            </w:r>
          </w:p>
        </w:tc>
        <w:tc>
          <w:tcPr>
            <w:tcW w:w="5211" w:type="dxa"/>
            <w:vAlign w:val="center"/>
          </w:tcPr>
          <w:p w14:paraId="71D621FA" w14:textId="2749FB7D" w:rsidR="007F3128" w:rsidRPr="00542AB5" w:rsidRDefault="007F3128" w:rsidP="00F608A7">
            <w:pPr>
              <w:tabs>
                <w:tab w:val="left" w:pos="1277"/>
              </w:tabs>
              <w:jc w:val="left"/>
              <w:rPr>
                <w:sz w:val="16"/>
                <w:szCs w:val="16"/>
                <w:lang w:val="es-CR"/>
              </w:rPr>
            </w:pPr>
            <w:r w:rsidRPr="00542AB5">
              <w:rPr>
                <w:sz w:val="16"/>
                <w:szCs w:val="16"/>
                <w:lang w:val="es-CR"/>
              </w:rPr>
              <w:t>Nehemias Aude</w:t>
            </w:r>
            <w:r w:rsidR="0010063B" w:rsidRPr="00542AB5">
              <w:rPr>
                <w:sz w:val="16"/>
                <w:szCs w:val="16"/>
                <w:lang w:val="es-CR"/>
              </w:rPr>
              <w:t>n</w:t>
            </w:r>
            <w:r w:rsidRPr="00542AB5">
              <w:rPr>
                <w:sz w:val="16"/>
                <w:szCs w:val="16"/>
                <w:lang w:val="es-CR"/>
              </w:rPr>
              <w:t>cio Rodas Chilel (</w:t>
            </w:r>
            <w:r w:rsidR="0010522A" w:rsidRPr="00542AB5">
              <w:rPr>
                <w:sz w:val="16"/>
                <w:szCs w:val="16"/>
                <w:lang w:val="es-CR"/>
              </w:rPr>
              <w:t>Grandson</w:t>
            </w:r>
            <w:r w:rsidRPr="00542AB5">
              <w:rPr>
                <w:sz w:val="16"/>
                <w:szCs w:val="16"/>
                <w:lang w:val="es-CR"/>
              </w:rPr>
              <w:t>)</w:t>
            </w:r>
          </w:p>
        </w:tc>
      </w:tr>
      <w:tr w:rsidR="007F3128" w:rsidRPr="009F337B" w14:paraId="098907BB" w14:textId="77777777" w:rsidTr="0010522A">
        <w:tc>
          <w:tcPr>
            <w:tcW w:w="560" w:type="dxa"/>
            <w:gridSpan w:val="2"/>
            <w:vMerge/>
            <w:vAlign w:val="center"/>
          </w:tcPr>
          <w:p w14:paraId="0C00902D" w14:textId="77777777" w:rsidR="007F3128" w:rsidRPr="00542AB5" w:rsidRDefault="007F3128" w:rsidP="00F608A7">
            <w:pPr>
              <w:jc w:val="left"/>
              <w:rPr>
                <w:sz w:val="16"/>
                <w:szCs w:val="16"/>
                <w:lang w:val="es-CR"/>
              </w:rPr>
            </w:pPr>
          </w:p>
        </w:tc>
        <w:tc>
          <w:tcPr>
            <w:tcW w:w="2950" w:type="dxa"/>
            <w:vMerge/>
            <w:vAlign w:val="center"/>
          </w:tcPr>
          <w:p w14:paraId="0CA7D7A2" w14:textId="77777777" w:rsidR="007F3128" w:rsidRPr="00542AB5" w:rsidRDefault="007F3128" w:rsidP="00F608A7">
            <w:pPr>
              <w:jc w:val="left"/>
              <w:rPr>
                <w:sz w:val="16"/>
                <w:szCs w:val="16"/>
                <w:lang w:val="es-CR"/>
              </w:rPr>
            </w:pPr>
          </w:p>
        </w:tc>
        <w:tc>
          <w:tcPr>
            <w:tcW w:w="567" w:type="dxa"/>
            <w:vAlign w:val="center"/>
          </w:tcPr>
          <w:p w14:paraId="1E0807B1" w14:textId="77777777" w:rsidR="007F3128" w:rsidRPr="009F337B" w:rsidRDefault="007F3128" w:rsidP="00F608A7">
            <w:pPr>
              <w:jc w:val="left"/>
              <w:rPr>
                <w:sz w:val="16"/>
                <w:szCs w:val="16"/>
                <w:lang w:val="en-US"/>
              </w:rPr>
            </w:pPr>
            <w:r w:rsidRPr="009F337B">
              <w:rPr>
                <w:sz w:val="16"/>
                <w:szCs w:val="16"/>
                <w:lang w:val="en-US"/>
              </w:rPr>
              <w:t>16</w:t>
            </w:r>
          </w:p>
        </w:tc>
        <w:tc>
          <w:tcPr>
            <w:tcW w:w="5211" w:type="dxa"/>
            <w:vAlign w:val="center"/>
          </w:tcPr>
          <w:p w14:paraId="351BE0BA" w14:textId="37CF7529" w:rsidR="007F3128" w:rsidRPr="00542AB5" w:rsidRDefault="007F3128" w:rsidP="00F608A7">
            <w:pPr>
              <w:tabs>
                <w:tab w:val="left" w:pos="1277"/>
              </w:tabs>
              <w:jc w:val="left"/>
              <w:rPr>
                <w:sz w:val="16"/>
                <w:szCs w:val="16"/>
                <w:lang w:val="es-CR"/>
              </w:rPr>
            </w:pPr>
            <w:r w:rsidRPr="00542AB5">
              <w:rPr>
                <w:sz w:val="16"/>
                <w:szCs w:val="16"/>
                <w:lang w:val="es-CR"/>
              </w:rPr>
              <w:t>Tania Briseidy Velasco Rodas (</w:t>
            </w:r>
            <w:r w:rsidR="0010522A" w:rsidRPr="00542AB5">
              <w:rPr>
                <w:sz w:val="16"/>
                <w:szCs w:val="16"/>
                <w:lang w:val="es-CR"/>
              </w:rPr>
              <w:t>Granddaughter</w:t>
            </w:r>
            <w:r w:rsidRPr="00542AB5">
              <w:rPr>
                <w:sz w:val="16"/>
                <w:szCs w:val="16"/>
                <w:lang w:val="es-CR"/>
              </w:rPr>
              <w:t>)</w:t>
            </w:r>
          </w:p>
        </w:tc>
      </w:tr>
      <w:tr w:rsidR="007F3128" w:rsidRPr="009F337B" w14:paraId="1009E95F" w14:textId="77777777" w:rsidTr="0010522A">
        <w:tc>
          <w:tcPr>
            <w:tcW w:w="560" w:type="dxa"/>
            <w:gridSpan w:val="2"/>
            <w:vMerge/>
            <w:vAlign w:val="center"/>
          </w:tcPr>
          <w:p w14:paraId="68FA4156" w14:textId="77777777" w:rsidR="007F3128" w:rsidRPr="00542AB5" w:rsidRDefault="007F3128" w:rsidP="00F608A7">
            <w:pPr>
              <w:jc w:val="left"/>
              <w:rPr>
                <w:sz w:val="16"/>
                <w:szCs w:val="16"/>
                <w:lang w:val="es-CR"/>
              </w:rPr>
            </w:pPr>
          </w:p>
        </w:tc>
        <w:tc>
          <w:tcPr>
            <w:tcW w:w="2950" w:type="dxa"/>
            <w:vMerge/>
            <w:vAlign w:val="center"/>
          </w:tcPr>
          <w:p w14:paraId="63A9671E" w14:textId="77777777" w:rsidR="007F3128" w:rsidRPr="00542AB5" w:rsidRDefault="007F3128" w:rsidP="00F608A7">
            <w:pPr>
              <w:jc w:val="left"/>
              <w:rPr>
                <w:sz w:val="16"/>
                <w:szCs w:val="16"/>
                <w:lang w:val="es-CR"/>
              </w:rPr>
            </w:pPr>
          </w:p>
        </w:tc>
        <w:tc>
          <w:tcPr>
            <w:tcW w:w="567" w:type="dxa"/>
            <w:vAlign w:val="center"/>
          </w:tcPr>
          <w:p w14:paraId="74E5D2CC" w14:textId="77777777" w:rsidR="007F3128" w:rsidRPr="009F337B" w:rsidRDefault="007F3128" w:rsidP="00F608A7">
            <w:pPr>
              <w:jc w:val="left"/>
              <w:rPr>
                <w:sz w:val="16"/>
                <w:szCs w:val="16"/>
                <w:lang w:val="en-US"/>
              </w:rPr>
            </w:pPr>
            <w:r w:rsidRPr="009F337B">
              <w:rPr>
                <w:sz w:val="16"/>
                <w:szCs w:val="16"/>
                <w:lang w:val="en-US"/>
              </w:rPr>
              <w:t>17</w:t>
            </w:r>
          </w:p>
        </w:tc>
        <w:tc>
          <w:tcPr>
            <w:tcW w:w="5211" w:type="dxa"/>
            <w:vAlign w:val="center"/>
          </w:tcPr>
          <w:p w14:paraId="2FD4C157" w14:textId="5D473424" w:rsidR="007F3128" w:rsidRPr="00542AB5" w:rsidRDefault="007F3128" w:rsidP="00F608A7">
            <w:pPr>
              <w:tabs>
                <w:tab w:val="left" w:pos="1277"/>
              </w:tabs>
              <w:jc w:val="left"/>
              <w:rPr>
                <w:sz w:val="16"/>
                <w:szCs w:val="16"/>
                <w:lang w:val="es-CR"/>
              </w:rPr>
            </w:pPr>
            <w:r w:rsidRPr="00542AB5">
              <w:rPr>
                <w:sz w:val="16"/>
                <w:szCs w:val="16"/>
                <w:lang w:val="es-CR"/>
              </w:rPr>
              <w:t>Esdras Avisai Rodas Chile</w:t>
            </w:r>
            <w:r w:rsidR="0010063B" w:rsidRPr="00542AB5">
              <w:rPr>
                <w:sz w:val="16"/>
                <w:szCs w:val="16"/>
                <w:lang w:val="es-CR"/>
              </w:rPr>
              <w:t>l</w:t>
            </w:r>
            <w:r w:rsidRPr="00542AB5">
              <w:rPr>
                <w:sz w:val="16"/>
                <w:szCs w:val="16"/>
                <w:lang w:val="es-CR"/>
              </w:rPr>
              <w:t xml:space="preserve"> (</w:t>
            </w:r>
            <w:r w:rsidR="0010522A" w:rsidRPr="00542AB5">
              <w:rPr>
                <w:sz w:val="16"/>
                <w:szCs w:val="16"/>
                <w:lang w:val="es-CR"/>
              </w:rPr>
              <w:t>Grandson</w:t>
            </w:r>
            <w:r w:rsidRPr="00542AB5">
              <w:rPr>
                <w:sz w:val="16"/>
                <w:szCs w:val="16"/>
                <w:lang w:val="es-CR"/>
              </w:rPr>
              <w:t>)</w:t>
            </w:r>
          </w:p>
        </w:tc>
      </w:tr>
      <w:tr w:rsidR="007F3128" w:rsidRPr="009F337B" w14:paraId="3365975C" w14:textId="77777777" w:rsidTr="0010522A">
        <w:tc>
          <w:tcPr>
            <w:tcW w:w="560" w:type="dxa"/>
            <w:gridSpan w:val="2"/>
            <w:vMerge w:val="restart"/>
            <w:vAlign w:val="center"/>
          </w:tcPr>
          <w:p w14:paraId="674A8EEB" w14:textId="77777777" w:rsidR="007F3128" w:rsidRPr="009F337B" w:rsidRDefault="007F3128" w:rsidP="00F608A7">
            <w:pPr>
              <w:jc w:val="left"/>
              <w:rPr>
                <w:sz w:val="16"/>
                <w:szCs w:val="16"/>
                <w:lang w:val="en-US"/>
              </w:rPr>
            </w:pPr>
            <w:r w:rsidRPr="009F337B">
              <w:rPr>
                <w:sz w:val="16"/>
                <w:szCs w:val="16"/>
                <w:lang w:val="en-US"/>
              </w:rPr>
              <w:t>40</w:t>
            </w:r>
          </w:p>
        </w:tc>
        <w:tc>
          <w:tcPr>
            <w:tcW w:w="2950" w:type="dxa"/>
            <w:vMerge w:val="restart"/>
            <w:vAlign w:val="center"/>
          </w:tcPr>
          <w:p w14:paraId="3259AA0F" w14:textId="2A1D4951" w:rsidR="007F3128" w:rsidRPr="009F337B" w:rsidRDefault="007F3128" w:rsidP="00F608A7">
            <w:pPr>
              <w:jc w:val="left"/>
              <w:rPr>
                <w:sz w:val="16"/>
                <w:szCs w:val="16"/>
                <w:lang w:val="en-US"/>
              </w:rPr>
            </w:pPr>
            <w:r w:rsidRPr="009F337B">
              <w:rPr>
                <w:sz w:val="16"/>
                <w:szCs w:val="16"/>
                <w:lang w:val="en-US"/>
              </w:rPr>
              <w:t>Zoila Marina Pérez Ru</w:t>
            </w:r>
            <w:r w:rsidR="005C4134" w:rsidRPr="009F337B">
              <w:rPr>
                <w:sz w:val="16"/>
                <w:szCs w:val="16"/>
                <w:lang w:val="en-US"/>
              </w:rPr>
              <w:t>í</w:t>
            </w:r>
            <w:r w:rsidRPr="009F337B">
              <w:rPr>
                <w:sz w:val="16"/>
                <w:szCs w:val="16"/>
                <w:lang w:val="en-US"/>
              </w:rPr>
              <w:t>z</w:t>
            </w:r>
          </w:p>
        </w:tc>
        <w:tc>
          <w:tcPr>
            <w:tcW w:w="567" w:type="dxa"/>
            <w:vAlign w:val="center"/>
          </w:tcPr>
          <w:p w14:paraId="34DDCF60" w14:textId="77777777" w:rsidR="007F3128" w:rsidRPr="009F337B" w:rsidRDefault="007F3128" w:rsidP="00F608A7">
            <w:pPr>
              <w:jc w:val="left"/>
              <w:rPr>
                <w:sz w:val="16"/>
                <w:szCs w:val="16"/>
                <w:lang w:val="en-US"/>
              </w:rPr>
            </w:pPr>
            <w:r w:rsidRPr="009F337B">
              <w:rPr>
                <w:sz w:val="16"/>
                <w:szCs w:val="16"/>
                <w:lang w:val="en-US"/>
              </w:rPr>
              <w:t>1</w:t>
            </w:r>
          </w:p>
        </w:tc>
        <w:tc>
          <w:tcPr>
            <w:tcW w:w="5211" w:type="dxa"/>
            <w:vAlign w:val="center"/>
          </w:tcPr>
          <w:p w14:paraId="3C696C1E" w14:textId="000CC268" w:rsidR="007F3128" w:rsidRPr="009F337B" w:rsidRDefault="007F3128" w:rsidP="00F608A7">
            <w:pPr>
              <w:tabs>
                <w:tab w:val="left" w:pos="1277"/>
              </w:tabs>
              <w:jc w:val="left"/>
              <w:rPr>
                <w:sz w:val="16"/>
                <w:szCs w:val="16"/>
                <w:lang w:val="en-US"/>
              </w:rPr>
            </w:pPr>
            <w:r w:rsidRPr="009F337B">
              <w:rPr>
                <w:sz w:val="16"/>
                <w:szCs w:val="16"/>
                <w:lang w:val="en-US"/>
              </w:rPr>
              <w:t>Santiago Fr</w:t>
            </w:r>
            <w:r w:rsidR="002176F2" w:rsidRPr="009F337B">
              <w:rPr>
                <w:sz w:val="16"/>
                <w:szCs w:val="16"/>
                <w:lang w:val="en-US"/>
              </w:rPr>
              <w:t>a</w:t>
            </w:r>
            <w:r w:rsidRPr="009F337B">
              <w:rPr>
                <w:sz w:val="16"/>
                <w:szCs w:val="16"/>
                <w:lang w:val="en-US"/>
              </w:rPr>
              <w:t>ncisco Vald</w:t>
            </w:r>
            <w:r w:rsidR="004402B0" w:rsidRPr="009F337B">
              <w:rPr>
                <w:sz w:val="16"/>
                <w:szCs w:val="16"/>
                <w:lang w:val="en-US"/>
              </w:rPr>
              <w:t>é</w:t>
            </w:r>
            <w:r w:rsidRPr="009F337B">
              <w:rPr>
                <w:sz w:val="16"/>
                <w:szCs w:val="16"/>
                <w:lang w:val="en-US"/>
              </w:rPr>
              <w:t>z Aguilar (</w:t>
            </w:r>
            <w:r w:rsidR="0010522A" w:rsidRPr="009F337B">
              <w:rPr>
                <w:sz w:val="16"/>
                <w:szCs w:val="16"/>
                <w:lang w:val="en-US"/>
              </w:rPr>
              <w:t>Husband</w:t>
            </w:r>
            <w:r w:rsidRPr="009F337B">
              <w:rPr>
                <w:sz w:val="16"/>
                <w:szCs w:val="16"/>
                <w:lang w:val="en-US"/>
              </w:rPr>
              <w:t>)</w:t>
            </w:r>
          </w:p>
        </w:tc>
      </w:tr>
      <w:tr w:rsidR="007F3128" w:rsidRPr="009F337B" w14:paraId="07157994" w14:textId="77777777" w:rsidTr="0010522A">
        <w:tc>
          <w:tcPr>
            <w:tcW w:w="560" w:type="dxa"/>
            <w:gridSpan w:val="2"/>
            <w:vMerge/>
            <w:vAlign w:val="center"/>
          </w:tcPr>
          <w:p w14:paraId="5B6C83CE" w14:textId="77777777" w:rsidR="007F3128" w:rsidRPr="009F337B" w:rsidRDefault="007F3128" w:rsidP="00F608A7">
            <w:pPr>
              <w:jc w:val="left"/>
              <w:rPr>
                <w:sz w:val="16"/>
                <w:szCs w:val="16"/>
                <w:lang w:val="en-US"/>
              </w:rPr>
            </w:pPr>
          </w:p>
        </w:tc>
        <w:tc>
          <w:tcPr>
            <w:tcW w:w="2950" w:type="dxa"/>
            <w:vMerge/>
            <w:vAlign w:val="center"/>
          </w:tcPr>
          <w:p w14:paraId="6D095870" w14:textId="77777777" w:rsidR="007F3128" w:rsidRPr="009F337B" w:rsidRDefault="007F3128" w:rsidP="00F608A7">
            <w:pPr>
              <w:jc w:val="left"/>
              <w:rPr>
                <w:sz w:val="16"/>
                <w:szCs w:val="16"/>
                <w:lang w:val="en-US"/>
              </w:rPr>
            </w:pPr>
          </w:p>
        </w:tc>
        <w:tc>
          <w:tcPr>
            <w:tcW w:w="567" w:type="dxa"/>
            <w:vAlign w:val="center"/>
          </w:tcPr>
          <w:p w14:paraId="1A92C264" w14:textId="77777777" w:rsidR="007F3128" w:rsidRPr="009F337B" w:rsidRDefault="007F3128" w:rsidP="00F608A7">
            <w:pPr>
              <w:jc w:val="left"/>
              <w:rPr>
                <w:sz w:val="16"/>
                <w:szCs w:val="16"/>
                <w:lang w:val="en-US"/>
              </w:rPr>
            </w:pPr>
            <w:r w:rsidRPr="009F337B">
              <w:rPr>
                <w:sz w:val="16"/>
                <w:szCs w:val="16"/>
                <w:lang w:val="en-US"/>
              </w:rPr>
              <w:t>2</w:t>
            </w:r>
          </w:p>
        </w:tc>
        <w:tc>
          <w:tcPr>
            <w:tcW w:w="5211" w:type="dxa"/>
            <w:vAlign w:val="center"/>
          </w:tcPr>
          <w:p w14:paraId="0B3839FE" w14:textId="505415B2" w:rsidR="007F3128" w:rsidRPr="00542AB5" w:rsidRDefault="007F3128" w:rsidP="00F608A7">
            <w:pPr>
              <w:tabs>
                <w:tab w:val="left" w:pos="1277"/>
              </w:tabs>
              <w:jc w:val="left"/>
              <w:rPr>
                <w:sz w:val="16"/>
                <w:szCs w:val="16"/>
                <w:lang w:val="es-CR"/>
              </w:rPr>
            </w:pPr>
            <w:r w:rsidRPr="00542AB5">
              <w:rPr>
                <w:sz w:val="16"/>
                <w:szCs w:val="16"/>
                <w:lang w:val="es-CR"/>
              </w:rPr>
              <w:t>Jhony Francisco Vald</w:t>
            </w:r>
            <w:r w:rsidR="004402B0" w:rsidRPr="00542AB5">
              <w:rPr>
                <w:sz w:val="16"/>
                <w:szCs w:val="16"/>
                <w:lang w:val="es-CR"/>
              </w:rPr>
              <w:t>é</w:t>
            </w:r>
            <w:r w:rsidRPr="00542AB5">
              <w:rPr>
                <w:sz w:val="16"/>
                <w:szCs w:val="16"/>
                <w:lang w:val="es-CR"/>
              </w:rPr>
              <w:t>z Pérez (</w:t>
            </w:r>
            <w:r w:rsidR="0010522A" w:rsidRPr="00542AB5">
              <w:rPr>
                <w:sz w:val="16"/>
                <w:szCs w:val="16"/>
                <w:lang w:val="es-CR"/>
              </w:rPr>
              <w:t>Son</w:t>
            </w:r>
            <w:r w:rsidRPr="00542AB5">
              <w:rPr>
                <w:sz w:val="16"/>
                <w:szCs w:val="16"/>
                <w:lang w:val="es-CR"/>
              </w:rPr>
              <w:t>)</w:t>
            </w:r>
          </w:p>
        </w:tc>
      </w:tr>
      <w:tr w:rsidR="007F3128" w:rsidRPr="00310E7A" w14:paraId="1FCE9EBA" w14:textId="77777777" w:rsidTr="0010522A">
        <w:tc>
          <w:tcPr>
            <w:tcW w:w="560" w:type="dxa"/>
            <w:gridSpan w:val="2"/>
            <w:vMerge/>
            <w:vAlign w:val="center"/>
          </w:tcPr>
          <w:p w14:paraId="5DE5CDFF" w14:textId="77777777" w:rsidR="007F3128" w:rsidRPr="00542AB5" w:rsidRDefault="007F3128" w:rsidP="00F608A7">
            <w:pPr>
              <w:jc w:val="left"/>
              <w:rPr>
                <w:sz w:val="16"/>
                <w:szCs w:val="16"/>
                <w:lang w:val="es-CR"/>
              </w:rPr>
            </w:pPr>
          </w:p>
        </w:tc>
        <w:tc>
          <w:tcPr>
            <w:tcW w:w="2950" w:type="dxa"/>
            <w:vMerge/>
            <w:vAlign w:val="center"/>
          </w:tcPr>
          <w:p w14:paraId="541CA86C" w14:textId="77777777" w:rsidR="007F3128" w:rsidRPr="00542AB5" w:rsidRDefault="007F3128" w:rsidP="00F608A7">
            <w:pPr>
              <w:jc w:val="left"/>
              <w:rPr>
                <w:sz w:val="16"/>
                <w:szCs w:val="16"/>
                <w:lang w:val="es-CR"/>
              </w:rPr>
            </w:pPr>
          </w:p>
        </w:tc>
        <w:tc>
          <w:tcPr>
            <w:tcW w:w="567" w:type="dxa"/>
            <w:vAlign w:val="center"/>
          </w:tcPr>
          <w:p w14:paraId="6A760994" w14:textId="77777777" w:rsidR="007F3128" w:rsidRPr="009F337B" w:rsidRDefault="007F3128" w:rsidP="00F608A7">
            <w:pPr>
              <w:jc w:val="left"/>
              <w:rPr>
                <w:sz w:val="16"/>
                <w:szCs w:val="16"/>
                <w:lang w:val="en-US"/>
              </w:rPr>
            </w:pPr>
            <w:r w:rsidRPr="009F337B">
              <w:rPr>
                <w:sz w:val="16"/>
                <w:szCs w:val="16"/>
                <w:lang w:val="en-US"/>
              </w:rPr>
              <w:t>3</w:t>
            </w:r>
          </w:p>
        </w:tc>
        <w:tc>
          <w:tcPr>
            <w:tcW w:w="5211" w:type="dxa"/>
            <w:vAlign w:val="center"/>
          </w:tcPr>
          <w:p w14:paraId="4D5A6482" w14:textId="2BCD046F" w:rsidR="007F3128" w:rsidRPr="009F337B" w:rsidRDefault="007F3128" w:rsidP="00F608A7">
            <w:pPr>
              <w:tabs>
                <w:tab w:val="left" w:pos="1277"/>
              </w:tabs>
              <w:jc w:val="left"/>
              <w:rPr>
                <w:sz w:val="16"/>
                <w:szCs w:val="16"/>
                <w:lang w:val="en-US"/>
              </w:rPr>
            </w:pPr>
            <w:r w:rsidRPr="009F337B">
              <w:rPr>
                <w:sz w:val="16"/>
                <w:szCs w:val="16"/>
                <w:lang w:val="en-US"/>
              </w:rPr>
              <w:t>Boni Kennedy Vald</w:t>
            </w:r>
            <w:r w:rsidR="004402B0" w:rsidRPr="009F337B">
              <w:rPr>
                <w:sz w:val="16"/>
                <w:szCs w:val="16"/>
                <w:lang w:val="en-US"/>
              </w:rPr>
              <w:t>é</w:t>
            </w:r>
            <w:r w:rsidRPr="009F337B">
              <w:rPr>
                <w:sz w:val="16"/>
                <w:szCs w:val="16"/>
                <w:lang w:val="en-US"/>
              </w:rPr>
              <w:t>z Pérez (</w:t>
            </w:r>
            <w:r w:rsidR="0010522A" w:rsidRPr="009F337B">
              <w:rPr>
                <w:sz w:val="16"/>
                <w:szCs w:val="16"/>
                <w:lang w:val="en-US"/>
              </w:rPr>
              <w:t>Daughter</w:t>
            </w:r>
            <w:r w:rsidRPr="009F337B">
              <w:rPr>
                <w:sz w:val="16"/>
                <w:szCs w:val="16"/>
                <w:lang w:val="en-US"/>
              </w:rPr>
              <w:t>)</w:t>
            </w:r>
          </w:p>
        </w:tc>
      </w:tr>
      <w:tr w:rsidR="007F3128" w:rsidRPr="00310E7A" w14:paraId="4744E4A7" w14:textId="77777777" w:rsidTr="0010522A">
        <w:tc>
          <w:tcPr>
            <w:tcW w:w="560" w:type="dxa"/>
            <w:gridSpan w:val="2"/>
            <w:vMerge/>
            <w:vAlign w:val="center"/>
          </w:tcPr>
          <w:p w14:paraId="54AC14B2" w14:textId="77777777" w:rsidR="007F3128" w:rsidRPr="009F337B" w:rsidRDefault="007F3128" w:rsidP="00F608A7">
            <w:pPr>
              <w:jc w:val="left"/>
              <w:rPr>
                <w:sz w:val="16"/>
                <w:szCs w:val="16"/>
                <w:lang w:val="en-US"/>
              </w:rPr>
            </w:pPr>
          </w:p>
        </w:tc>
        <w:tc>
          <w:tcPr>
            <w:tcW w:w="2950" w:type="dxa"/>
            <w:vMerge/>
            <w:vAlign w:val="center"/>
          </w:tcPr>
          <w:p w14:paraId="68A2C34F" w14:textId="77777777" w:rsidR="007F3128" w:rsidRPr="009F337B" w:rsidRDefault="007F3128" w:rsidP="00F608A7">
            <w:pPr>
              <w:jc w:val="left"/>
              <w:rPr>
                <w:sz w:val="16"/>
                <w:szCs w:val="16"/>
                <w:lang w:val="en-US"/>
              </w:rPr>
            </w:pPr>
          </w:p>
        </w:tc>
        <w:tc>
          <w:tcPr>
            <w:tcW w:w="567" w:type="dxa"/>
            <w:vAlign w:val="center"/>
          </w:tcPr>
          <w:p w14:paraId="472B94F3" w14:textId="77777777" w:rsidR="007F3128" w:rsidRPr="009F337B" w:rsidRDefault="007F3128" w:rsidP="00F608A7">
            <w:pPr>
              <w:jc w:val="left"/>
              <w:rPr>
                <w:sz w:val="16"/>
                <w:szCs w:val="16"/>
                <w:lang w:val="en-US"/>
              </w:rPr>
            </w:pPr>
            <w:r w:rsidRPr="009F337B">
              <w:rPr>
                <w:sz w:val="16"/>
                <w:szCs w:val="16"/>
                <w:lang w:val="en-US"/>
              </w:rPr>
              <w:t>4</w:t>
            </w:r>
          </w:p>
        </w:tc>
        <w:tc>
          <w:tcPr>
            <w:tcW w:w="5211" w:type="dxa"/>
            <w:vAlign w:val="center"/>
          </w:tcPr>
          <w:p w14:paraId="6DFE13A7" w14:textId="0D269A96" w:rsidR="007F3128" w:rsidRPr="009F337B" w:rsidRDefault="0095469D" w:rsidP="00F608A7">
            <w:pPr>
              <w:tabs>
                <w:tab w:val="left" w:pos="1277"/>
              </w:tabs>
              <w:jc w:val="left"/>
              <w:rPr>
                <w:sz w:val="16"/>
                <w:szCs w:val="16"/>
                <w:lang w:val="en-US"/>
              </w:rPr>
            </w:pPr>
            <w:r w:rsidRPr="009F337B">
              <w:rPr>
                <w:sz w:val="16"/>
                <w:szCs w:val="16"/>
                <w:lang w:val="en-US"/>
              </w:rPr>
              <w:t>Nancy Beatríz Valdé</w:t>
            </w:r>
            <w:r w:rsidR="007F3128" w:rsidRPr="009F337B">
              <w:rPr>
                <w:sz w:val="16"/>
                <w:szCs w:val="16"/>
                <w:lang w:val="en-US"/>
              </w:rPr>
              <w:t>z Pérez (</w:t>
            </w:r>
            <w:r w:rsidR="0010522A" w:rsidRPr="009F337B">
              <w:rPr>
                <w:sz w:val="16"/>
                <w:szCs w:val="16"/>
                <w:lang w:val="en-US"/>
              </w:rPr>
              <w:t>Daughter</w:t>
            </w:r>
            <w:r w:rsidR="007F3128" w:rsidRPr="009F337B">
              <w:rPr>
                <w:sz w:val="16"/>
                <w:szCs w:val="16"/>
                <w:lang w:val="en-US"/>
              </w:rPr>
              <w:t>)</w:t>
            </w:r>
          </w:p>
        </w:tc>
      </w:tr>
      <w:tr w:rsidR="007F3128" w:rsidRPr="00310E7A" w14:paraId="7A4BCAF6" w14:textId="77777777" w:rsidTr="0010522A">
        <w:tc>
          <w:tcPr>
            <w:tcW w:w="560" w:type="dxa"/>
            <w:gridSpan w:val="2"/>
            <w:vMerge/>
            <w:vAlign w:val="center"/>
          </w:tcPr>
          <w:p w14:paraId="3904C597" w14:textId="77777777" w:rsidR="007F3128" w:rsidRPr="009F337B" w:rsidRDefault="007F3128" w:rsidP="00F608A7">
            <w:pPr>
              <w:jc w:val="left"/>
              <w:rPr>
                <w:sz w:val="16"/>
                <w:szCs w:val="16"/>
                <w:lang w:val="en-US"/>
              </w:rPr>
            </w:pPr>
          </w:p>
        </w:tc>
        <w:tc>
          <w:tcPr>
            <w:tcW w:w="2950" w:type="dxa"/>
            <w:vMerge/>
            <w:vAlign w:val="center"/>
          </w:tcPr>
          <w:p w14:paraId="071D136A" w14:textId="77777777" w:rsidR="007F3128" w:rsidRPr="009F337B" w:rsidRDefault="007F3128" w:rsidP="00F608A7">
            <w:pPr>
              <w:jc w:val="left"/>
              <w:rPr>
                <w:sz w:val="16"/>
                <w:szCs w:val="16"/>
                <w:lang w:val="en-US"/>
              </w:rPr>
            </w:pPr>
          </w:p>
        </w:tc>
        <w:tc>
          <w:tcPr>
            <w:tcW w:w="567" w:type="dxa"/>
            <w:vAlign w:val="center"/>
          </w:tcPr>
          <w:p w14:paraId="017E9005" w14:textId="77777777" w:rsidR="007F3128" w:rsidRPr="009F337B" w:rsidRDefault="007F3128" w:rsidP="00F608A7">
            <w:pPr>
              <w:jc w:val="left"/>
              <w:rPr>
                <w:sz w:val="16"/>
                <w:szCs w:val="16"/>
                <w:lang w:val="en-US"/>
              </w:rPr>
            </w:pPr>
            <w:r w:rsidRPr="009F337B">
              <w:rPr>
                <w:sz w:val="16"/>
                <w:szCs w:val="16"/>
                <w:lang w:val="en-US"/>
              </w:rPr>
              <w:t>5</w:t>
            </w:r>
          </w:p>
        </w:tc>
        <w:tc>
          <w:tcPr>
            <w:tcW w:w="5211" w:type="dxa"/>
            <w:vAlign w:val="center"/>
          </w:tcPr>
          <w:p w14:paraId="6F67C05E" w14:textId="682404B6" w:rsidR="007F3128" w:rsidRPr="009F337B" w:rsidRDefault="007F3128" w:rsidP="00F608A7">
            <w:pPr>
              <w:tabs>
                <w:tab w:val="left" w:pos="1277"/>
              </w:tabs>
              <w:jc w:val="left"/>
              <w:rPr>
                <w:sz w:val="16"/>
                <w:szCs w:val="16"/>
                <w:lang w:val="en-US"/>
              </w:rPr>
            </w:pPr>
            <w:r w:rsidRPr="009F337B">
              <w:rPr>
                <w:sz w:val="16"/>
                <w:szCs w:val="16"/>
                <w:lang w:val="en-US"/>
              </w:rPr>
              <w:t>Glendi Betsaida Vald</w:t>
            </w:r>
            <w:r w:rsidR="004402B0" w:rsidRPr="009F337B">
              <w:rPr>
                <w:sz w:val="16"/>
                <w:szCs w:val="16"/>
                <w:lang w:val="en-US"/>
              </w:rPr>
              <w:t>é</w:t>
            </w:r>
            <w:r w:rsidRPr="009F337B">
              <w:rPr>
                <w:sz w:val="16"/>
                <w:szCs w:val="16"/>
                <w:lang w:val="en-US"/>
              </w:rPr>
              <w:t>z Pérez (</w:t>
            </w:r>
            <w:r w:rsidR="0010522A" w:rsidRPr="009F337B">
              <w:rPr>
                <w:sz w:val="16"/>
                <w:szCs w:val="16"/>
                <w:lang w:val="en-US"/>
              </w:rPr>
              <w:t>Daughter</w:t>
            </w:r>
            <w:r w:rsidRPr="009F337B">
              <w:rPr>
                <w:sz w:val="16"/>
                <w:szCs w:val="16"/>
                <w:lang w:val="en-US"/>
              </w:rPr>
              <w:t>)</w:t>
            </w:r>
          </w:p>
        </w:tc>
      </w:tr>
      <w:tr w:rsidR="007F3128" w:rsidRPr="00310E7A" w14:paraId="4EDCCC34" w14:textId="77777777" w:rsidTr="0010522A">
        <w:tc>
          <w:tcPr>
            <w:tcW w:w="560" w:type="dxa"/>
            <w:gridSpan w:val="2"/>
            <w:vMerge/>
            <w:vAlign w:val="center"/>
          </w:tcPr>
          <w:p w14:paraId="48B62B7D" w14:textId="77777777" w:rsidR="007F3128" w:rsidRPr="009F337B" w:rsidRDefault="007F3128" w:rsidP="00F608A7">
            <w:pPr>
              <w:jc w:val="left"/>
              <w:rPr>
                <w:sz w:val="16"/>
                <w:szCs w:val="16"/>
                <w:lang w:val="en-US"/>
              </w:rPr>
            </w:pPr>
          </w:p>
        </w:tc>
        <w:tc>
          <w:tcPr>
            <w:tcW w:w="2950" w:type="dxa"/>
            <w:vMerge/>
            <w:vAlign w:val="center"/>
          </w:tcPr>
          <w:p w14:paraId="0FAF3873" w14:textId="77777777" w:rsidR="007F3128" w:rsidRPr="009F337B" w:rsidRDefault="007F3128" w:rsidP="00F608A7">
            <w:pPr>
              <w:jc w:val="left"/>
              <w:rPr>
                <w:sz w:val="16"/>
                <w:szCs w:val="16"/>
                <w:lang w:val="en-US"/>
              </w:rPr>
            </w:pPr>
          </w:p>
        </w:tc>
        <w:tc>
          <w:tcPr>
            <w:tcW w:w="567" w:type="dxa"/>
            <w:vAlign w:val="center"/>
          </w:tcPr>
          <w:p w14:paraId="501545AE" w14:textId="77777777" w:rsidR="007F3128" w:rsidRPr="009F337B" w:rsidRDefault="007F3128" w:rsidP="00F608A7">
            <w:pPr>
              <w:jc w:val="left"/>
              <w:rPr>
                <w:sz w:val="16"/>
                <w:szCs w:val="16"/>
                <w:lang w:val="en-US"/>
              </w:rPr>
            </w:pPr>
            <w:r w:rsidRPr="009F337B">
              <w:rPr>
                <w:sz w:val="16"/>
                <w:szCs w:val="16"/>
                <w:lang w:val="en-US"/>
              </w:rPr>
              <w:t>6</w:t>
            </w:r>
          </w:p>
        </w:tc>
        <w:tc>
          <w:tcPr>
            <w:tcW w:w="5211" w:type="dxa"/>
            <w:vAlign w:val="center"/>
          </w:tcPr>
          <w:p w14:paraId="5B1EFD00" w14:textId="49F2321E" w:rsidR="007F3128" w:rsidRPr="009F337B" w:rsidRDefault="007F3128" w:rsidP="00F608A7">
            <w:pPr>
              <w:tabs>
                <w:tab w:val="left" w:pos="1277"/>
              </w:tabs>
              <w:jc w:val="left"/>
              <w:rPr>
                <w:sz w:val="16"/>
                <w:szCs w:val="16"/>
                <w:lang w:val="en-US"/>
              </w:rPr>
            </w:pPr>
            <w:r w:rsidRPr="009F337B">
              <w:rPr>
                <w:sz w:val="16"/>
                <w:szCs w:val="16"/>
                <w:lang w:val="en-US"/>
              </w:rPr>
              <w:t>Mildred Odalis Vald</w:t>
            </w:r>
            <w:r w:rsidR="004402B0" w:rsidRPr="009F337B">
              <w:rPr>
                <w:sz w:val="16"/>
                <w:szCs w:val="16"/>
                <w:lang w:val="en-US"/>
              </w:rPr>
              <w:t>é</w:t>
            </w:r>
            <w:r w:rsidRPr="009F337B">
              <w:rPr>
                <w:sz w:val="16"/>
                <w:szCs w:val="16"/>
                <w:lang w:val="en-US"/>
              </w:rPr>
              <w:t>z Pérez (</w:t>
            </w:r>
            <w:r w:rsidR="0010522A" w:rsidRPr="009F337B">
              <w:rPr>
                <w:sz w:val="16"/>
                <w:szCs w:val="16"/>
                <w:lang w:val="en-US"/>
              </w:rPr>
              <w:t>Daughter</w:t>
            </w:r>
            <w:r w:rsidRPr="009F337B">
              <w:rPr>
                <w:sz w:val="16"/>
                <w:szCs w:val="16"/>
                <w:lang w:val="en-US"/>
              </w:rPr>
              <w:t>)</w:t>
            </w:r>
          </w:p>
        </w:tc>
      </w:tr>
      <w:tr w:rsidR="007F3128" w:rsidRPr="009F337B" w14:paraId="5DE2E55A" w14:textId="77777777" w:rsidTr="0010522A">
        <w:tc>
          <w:tcPr>
            <w:tcW w:w="560" w:type="dxa"/>
            <w:gridSpan w:val="2"/>
            <w:vMerge/>
            <w:vAlign w:val="center"/>
          </w:tcPr>
          <w:p w14:paraId="0792D39E" w14:textId="77777777" w:rsidR="007F3128" w:rsidRPr="009F337B" w:rsidRDefault="007F3128" w:rsidP="00F608A7">
            <w:pPr>
              <w:jc w:val="left"/>
              <w:rPr>
                <w:sz w:val="16"/>
                <w:szCs w:val="16"/>
                <w:lang w:val="en-US"/>
              </w:rPr>
            </w:pPr>
          </w:p>
        </w:tc>
        <w:tc>
          <w:tcPr>
            <w:tcW w:w="2950" w:type="dxa"/>
            <w:vMerge/>
            <w:vAlign w:val="center"/>
          </w:tcPr>
          <w:p w14:paraId="26CCF704" w14:textId="77777777" w:rsidR="007F3128" w:rsidRPr="009F337B" w:rsidRDefault="007F3128" w:rsidP="00F608A7">
            <w:pPr>
              <w:jc w:val="left"/>
              <w:rPr>
                <w:sz w:val="16"/>
                <w:szCs w:val="16"/>
                <w:lang w:val="en-US"/>
              </w:rPr>
            </w:pPr>
          </w:p>
        </w:tc>
        <w:tc>
          <w:tcPr>
            <w:tcW w:w="567" w:type="dxa"/>
            <w:vAlign w:val="center"/>
          </w:tcPr>
          <w:p w14:paraId="202D2B26" w14:textId="77777777" w:rsidR="007F3128" w:rsidRPr="009F337B" w:rsidRDefault="007F3128" w:rsidP="00F608A7">
            <w:pPr>
              <w:jc w:val="left"/>
              <w:rPr>
                <w:sz w:val="16"/>
                <w:szCs w:val="16"/>
                <w:lang w:val="en-US"/>
              </w:rPr>
            </w:pPr>
            <w:r w:rsidRPr="009F337B">
              <w:rPr>
                <w:sz w:val="16"/>
                <w:szCs w:val="16"/>
                <w:lang w:val="en-US"/>
              </w:rPr>
              <w:t>7</w:t>
            </w:r>
          </w:p>
        </w:tc>
        <w:tc>
          <w:tcPr>
            <w:tcW w:w="5211" w:type="dxa"/>
            <w:vAlign w:val="center"/>
          </w:tcPr>
          <w:p w14:paraId="7FDD0A59" w14:textId="2EC4A7E7" w:rsidR="007F3128" w:rsidRPr="009F337B" w:rsidRDefault="007F3128" w:rsidP="00F608A7">
            <w:pPr>
              <w:tabs>
                <w:tab w:val="left" w:pos="1277"/>
              </w:tabs>
              <w:jc w:val="left"/>
              <w:rPr>
                <w:sz w:val="16"/>
                <w:szCs w:val="16"/>
                <w:lang w:val="en-US"/>
              </w:rPr>
            </w:pPr>
            <w:r w:rsidRPr="009F337B">
              <w:rPr>
                <w:sz w:val="16"/>
                <w:szCs w:val="16"/>
                <w:lang w:val="en-US"/>
              </w:rPr>
              <w:t>Zolia Argentina Vald</w:t>
            </w:r>
            <w:r w:rsidR="004402B0" w:rsidRPr="009F337B">
              <w:rPr>
                <w:sz w:val="16"/>
                <w:szCs w:val="16"/>
                <w:lang w:val="en-US"/>
              </w:rPr>
              <w:t>é</w:t>
            </w:r>
            <w:r w:rsidRPr="009F337B">
              <w:rPr>
                <w:sz w:val="16"/>
                <w:szCs w:val="16"/>
                <w:lang w:val="en-US"/>
              </w:rPr>
              <w:t>z Pérez (</w:t>
            </w:r>
            <w:r w:rsidR="0010522A" w:rsidRPr="009F337B">
              <w:rPr>
                <w:sz w:val="16"/>
                <w:szCs w:val="16"/>
                <w:lang w:val="en-US"/>
              </w:rPr>
              <w:t>Daughter</w:t>
            </w:r>
            <w:r w:rsidRPr="009F337B">
              <w:rPr>
                <w:sz w:val="16"/>
                <w:szCs w:val="16"/>
                <w:lang w:val="en-US"/>
              </w:rPr>
              <w:t>)</w:t>
            </w:r>
          </w:p>
        </w:tc>
      </w:tr>
      <w:tr w:rsidR="007F3128" w:rsidRPr="00310E7A" w14:paraId="4D7F7707" w14:textId="77777777" w:rsidTr="0010522A">
        <w:tc>
          <w:tcPr>
            <w:tcW w:w="560" w:type="dxa"/>
            <w:gridSpan w:val="2"/>
            <w:vMerge/>
            <w:vAlign w:val="center"/>
          </w:tcPr>
          <w:p w14:paraId="6485929F" w14:textId="77777777" w:rsidR="007F3128" w:rsidRPr="009F337B" w:rsidRDefault="007F3128" w:rsidP="00F608A7">
            <w:pPr>
              <w:jc w:val="left"/>
              <w:rPr>
                <w:sz w:val="16"/>
                <w:szCs w:val="16"/>
                <w:lang w:val="en-US"/>
              </w:rPr>
            </w:pPr>
          </w:p>
        </w:tc>
        <w:tc>
          <w:tcPr>
            <w:tcW w:w="2950" w:type="dxa"/>
            <w:vMerge/>
            <w:vAlign w:val="center"/>
          </w:tcPr>
          <w:p w14:paraId="7356D14C" w14:textId="77777777" w:rsidR="007F3128" w:rsidRPr="009F337B" w:rsidRDefault="007F3128" w:rsidP="00F608A7">
            <w:pPr>
              <w:jc w:val="left"/>
              <w:rPr>
                <w:sz w:val="16"/>
                <w:szCs w:val="16"/>
                <w:lang w:val="en-US"/>
              </w:rPr>
            </w:pPr>
          </w:p>
        </w:tc>
        <w:tc>
          <w:tcPr>
            <w:tcW w:w="567" w:type="dxa"/>
            <w:vAlign w:val="center"/>
          </w:tcPr>
          <w:p w14:paraId="64A85442" w14:textId="77777777" w:rsidR="007F3128" w:rsidRPr="009F337B" w:rsidRDefault="007F3128" w:rsidP="00F608A7">
            <w:pPr>
              <w:jc w:val="left"/>
              <w:rPr>
                <w:sz w:val="16"/>
                <w:szCs w:val="16"/>
                <w:lang w:val="en-US"/>
              </w:rPr>
            </w:pPr>
            <w:r w:rsidRPr="009F337B">
              <w:rPr>
                <w:sz w:val="16"/>
                <w:szCs w:val="16"/>
                <w:lang w:val="en-US"/>
              </w:rPr>
              <w:t>8</w:t>
            </w:r>
          </w:p>
        </w:tc>
        <w:tc>
          <w:tcPr>
            <w:tcW w:w="5211" w:type="dxa"/>
            <w:vAlign w:val="center"/>
          </w:tcPr>
          <w:p w14:paraId="28B5475D" w14:textId="280A8458" w:rsidR="007F3128" w:rsidRPr="00542AB5" w:rsidRDefault="007F3128" w:rsidP="00F608A7">
            <w:pPr>
              <w:tabs>
                <w:tab w:val="left" w:pos="1277"/>
              </w:tabs>
              <w:jc w:val="left"/>
              <w:rPr>
                <w:sz w:val="16"/>
                <w:szCs w:val="16"/>
                <w:lang w:val="fr-FR"/>
              </w:rPr>
            </w:pPr>
            <w:r w:rsidRPr="00542AB5">
              <w:rPr>
                <w:sz w:val="16"/>
                <w:szCs w:val="16"/>
                <w:lang w:val="fr-FR"/>
              </w:rPr>
              <w:t>Nelson Gudiel Vald</w:t>
            </w:r>
            <w:r w:rsidR="004402B0" w:rsidRPr="00542AB5">
              <w:rPr>
                <w:sz w:val="16"/>
                <w:szCs w:val="16"/>
                <w:lang w:val="fr-FR"/>
              </w:rPr>
              <w:t>é</w:t>
            </w:r>
            <w:r w:rsidRPr="00542AB5">
              <w:rPr>
                <w:sz w:val="16"/>
                <w:szCs w:val="16"/>
                <w:lang w:val="fr-FR"/>
              </w:rPr>
              <w:t>z Pérez (</w:t>
            </w:r>
            <w:r w:rsidR="0010522A" w:rsidRPr="00542AB5">
              <w:rPr>
                <w:sz w:val="16"/>
                <w:szCs w:val="16"/>
                <w:lang w:val="fr-FR"/>
              </w:rPr>
              <w:t>Son</w:t>
            </w:r>
            <w:r w:rsidRPr="00542AB5">
              <w:rPr>
                <w:sz w:val="16"/>
                <w:szCs w:val="16"/>
                <w:lang w:val="fr-FR"/>
              </w:rPr>
              <w:t>)</w:t>
            </w:r>
          </w:p>
        </w:tc>
      </w:tr>
      <w:tr w:rsidR="007F3128" w:rsidRPr="009F337B" w14:paraId="3C94D116" w14:textId="77777777" w:rsidTr="0010522A">
        <w:tc>
          <w:tcPr>
            <w:tcW w:w="560" w:type="dxa"/>
            <w:gridSpan w:val="2"/>
            <w:vMerge/>
            <w:vAlign w:val="center"/>
          </w:tcPr>
          <w:p w14:paraId="2E0622E2" w14:textId="77777777" w:rsidR="007F3128" w:rsidRPr="00542AB5" w:rsidRDefault="007F3128" w:rsidP="00F608A7">
            <w:pPr>
              <w:jc w:val="left"/>
              <w:rPr>
                <w:sz w:val="16"/>
                <w:szCs w:val="16"/>
                <w:lang w:val="fr-FR"/>
              </w:rPr>
            </w:pPr>
          </w:p>
        </w:tc>
        <w:tc>
          <w:tcPr>
            <w:tcW w:w="2950" w:type="dxa"/>
            <w:vMerge/>
            <w:vAlign w:val="center"/>
          </w:tcPr>
          <w:p w14:paraId="3C74FBB0" w14:textId="77777777" w:rsidR="007F3128" w:rsidRPr="00542AB5" w:rsidRDefault="007F3128" w:rsidP="00F608A7">
            <w:pPr>
              <w:jc w:val="left"/>
              <w:rPr>
                <w:sz w:val="16"/>
                <w:szCs w:val="16"/>
                <w:lang w:val="fr-FR"/>
              </w:rPr>
            </w:pPr>
          </w:p>
        </w:tc>
        <w:tc>
          <w:tcPr>
            <w:tcW w:w="567" w:type="dxa"/>
            <w:vAlign w:val="center"/>
          </w:tcPr>
          <w:p w14:paraId="6EE862A1" w14:textId="77777777" w:rsidR="007F3128" w:rsidRPr="009F337B" w:rsidRDefault="007F3128" w:rsidP="00F608A7">
            <w:pPr>
              <w:jc w:val="left"/>
              <w:rPr>
                <w:sz w:val="16"/>
                <w:szCs w:val="16"/>
                <w:lang w:val="en-US"/>
              </w:rPr>
            </w:pPr>
            <w:r w:rsidRPr="009F337B">
              <w:rPr>
                <w:sz w:val="16"/>
                <w:szCs w:val="16"/>
                <w:lang w:val="en-US"/>
              </w:rPr>
              <w:t>9</w:t>
            </w:r>
          </w:p>
        </w:tc>
        <w:tc>
          <w:tcPr>
            <w:tcW w:w="5211" w:type="dxa"/>
            <w:vAlign w:val="center"/>
          </w:tcPr>
          <w:p w14:paraId="641CB691" w14:textId="557B26AB" w:rsidR="007F3128" w:rsidRPr="009F337B" w:rsidRDefault="007F3128" w:rsidP="00F608A7">
            <w:pPr>
              <w:tabs>
                <w:tab w:val="left" w:pos="1277"/>
              </w:tabs>
              <w:jc w:val="left"/>
              <w:rPr>
                <w:sz w:val="16"/>
                <w:szCs w:val="16"/>
                <w:lang w:val="en-US"/>
              </w:rPr>
            </w:pPr>
            <w:r w:rsidRPr="009F337B">
              <w:rPr>
                <w:sz w:val="16"/>
                <w:szCs w:val="16"/>
                <w:lang w:val="en-US"/>
              </w:rPr>
              <w:t>Rosario Ruiz (</w:t>
            </w:r>
            <w:r w:rsidR="0010522A" w:rsidRPr="009F337B">
              <w:rPr>
                <w:sz w:val="16"/>
                <w:szCs w:val="16"/>
                <w:lang w:val="en-US"/>
              </w:rPr>
              <w:t>Mother</w:t>
            </w:r>
            <w:r w:rsidRPr="009F337B">
              <w:rPr>
                <w:sz w:val="16"/>
                <w:szCs w:val="16"/>
                <w:lang w:val="en-US"/>
              </w:rPr>
              <w:t>)</w:t>
            </w:r>
          </w:p>
        </w:tc>
      </w:tr>
      <w:tr w:rsidR="007F3128" w:rsidRPr="009F337B" w14:paraId="62D0CB09" w14:textId="77777777" w:rsidTr="0010522A">
        <w:tc>
          <w:tcPr>
            <w:tcW w:w="560" w:type="dxa"/>
            <w:gridSpan w:val="2"/>
            <w:vMerge/>
            <w:vAlign w:val="center"/>
          </w:tcPr>
          <w:p w14:paraId="34260EDC" w14:textId="77777777" w:rsidR="007F3128" w:rsidRPr="009F337B" w:rsidRDefault="007F3128" w:rsidP="00F608A7">
            <w:pPr>
              <w:jc w:val="left"/>
              <w:rPr>
                <w:sz w:val="16"/>
                <w:szCs w:val="16"/>
                <w:lang w:val="en-US"/>
              </w:rPr>
            </w:pPr>
          </w:p>
        </w:tc>
        <w:tc>
          <w:tcPr>
            <w:tcW w:w="2950" w:type="dxa"/>
            <w:vMerge/>
            <w:vAlign w:val="center"/>
          </w:tcPr>
          <w:p w14:paraId="3314EDE8" w14:textId="77777777" w:rsidR="007F3128" w:rsidRPr="009F337B" w:rsidRDefault="007F3128" w:rsidP="00F608A7">
            <w:pPr>
              <w:jc w:val="left"/>
              <w:rPr>
                <w:sz w:val="16"/>
                <w:szCs w:val="16"/>
                <w:lang w:val="en-US"/>
              </w:rPr>
            </w:pPr>
          </w:p>
        </w:tc>
        <w:tc>
          <w:tcPr>
            <w:tcW w:w="567" w:type="dxa"/>
            <w:vAlign w:val="center"/>
          </w:tcPr>
          <w:p w14:paraId="44F7AAE8" w14:textId="77777777" w:rsidR="007F3128" w:rsidRPr="009F337B" w:rsidRDefault="007F3128" w:rsidP="00F608A7">
            <w:pPr>
              <w:jc w:val="left"/>
              <w:rPr>
                <w:sz w:val="16"/>
                <w:szCs w:val="16"/>
                <w:lang w:val="en-US"/>
              </w:rPr>
            </w:pPr>
            <w:r w:rsidRPr="009F337B">
              <w:rPr>
                <w:sz w:val="16"/>
                <w:szCs w:val="16"/>
                <w:lang w:val="en-US"/>
              </w:rPr>
              <w:t>10</w:t>
            </w:r>
          </w:p>
        </w:tc>
        <w:tc>
          <w:tcPr>
            <w:tcW w:w="5211" w:type="dxa"/>
            <w:vAlign w:val="center"/>
          </w:tcPr>
          <w:p w14:paraId="6C646703" w14:textId="7998B33B" w:rsidR="007F3128" w:rsidRPr="009F337B" w:rsidRDefault="007F3128" w:rsidP="00F608A7">
            <w:pPr>
              <w:tabs>
                <w:tab w:val="left" w:pos="1277"/>
              </w:tabs>
              <w:jc w:val="left"/>
              <w:rPr>
                <w:sz w:val="16"/>
                <w:szCs w:val="16"/>
                <w:lang w:val="en-US"/>
              </w:rPr>
            </w:pPr>
            <w:r w:rsidRPr="009F337B">
              <w:rPr>
                <w:sz w:val="16"/>
                <w:szCs w:val="16"/>
                <w:lang w:val="en-US"/>
              </w:rPr>
              <w:t>Edgar Gilberto Pérez Ruiz (</w:t>
            </w:r>
            <w:r w:rsidR="0010522A" w:rsidRPr="009F337B">
              <w:rPr>
                <w:sz w:val="16"/>
                <w:szCs w:val="16"/>
                <w:lang w:val="en-US"/>
              </w:rPr>
              <w:t>Brother</w:t>
            </w:r>
            <w:r w:rsidRPr="009F337B">
              <w:rPr>
                <w:sz w:val="16"/>
                <w:szCs w:val="16"/>
                <w:lang w:val="en-US"/>
              </w:rPr>
              <w:t>)</w:t>
            </w:r>
          </w:p>
        </w:tc>
      </w:tr>
      <w:tr w:rsidR="007F3128" w:rsidRPr="009F337B" w14:paraId="2F49A97C" w14:textId="77777777" w:rsidTr="0010522A">
        <w:tc>
          <w:tcPr>
            <w:tcW w:w="560" w:type="dxa"/>
            <w:gridSpan w:val="2"/>
            <w:vMerge w:val="restart"/>
            <w:vAlign w:val="center"/>
          </w:tcPr>
          <w:p w14:paraId="7F09F627" w14:textId="77777777" w:rsidR="007F3128" w:rsidRPr="009F337B" w:rsidRDefault="007F3128" w:rsidP="00F608A7">
            <w:pPr>
              <w:jc w:val="left"/>
              <w:rPr>
                <w:sz w:val="16"/>
                <w:szCs w:val="16"/>
                <w:lang w:val="en-US"/>
              </w:rPr>
            </w:pPr>
            <w:r w:rsidRPr="009F337B">
              <w:rPr>
                <w:sz w:val="16"/>
                <w:szCs w:val="16"/>
                <w:lang w:val="en-US"/>
              </w:rPr>
              <w:t>41</w:t>
            </w:r>
          </w:p>
        </w:tc>
        <w:tc>
          <w:tcPr>
            <w:tcW w:w="2950" w:type="dxa"/>
            <w:vMerge w:val="restart"/>
            <w:vAlign w:val="center"/>
          </w:tcPr>
          <w:p w14:paraId="3C3526DC" w14:textId="409260FF" w:rsidR="007F3128" w:rsidRPr="009F337B" w:rsidRDefault="007F3128" w:rsidP="00F608A7">
            <w:pPr>
              <w:jc w:val="left"/>
              <w:rPr>
                <w:sz w:val="16"/>
                <w:szCs w:val="16"/>
                <w:lang w:val="en-US"/>
              </w:rPr>
            </w:pPr>
            <w:r w:rsidRPr="009F337B">
              <w:rPr>
                <w:sz w:val="16"/>
                <w:szCs w:val="16"/>
                <w:lang w:val="en-US"/>
              </w:rPr>
              <w:t>Santiago Francisco Valdéz Aguilar</w:t>
            </w:r>
          </w:p>
        </w:tc>
        <w:tc>
          <w:tcPr>
            <w:tcW w:w="567" w:type="dxa"/>
            <w:vAlign w:val="center"/>
          </w:tcPr>
          <w:p w14:paraId="5E20A6F4" w14:textId="77777777" w:rsidR="007F3128" w:rsidRPr="009F337B" w:rsidRDefault="007F3128" w:rsidP="00F608A7">
            <w:pPr>
              <w:jc w:val="left"/>
              <w:rPr>
                <w:sz w:val="16"/>
                <w:szCs w:val="16"/>
                <w:lang w:val="en-US"/>
              </w:rPr>
            </w:pPr>
            <w:r w:rsidRPr="009F337B">
              <w:rPr>
                <w:sz w:val="16"/>
                <w:szCs w:val="16"/>
                <w:lang w:val="en-US"/>
              </w:rPr>
              <w:t>1</w:t>
            </w:r>
          </w:p>
        </w:tc>
        <w:tc>
          <w:tcPr>
            <w:tcW w:w="5211" w:type="dxa"/>
            <w:vAlign w:val="center"/>
          </w:tcPr>
          <w:p w14:paraId="25B1C119" w14:textId="63ACE233" w:rsidR="007F3128" w:rsidRPr="009F337B" w:rsidRDefault="00EC6A22" w:rsidP="00F608A7">
            <w:pPr>
              <w:tabs>
                <w:tab w:val="left" w:pos="1277"/>
              </w:tabs>
              <w:jc w:val="left"/>
              <w:rPr>
                <w:sz w:val="16"/>
                <w:szCs w:val="16"/>
                <w:lang w:val="en-US"/>
              </w:rPr>
            </w:pPr>
            <w:r w:rsidRPr="009F337B">
              <w:rPr>
                <w:sz w:val="16"/>
                <w:szCs w:val="16"/>
                <w:lang w:val="en-US"/>
              </w:rPr>
              <w:t>Jhony Francisco Vald</w:t>
            </w:r>
            <w:r w:rsidR="004402B0" w:rsidRPr="009F337B">
              <w:rPr>
                <w:sz w:val="16"/>
                <w:szCs w:val="16"/>
                <w:lang w:val="en-US"/>
              </w:rPr>
              <w:t>éz Pérez</w:t>
            </w:r>
          </w:p>
        </w:tc>
      </w:tr>
      <w:tr w:rsidR="007F3128" w:rsidRPr="00310E7A" w14:paraId="664B4E05" w14:textId="77777777" w:rsidTr="0010522A">
        <w:tc>
          <w:tcPr>
            <w:tcW w:w="560" w:type="dxa"/>
            <w:gridSpan w:val="2"/>
            <w:vMerge/>
            <w:vAlign w:val="center"/>
          </w:tcPr>
          <w:p w14:paraId="37F7C5E0" w14:textId="77777777" w:rsidR="007F3128" w:rsidRPr="009F337B" w:rsidRDefault="007F3128" w:rsidP="00F608A7">
            <w:pPr>
              <w:jc w:val="left"/>
              <w:rPr>
                <w:sz w:val="16"/>
                <w:szCs w:val="16"/>
                <w:lang w:val="en-US"/>
              </w:rPr>
            </w:pPr>
          </w:p>
        </w:tc>
        <w:tc>
          <w:tcPr>
            <w:tcW w:w="2950" w:type="dxa"/>
            <w:vMerge/>
            <w:vAlign w:val="center"/>
          </w:tcPr>
          <w:p w14:paraId="376EF552" w14:textId="77777777" w:rsidR="007F3128" w:rsidRPr="009F337B" w:rsidRDefault="007F3128" w:rsidP="00F608A7">
            <w:pPr>
              <w:jc w:val="left"/>
              <w:rPr>
                <w:sz w:val="16"/>
                <w:szCs w:val="16"/>
                <w:lang w:val="en-US"/>
              </w:rPr>
            </w:pPr>
          </w:p>
        </w:tc>
        <w:tc>
          <w:tcPr>
            <w:tcW w:w="567" w:type="dxa"/>
            <w:vAlign w:val="center"/>
          </w:tcPr>
          <w:p w14:paraId="36C6278D" w14:textId="77777777" w:rsidR="007F3128" w:rsidRPr="009F337B" w:rsidRDefault="007F3128" w:rsidP="00F608A7">
            <w:pPr>
              <w:jc w:val="left"/>
              <w:rPr>
                <w:sz w:val="16"/>
                <w:szCs w:val="16"/>
                <w:lang w:val="en-US"/>
              </w:rPr>
            </w:pPr>
            <w:r w:rsidRPr="009F337B">
              <w:rPr>
                <w:sz w:val="16"/>
                <w:szCs w:val="16"/>
                <w:lang w:val="en-US"/>
              </w:rPr>
              <w:t>2</w:t>
            </w:r>
          </w:p>
        </w:tc>
        <w:tc>
          <w:tcPr>
            <w:tcW w:w="5211" w:type="dxa"/>
            <w:vAlign w:val="center"/>
          </w:tcPr>
          <w:p w14:paraId="6AE8211D" w14:textId="0768424A" w:rsidR="007F3128" w:rsidRPr="009F337B" w:rsidRDefault="007F3128" w:rsidP="00F608A7">
            <w:pPr>
              <w:tabs>
                <w:tab w:val="left" w:pos="1277"/>
              </w:tabs>
              <w:jc w:val="left"/>
              <w:rPr>
                <w:sz w:val="16"/>
                <w:szCs w:val="16"/>
                <w:lang w:val="en-US"/>
              </w:rPr>
            </w:pPr>
            <w:r w:rsidRPr="009F337B">
              <w:rPr>
                <w:sz w:val="16"/>
                <w:szCs w:val="16"/>
                <w:lang w:val="en-US"/>
              </w:rPr>
              <w:t>Boni Kennedy Vald</w:t>
            </w:r>
            <w:r w:rsidR="004402B0" w:rsidRPr="009F337B">
              <w:rPr>
                <w:sz w:val="16"/>
                <w:szCs w:val="16"/>
                <w:lang w:val="en-US"/>
              </w:rPr>
              <w:t>é</w:t>
            </w:r>
            <w:r w:rsidRPr="009F337B">
              <w:rPr>
                <w:sz w:val="16"/>
                <w:szCs w:val="16"/>
                <w:lang w:val="en-US"/>
              </w:rPr>
              <w:t>z Pérez (</w:t>
            </w:r>
            <w:r w:rsidR="0010522A" w:rsidRPr="009F337B">
              <w:rPr>
                <w:sz w:val="16"/>
                <w:szCs w:val="16"/>
                <w:lang w:val="en-US"/>
              </w:rPr>
              <w:t>Daughter</w:t>
            </w:r>
            <w:r w:rsidRPr="009F337B">
              <w:rPr>
                <w:sz w:val="16"/>
                <w:szCs w:val="16"/>
                <w:lang w:val="en-US"/>
              </w:rPr>
              <w:t>)</w:t>
            </w:r>
          </w:p>
        </w:tc>
      </w:tr>
      <w:tr w:rsidR="007F3128" w:rsidRPr="00310E7A" w14:paraId="0662359E" w14:textId="77777777" w:rsidTr="0010522A">
        <w:tc>
          <w:tcPr>
            <w:tcW w:w="560" w:type="dxa"/>
            <w:gridSpan w:val="2"/>
            <w:vMerge/>
            <w:vAlign w:val="center"/>
          </w:tcPr>
          <w:p w14:paraId="71FCF2A6" w14:textId="77777777" w:rsidR="007F3128" w:rsidRPr="009F337B" w:rsidRDefault="007F3128" w:rsidP="00F608A7">
            <w:pPr>
              <w:jc w:val="left"/>
              <w:rPr>
                <w:sz w:val="16"/>
                <w:szCs w:val="16"/>
                <w:lang w:val="en-US"/>
              </w:rPr>
            </w:pPr>
          </w:p>
        </w:tc>
        <w:tc>
          <w:tcPr>
            <w:tcW w:w="2950" w:type="dxa"/>
            <w:vMerge/>
            <w:vAlign w:val="center"/>
          </w:tcPr>
          <w:p w14:paraId="0FF5CC89" w14:textId="77777777" w:rsidR="007F3128" w:rsidRPr="009F337B" w:rsidRDefault="007F3128" w:rsidP="00F608A7">
            <w:pPr>
              <w:jc w:val="left"/>
              <w:rPr>
                <w:sz w:val="16"/>
                <w:szCs w:val="16"/>
                <w:lang w:val="en-US"/>
              </w:rPr>
            </w:pPr>
          </w:p>
        </w:tc>
        <w:tc>
          <w:tcPr>
            <w:tcW w:w="567" w:type="dxa"/>
            <w:vAlign w:val="center"/>
          </w:tcPr>
          <w:p w14:paraId="63B44B68" w14:textId="77777777" w:rsidR="007F3128" w:rsidRPr="009F337B" w:rsidRDefault="007F3128" w:rsidP="00F608A7">
            <w:pPr>
              <w:jc w:val="left"/>
              <w:rPr>
                <w:sz w:val="16"/>
                <w:szCs w:val="16"/>
                <w:lang w:val="en-US"/>
              </w:rPr>
            </w:pPr>
            <w:r w:rsidRPr="009F337B">
              <w:rPr>
                <w:sz w:val="16"/>
                <w:szCs w:val="16"/>
                <w:lang w:val="en-US"/>
              </w:rPr>
              <w:t>3</w:t>
            </w:r>
          </w:p>
        </w:tc>
        <w:tc>
          <w:tcPr>
            <w:tcW w:w="5211" w:type="dxa"/>
            <w:vAlign w:val="center"/>
          </w:tcPr>
          <w:p w14:paraId="16BDB1FF" w14:textId="04C372E8" w:rsidR="007F3128" w:rsidRPr="009F337B" w:rsidRDefault="007F3128" w:rsidP="00F608A7">
            <w:pPr>
              <w:tabs>
                <w:tab w:val="left" w:pos="1277"/>
              </w:tabs>
              <w:jc w:val="left"/>
              <w:rPr>
                <w:sz w:val="16"/>
                <w:szCs w:val="16"/>
                <w:lang w:val="en-US"/>
              </w:rPr>
            </w:pPr>
            <w:r w:rsidRPr="009F337B">
              <w:rPr>
                <w:sz w:val="16"/>
                <w:szCs w:val="16"/>
                <w:lang w:val="en-US"/>
              </w:rPr>
              <w:t>Nanc</w:t>
            </w:r>
            <w:r w:rsidR="00EC06FC" w:rsidRPr="009F337B">
              <w:rPr>
                <w:sz w:val="16"/>
                <w:szCs w:val="16"/>
                <w:lang w:val="en-US"/>
              </w:rPr>
              <w:t>y</w:t>
            </w:r>
            <w:r w:rsidRPr="009F337B">
              <w:rPr>
                <w:sz w:val="16"/>
                <w:szCs w:val="16"/>
                <w:lang w:val="en-US"/>
              </w:rPr>
              <w:t xml:space="preserve"> Beatr</w:t>
            </w:r>
            <w:r w:rsidR="00EC06FC" w:rsidRPr="009F337B">
              <w:rPr>
                <w:sz w:val="16"/>
                <w:szCs w:val="16"/>
                <w:lang w:val="en-US"/>
              </w:rPr>
              <w:t>í</w:t>
            </w:r>
            <w:r w:rsidRPr="009F337B">
              <w:rPr>
                <w:sz w:val="16"/>
                <w:szCs w:val="16"/>
                <w:lang w:val="en-US"/>
              </w:rPr>
              <w:t>z Vald</w:t>
            </w:r>
            <w:r w:rsidR="004402B0" w:rsidRPr="009F337B">
              <w:rPr>
                <w:sz w:val="16"/>
                <w:szCs w:val="16"/>
                <w:lang w:val="en-US"/>
              </w:rPr>
              <w:t>é</w:t>
            </w:r>
            <w:r w:rsidRPr="009F337B">
              <w:rPr>
                <w:sz w:val="16"/>
                <w:szCs w:val="16"/>
                <w:lang w:val="en-US"/>
              </w:rPr>
              <w:t>z Pérez (</w:t>
            </w:r>
            <w:r w:rsidR="0010522A" w:rsidRPr="009F337B">
              <w:rPr>
                <w:sz w:val="16"/>
                <w:szCs w:val="16"/>
                <w:lang w:val="en-US"/>
              </w:rPr>
              <w:t>Daughter</w:t>
            </w:r>
            <w:r w:rsidRPr="009F337B">
              <w:rPr>
                <w:sz w:val="16"/>
                <w:szCs w:val="16"/>
                <w:lang w:val="en-US"/>
              </w:rPr>
              <w:t>)</w:t>
            </w:r>
          </w:p>
        </w:tc>
      </w:tr>
      <w:tr w:rsidR="007F3128" w:rsidRPr="00310E7A" w14:paraId="1335B8CF" w14:textId="77777777" w:rsidTr="0010522A">
        <w:tc>
          <w:tcPr>
            <w:tcW w:w="560" w:type="dxa"/>
            <w:gridSpan w:val="2"/>
            <w:vMerge/>
            <w:vAlign w:val="center"/>
          </w:tcPr>
          <w:p w14:paraId="00AFA7CC" w14:textId="77777777" w:rsidR="007F3128" w:rsidRPr="009F337B" w:rsidRDefault="007F3128" w:rsidP="00F608A7">
            <w:pPr>
              <w:jc w:val="left"/>
              <w:rPr>
                <w:sz w:val="16"/>
                <w:szCs w:val="16"/>
                <w:lang w:val="en-US"/>
              </w:rPr>
            </w:pPr>
          </w:p>
        </w:tc>
        <w:tc>
          <w:tcPr>
            <w:tcW w:w="2950" w:type="dxa"/>
            <w:vMerge/>
            <w:vAlign w:val="center"/>
          </w:tcPr>
          <w:p w14:paraId="6DC4F5D4" w14:textId="77777777" w:rsidR="007F3128" w:rsidRPr="009F337B" w:rsidRDefault="007F3128" w:rsidP="00F608A7">
            <w:pPr>
              <w:jc w:val="left"/>
              <w:rPr>
                <w:sz w:val="16"/>
                <w:szCs w:val="16"/>
                <w:lang w:val="en-US"/>
              </w:rPr>
            </w:pPr>
          </w:p>
        </w:tc>
        <w:tc>
          <w:tcPr>
            <w:tcW w:w="567" w:type="dxa"/>
            <w:vAlign w:val="center"/>
          </w:tcPr>
          <w:p w14:paraId="3817B31D" w14:textId="77777777" w:rsidR="007F3128" w:rsidRPr="009F337B" w:rsidRDefault="007F3128" w:rsidP="00F608A7">
            <w:pPr>
              <w:jc w:val="left"/>
              <w:rPr>
                <w:sz w:val="16"/>
                <w:szCs w:val="16"/>
                <w:lang w:val="en-US"/>
              </w:rPr>
            </w:pPr>
            <w:r w:rsidRPr="009F337B">
              <w:rPr>
                <w:sz w:val="16"/>
                <w:szCs w:val="16"/>
                <w:lang w:val="en-US"/>
              </w:rPr>
              <w:t>4</w:t>
            </w:r>
          </w:p>
        </w:tc>
        <w:tc>
          <w:tcPr>
            <w:tcW w:w="5211" w:type="dxa"/>
            <w:vAlign w:val="center"/>
          </w:tcPr>
          <w:p w14:paraId="003F3089" w14:textId="1B383D9A" w:rsidR="007F3128" w:rsidRPr="009F337B" w:rsidRDefault="007F3128" w:rsidP="00F608A7">
            <w:pPr>
              <w:tabs>
                <w:tab w:val="left" w:pos="1277"/>
              </w:tabs>
              <w:jc w:val="left"/>
              <w:rPr>
                <w:sz w:val="16"/>
                <w:szCs w:val="16"/>
                <w:lang w:val="en-US"/>
              </w:rPr>
            </w:pPr>
            <w:r w:rsidRPr="009F337B">
              <w:rPr>
                <w:sz w:val="16"/>
                <w:szCs w:val="16"/>
                <w:lang w:val="en-US"/>
              </w:rPr>
              <w:t>Glendi Betsaida Vald</w:t>
            </w:r>
            <w:r w:rsidR="004402B0" w:rsidRPr="009F337B">
              <w:rPr>
                <w:sz w:val="16"/>
                <w:szCs w:val="16"/>
                <w:lang w:val="en-US"/>
              </w:rPr>
              <w:t>é</w:t>
            </w:r>
            <w:r w:rsidRPr="009F337B">
              <w:rPr>
                <w:sz w:val="16"/>
                <w:szCs w:val="16"/>
                <w:lang w:val="en-US"/>
              </w:rPr>
              <w:t>z Pérez (</w:t>
            </w:r>
            <w:r w:rsidR="0010522A" w:rsidRPr="009F337B">
              <w:rPr>
                <w:sz w:val="16"/>
                <w:szCs w:val="16"/>
                <w:lang w:val="en-US"/>
              </w:rPr>
              <w:t>Daughter</w:t>
            </w:r>
            <w:r w:rsidRPr="009F337B">
              <w:rPr>
                <w:sz w:val="16"/>
                <w:szCs w:val="16"/>
                <w:lang w:val="en-US"/>
              </w:rPr>
              <w:t>)</w:t>
            </w:r>
          </w:p>
        </w:tc>
      </w:tr>
      <w:tr w:rsidR="007F3128" w:rsidRPr="00310E7A" w14:paraId="7C562EC6" w14:textId="77777777" w:rsidTr="0010522A">
        <w:tc>
          <w:tcPr>
            <w:tcW w:w="560" w:type="dxa"/>
            <w:gridSpan w:val="2"/>
            <w:vMerge/>
            <w:vAlign w:val="center"/>
          </w:tcPr>
          <w:p w14:paraId="0EFFAA28" w14:textId="77777777" w:rsidR="007F3128" w:rsidRPr="009F337B" w:rsidRDefault="007F3128" w:rsidP="00F608A7">
            <w:pPr>
              <w:jc w:val="left"/>
              <w:rPr>
                <w:sz w:val="16"/>
                <w:szCs w:val="16"/>
                <w:lang w:val="en-US"/>
              </w:rPr>
            </w:pPr>
          </w:p>
        </w:tc>
        <w:tc>
          <w:tcPr>
            <w:tcW w:w="2950" w:type="dxa"/>
            <w:vMerge/>
            <w:vAlign w:val="center"/>
          </w:tcPr>
          <w:p w14:paraId="012F70EC" w14:textId="77777777" w:rsidR="007F3128" w:rsidRPr="009F337B" w:rsidRDefault="007F3128" w:rsidP="00F608A7">
            <w:pPr>
              <w:jc w:val="left"/>
              <w:rPr>
                <w:sz w:val="16"/>
                <w:szCs w:val="16"/>
                <w:lang w:val="en-US"/>
              </w:rPr>
            </w:pPr>
          </w:p>
        </w:tc>
        <w:tc>
          <w:tcPr>
            <w:tcW w:w="567" w:type="dxa"/>
            <w:vAlign w:val="center"/>
          </w:tcPr>
          <w:p w14:paraId="140BAFBC" w14:textId="77777777" w:rsidR="007F3128" w:rsidRPr="009F337B" w:rsidRDefault="007F3128" w:rsidP="00F608A7">
            <w:pPr>
              <w:jc w:val="left"/>
              <w:rPr>
                <w:sz w:val="16"/>
                <w:szCs w:val="16"/>
                <w:lang w:val="en-US"/>
              </w:rPr>
            </w:pPr>
            <w:r w:rsidRPr="009F337B">
              <w:rPr>
                <w:sz w:val="16"/>
                <w:szCs w:val="16"/>
                <w:lang w:val="en-US"/>
              </w:rPr>
              <w:t>5</w:t>
            </w:r>
          </w:p>
        </w:tc>
        <w:tc>
          <w:tcPr>
            <w:tcW w:w="5211" w:type="dxa"/>
            <w:vAlign w:val="center"/>
          </w:tcPr>
          <w:p w14:paraId="1F618C75" w14:textId="316947C8" w:rsidR="007F3128" w:rsidRPr="009F337B" w:rsidRDefault="007F3128" w:rsidP="00F608A7">
            <w:pPr>
              <w:tabs>
                <w:tab w:val="left" w:pos="1277"/>
              </w:tabs>
              <w:jc w:val="left"/>
              <w:rPr>
                <w:sz w:val="16"/>
                <w:szCs w:val="16"/>
                <w:lang w:val="en-US"/>
              </w:rPr>
            </w:pPr>
            <w:r w:rsidRPr="009F337B">
              <w:rPr>
                <w:sz w:val="16"/>
                <w:szCs w:val="16"/>
                <w:lang w:val="en-US"/>
              </w:rPr>
              <w:t>Mildred Odalis Vald</w:t>
            </w:r>
            <w:r w:rsidR="004402B0" w:rsidRPr="009F337B">
              <w:rPr>
                <w:sz w:val="16"/>
                <w:szCs w:val="16"/>
                <w:lang w:val="en-US"/>
              </w:rPr>
              <w:t>é</w:t>
            </w:r>
            <w:r w:rsidRPr="009F337B">
              <w:rPr>
                <w:sz w:val="16"/>
                <w:szCs w:val="16"/>
                <w:lang w:val="en-US"/>
              </w:rPr>
              <w:t>z Pérez (</w:t>
            </w:r>
            <w:r w:rsidR="0010522A" w:rsidRPr="009F337B">
              <w:rPr>
                <w:sz w:val="16"/>
                <w:szCs w:val="16"/>
                <w:lang w:val="en-US"/>
              </w:rPr>
              <w:t>Daughter</w:t>
            </w:r>
            <w:r w:rsidRPr="009F337B">
              <w:rPr>
                <w:sz w:val="16"/>
                <w:szCs w:val="16"/>
                <w:lang w:val="en-US"/>
              </w:rPr>
              <w:t>)</w:t>
            </w:r>
          </w:p>
        </w:tc>
      </w:tr>
      <w:tr w:rsidR="007F3128" w:rsidRPr="009F337B" w14:paraId="091DDE9C" w14:textId="77777777" w:rsidTr="0010522A">
        <w:tc>
          <w:tcPr>
            <w:tcW w:w="560" w:type="dxa"/>
            <w:gridSpan w:val="2"/>
            <w:vMerge/>
            <w:vAlign w:val="center"/>
          </w:tcPr>
          <w:p w14:paraId="114D5A88" w14:textId="77777777" w:rsidR="007F3128" w:rsidRPr="009F337B" w:rsidRDefault="007F3128" w:rsidP="00F608A7">
            <w:pPr>
              <w:jc w:val="left"/>
              <w:rPr>
                <w:sz w:val="16"/>
                <w:szCs w:val="16"/>
                <w:lang w:val="en-US"/>
              </w:rPr>
            </w:pPr>
          </w:p>
        </w:tc>
        <w:tc>
          <w:tcPr>
            <w:tcW w:w="2950" w:type="dxa"/>
            <w:vMerge/>
            <w:vAlign w:val="center"/>
          </w:tcPr>
          <w:p w14:paraId="5F96C130" w14:textId="77777777" w:rsidR="007F3128" w:rsidRPr="009F337B" w:rsidRDefault="007F3128" w:rsidP="00F608A7">
            <w:pPr>
              <w:jc w:val="left"/>
              <w:rPr>
                <w:sz w:val="16"/>
                <w:szCs w:val="16"/>
                <w:lang w:val="en-US"/>
              </w:rPr>
            </w:pPr>
          </w:p>
        </w:tc>
        <w:tc>
          <w:tcPr>
            <w:tcW w:w="567" w:type="dxa"/>
            <w:vAlign w:val="center"/>
          </w:tcPr>
          <w:p w14:paraId="357E279A" w14:textId="77777777" w:rsidR="007F3128" w:rsidRPr="009F337B" w:rsidRDefault="007F3128" w:rsidP="00F608A7">
            <w:pPr>
              <w:jc w:val="left"/>
              <w:rPr>
                <w:sz w:val="16"/>
                <w:szCs w:val="16"/>
                <w:lang w:val="en-US"/>
              </w:rPr>
            </w:pPr>
            <w:r w:rsidRPr="009F337B">
              <w:rPr>
                <w:sz w:val="16"/>
                <w:szCs w:val="16"/>
                <w:lang w:val="en-US"/>
              </w:rPr>
              <w:t>6</w:t>
            </w:r>
          </w:p>
        </w:tc>
        <w:tc>
          <w:tcPr>
            <w:tcW w:w="5211" w:type="dxa"/>
            <w:vAlign w:val="center"/>
          </w:tcPr>
          <w:p w14:paraId="43C21EA1" w14:textId="51F0EE30" w:rsidR="007F3128" w:rsidRPr="009F337B" w:rsidRDefault="007F3128" w:rsidP="00F608A7">
            <w:pPr>
              <w:tabs>
                <w:tab w:val="left" w:pos="1277"/>
              </w:tabs>
              <w:jc w:val="left"/>
              <w:rPr>
                <w:sz w:val="16"/>
                <w:szCs w:val="16"/>
                <w:lang w:val="en-US"/>
              </w:rPr>
            </w:pPr>
            <w:r w:rsidRPr="009F337B">
              <w:rPr>
                <w:sz w:val="16"/>
                <w:szCs w:val="16"/>
                <w:lang w:val="en-US"/>
              </w:rPr>
              <w:t>Zolia Argentina Vald</w:t>
            </w:r>
            <w:r w:rsidR="004402B0" w:rsidRPr="009F337B">
              <w:rPr>
                <w:sz w:val="16"/>
                <w:szCs w:val="16"/>
                <w:lang w:val="en-US"/>
              </w:rPr>
              <w:t>é</w:t>
            </w:r>
            <w:r w:rsidRPr="009F337B">
              <w:rPr>
                <w:sz w:val="16"/>
                <w:szCs w:val="16"/>
                <w:lang w:val="en-US"/>
              </w:rPr>
              <w:t>z Pérez (</w:t>
            </w:r>
            <w:r w:rsidR="0010522A" w:rsidRPr="009F337B">
              <w:rPr>
                <w:sz w:val="16"/>
                <w:szCs w:val="16"/>
                <w:lang w:val="en-US"/>
              </w:rPr>
              <w:t>Daughter</w:t>
            </w:r>
            <w:r w:rsidRPr="009F337B">
              <w:rPr>
                <w:sz w:val="16"/>
                <w:szCs w:val="16"/>
                <w:lang w:val="en-US"/>
              </w:rPr>
              <w:t>)</w:t>
            </w:r>
          </w:p>
        </w:tc>
      </w:tr>
      <w:tr w:rsidR="007F3128" w:rsidRPr="00310E7A" w14:paraId="0AAA4FED" w14:textId="77777777" w:rsidTr="0010522A">
        <w:tc>
          <w:tcPr>
            <w:tcW w:w="560" w:type="dxa"/>
            <w:gridSpan w:val="2"/>
            <w:vMerge w:val="restart"/>
            <w:vAlign w:val="center"/>
          </w:tcPr>
          <w:p w14:paraId="59F1AB29" w14:textId="77777777" w:rsidR="007F3128" w:rsidRPr="009F337B" w:rsidRDefault="007F3128" w:rsidP="00F608A7">
            <w:pPr>
              <w:jc w:val="left"/>
              <w:rPr>
                <w:sz w:val="16"/>
                <w:szCs w:val="16"/>
                <w:lang w:val="en-US"/>
              </w:rPr>
            </w:pPr>
            <w:r w:rsidRPr="009F337B">
              <w:rPr>
                <w:sz w:val="16"/>
                <w:szCs w:val="16"/>
                <w:lang w:val="en-US"/>
              </w:rPr>
              <w:t>42</w:t>
            </w:r>
          </w:p>
        </w:tc>
        <w:tc>
          <w:tcPr>
            <w:tcW w:w="2950" w:type="dxa"/>
            <w:vMerge w:val="restart"/>
            <w:vAlign w:val="center"/>
          </w:tcPr>
          <w:p w14:paraId="27402F58" w14:textId="4A9FF5CC" w:rsidR="007F3128" w:rsidRPr="009F337B" w:rsidRDefault="007F3128" w:rsidP="00F608A7">
            <w:pPr>
              <w:jc w:val="left"/>
              <w:rPr>
                <w:sz w:val="16"/>
                <w:szCs w:val="16"/>
                <w:lang w:val="en-US"/>
              </w:rPr>
            </w:pPr>
            <w:r w:rsidRPr="009F337B">
              <w:rPr>
                <w:sz w:val="16"/>
                <w:szCs w:val="16"/>
                <w:lang w:val="en-US"/>
              </w:rPr>
              <w:t>Teresa Magdalena Ramírez Castro</w:t>
            </w:r>
          </w:p>
        </w:tc>
        <w:tc>
          <w:tcPr>
            <w:tcW w:w="567" w:type="dxa"/>
            <w:vAlign w:val="center"/>
          </w:tcPr>
          <w:p w14:paraId="64650893" w14:textId="77777777" w:rsidR="007F3128" w:rsidRPr="009F337B" w:rsidRDefault="007F3128" w:rsidP="00F608A7">
            <w:pPr>
              <w:jc w:val="left"/>
              <w:rPr>
                <w:sz w:val="16"/>
                <w:szCs w:val="16"/>
                <w:lang w:val="en-US"/>
              </w:rPr>
            </w:pPr>
            <w:r w:rsidRPr="009F337B">
              <w:rPr>
                <w:sz w:val="16"/>
                <w:szCs w:val="16"/>
                <w:lang w:val="en-US"/>
              </w:rPr>
              <w:t>1</w:t>
            </w:r>
          </w:p>
        </w:tc>
        <w:tc>
          <w:tcPr>
            <w:tcW w:w="5211" w:type="dxa"/>
            <w:vAlign w:val="center"/>
          </w:tcPr>
          <w:p w14:paraId="1306E5CB" w14:textId="356BF53D" w:rsidR="007F3128" w:rsidRPr="009F337B" w:rsidRDefault="007F3128" w:rsidP="00F608A7">
            <w:pPr>
              <w:tabs>
                <w:tab w:val="left" w:pos="1277"/>
              </w:tabs>
              <w:jc w:val="left"/>
              <w:rPr>
                <w:sz w:val="16"/>
                <w:szCs w:val="16"/>
                <w:lang w:val="en-US"/>
              </w:rPr>
            </w:pPr>
            <w:r w:rsidRPr="009F337B">
              <w:rPr>
                <w:sz w:val="16"/>
                <w:szCs w:val="16"/>
                <w:lang w:val="en-US"/>
              </w:rPr>
              <w:t>Sayda Analy Paz Ramírez (</w:t>
            </w:r>
            <w:r w:rsidR="0010522A" w:rsidRPr="009F337B">
              <w:rPr>
                <w:sz w:val="16"/>
                <w:szCs w:val="16"/>
                <w:lang w:val="en-US"/>
              </w:rPr>
              <w:t>Daughter</w:t>
            </w:r>
            <w:r w:rsidRPr="009F337B">
              <w:rPr>
                <w:sz w:val="16"/>
                <w:szCs w:val="16"/>
                <w:lang w:val="en-US"/>
              </w:rPr>
              <w:t>)</w:t>
            </w:r>
          </w:p>
        </w:tc>
      </w:tr>
      <w:tr w:rsidR="007F3128" w:rsidRPr="009F337B" w14:paraId="2E170A26" w14:textId="77777777" w:rsidTr="0010522A">
        <w:tc>
          <w:tcPr>
            <w:tcW w:w="560" w:type="dxa"/>
            <w:gridSpan w:val="2"/>
            <w:vMerge/>
            <w:vAlign w:val="center"/>
          </w:tcPr>
          <w:p w14:paraId="42C8ECE5" w14:textId="77777777" w:rsidR="007F3128" w:rsidRPr="009F337B" w:rsidRDefault="007F3128" w:rsidP="00F608A7">
            <w:pPr>
              <w:jc w:val="left"/>
              <w:rPr>
                <w:sz w:val="16"/>
                <w:szCs w:val="16"/>
                <w:lang w:val="en-US"/>
              </w:rPr>
            </w:pPr>
          </w:p>
        </w:tc>
        <w:tc>
          <w:tcPr>
            <w:tcW w:w="2950" w:type="dxa"/>
            <w:vMerge/>
            <w:vAlign w:val="center"/>
          </w:tcPr>
          <w:p w14:paraId="3134F711" w14:textId="77777777" w:rsidR="007F3128" w:rsidRPr="009F337B" w:rsidRDefault="007F3128" w:rsidP="00F608A7">
            <w:pPr>
              <w:jc w:val="left"/>
              <w:rPr>
                <w:sz w:val="16"/>
                <w:szCs w:val="16"/>
                <w:lang w:val="en-US"/>
              </w:rPr>
            </w:pPr>
          </w:p>
        </w:tc>
        <w:tc>
          <w:tcPr>
            <w:tcW w:w="567" w:type="dxa"/>
            <w:vAlign w:val="center"/>
          </w:tcPr>
          <w:p w14:paraId="57F713E7" w14:textId="77777777" w:rsidR="007F3128" w:rsidRPr="009F337B" w:rsidRDefault="007F3128" w:rsidP="00F608A7">
            <w:pPr>
              <w:jc w:val="left"/>
              <w:rPr>
                <w:sz w:val="16"/>
                <w:szCs w:val="16"/>
                <w:lang w:val="en-US"/>
              </w:rPr>
            </w:pPr>
            <w:r w:rsidRPr="009F337B">
              <w:rPr>
                <w:sz w:val="16"/>
                <w:szCs w:val="16"/>
                <w:lang w:val="en-US"/>
              </w:rPr>
              <w:t>2</w:t>
            </w:r>
          </w:p>
        </w:tc>
        <w:tc>
          <w:tcPr>
            <w:tcW w:w="5211" w:type="dxa"/>
            <w:vAlign w:val="center"/>
          </w:tcPr>
          <w:p w14:paraId="3CC35EC2" w14:textId="00DABDCE" w:rsidR="007F3128" w:rsidRPr="00542AB5" w:rsidRDefault="007F3128" w:rsidP="00F608A7">
            <w:pPr>
              <w:tabs>
                <w:tab w:val="left" w:pos="1277"/>
              </w:tabs>
              <w:jc w:val="left"/>
              <w:rPr>
                <w:sz w:val="16"/>
                <w:szCs w:val="16"/>
                <w:lang w:val="es-CR"/>
              </w:rPr>
            </w:pPr>
            <w:r w:rsidRPr="00542AB5">
              <w:rPr>
                <w:sz w:val="16"/>
                <w:szCs w:val="16"/>
                <w:lang w:val="es-CR"/>
              </w:rPr>
              <w:t>Oscar Oswaldo Paz Ramírez (</w:t>
            </w:r>
            <w:r w:rsidR="0010522A" w:rsidRPr="00542AB5">
              <w:rPr>
                <w:sz w:val="16"/>
                <w:szCs w:val="16"/>
                <w:lang w:val="es-CR"/>
              </w:rPr>
              <w:t>Son</w:t>
            </w:r>
            <w:r w:rsidRPr="00542AB5">
              <w:rPr>
                <w:sz w:val="16"/>
                <w:szCs w:val="16"/>
                <w:lang w:val="es-CR"/>
              </w:rPr>
              <w:t>)</w:t>
            </w:r>
          </w:p>
        </w:tc>
      </w:tr>
      <w:tr w:rsidR="007F3128" w:rsidRPr="009F337B" w14:paraId="2AAEE931" w14:textId="77777777" w:rsidTr="0010522A">
        <w:tc>
          <w:tcPr>
            <w:tcW w:w="560" w:type="dxa"/>
            <w:gridSpan w:val="2"/>
            <w:vMerge/>
            <w:vAlign w:val="center"/>
          </w:tcPr>
          <w:p w14:paraId="44ED2D32" w14:textId="77777777" w:rsidR="007F3128" w:rsidRPr="00542AB5" w:rsidRDefault="007F3128" w:rsidP="00F608A7">
            <w:pPr>
              <w:jc w:val="left"/>
              <w:rPr>
                <w:sz w:val="16"/>
                <w:szCs w:val="16"/>
                <w:lang w:val="es-CR"/>
              </w:rPr>
            </w:pPr>
          </w:p>
        </w:tc>
        <w:tc>
          <w:tcPr>
            <w:tcW w:w="2950" w:type="dxa"/>
            <w:vMerge/>
            <w:vAlign w:val="center"/>
          </w:tcPr>
          <w:p w14:paraId="59EBA563" w14:textId="77777777" w:rsidR="007F3128" w:rsidRPr="00542AB5" w:rsidRDefault="007F3128" w:rsidP="00F608A7">
            <w:pPr>
              <w:jc w:val="left"/>
              <w:rPr>
                <w:sz w:val="16"/>
                <w:szCs w:val="16"/>
                <w:lang w:val="es-CR"/>
              </w:rPr>
            </w:pPr>
          </w:p>
        </w:tc>
        <w:tc>
          <w:tcPr>
            <w:tcW w:w="567" w:type="dxa"/>
            <w:vAlign w:val="center"/>
          </w:tcPr>
          <w:p w14:paraId="4034B915" w14:textId="77777777" w:rsidR="007F3128" w:rsidRPr="009F337B" w:rsidRDefault="007F3128" w:rsidP="00F608A7">
            <w:pPr>
              <w:jc w:val="left"/>
              <w:rPr>
                <w:sz w:val="16"/>
                <w:szCs w:val="16"/>
                <w:lang w:val="en-US"/>
              </w:rPr>
            </w:pPr>
            <w:r w:rsidRPr="009F337B">
              <w:rPr>
                <w:sz w:val="16"/>
                <w:szCs w:val="16"/>
                <w:lang w:val="en-US"/>
              </w:rPr>
              <w:t>3</w:t>
            </w:r>
          </w:p>
        </w:tc>
        <w:tc>
          <w:tcPr>
            <w:tcW w:w="5211" w:type="dxa"/>
            <w:vAlign w:val="center"/>
          </w:tcPr>
          <w:p w14:paraId="41AD269B" w14:textId="24B907D0" w:rsidR="007F3128" w:rsidRPr="00542AB5" w:rsidRDefault="007F3128" w:rsidP="00F608A7">
            <w:pPr>
              <w:tabs>
                <w:tab w:val="left" w:pos="1277"/>
              </w:tabs>
              <w:jc w:val="left"/>
              <w:rPr>
                <w:sz w:val="16"/>
                <w:szCs w:val="16"/>
                <w:lang w:val="es-CR"/>
              </w:rPr>
            </w:pPr>
            <w:r w:rsidRPr="00542AB5">
              <w:rPr>
                <w:sz w:val="16"/>
                <w:szCs w:val="16"/>
                <w:lang w:val="es-CR"/>
              </w:rPr>
              <w:t>Lucrecia Paola Paz Ramírez (</w:t>
            </w:r>
            <w:r w:rsidR="0010522A" w:rsidRPr="00542AB5">
              <w:rPr>
                <w:sz w:val="16"/>
                <w:szCs w:val="16"/>
                <w:lang w:val="es-CR"/>
              </w:rPr>
              <w:t>Daughter</w:t>
            </w:r>
            <w:r w:rsidRPr="00542AB5">
              <w:rPr>
                <w:sz w:val="16"/>
                <w:szCs w:val="16"/>
                <w:lang w:val="es-CR"/>
              </w:rPr>
              <w:t>)</w:t>
            </w:r>
          </w:p>
        </w:tc>
      </w:tr>
      <w:tr w:rsidR="007F3128" w:rsidRPr="009F337B" w14:paraId="40B7CB64" w14:textId="77777777" w:rsidTr="0010522A">
        <w:tc>
          <w:tcPr>
            <w:tcW w:w="560" w:type="dxa"/>
            <w:gridSpan w:val="2"/>
            <w:vMerge/>
            <w:vAlign w:val="center"/>
          </w:tcPr>
          <w:p w14:paraId="1334D153" w14:textId="77777777" w:rsidR="007F3128" w:rsidRPr="00542AB5" w:rsidRDefault="007F3128" w:rsidP="00F608A7">
            <w:pPr>
              <w:jc w:val="left"/>
              <w:rPr>
                <w:sz w:val="16"/>
                <w:szCs w:val="16"/>
                <w:lang w:val="es-CR"/>
              </w:rPr>
            </w:pPr>
          </w:p>
        </w:tc>
        <w:tc>
          <w:tcPr>
            <w:tcW w:w="2950" w:type="dxa"/>
            <w:vMerge/>
            <w:vAlign w:val="center"/>
          </w:tcPr>
          <w:p w14:paraId="6C4F0C6E" w14:textId="77777777" w:rsidR="007F3128" w:rsidRPr="00542AB5" w:rsidRDefault="007F3128" w:rsidP="00F608A7">
            <w:pPr>
              <w:jc w:val="left"/>
              <w:rPr>
                <w:sz w:val="16"/>
                <w:szCs w:val="16"/>
                <w:lang w:val="es-CR"/>
              </w:rPr>
            </w:pPr>
          </w:p>
        </w:tc>
        <w:tc>
          <w:tcPr>
            <w:tcW w:w="567" w:type="dxa"/>
            <w:vAlign w:val="center"/>
          </w:tcPr>
          <w:p w14:paraId="2F9CC967" w14:textId="77777777" w:rsidR="007F3128" w:rsidRPr="009F337B" w:rsidRDefault="007F3128" w:rsidP="00F608A7">
            <w:pPr>
              <w:jc w:val="left"/>
              <w:rPr>
                <w:sz w:val="16"/>
                <w:szCs w:val="16"/>
                <w:lang w:val="en-US"/>
              </w:rPr>
            </w:pPr>
            <w:r w:rsidRPr="009F337B">
              <w:rPr>
                <w:sz w:val="16"/>
                <w:szCs w:val="16"/>
                <w:lang w:val="en-US"/>
              </w:rPr>
              <w:t>4</w:t>
            </w:r>
          </w:p>
        </w:tc>
        <w:tc>
          <w:tcPr>
            <w:tcW w:w="5211" w:type="dxa"/>
            <w:vAlign w:val="center"/>
          </w:tcPr>
          <w:p w14:paraId="2CE74E69" w14:textId="1F6CEBE4" w:rsidR="007F3128" w:rsidRPr="009F337B" w:rsidRDefault="007F3128" w:rsidP="00F608A7">
            <w:pPr>
              <w:tabs>
                <w:tab w:val="left" w:pos="1277"/>
              </w:tabs>
              <w:jc w:val="left"/>
              <w:rPr>
                <w:sz w:val="16"/>
                <w:szCs w:val="16"/>
                <w:lang w:val="en-US"/>
              </w:rPr>
            </w:pPr>
            <w:r w:rsidRPr="009F337B">
              <w:rPr>
                <w:sz w:val="16"/>
                <w:szCs w:val="16"/>
                <w:lang w:val="en-US"/>
              </w:rPr>
              <w:t>Fredy Ramírez Castro (</w:t>
            </w:r>
            <w:r w:rsidR="0010522A" w:rsidRPr="009F337B">
              <w:rPr>
                <w:sz w:val="16"/>
                <w:szCs w:val="16"/>
                <w:lang w:val="en-US"/>
              </w:rPr>
              <w:t>Son</w:t>
            </w:r>
            <w:r w:rsidRPr="009F337B">
              <w:rPr>
                <w:sz w:val="16"/>
                <w:szCs w:val="16"/>
                <w:lang w:val="en-US"/>
              </w:rPr>
              <w:t>)</w:t>
            </w:r>
          </w:p>
        </w:tc>
      </w:tr>
      <w:tr w:rsidR="007F3128" w:rsidRPr="009F337B" w14:paraId="3472CD01" w14:textId="77777777" w:rsidTr="0010522A">
        <w:tc>
          <w:tcPr>
            <w:tcW w:w="560" w:type="dxa"/>
            <w:gridSpan w:val="2"/>
            <w:vMerge/>
            <w:vAlign w:val="center"/>
          </w:tcPr>
          <w:p w14:paraId="66028C79" w14:textId="77777777" w:rsidR="007F3128" w:rsidRPr="009F337B" w:rsidRDefault="007F3128" w:rsidP="00F608A7">
            <w:pPr>
              <w:jc w:val="left"/>
              <w:rPr>
                <w:sz w:val="16"/>
                <w:szCs w:val="16"/>
                <w:lang w:val="en-US"/>
              </w:rPr>
            </w:pPr>
          </w:p>
        </w:tc>
        <w:tc>
          <w:tcPr>
            <w:tcW w:w="2950" w:type="dxa"/>
            <w:vMerge/>
            <w:vAlign w:val="center"/>
          </w:tcPr>
          <w:p w14:paraId="0AD3F34C" w14:textId="77777777" w:rsidR="007F3128" w:rsidRPr="009F337B" w:rsidRDefault="007F3128" w:rsidP="00F608A7">
            <w:pPr>
              <w:jc w:val="left"/>
              <w:rPr>
                <w:sz w:val="16"/>
                <w:szCs w:val="16"/>
                <w:lang w:val="en-US"/>
              </w:rPr>
            </w:pPr>
          </w:p>
        </w:tc>
        <w:tc>
          <w:tcPr>
            <w:tcW w:w="567" w:type="dxa"/>
            <w:vAlign w:val="center"/>
          </w:tcPr>
          <w:p w14:paraId="00296F53" w14:textId="77777777" w:rsidR="007F3128" w:rsidRPr="009F337B" w:rsidRDefault="007F3128" w:rsidP="00F608A7">
            <w:pPr>
              <w:jc w:val="left"/>
              <w:rPr>
                <w:sz w:val="16"/>
                <w:szCs w:val="16"/>
                <w:lang w:val="en-US"/>
              </w:rPr>
            </w:pPr>
            <w:r w:rsidRPr="009F337B">
              <w:rPr>
                <w:sz w:val="16"/>
                <w:szCs w:val="16"/>
                <w:lang w:val="en-US"/>
              </w:rPr>
              <w:t>5</w:t>
            </w:r>
          </w:p>
        </w:tc>
        <w:tc>
          <w:tcPr>
            <w:tcW w:w="5211" w:type="dxa"/>
            <w:vAlign w:val="center"/>
          </w:tcPr>
          <w:p w14:paraId="50A065EB" w14:textId="0854E8FE" w:rsidR="007F3128" w:rsidRPr="009F337B" w:rsidRDefault="007F3128" w:rsidP="00F608A7">
            <w:pPr>
              <w:tabs>
                <w:tab w:val="left" w:pos="1277"/>
              </w:tabs>
              <w:jc w:val="left"/>
              <w:rPr>
                <w:sz w:val="16"/>
                <w:szCs w:val="16"/>
                <w:lang w:val="en-US"/>
              </w:rPr>
            </w:pPr>
            <w:r w:rsidRPr="009F337B">
              <w:rPr>
                <w:sz w:val="16"/>
                <w:szCs w:val="16"/>
                <w:lang w:val="en-US"/>
              </w:rPr>
              <w:t>Evelyn Gabriela Paz Ramírez (</w:t>
            </w:r>
            <w:r w:rsidR="0010522A" w:rsidRPr="009F337B">
              <w:rPr>
                <w:sz w:val="16"/>
                <w:szCs w:val="16"/>
                <w:lang w:val="en-US"/>
              </w:rPr>
              <w:t>Granddaughter</w:t>
            </w:r>
            <w:r w:rsidRPr="009F337B">
              <w:rPr>
                <w:sz w:val="16"/>
                <w:szCs w:val="16"/>
                <w:lang w:val="en-US"/>
              </w:rPr>
              <w:t>)</w:t>
            </w:r>
          </w:p>
        </w:tc>
      </w:tr>
      <w:tr w:rsidR="007F3128" w:rsidRPr="009F337B" w14:paraId="1B149260" w14:textId="77777777" w:rsidTr="0010522A">
        <w:tc>
          <w:tcPr>
            <w:tcW w:w="560" w:type="dxa"/>
            <w:gridSpan w:val="2"/>
            <w:vMerge/>
            <w:vAlign w:val="center"/>
          </w:tcPr>
          <w:p w14:paraId="332F5F0E" w14:textId="77777777" w:rsidR="007F3128" w:rsidRPr="009F337B" w:rsidRDefault="007F3128" w:rsidP="00F608A7">
            <w:pPr>
              <w:jc w:val="left"/>
              <w:rPr>
                <w:sz w:val="16"/>
                <w:szCs w:val="16"/>
                <w:lang w:val="en-US"/>
              </w:rPr>
            </w:pPr>
          </w:p>
        </w:tc>
        <w:tc>
          <w:tcPr>
            <w:tcW w:w="2950" w:type="dxa"/>
            <w:vMerge/>
            <w:vAlign w:val="center"/>
          </w:tcPr>
          <w:p w14:paraId="3B5E5EB3" w14:textId="77777777" w:rsidR="007F3128" w:rsidRPr="009F337B" w:rsidRDefault="007F3128" w:rsidP="00F608A7">
            <w:pPr>
              <w:jc w:val="left"/>
              <w:rPr>
                <w:sz w:val="16"/>
                <w:szCs w:val="16"/>
                <w:lang w:val="en-US"/>
              </w:rPr>
            </w:pPr>
          </w:p>
        </w:tc>
        <w:tc>
          <w:tcPr>
            <w:tcW w:w="567" w:type="dxa"/>
            <w:vAlign w:val="center"/>
          </w:tcPr>
          <w:p w14:paraId="2E63BEDD" w14:textId="77777777" w:rsidR="007F3128" w:rsidRPr="009F337B" w:rsidRDefault="007F3128" w:rsidP="00F608A7">
            <w:pPr>
              <w:jc w:val="left"/>
              <w:rPr>
                <w:sz w:val="16"/>
                <w:szCs w:val="16"/>
                <w:lang w:val="en-US"/>
              </w:rPr>
            </w:pPr>
            <w:r w:rsidRPr="009F337B">
              <w:rPr>
                <w:sz w:val="16"/>
                <w:szCs w:val="16"/>
                <w:lang w:val="en-US"/>
              </w:rPr>
              <w:t>6</w:t>
            </w:r>
          </w:p>
        </w:tc>
        <w:tc>
          <w:tcPr>
            <w:tcW w:w="5211" w:type="dxa"/>
            <w:vAlign w:val="center"/>
          </w:tcPr>
          <w:p w14:paraId="439DE2DA" w14:textId="453E4A45" w:rsidR="007F3128" w:rsidRPr="00542AB5" w:rsidRDefault="007F3128" w:rsidP="00F608A7">
            <w:pPr>
              <w:tabs>
                <w:tab w:val="left" w:pos="1277"/>
              </w:tabs>
              <w:jc w:val="left"/>
              <w:rPr>
                <w:sz w:val="16"/>
                <w:szCs w:val="16"/>
                <w:lang w:val="es-CR"/>
              </w:rPr>
            </w:pPr>
            <w:r w:rsidRPr="00542AB5">
              <w:rPr>
                <w:sz w:val="16"/>
                <w:szCs w:val="16"/>
                <w:lang w:val="es-CR"/>
              </w:rPr>
              <w:t>Carlos Timoteo Paz Ramírez (</w:t>
            </w:r>
            <w:r w:rsidR="0010522A" w:rsidRPr="00542AB5">
              <w:rPr>
                <w:sz w:val="16"/>
                <w:szCs w:val="16"/>
                <w:lang w:val="es-CR"/>
              </w:rPr>
              <w:t>Grandson</w:t>
            </w:r>
            <w:r w:rsidRPr="00542AB5">
              <w:rPr>
                <w:sz w:val="16"/>
                <w:szCs w:val="16"/>
                <w:lang w:val="es-CR"/>
              </w:rPr>
              <w:t>)</w:t>
            </w:r>
          </w:p>
        </w:tc>
      </w:tr>
      <w:tr w:rsidR="007F3128" w:rsidRPr="009F337B" w14:paraId="29D9A126" w14:textId="77777777" w:rsidTr="0010522A">
        <w:tc>
          <w:tcPr>
            <w:tcW w:w="560" w:type="dxa"/>
            <w:gridSpan w:val="2"/>
            <w:vMerge/>
            <w:vAlign w:val="center"/>
          </w:tcPr>
          <w:p w14:paraId="7F4023CB" w14:textId="77777777" w:rsidR="007F3128" w:rsidRPr="00542AB5" w:rsidRDefault="007F3128" w:rsidP="00F608A7">
            <w:pPr>
              <w:jc w:val="left"/>
              <w:rPr>
                <w:sz w:val="16"/>
                <w:szCs w:val="16"/>
                <w:lang w:val="es-CR"/>
              </w:rPr>
            </w:pPr>
          </w:p>
        </w:tc>
        <w:tc>
          <w:tcPr>
            <w:tcW w:w="2950" w:type="dxa"/>
            <w:vMerge/>
            <w:vAlign w:val="center"/>
          </w:tcPr>
          <w:p w14:paraId="5AAA286B" w14:textId="77777777" w:rsidR="007F3128" w:rsidRPr="00542AB5" w:rsidRDefault="007F3128" w:rsidP="00F608A7">
            <w:pPr>
              <w:jc w:val="left"/>
              <w:rPr>
                <w:sz w:val="16"/>
                <w:szCs w:val="16"/>
                <w:lang w:val="es-CR"/>
              </w:rPr>
            </w:pPr>
          </w:p>
        </w:tc>
        <w:tc>
          <w:tcPr>
            <w:tcW w:w="567" w:type="dxa"/>
            <w:vAlign w:val="center"/>
          </w:tcPr>
          <w:p w14:paraId="4CDD6C82" w14:textId="77777777" w:rsidR="007F3128" w:rsidRPr="009F337B" w:rsidRDefault="007F3128" w:rsidP="00F608A7">
            <w:pPr>
              <w:jc w:val="left"/>
              <w:rPr>
                <w:sz w:val="16"/>
                <w:szCs w:val="16"/>
                <w:lang w:val="en-US"/>
              </w:rPr>
            </w:pPr>
            <w:r w:rsidRPr="009F337B">
              <w:rPr>
                <w:sz w:val="16"/>
                <w:szCs w:val="16"/>
                <w:lang w:val="en-US"/>
              </w:rPr>
              <w:t>7</w:t>
            </w:r>
          </w:p>
        </w:tc>
        <w:tc>
          <w:tcPr>
            <w:tcW w:w="5211" w:type="dxa"/>
            <w:vAlign w:val="center"/>
          </w:tcPr>
          <w:p w14:paraId="659896AF" w14:textId="3E0BD39C" w:rsidR="007F3128" w:rsidRPr="009F337B" w:rsidRDefault="007F3128" w:rsidP="00F608A7">
            <w:pPr>
              <w:tabs>
                <w:tab w:val="left" w:pos="1277"/>
              </w:tabs>
              <w:jc w:val="left"/>
              <w:rPr>
                <w:sz w:val="16"/>
                <w:szCs w:val="16"/>
                <w:lang w:val="en-US"/>
              </w:rPr>
            </w:pPr>
            <w:r w:rsidRPr="009F337B">
              <w:rPr>
                <w:sz w:val="16"/>
                <w:szCs w:val="16"/>
                <w:lang w:val="en-US"/>
              </w:rPr>
              <w:t>Alfonso Ramírez (</w:t>
            </w:r>
            <w:r w:rsidR="0010522A" w:rsidRPr="009F337B">
              <w:rPr>
                <w:sz w:val="16"/>
                <w:szCs w:val="16"/>
                <w:lang w:val="en-US"/>
              </w:rPr>
              <w:t>Father</w:t>
            </w:r>
            <w:r w:rsidRPr="009F337B">
              <w:rPr>
                <w:sz w:val="16"/>
                <w:szCs w:val="16"/>
                <w:lang w:val="en-US"/>
              </w:rPr>
              <w:t>)</w:t>
            </w:r>
          </w:p>
        </w:tc>
      </w:tr>
      <w:tr w:rsidR="007F3128" w:rsidRPr="009F337B" w14:paraId="06804E7E" w14:textId="77777777" w:rsidTr="0010522A">
        <w:tc>
          <w:tcPr>
            <w:tcW w:w="560" w:type="dxa"/>
            <w:gridSpan w:val="2"/>
            <w:vMerge/>
            <w:vAlign w:val="center"/>
          </w:tcPr>
          <w:p w14:paraId="1D080606" w14:textId="77777777" w:rsidR="007F3128" w:rsidRPr="009F337B" w:rsidRDefault="007F3128" w:rsidP="00F608A7">
            <w:pPr>
              <w:jc w:val="left"/>
              <w:rPr>
                <w:sz w:val="16"/>
                <w:szCs w:val="16"/>
                <w:lang w:val="en-US"/>
              </w:rPr>
            </w:pPr>
          </w:p>
        </w:tc>
        <w:tc>
          <w:tcPr>
            <w:tcW w:w="2950" w:type="dxa"/>
            <w:vMerge/>
            <w:vAlign w:val="center"/>
          </w:tcPr>
          <w:p w14:paraId="57DBD823" w14:textId="77777777" w:rsidR="007F3128" w:rsidRPr="009F337B" w:rsidRDefault="007F3128" w:rsidP="00F608A7">
            <w:pPr>
              <w:jc w:val="left"/>
              <w:rPr>
                <w:sz w:val="16"/>
                <w:szCs w:val="16"/>
                <w:lang w:val="en-US"/>
              </w:rPr>
            </w:pPr>
          </w:p>
        </w:tc>
        <w:tc>
          <w:tcPr>
            <w:tcW w:w="567" w:type="dxa"/>
            <w:vAlign w:val="center"/>
          </w:tcPr>
          <w:p w14:paraId="27FFAD41" w14:textId="77777777" w:rsidR="007F3128" w:rsidRPr="009F337B" w:rsidRDefault="007F3128" w:rsidP="00F608A7">
            <w:pPr>
              <w:jc w:val="left"/>
              <w:rPr>
                <w:sz w:val="16"/>
                <w:szCs w:val="16"/>
                <w:lang w:val="en-US"/>
              </w:rPr>
            </w:pPr>
            <w:r w:rsidRPr="009F337B">
              <w:rPr>
                <w:sz w:val="16"/>
                <w:szCs w:val="16"/>
                <w:lang w:val="en-US"/>
              </w:rPr>
              <w:t>8</w:t>
            </w:r>
          </w:p>
        </w:tc>
        <w:tc>
          <w:tcPr>
            <w:tcW w:w="5211" w:type="dxa"/>
            <w:vAlign w:val="center"/>
          </w:tcPr>
          <w:p w14:paraId="16A657BB" w14:textId="12A6A59C" w:rsidR="007F3128" w:rsidRPr="009F337B" w:rsidRDefault="007F3128" w:rsidP="00F608A7">
            <w:pPr>
              <w:tabs>
                <w:tab w:val="left" w:pos="1277"/>
              </w:tabs>
              <w:jc w:val="left"/>
              <w:rPr>
                <w:sz w:val="16"/>
                <w:szCs w:val="16"/>
                <w:lang w:val="en-US"/>
              </w:rPr>
            </w:pPr>
            <w:r w:rsidRPr="009F337B">
              <w:rPr>
                <w:sz w:val="16"/>
                <w:szCs w:val="16"/>
                <w:lang w:val="en-US"/>
              </w:rPr>
              <w:t>Justa Rufina Castro (</w:t>
            </w:r>
            <w:r w:rsidR="0010522A" w:rsidRPr="009F337B">
              <w:rPr>
                <w:sz w:val="16"/>
                <w:szCs w:val="16"/>
                <w:lang w:val="en-US"/>
              </w:rPr>
              <w:t>Mother</w:t>
            </w:r>
            <w:r w:rsidRPr="009F337B">
              <w:rPr>
                <w:sz w:val="16"/>
                <w:szCs w:val="16"/>
                <w:lang w:val="en-US"/>
              </w:rPr>
              <w:t>)</w:t>
            </w:r>
          </w:p>
        </w:tc>
      </w:tr>
      <w:tr w:rsidR="007F3128" w:rsidRPr="009F337B" w14:paraId="546908E6" w14:textId="77777777" w:rsidTr="0010522A">
        <w:tc>
          <w:tcPr>
            <w:tcW w:w="560" w:type="dxa"/>
            <w:gridSpan w:val="2"/>
            <w:vMerge/>
            <w:vAlign w:val="center"/>
          </w:tcPr>
          <w:p w14:paraId="034FFC0A" w14:textId="77777777" w:rsidR="007F3128" w:rsidRPr="009F337B" w:rsidRDefault="007F3128" w:rsidP="00F608A7">
            <w:pPr>
              <w:jc w:val="left"/>
              <w:rPr>
                <w:sz w:val="16"/>
                <w:szCs w:val="16"/>
                <w:lang w:val="en-US"/>
              </w:rPr>
            </w:pPr>
          </w:p>
        </w:tc>
        <w:tc>
          <w:tcPr>
            <w:tcW w:w="2950" w:type="dxa"/>
            <w:vMerge/>
            <w:vAlign w:val="center"/>
          </w:tcPr>
          <w:p w14:paraId="2E84AAF4" w14:textId="77777777" w:rsidR="007F3128" w:rsidRPr="009F337B" w:rsidRDefault="007F3128" w:rsidP="00F608A7">
            <w:pPr>
              <w:jc w:val="left"/>
              <w:rPr>
                <w:sz w:val="16"/>
                <w:szCs w:val="16"/>
                <w:lang w:val="en-US"/>
              </w:rPr>
            </w:pPr>
          </w:p>
        </w:tc>
        <w:tc>
          <w:tcPr>
            <w:tcW w:w="567" w:type="dxa"/>
            <w:vAlign w:val="center"/>
          </w:tcPr>
          <w:p w14:paraId="329F29A3" w14:textId="77777777" w:rsidR="007F3128" w:rsidRPr="009F337B" w:rsidRDefault="007F3128" w:rsidP="00F608A7">
            <w:pPr>
              <w:jc w:val="left"/>
              <w:rPr>
                <w:sz w:val="16"/>
                <w:szCs w:val="16"/>
                <w:lang w:val="en-US"/>
              </w:rPr>
            </w:pPr>
            <w:r w:rsidRPr="009F337B">
              <w:rPr>
                <w:sz w:val="16"/>
                <w:szCs w:val="16"/>
                <w:lang w:val="en-US"/>
              </w:rPr>
              <w:t>9</w:t>
            </w:r>
          </w:p>
        </w:tc>
        <w:tc>
          <w:tcPr>
            <w:tcW w:w="5211" w:type="dxa"/>
            <w:vAlign w:val="center"/>
          </w:tcPr>
          <w:p w14:paraId="1F0D1846" w14:textId="6E864471" w:rsidR="007F3128" w:rsidRPr="009F337B" w:rsidRDefault="007F3128" w:rsidP="00F608A7">
            <w:pPr>
              <w:tabs>
                <w:tab w:val="left" w:pos="1277"/>
              </w:tabs>
              <w:jc w:val="left"/>
              <w:rPr>
                <w:sz w:val="16"/>
                <w:szCs w:val="16"/>
                <w:lang w:val="en-US"/>
              </w:rPr>
            </w:pPr>
            <w:r w:rsidRPr="009F337B">
              <w:rPr>
                <w:sz w:val="16"/>
                <w:szCs w:val="16"/>
                <w:lang w:val="en-US"/>
              </w:rPr>
              <w:t>Luis Alfonso Ramírez Castro (</w:t>
            </w:r>
            <w:r w:rsidR="0010522A" w:rsidRPr="009F337B">
              <w:rPr>
                <w:sz w:val="16"/>
                <w:szCs w:val="16"/>
                <w:lang w:val="en-US"/>
              </w:rPr>
              <w:t>Brother</w:t>
            </w:r>
            <w:r w:rsidRPr="009F337B">
              <w:rPr>
                <w:sz w:val="16"/>
                <w:szCs w:val="16"/>
                <w:lang w:val="en-US"/>
              </w:rPr>
              <w:t>)</w:t>
            </w:r>
          </w:p>
        </w:tc>
      </w:tr>
      <w:tr w:rsidR="007F3128" w:rsidRPr="009F337B" w14:paraId="05C78CD7" w14:textId="77777777" w:rsidTr="0010522A">
        <w:tc>
          <w:tcPr>
            <w:tcW w:w="560" w:type="dxa"/>
            <w:gridSpan w:val="2"/>
            <w:vMerge/>
            <w:vAlign w:val="center"/>
          </w:tcPr>
          <w:p w14:paraId="5C8746BB" w14:textId="77777777" w:rsidR="007F3128" w:rsidRPr="009F337B" w:rsidRDefault="007F3128" w:rsidP="00F608A7">
            <w:pPr>
              <w:jc w:val="left"/>
              <w:rPr>
                <w:sz w:val="16"/>
                <w:szCs w:val="16"/>
                <w:lang w:val="en-US"/>
              </w:rPr>
            </w:pPr>
          </w:p>
        </w:tc>
        <w:tc>
          <w:tcPr>
            <w:tcW w:w="2950" w:type="dxa"/>
            <w:vMerge/>
            <w:vAlign w:val="center"/>
          </w:tcPr>
          <w:p w14:paraId="4CB15258" w14:textId="77777777" w:rsidR="007F3128" w:rsidRPr="009F337B" w:rsidRDefault="007F3128" w:rsidP="00F608A7">
            <w:pPr>
              <w:jc w:val="left"/>
              <w:rPr>
                <w:sz w:val="16"/>
                <w:szCs w:val="16"/>
                <w:lang w:val="en-US"/>
              </w:rPr>
            </w:pPr>
          </w:p>
        </w:tc>
        <w:tc>
          <w:tcPr>
            <w:tcW w:w="567" w:type="dxa"/>
            <w:vAlign w:val="center"/>
          </w:tcPr>
          <w:p w14:paraId="49B0CEB6" w14:textId="77777777" w:rsidR="007F3128" w:rsidRPr="009F337B" w:rsidRDefault="007F3128" w:rsidP="00F608A7">
            <w:pPr>
              <w:jc w:val="left"/>
              <w:rPr>
                <w:sz w:val="16"/>
                <w:szCs w:val="16"/>
                <w:lang w:val="en-US"/>
              </w:rPr>
            </w:pPr>
            <w:r w:rsidRPr="009F337B">
              <w:rPr>
                <w:sz w:val="16"/>
                <w:szCs w:val="16"/>
                <w:lang w:val="en-US"/>
              </w:rPr>
              <w:t>10</w:t>
            </w:r>
          </w:p>
        </w:tc>
        <w:tc>
          <w:tcPr>
            <w:tcW w:w="5211" w:type="dxa"/>
            <w:vAlign w:val="center"/>
          </w:tcPr>
          <w:p w14:paraId="1EF706AB" w14:textId="07862397" w:rsidR="007F3128" w:rsidRPr="009F337B" w:rsidRDefault="007F3128" w:rsidP="00F608A7">
            <w:pPr>
              <w:tabs>
                <w:tab w:val="left" w:pos="1277"/>
              </w:tabs>
              <w:jc w:val="left"/>
              <w:rPr>
                <w:sz w:val="16"/>
                <w:szCs w:val="16"/>
                <w:lang w:val="en-US"/>
              </w:rPr>
            </w:pPr>
            <w:r w:rsidRPr="009F337B">
              <w:rPr>
                <w:sz w:val="16"/>
                <w:szCs w:val="16"/>
                <w:lang w:val="en-US"/>
              </w:rPr>
              <w:t>Mardoqueo Ramírez Castro (</w:t>
            </w:r>
            <w:r w:rsidR="0010522A" w:rsidRPr="009F337B">
              <w:rPr>
                <w:sz w:val="16"/>
                <w:szCs w:val="16"/>
                <w:lang w:val="en-US"/>
              </w:rPr>
              <w:t>Brother</w:t>
            </w:r>
            <w:r w:rsidRPr="009F337B">
              <w:rPr>
                <w:sz w:val="16"/>
                <w:szCs w:val="16"/>
                <w:lang w:val="en-US"/>
              </w:rPr>
              <w:t>)</w:t>
            </w:r>
          </w:p>
        </w:tc>
      </w:tr>
      <w:tr w:rsidR="007F3128" w:rsidRPr="009F337B" w14:paraId="15247F9E" w14:textId="77777777" w:rsidTr="0010522A">
        <w:tc>
          <w:tcPr>
            <w:tcW w:w="560" w:type="dxa"/>
            <w:gridSpan w:val="2"/>
            <w:vMerge/>
            <w:vAlign w:val="center"/>
          </w:tcPr>
          <w:p w14:paraId="5372C8DB" w14:textId="77777777" w:rsidR="007F3128" w:rsidRPr="009F337B" w:rsidRDefault="007F3128" w:rsidP="00F608A7">
            <w:pPr>
              <w:jc w:val="left"/>
              <w:rPr>
                <w:sz w:val="16"/>
                <w:szCs w:val="16"/>
                <w:lang w:val="en-US"/>
              </w:rPr>
            </w:pPr>
          </w:p>
        </w:tc>
        <w:tc>
          <w:tcPr>
            <w:tcW w:w="2950" w:type="dxa"/>
            <w:vMerge/>
            <w:vAlign w:val="center"/>
          </w:tcPr>
          <w:p w14:paraId="75904E99" w14:textId="77777777" w:rsidR="007F3128" w:rsidRPr="009F337B" w:rsidRDefault="007F3128" w:rsidP="00F608A7">
            <w:pPr>
              <w:jc w:val="left"/>
              <w:rPr>
                <w:sz w:val="16"/>
                <w:szCs w:val="16"/>
                <w:lang w:val="en-US"/>
              </w:rPr>
            </w:pPr>
          </w:p>
        </w:tc>
        <w:tc>
          <w:tcPr>
            <w:tcW w:w="567" w:type="dxa"/>
            <w:vAlign w:val="center"/>
          </w:tcPr>
          <w:p w14:paraId="3C244A01" w14:textId="77777777" w:rsidR="007F3128" w:rsidRPr="009F337B" w:rsidRDefault="007F3128" w:rsidP="00F608A7">
            <w:pPr>
              <w:jc w:val="left"/>
              <w:rPr>
                <w:sz w:val="16"/>
                <w:szCs w:val="16"/>
                <w:lang w:val="en-US"/>
              </w:rPr>
            </w:pPr>
            <w:r w:rsidRPr="009F337B">
              <w:rPr>
                <w:sz w:val="16"/>
                <w:szCs w:val="16"/>
                <w:lang w:val="en-US"/>
              </w:rPr>
              <w:t>11</w:t>
            </w:r>
          </w:p>
        </w:tc>
        <w:tc>
          <w:tcPr>
            <w:tcW w:w="5211" w:type="dxa"/>
            <w:vAlign w:val="center"/>
          </w:tcPr>
          <w:p w14:paraId="5737DCF5" w14:textId="4521CFEF" w:rsidR="007F3128" w:rsidRPr="009F337B" w:rsidRDefault="007F3128" w:rsidP="00F608A7">
            <w:pPr>
              <w:tabs>
                <w:tab w:val="left" w:pos="1277"/>
              </w:tabs>
              <w:jc w:val="left"/>
              <w:rPr>
                <w:sz w:val="16"/>
                <w:szCs w:val="16"/>
                <w:lang w:val="en-US"/>
              </w:rPr>
            </w:pPr>
            <w:r w:rsidRPr="009F337B">
              <w:rPr>
                <w:sz w:val="16"/>
                <w:szCs w:val="16"/>
                <w:lang w:val="en-US"/>
              </w:rPr>
              <w:t>César Augusto Ramírez Castro (</w:t>
            </w:r>
            <w:r w:rsidR="0010522A" w:rsidRPr="009F337B">
              <w:rPr>
                <w:sz w:val="16"/>
                <w:szCs w:val="16"/>
                <w:lang w:val="en-US"/>
              </w:rPr>
              <w:t>Brother</w:t>
            </w:r>
            <w:r w:rsidRPr="009F337B">
              <w:rPr>
                <w:sz w:val="16"/>
                <w:szCs w:val="16"/>
                <w:lang w:val="en-US"/>
              </w:rPr>
              <w:t>)</w:t>
            </w:r>
          </w:p>
        </w:tc>
      </w:tr>
      <w:tr w:rsidR="007F3128" w:rsidRPr="009F337B" w14:paraId="6569D482" w14:textId="77777777" w:rsidTr="0010522A">
        <w:tc>
          <w:tcPr>
            <w:tcW w:w="560" w:type="dxa"/>
            <w:gridSpan w:val="2"/>
            <w:vMerge/>
            <w:vAlign w:val="center"/>
          </w:tcPr>
          <w:p w14:paraId="3440975B" w14:textId="77777777" w:rsidR="007F3128" w:rsidRPr="009F337B" w:rsidRDefault="007F3128" w:rsidP="00F608A7">
            <w:pPr>
              <w:jc w:val="left"/>
              <w:rPr>
                <w:sz w:val="16"/>
                <w:szCs w:val="16"/>
                <w:lang w:val="en-US"/>
              </w:rPr>
            </w:pPr>
          </w:p>
        </w:tc>
        <w:tc>
          <w:tcPr>
            <w:tcW w:w="2950" w:type="dxa"/>
            <w:vMerge/>
            <w:vAlign w:val="center"/>
          </w:tcPr>
          <w:p w14:paraId="2CFB586C" w14:textId="77777777" w:rsidR="007F3128" w:rsidRPr="009F337B" w:rsidRDefault="007F3128" w:rsidP="00F608A7">
            <w:pPr>
              <w:jc w:val="left"/>
              <w:rPr>
                <w:sz w:val="16"/>
                <w:szCs w:val="16"/>
                <w:lang w:val="en-US"/>
              </w:rPr>
            </w:pPr>
          </w:p>
        </w:tc>
        <w:tc>
          <w:tcPr>
            <w:tcW w:w="567" w:type="dxa"/>
            <w:vAlign w:val="center"/>
          </w:tcPr>
          <w:p w14:paraId="417C0352" w14:textId="77777777" w:rsidR="007F3128" w:rsidRPr="009F337B" w:rsidRDefault="007F3128" w:rsidP="00F608A7">
            <w:pPr>
              <w:jc w:val="left"/>
              <w:rPr>
                <w:sz w:val="16"/>
                <w:szCs w:val="16"/>
                <w:lang w:val="en-US"/>
              </w:rPr>
            </w:pPr>
            <w:r w:rsidRPr="009F337B">
              <w:rPr>
                <w:sz w:val="16"/>
                <w:szCs w:val="16"/>
                <w:lang w:val="en-US"/>
              </w:rPr>
              <w:t>12</w:t>
            </w:r>
          </w:p>
        </w:tc>
        <w:tc>
          <w:tcPr>
            <w:tcW w:w="5211" w:type="dxa"/>
            <w:vAlign w:val="center"/>
          </w:tcPr>
          <w:p w14:paraId="4D9843B2" w14:textId="7E092563" w:rsidR="007F3128" w:rsidRPr="009F337B" w:rsidRDefault="007F3128" w:rsidP="00F608A7">
            <w:pPr>
              <w:tabs>
                <w:tab w:val="left" w:pos="1277"/>
              </w:tabs>
              <w:jc w:val="left"/>
              <w:rPr>
                <w:sz w:val="16"/>
                <w:szCs w:val="16"/>
                <w:lang w:val="en-US"/>
              </w:rPr>
            </w:pPr>
            <w:r w:rsidRPr="009F337B">
              <w:rPr>
                <w:sz w:val="16"/>
                <w:szCs w:val="16"/>
                <w:lang w:val="en-US"/>
              </w:rPr>
              <w:t>Carlos Isaías Martínez (</w:t>
            </w:r>
            <w:r w:rsidR="0010522A" w:rsidRPr="009F337B">
              <w:rPr>
                <w:sz w:val="16"/>
                <w:szCs w:val="16"/>
                <w:lang w:val="en-US"/>
              </w:rPr>
              <w:t>Partner</w:t>
            </w:r>
            <w:r w:rsidRPr="009F337B">
              <w:rPr>
                <w:sz w:val="16"/>
                <w:szCs w:val="16"/>
                <w:lang w:val="en-US"/>
              </w:rPr>
              <w:t>)</w:t>
            </w:r>
          </w:p>
        </w:tc>
      </w:tr>
      <w:tr w:rsidR="007F3128" w:rsidRPr="009F337B" w14:paraId="5DC764A8" w14:textId="77777777" w:rsidTr="0010522A">
        <w:tc>
          <w:tcPr>
            <w:tcW w:w="560" w:type="dxa"/>
            <w:gridSpan w:val="2"/>
            <w:vAlign w:val="center"/>
          </w:tcPr>
          <w:p w14:paraId="280A7F0E" w14:textId="77777777" w:rsidR="007F3128" w:rsidRPr="009F337B" w:rsidRDefault="007F3128" w:rsidP="00F608A7">
            <w:pPr>
              <w:jc w:val="left"/>
              <w:rPr>
                <w:sz w:val="16"/>
                <w:szCs w:val="16"/>
                <w:lang w:val="en-US"/>
              </w:rPr>
            </w:pPr>
            <w:r w:rsidRPr="009F337B">
              <w:rPr>
                <w:sz w:val="16"/>
                <w:szCs w:val="16"/>
                <w:lang w:val="en-US"/>
              </w:rPr>
              <w:t>43</w:t>
            </w:r>
          </w:p>
        </w:tc>
        <w:tc>
          <w:tcPr>
            <w:tcW w:w="2950" w:type="dxa"/>
            <w:vAlign w:val="center"/>
          </w:tcPr>
          <w:p w14:paraId="35B91148" w14:textId="75A560CF" w:rsidR="007F3128" w:rsidRPr="009F337B" w:rsidRDefault="007F3128" w:rsidP="00F608A7">
            <w:pPr>
              <w:jc w:val="left"/>
              <w:rPr>
                <w:sz w:val="16"/>
                <w:szCs w:val="16"/>
                <w:lang w:val="en-US"/>
              </w:rPr>
            </w:pPr>
            <w:r w:rsidRPr="009F337B">
              <w:rPr>
                <w:sz w:val="16"/>
                <w:szCs w:val="16"/>
                <w:lang w:val="en-US"/>
              </w:rPr>
              <w:t>Karen Judith Samayoa Vásquez</w:t>
            </w:r>
          </w:p>
        </w:tc>
        <w:tc>
          <w:tcPr>
            <w:tcW w:w="567" w:type="dxa"/>
            <w:vAlign w:val="center"/>
          </w:tcPr>
          <w:p w14:paraId="17D8BECA" w14:textId="73A0F1FF" w:rsidR="007F3128" w:rsidRPr="009F337B" w:rsidRDefault="007F3128" w:rsidP="00F608A7">
            <w:pPr>
              <w:jc w:val="left"/>
              <w:rPr>
                <w:sz w:val="16"/>
                <w:szCs w:val="16"/>
                <w:lang w:val="en-US"/>
              </w:rPr>
            </w:pPr>
          </w:p>
        </w:tc>
        <w:tc>
          <w:tcPr>
            <w:tcW w:w="5211" w:type="dxa"/>
            <w:vAlign w:val="center"/>
          </w:tcPr>
          <w:p w14:paraId="711C17BB" w14:textId="32AEA868" w:rsidR="007F3128" w:rsidRPr="009F337B" w:rsidRDefault="0010522A" w:rsidP="00F608A7">
            <w:pPr>
              <w:jc w:val="left"/>
              <w:rPr>
                <w:sz w:val="16"/>
                <w:szCs w:val="16"/>
                <w:lang w:val="en-US"/>
              </w:rPr>
            </w:pPr>
            <w:r w:rsidRPr="009F337B">
              <w:rPr>
                <w:sz w:val="16"/>
                <w:szCs w:val="16"/>
                <w:lang w:val="en-US"/>
              </w:rPr>
              <w:t>No information available</w:t>
            </w:r>
          </w:p>
        </w:tc>
      </w:tr>
      <w:tr w:rsidR="007F3128" w:rsidRPr="009F337B" w14:paraId="1E27230C" w14:textId="77777777" w:rsidTr="0010522A">
        <w:tc>
          <w:tcPr>
            <w:tcW w:w="560" w:type="dxa"/>
            <w:gridSpan w:val="2"/>
            <w:vMerge w:val="restart"/>
            <w:vAlign w:val="center"/>
          </w:tcPr>
          <w:p w14:paraId="6C72F452" w14:textId="77777777" w:rsidR="007F3128" w:rsidRPr="009F337B" w:rsidRDefault="007F3128" w:rsidP="00F608A7">
            <w:pPr>
              <w:jc w:val="left"/>
              <w:rPr>
                <w:sz w:val="16"/>
                <w:szCs w:val="16"/>
                <w:lang w:val="en-US"/>
              </w:rPr>
            </w:pPr>
            <w:r w:rsidRPr="009F337B">
              <w:rPr>
                <w:sz w:val="16"/>
                <w:szCs w:val="16"/>
                <w:lang w:val="en-US"/>
              </w:rPr>
              <w:t>44</w:t>
            </w:r>
          </w:p>
        </w:tc>
        <w:tc>
          <w:tcPr>
            <w:tcW w:w="2950" w:type="dxa"/>
            <w:vMerge w:val="restart"/>
            <w:vAlign w:val="center"/>
          </w:tcPr>
          <w:p w14:paraId="1113CD53" w14:textId="647FCCE6" w:rsidR="007F3128" w:rsidRPr="009F337B" w:rsidRDefault="007F3128" w:rsidP="00F608A7">
            <w:pPr>
              <w:jc w:val="left"/>
              <w:rPr>
                <w:sz w:val="16"/>
                <w:szCs w:val="16"/>
                <w:lang w:val="en-US"/>
              </w:rPr>
            </w:pPr>
            <w:r w:rsidRPr="009F337B">
              <w:rPr>
                <w:sz w:val="16"/>
                <w:szCs w:val="16"/>
                <w:lang w:val="en-US"/>
              </w:rPr>
              <w:t xml:space="preserve">Francisco Sop </w:t>
            </w:r>
            <w:r w:rsidR="008840A0" w:rsidRPr="009F337B">
              <w:rPr>
                <w:sz w:val="16"/>
                <w:szCs w:val="16"/>
                <w:lang w:val="en-US"/>
              </w:rPr>
              <w:t>Quiej</w:t>
            </w:r>
          </w:p>
        </w:tc>
        <w:tc>
          <w:tcPr>
            <w:tcW w:w="567" w:type="dxa"/>
            <w:vAlign w:val="center"/>
          </w:tcPr>
          <w:p w14:paraId="3FB8B368" w14:textId="77777777" w:rsidR="007F3128" w:rsidRPr="009F337B" w:rsidRDefault="007F3128" w:rsidP="00F608A7">
            <w:pPr>
              <w:jc w:val="left"/>
              <w:rPr>
                <w:sz w:val="16"/>
                <w:szCs w:val="16"/>
                <w:lang w:val="en-US"/>
              </w:rPr>
            </w:pPr>
            <w:r w:rsidRPr="009F337B">
              <w:rPr>
                <w:sz w:val="16"/>
                <w:szCs w:val="16"/>
                <w:lang w:val="en-US"/>
              </w:rPr>
              <w:t>1</w:t>
            </w:r>
          </w:p>
        </w:tc>
        <w:tc>
          <w:tcPr>
            <w:tcW w:w="5211" w:type="dxa"/>
            <w:vAlign w:val="center"/>
          </w:tcPr>
          <w:p w14:paraId="2BC776D9" w14:textId="19E55372" w:rsidR="007F3128" w:rsidRPr="009F337B" w:rsidRDefault="007F3128" w:rsidP="00F608A7">
            <w:pPr>
              <w:tabs>
                <w:tab w:val="left" w:pos="1277"/>
              </w:tabs>
              <w:jc w:val="left"/>
              <w:rPr>
                <w:sz w:val="16"/>
                <w:szCs w:val="16"/>
                <w:lang w:val="en-US"/>
              </w:rPr>
            </w:pPr>
            <w:r w:rsidRPr="009F337B">
              <w:rPr>
                <w:sz w:val="16"/>
                <w:szCs w:val="16"/>
                <w:lang w:val="en-US"/>
              </w:rPr>
              <w:t>Paula Quiej (</w:t>
            </w:r>
            <w:r w:rsidR="0010522A" w:rsidRPr="009F337B">
              <w:rPr>
                <w:sz w:val="16"/>
                <w:szCs w:val="16"/>
                <w:lang w:val="en-US"/>
              </w:rPr>
              <w:t>Mother</w:t>
            </w:r>
            <w:r w:rsidRPr="009F337B">
              <w:rPr>
                <w:sz w:val="16"/>
                <w:szCs w:val="16"/>
                <w:lang w:val="en-US"/>
              </w:rPr>
              <w:t>)</w:t>
            </w:r>
          </w:p>
        </w:tc>
      </w:tr>
      <w:tr w:rsidR="007F3128" w:rsidRPr="009F337B" w14:paraId="48880E3C" w14:textId="77777777" w:rsidTr="0010522A">
        <w:tc>
          <w:tcPr>
            <w:tcW w:w="560" w:type="dxa"/>
            <w:gridSpan w:val="2"/>
            <w:vMerge/>
            <w:vAlign w:val="center"/>
          </w:tcPr>
          <w:p w14:paraId="5E785062" w14:textId="77777777" w:rsidR="007F3128" w:rsidRPr="009F337B" w:rsidRDefault="007F3128" w:rsidP="00F608A7">
            <w:pPr>
              <w:jc w:val="left"/>
              <w:rPr>
                <w:sz w:val="16"/>
                <w:szCs w:val="16"/>
                <w:lang w:val="en-US"/>
              </w:rPr>
            </w:pPr>
          </w:p>
        </w:tc>
        <w:tc>
          <w:tcPr>
            <w:tcW w:w="2950" w:type="dxa"/>
            <w:vMerge/>
            <w:vAlign w:val="center"/>
          </w:tcPr>
          <w:p w14:paraId="48B0B550" w14:textId="77777777" w:rsidR="007F3128" w:rsidRPr="009F337B" w:rsidRDefault="007F3128" w:rsidP="00F608A7">
            <w:pPr>
              <w:jc w:val="left"/>
              <w:rPr>
                <w:sz w:val="16"/>
                <w:szCs w:val="16"/>
                <w:lang w:val="en-US"/>
              </w:rPr>
            </w:pPr>
          </w:p>
        </w:tc>
        <w:tc>
          <w:tcPr>
            <w:tcW w:w="567" w:type="dxa"/>
            <w:vAlign w:val="center"/>
          </w:tcPr>
          <w:p w14:paraId="3E28A59D" w14:textId="77777777" w:rsidR="007F3128" w:rsidRPr="009F337B" w:rsidRDefault="007F3128" w:rsidP="00F608A7">
            <w:pPr>
              <w:jc w:val="left"/>
              <w:rPr>
                <w:sz w:val="16"/>
                <w:szCs w:val="16"/>
                <w:lang w:val="en-US"/>
              </w:rPr>
            </w:pPr>
            <w:r w:rsidRPr="009F337B">
              <w:rPr>
                <w:sz w:val="16"/>
                <w:szCs w:val="16"/>
                <w:lang w:val="en-US"/>
              </w:rPr>
              <w:t>2</w:t>
            </w:r>
          </w:p>
        </w:tc>
        <w:tc>
          <w:tcPr>
            <w:tcW w:w="5211" w:type="dxa"/>
            <w:vAlign w:val="center"/>
          </w:tcPr>
          <w:p w14:paraId="386652ED" w14:textId="65AA9AB1" w:rsidR="007F3128" w:rsidRPr="009F337B" w:rsidRDefault="007F3128" w:rsidP="00F608A7">
            <w:pPr>
              <w:tabs>
                <w:tab w:val="left" w:pos="1277"/>
              </w:tabs>
              <w:jc w:val="left"/>
              <w:rPr>
                <w:sz w:val="16"/>
                <w:szCs w:val="16"/>
                <w:lang w:val="en-US"/>
              </w:rPr>
            </w:pPr>
            <w:r w:rsidRPr="009F337B">
              <w:rPr>
                <w:sz w:val="16"/>
                <w:szCs w:val="16"/>
                <w:lang w:val="en-US"/>
              </w:rPr>
              <w:t>Antonio Sop Quie</w:t>
            </w:r>
            <w:r w:rsidR="00CA660E" w:rsidRPr="009F337B">
              <w:rPr>
                <w:sz w:val="16"/>
                <w:szCs w:val="16"/>
                <w:lang w:val="en-US"/>
              </w:rPr>
              <w:t>j</w:t>
            </w:r>
            <w:r w:rsidRPr="009F337B">
              <w:rPr>
                <w:sz w:val="16"/>
                <w:szCs w:val="16"/>
                <w:lang w:val="en-US"/>
              </w:rPr>
              <w:t xml:space="preserve"> (</w:t>
            </w:r>
            <w:r w:rsidR="0010522A" w:rsidRPr="009F337B">
              <w:rPr>
                <w:sz w:val="16"/>
                <w:szCs w:val="16"/>
                <w:lang w:val="en-US"/>
              </w:rPr>
              <w:t>Brother</w:t>
            </w:r>
            <w:r w:rsidRPr="009F337B">
              <w:rPr>
                <w:sz w:val="16"/>
                <w:szCs w:val="16"/>
                <w:lang w:val="en-US"/>
              </w:rPr>
              <w:t>)</w:t>
            </w:r>
          </w:p>
        </w:tc>
      </w:tr>
      <w:tr w:rsidR="007F3128" w:rsidRPr="009F337B" w14:paraId="14D98949" w14:textId="77777777" w:rsidTr="0010522A">
        <w:tc>
          <w:tcPr>
            <w:tcW w:w="560" w:type="dxa"/>
            <w:gridSpan w:val="2"/>
            <w:vMerge/>
            <w:vAlign w:val="center"/>
          </w:tcPr>
          <w:p w14:paraId="26970038" w14:textId="77777777" w:rsidR="007F3128" w:rsidRPr="009F337B" w:rsidRDefault="007F3128" w:rsidP="00F608A7">
            <w:pPr>
              <w:jc w:val="left"/>
              <w:rPr>
                <w:sz w:val="16"/>
                <w:szCs w:val="16"/>
                <w:lang w:val="en-US"/>
              </w:rPr>
            </w:pPr>
          </w:p>
        </w:tc>
        <w:tc>
          <w:tcPr>
            <w:tcW w:w="2950" w:type="dxa"/>
            <w:vMerge/>
            <w:vAlign w:val="center"/>
          </w:tcPr>
          <w:p w14:paraId="09F037D1" w14:textId="77777777" w:rsidR="007F3128" w:rsidRPr="009F337B" w:rsidRDefault="007F3128" w:rsidP="00F608A7">
            <w:pPr>
              <w:jc w:val="left"/>
              <w:rPr>
                <w:sz w:val="16"/>
                <w:szCs w:val="16"/>
                <w:lang w:val="en-US"/>
              </w:rPr>
            </w:pPr>
          </w:p>
        </w:tc>
        <w:tc>
          <w:tcPr>
            <w:tcW w:w="567" w:type="dxa"/>
            <w:vAlign w:val="center"/>
          </w:tcPr>
          <w:p w14:paraId="5F9A0DBD" w14:textId="77777777" w:rsidR="007F3128" w:rsidRPr="009F337B" w:rsidRDefault="007F3128" w:rsidP="00F608A7">
            <w:pPr>
              <w:jc w:val="left"/>
              <w:rPr>
                <w:sz w:val="16"/>
                <w:szCs w:val="16"/>
                <w:lang w:val="en-US"/>
              </w:rPr>
            </w:pPr>
            <w:r w:rsidRPr="009F337B">
              <w:rPr>
                <w:sz w:val="16"/>
                <w:szCs w:val="16"/>
                <w:lang w:val="en-US"/>
              </w:rPr>
              <w:t>3</w:t>
            </w:r>
          </w:p>
        </w:tc>
        <w:tc>
          <w:tcPr>
            <w:tcW w:w="5211" w:type="dxa"/>
            <w:vAlign w:val="center"/>
          </w:tcPr>
          <w:p w14:paraId="340DEA12" w14:textId="3ACB3BD6" w:rsidR="007F3128" w:rsidRPr="009F337B" w:rsidRDefault="00CA660E" w:rsidP="00F608A7">
            <w:pPr>
              <w:tabs>
                <w:tab w:val="left" w:pos="1277"/>
              </w:tabs>
              <w:jc w:val="left"/>
              <w:rPr>
                <w:sz w:val="16"/>
                <w:szCs w:val="16"/>
                <w:lang w:val="en-US"/>
              </w:rPr>
            </w:pPr>
            <w:r w:rsidRPr="009F337B">
              <w:rPr>
                <w:sz w:val="16"/>
                <w:szCs w:val="16"/>
                <w:lang w:val="en-US"/>
              </w:rPr>
              <w:t>Dominga Sop Quiej</w:t>
            </w:r>
            <w:r w:rsidR="007F3128" w:rsidRPr="009F337B">
              <w:rPr>
                <w:sz w:val="16"/>
                <w:szCs w:val="16"/>
                <w:lang w:val="en-US"/>
              </w:rPr>
              <w:t xml:space="preserve"> (</w:t>
            </w:r>
            <w:r w:rsidR="0010522A" w:rsidRPr="009F337B">
              <w:rPr>
                <w:sz w:val="16"/>
                <w:szCs w:val="16"/>
                <w:lang w:val="en-US"/>
              </w:rPr>
              <w:t>Sister</w:t>
            </w:r>
            <w:r w:rsidR="007F3128" w:rsidRPr="009F337B">
              <w:rPr>
                <w:sz w:val="16"/>
                <w:szCs w:val="16"/>
                <w:lang w:val="en-US"/>
              </w:rPr>
              <w:t>)</w:t>
            </w:r>
          </w:p>
        </w:tc>
      </w:tr>
      <w:tr w:rsidR="007F3128" w:rsidRPr="009F337B" w14:paraId="095EA510" w14:textId="77777777" w:rsidTr="0010522A">
        <w:tc>
          <w:tcPr>
            <w:tcW w:w="560" w:type="dxa"/>
            <w:gridSpan w:val="2"/>
            <w:vMerge/>
            <w:vAlign w:val="center"/>
          </w:tcPr>
          <w:p w14:paraId="787479B3" w14:textId="77777777" w:rsidR="007F3128" w:rsidRPr="009F337B" w:rsidRDefault="007F3128" w:rsidP="00F608A7">
            <w:pPr>
              <w:jc w:val="left"/>
              <w:rPr>
                <w:sz w:val="16"/>
                <w:szCs w:val="16"/>
                <w:lang w:val="en-US"/>
              </w:rPr>
            </w:pPr>
          </w:p>
        </w:tc>
        <w:tc>
          <w:tcPr>
            <w:tcW w:w="2950" w:type="dxa"/>
            <w:vMerge/>
            <w:vAlign w:val="center"/>
          </w:tcPr>
          <w:p w14:paraId="276DD379" w14:textId="77777777" w:rsidR="007F3128" w:rsidRPr="009F337B" w:rsidRDefault="007F3128" w:rsidP="00F608A7">
            <w:pPr>
              <w:jc w:val="left"/>
              <w:rPr>
                <w:sz w:val="16"/>
                <w:szCs w:val="16"/>
                <w:lang w:val="en-US"/>
              </w:rPr>
            </w:pPr>
          </w:p>
        </w:tc>
        <w:tc>
          <w:tcPr>
            <w:tcW w:w="567" w:type="dxa"/>
            <w:vAlign w:val="center"/>
          </w:tcPr>
          <w:p w14:paraId="3B567DC8" w14:textId="77777777" w:rsidR="007F3128" w:rsidRPr="009F337B" w:rsidRDefault="007F3128" w:rsidP="00F608A7">
            <w:pPr>
              <w:jc w:val="left"/>
              <w:rPr>
                <w:sz w:val="16"/>
                <w:szCs w:val="16"/>
                <w:lang w:val="en-US"/>
              </w:rPr>
            </w:pPr>
            <w:r w:rsidRPr="009F337B">
              <w:rPr>
                <w:sz w:val="16"/>
                <w:szCs w:val="16"/>
                <w:lang w:val="en-US"/>
              </w:rPr>
              <w:t>4</w:t>
            </w:r>
          </w:p>
        </w:tc>
        <w:tc>
          <w:tcPr>
            <w:tcW w:w="5211" w:type="dxa"/>
            <w:vAlign w:val="center"/>
          </w:tcPr>
          <w:p w14:paraId="00243DAC" w14:textId="06B13448" w:rsidR="007F3128" w:rsidRPr="009F337B" w:rsidRDefault="007F3128" w:rsidP="00F608A7">
            <w:pPr>
              <w:tabs>
                <w:tab w:val="left" w:pos="1277"/>
              </w:tabs>
              <w:jc w:val="left"/>
              <w:rPr>
                <w:sz w:val="16"/>
                <w:szCs w:val="16"/>
                <w:lang w:val="en-US"/>
              </w:rPr>
            </w:pPr>
            <w:r w:rsidRPr="009F337B">
              <w:rPr>
                <w:sz w:val="16"/>
                <w:szCs w:val="16"/>
                <w:lang w:val="en-US"/>
              </w:rPr>
              <w:t>Rony Sixta Sop (</w:t>
            </w:r>
            <w:r w:rsidR="0010522A" w:rsidRPr="009F337B">
              <w:rPr>
                <w:sz w:val="16"/>
                <w:szCs w:val="16"/>
                <w:lang w:val="en-US"/>
              </w:rPr>
              <w:t>Nephew</w:t>
            </w:r>
            <w:r w:rsidRPr="009F337B">
              <w:rPr>
                <w:sz w:val="16"/>
                <w:szCs w:val="16"/>
                <w:lang w:val="en-US"/>
              </w:rPr>
              <w:t>)</w:t>
            </w:r>
          </w:p>
        </w:tc>
      </w:tr>
      <w:tr w:rsidR="007F3128" w:rsidRPr="009F337B" w14:paraId="64A44D45" w14:textId="77777777" w:rsidTr="0010522A">
        <w:tc>
          <w:tcPr>
            <w:tcW w:w="560" w:type="dxa"/>
            <w:gridSpan w:val="2"/>
            <w:vMerge w:val="restart"/>
            <w:vAlign w:val="center"/>
          </w:tcPr>
          <w:p w14:paraId="0EEF056C" w14:textId="77777777" w:rsidR="007F3128" w:rsidRPr="009F337B" w:rsidRDefault="007F3128" w:rsidP="00F608A7">
            <w:pPr>
              <w:jc w:val="left"/>
              <w:rPr>
                <w:sz w:val="16"/>
                <w:szCs w:val="16"/>
                <w:lang w:val="en-US"/>
              </w:rPr>
            </w:pPr>
            <w:r w:rsidRPr="009F337B">
              <w:rPr>
                <w:sz w:val="16"/>
                <w:szCs w:val="16"/>
                <w:lang w:val="en-US"/>
              </w:rPr>
              <w:t>45</w:t>
            </w:r>
          </w:p>
        </w:tc>
        <w:tc>
          <w:tcPr>
            <w:tcW w:w="2950" w:type="dxa"/>
            <w:vMerge w:val="restart"/>
            <w:vAlign w:val="center"/>
          </w:tcPr>
          <w:p w14:paraId="02AFC157" w14:textId="15E47C62" w:rsidR="007F3128" w:rsidRPr="009F337B" w:rsidRDefault="007F3128" w:rsidP="00F608A7">
            <w:pPr>
              <w:jc w:val="left"/>
              <w:rPr>
                <w:sz w:val="16"/>
                <w:szCs w:val="16"/>
                <w:lang w:val="en-US"/>
              </w:rPr>
            </w:pPr>
            <w:r w:rsidRPr="009F337B">
              <w:rPr>
                <w:sz w:val="16"/>
                <w:szCs w:val="16"/>
                <w:lang w:val="en-US"/>
              </w:rPr>
              <w:t>Jorge Armando Tavare</w:t>
            </w:r>
            <w:r w:rsidR="0033543A" w:rsidRPr="009F337B">
              <w:rPr>
                <w:sz w:val="16"/>
                <w:szCs w:val="16"/>
                <w:lang w:val="en-US"/>
              </w:rPr>
              <w:t>s</w:t>
            </w:r>
            <w:r w:rsidRPr="009F337B">
              <w:rPr>
                <w:sz w:val="16"/>
                <w:szCs w:val="16"/>
                <w:lang w:val="en-US"/>
              </w:rPr>
              <w:t xml:space="preserve"> Barreno</w:t>
            </w:r>
          </w:p>
        </w:tc>
        <w:tc>
          <w:tcPr>
            <w:tcW w:w="567" w:type="dxa"/>
            <w:vAlign w:val="center"/>
          </w:tcPr>
          <w:p w14:paraId="2B98EB47" w14:textId="77777777" w:rsidR="007F3128" w:rsidRPr="009F337B" w:rsidRDefault="007F3128" w:rsidP="00F608A7">
            <w:pPr>
              <w:jc w:val="left"/>
              <w:rPr>
                <w:sz w:val="16"/>
                <w:szCs w:val="16"/>
                <w:lang w:val="en-US"/>
              </w:rPr>
            </w:pPr>
            <w:r w:rsidRPr="009F337B">
              <w:rPr>
                <w:sz w:val="16"/>
                <w:szCs w:val="16"/>
                <w:lang w:val="en-US"/>
              </w:rPr>
              <w:t>1</w:t>
            </w:r>
          </w:p>
        </w:tc>
        <w:tc>
          <w:tcPr>
            <w:tcW w:w="5211" w:type="dxa"/>
            <w:vAlign w:val="center"/>
          </w:tcPr>
          <w:p w14:paraId="2486DBA0" w14:textId="0F33F4F9" w:rsidR="007F3128" w:rsidRPr="00542AB5" w:rsidRDefault="007F3128" w:rsidP="00F608A7">
            <w:pPr>
              <w:tabs>
                <w:tab w:val="left" w:pos="1277"/>
              </w:tabs>
              <w:jc w:val="left"/>
              <w:rPr>
                <w:sz w:val="16"/>
                <w:szCs w:val="16"/>
                <w:lang w:val="es-CR"/>
              </w:rPr>
            </w:pPr>
            <w:r w:rsidRPr="00542AB5">
              <w:rPr>
                <w:sz w:val="16"/>
                <w:szCs w:val="16"/>
                <w:lang w:val="es-CR"/>
              </w:rPr>
              <w:t>Brenda Magaly Cardona Rodríguez (</w:t>
            </w:r>
            <w:r w:rsidR="0010522A" w:rsidRPr="00542AB5">
              <w:rPr>
                <w:sz w:val="16"/>
                <w:szCs w:val="16"/>
                <w:lang w:val="es-CR"/>
              </w:rPr>
              <w:t>Wife</w:t>
            </w:r>
            <w:r w:rsidRPr="00542AB5">
              <w:rPr>
                <w:sz w:val="16"/>
                <w:szCs w:val="16"/>
                <w:lang w:val="es-CR"/>
              </w:rPr>
              <w:t>)</w:t>
            </w:r>
          </w:p>
        </w:tc>
      </w:tr>
      <w:tr w:rsidR="007F3128" w:rsidRPr="009F337B" w14:paraId="1F1C765D" w14:textId="77777777" w:rsidTr="0010522A">
        <w:tc>
          <w:tcPr>
            <w:tcW w:w="560" w:type="dxa"/>
            <w:gridSpan w:val="2"/>
            <w:vMerge/>
            <w:vAlign w:val="center"/>
          </w:tcPr>
          <w:p w14:paraId="0E3544D8" w14:textId="77777777" w:rsidR="007F3128" w:rsidRPr="00542AB5" w:rsidRDefault="007F3128" w:rsidP="00F608A7">
            <w:pPr>
              <w:jc w:val="left"/>
              <w:rPr>
                <w:sz w:val="16"/>
                <w:szCs w:val="16"/>
                <w:lang w:val="es-CR"/>
              </w:rPr>
            </w:pPr>
          </w:p>
        </w:tc>
        <w:tc>
          <w:tcPr>
            <w:tcW w:w="2950" w:type="dxa"/>
            <w:vMerge/>
            <w:vAlign w:val="center"/>
          </w:tcPr>
          <w:p w14:paraId="2C9EDC80" w14:textId="77777777" w:rsidR="007F3128" w:rsidRPr="00542AB5" w:rsidRDefault="007F3128" w:rsidP="00F608A7">
            <w:pPr>
              <w:jc w:val="left"/>
              <w:rPr>
                <w:sz w:val="16"/>
                <w:szCs w:val="16"/>
                <w:lang w:val="es-CR"/>
              </w:rPr>
            </w:pPr>
          </w:p>
        </w:tc>
        <w:tc>
          <w:tcPr>
            <w:tcW w:w="567" w:type="dxa"/>
            <w:vAlign w:val="center"/>
          </w:tcPr>
          <w:p w14:paraId="657DDFA8" w14:textId="77777777" w:rsidR="007F3128" w:rsidRPr="009F337B" w:rsidRDefault="007F3128" w:rsidP="00F608A7">
            <w:pPr>
              <w:jc w:val="left"/>
              <w:rPr>
                <w:sz w:val="16"/>
                <w:szCs w:val="16"/>
                <w:lang w:val="en-US"/>
              </w:rPr>
            </w:pPr>
            <w:r w:rsidRPr="009F337B">
              <w:rPr>
                <w:sz w:val="16"/>
                <w:szCs w:val="16"/>
                <w:lang w:val="en-US"/>
              </w:rPr>
              <w:t>2</w:t>
            </w:r>
          </w:p>
        </w:tc>
        <w:tc>
          <w:tcPr>
            <w:tcW w:w="5211" w:type="dxa"/>
            <w:vAlign w:val="center"/>
          </w:tcPr>
          <w:p w14:paraId="28FA22F9" w14:textId="5DBFEC5B" w:rsidR="007F3128" w:rsidRPr="00542AB5" w:rsidRDefault="00DB33B9" w:rsidP="00F608A7">
            <w:pPr>
              <w:tabs>
                <w:tab w:val="left" w:pos="1277"/>
              </w:tabs>
              <w:jc w:val="left"/>
              <w:rPr>
                <w:sz w:val="16"/>
                <w:szCs w:val="16"/>
                <w:lang w:val="es-CR"/>
              </w:rPr>
            </w:pPr>
            <w:r w:rsidRPr="00542AB5">
              <w:rPr>
                <w:sz w:val="16"/>
                <w:szCs w:val="16"/>
                <w:lang w:val="es-CR"/>
              </w:rPr>
              <w:t>Jimmy Armando Tavares</w:t>
            </w:r>
            <w:r w:rsidR="007F3128" w:rsidRPr="00542AB5">
              <w:rPr>
                <w:sz w:val="16"/>
                <w:szCs w:val="16"/>
                <w:lang w:val="es-CR"/>
              </w:rPr>
              <w:t xml:space="preserve"> Cardona (</w:t>
            </w:r>
            <w:r w:rsidR="0010522A" w:rsidRPr="00542AB5">
              <w:rPr>
                <w:sz w:val="16"/>
                <w:szCs w:val="16"/>
                <w:lang w:val="es-CR"/>
              </w:rPr>
              <w:t>Son</w:t>
            </w:r>
            <w:r w:rsidR="007F3128" w:rsidRPr="00542AB5">
              <w:rPr>
                <w:sz w:val="16"/>
                <w:szCs w:val="16"/>
                <w:lang w:val="es-CR"/>
              </w:rPr>
              <w:t>)</w:t>
            </w:r>
          </w:p>
        </w:tc>
      </w:tr>
      <w:tr w:rsidR="007F3128" w:rsidRPr="00310E7A" w14:paraId="3945A2D7" w14:textId="77777777" w:rsidTr="0010522A">
        <w:tc>
          <w:tcPr>
            <w:tcW w:w="560" w:type="dxa"/>
            <w:gridSpan w:val="2"/>
            <w:vMerge/>
            <w:vAlign w:val="center"/>
          </w:tcPr>
          <w:p w14:paraId="21F58157" w14:textId="77777777" w:rsidR="007F3128" w:rsidRPr="00542AB5" w:rsidRDefault="007F3128" w:rsidP="00F608A7">
            <w:pPr>
              <w:jc w:val="left"/>
              <w:rPr>
                <w:sz w:val="16"/>
                <w:szCs w:val="16"/>
                <w:lang w:val="es-CR"/>
              </w:rPr>
            </w:pPr>
          </w:p>
        </w:tc>
        <w:tc>
          <w:tcPr>
            <w:tcW w:w="2950" w:type="dxa"/>
            <w:vMerge/>
            <w:vAlign w:val="center"/>
          </w:tcPr>
          <w:p w14:paraId="626F98E1" w14:textId="77777777" w:rsidR="007F3128" w:rsidRPr="00542AB5" w:rsidRDefault="007F3128" w:rsidP="00F608A7">
            <w:pPr>
              <w:jc w:val="left"/>
              <w:rPr>
                <w:sz w:val="16"/>
                <w:szCs w:val="16"/>
                <w:lang w:val="es-CR"/>
              </w:rPr>
            </w:pPr>
          </w:p>
        </w:tc>
        <w:tc>
          <w:tcPr>
            <w:tcW w:w="567" w:type="dxa"/>
            <w:vAlign w:val="center"/>
          </w:tcPr>
          <w:p w14:paraId="6E48EB5E" w14:textId="77777777" w:rsidR="007F3128" w:rsidRPr="009F337B" w:rsidRDefault="007F3128" w:rsidP="00F608A7">
            <w:pPr>
              <w:jc w:val="left"/>
              <w:rPr>
                <w:sz w:val="16"/>
                <w:szCs w:val="16"/>
                <w:lang w:val="en-US"/>
              </w:rPr>
            </w:pPr>
            <w:r w:rsidRPr="009F337B">
              <w:rPr>
                <w:sz w:val="16"/>
                <w:szCs w:val="16"/>
                <w:lang w:val="en-US"/>
              </w:rPr>
              <w:t>3</w:t>
            </w:r>
          </w:p>
        </w:tc>
        <w:tc>
          <w:tcPr>
            <w:tcW w:w="5211" w:type="dxa"/>
            <w:vAlign w:val="center"/>
          </w:tcPr>
          <w:p w14:paraId="7E7A6A1C" w14:textId="2AA2D898" w:rsidR="007F3128" w:rsidRPr="009F337B" w:rsidRDefault="007F3128" w:rsidP="00F608A7">
            <w:pPr>
              <w:tabs>
                <w:tab w:val="left" w:pos="1277"/>
              </w:tabs>
              <w:jc w:val="left"/>
              <w:rPr>
                <w:sz w:val="16"/>
                <w:szCs w:val="16"/>
                <w:lang w:val="en-US"/>
              </w:rPr>
            </w:pPr>
            <w:r w:rsidRPr="009F337B">
              <w:rPr>
                <w:sz w:val="16"/>
                <w:szCs w:val="16"/>
                <w:lang w:val="en-US"/>
              </w:rPr>
              <w:t>Loidy Nohemí Tavares Cardona (</w:t>
            </w:r>
            <w:r w:rsidR="0010522A" w:rsidRPr="009F337B">
              <w:rPr>
                <w:sz w:val="16"/>
                <w:szCs w:val="16"/>
                <w:lang w:val="en-US"/>
              </w:rPr>
              <w:t>Daughter</w:t>
            </w:r>
            <w:r w:rsidRPr="009F337B">
              <w:rPr>
                <w:sz w:val="16"/>
                <w:szCs w:val="16"/>
                <w:lang w:val="en-US"/>
              </w:rPr>
              <w:t>)</w:t>
            </w:r>
          </w:p>
        </w:tc>
      </w:tr>
      <w:tr w:rsidR="007F3128" w:rsidRPr="009F337B" w14:paraId="65C50116" w14:textId="77777777" w:rsidTr="0010522A">
        <w:tc>
          <w:tcPr>
            <w:tcW w:w="560" w:type="dxa"/>
            <w:gridSpan w:val="2"/>
            <w:vMerge/>
            <w:vAlign w:val="center"/>
          </w:tcPr>
          <w:p w14:paraId="3F84F6E2" w14:textId="77777777" w:rsidR="007F3128" w:rsidRPr="009F337B" w:rsidRDefault="007F3128" w:rsidP="00F608A7">
            <w:pPr>
              <w:jc w:val="left"/>
              <w:rPr>
                <w:sz w:val="16"/>
                <w:szCs w:val="16"/>
                <w:lang w:val="en-US"/>
              </w:rPr>
            </w:pPr>
          </w:p>
        </w:tc>
        <w:tc>
          <w:tcPr>
            <w:tcW w:w="2950" w:type="dxa"/>
            <w:vMerge/>
            <w:vAlign w:val="center"/>
          </w:tcPr>
          <w:p w14:paraId="6B0021B4" w14:textId="77777777" w:rsidR="007F3128" w:rsidRPr="009F337B" w:rsidRDefault="007F3128" w:rsidP="00F608A7">
            <w:pPr>
              <w:jc w:val="left"/>
              <w:rPr>
                <w:sz w:val="16"/>
                <w:szCs w:val="16"/>
                <w:lang w:val="en-US"/>
              </w:rPr>
            </w:pPr>
          </w:p>
        </w:tc>
        <w:tc>
          <w:tcPr>
            <w:tcW w:w="567" w:type="dxa"/>
            <w:vAlign w:val="center"/>
          </w:tcPr>
          <w:p w14:paraId="7F19DBEA" w14:textId="77777777" w:rsidR="007F3128" w:rsidRPr="009F337B" w:rsidRDefault="007F3128" w:rsidP="00F608A7">
            <w:pPr>
              <w:jc w:val="left"/>
              <w:rPr>
                <w:sz w:val="16"/>
                <w:szCs w:val="16"/>
                <w:lang w:val="en-US"/>
              </w:rPr>
            </w:pPr>
            <w:r w:rsidRPr="009F337B">
              <w:rPr>
                <w:sz w:val="16"/>
                <w:szCs w:val="16"/>
                <w:lang w:val="en-US"/>
              </w:rPr>
              <w:t>4</w:t>
            </w:r>
          </w:p>
        </w:tc>
        <w:tc>
          <w:tcPr>
            <w:tcW w:w="5211" w:type="dxa"/>
            <w:vAlign w:val="center"/>
          </w:tcPr>
          <w:p w14:paraId="1E16A502" w14:textId="71C386F6" w:rsidR="007F3128" w:rsidRPr="009F337B" w:rsidRDefault="007F3128" w:rsidP="00F608A7">
            <w:pPr>
              <w:tabs>
                <w:tab w:val="left" w:pos="1277"/>
              </w:tabs>
              <w:jc w:val="left"/>
              <w:rPr>
                <w:sz w:val="16"/>
                <w:szCs w:val="16"/>
                <w:lang w:val="en-US"/>
              </w:rPr>
            </w:pPr>
            <w:r w:rsidRPr="009F337B">
              <w:rPr>
                <w:sz w:val="16"/>
                <w:szCs w:val="16"/>
                <w:lang w:val="en-US"/>
              </w:rPr>
              <w:t>Sara Barreno Arrango (</w:t>
            </w:r>
            <w:r w:rsidR="0010522A" w:rsidRPr="009F337B">
              <w:rPr>
                <w:sz w:val="16"/>
                <w:szCs w:val="16"/>
                <w:lang w:val="en-US"/>
              </w:rPr>
              <w:t>Mother</w:t>
            </w:r>
            <w:r w:rsidRPr="009F337B">
              <w:rPr>
                <w:sz w:val="16"/>
                <w:szCs w:val="16"/>
                <w:lang w:val="en-US"/>
              </w:rPr>
              <w:t>)</w:t>
            </w:r>
          </w:p>
        </w:tc>
      </w:tr>
      <w:tr w:rsidR="007F3128" w:rsidRPr="009F337B" w14:paraId="4FD8DA4F" w14:textId="77777777" w:rsidTr="0010522A">
        <w:tc>
          <w:tcPr>
            <w:tcW w:w="560" w:type="dxa"/>
            <w:gridSpan w:val="2"/>
            <w:vMerge/>
            <w:vAlign w:val="center"/>
          </w:tcPr>
          <w:p w14:paraId="51C78E25" w14:textId="77777777" w:rsidR="007F3128" w:rsidRPr="009F337B" w:rsidRDefault="007F3128" w:rsidP="00F608A7">
            <w:pPr>
              <w:jc w:val="left"/>
              <w:rPr>
                <w:sz w:val="16"/>
                <w:szCs w:val="16"/>
                <w:lang w:val="en-US"/>
              </w:rPr>
            </w:pPr>
          </w:p>
        </w:tc>
        <w:tc>
          <w:tcPr>
            <w:tcW w:w="2950" w:type="dxa"/>
            <w:vMerge/>
            <w:vAlign w:val="center"/>
          </w:tcPr>
          <w:p w14:paraId="6FA50385" w14:textId="77777777" w:rsidR="007F3128" w:rsidRPr="009F337B" w:rsidRDefault="007F3128" w:rsidP="00F608A7">
            <w:pPr>
              <w:jc w:val="left"/>
              <w:rPr>
                <w:sz w:val="16"/>
                <w:szCs w:val="16"/>
                <w:lang w:val="en-US"/>
              </w:rPr>
            </w:pPr>
          </w:p>
        </w:tc>
        <w:tc>
          <w:tcPr>
            <w:tcW w:w="567" w:type="dxa"/>
            <w:vAlign w:val="center"/>
          </w:tcPr>
          <w:p w14:paraId="2884FC9B" w14:textId="77777777" w:rsidR="007F3128" w:rsidRPr="009F337B" w:rsidRDefault="007F3128" w:rsidP="00F608A7">
            <w:pPr>
              <w:jc w:val="left"/>
              <w:rPr>
                <w:sz w:val="16"/>
                <w:szCs w:val="16"/>
                <w:lang w:val="en-US"/>
              </w:rPr>
            </w:pPr>
            <w:r w:rsidRPr="009F337B">
              <w:rPr>
                <w:sz w:val="16"/>
                <w:szCs w:val="16"/>
                <w:lang w:val="en-US"/>
              </w:rPr>
              <w:t>5</w:t>
            </w:r>
          </w:p>
        </w:tc>
        <w:tc>
          <w:tcPr>
            <w:tcW w:w="5211" w:type="dxa"/>
            <w:vAlign w:val="center"/>
          </w:tcPr>
          <w:p w14:paraId="10DB8062" w14:textId="365FB6FD" w:rsidR="007F3128" w:rsidRPr="009F337B" w:rsidRDefault="007F3128" w:rsidP="00F608A7">
            <w:pPr>
              <w:tabs>
                <w:tab w:val="left" w:pos="1277"/>
              </w:tabs>
              <w:jc w:val="left"/>
              <w:rPr>
                <w:sz w:val="16"/>
                <w:szCs w:val="16"/>
                <w:lang w:val="en-US"/>
              </w:rPr>
            </w:pPr>
            <w:r w:rsidRPr="009F337B">
              <w:rPr>
                <w:sz w:val="16"/>
                <w:szCs w:val="16"/>
                <w:lang w:val="en-US"/>
              </w:rPr>
              <w:t>Francisco Tavares García (</w:t>
            </w:r>
            <w:r w:rsidR="0010522A" w:rsidRPr="009F337B">
              <w:rPr>
                <w:sz w:val="16"/>
                <w:szCs w:val="16"/>
                <w:lang w:val="en-US"/>
              </w:rPr>
              <w:t>Father</w:t>
            </w:r>
            <w:r w:rsidRPr="009F337B">
              <w:rPr>
                <w:sz w:val="16"/>
                <w:szCs w:val="16"/>
                <w:lang w:val="en-US"/>
              </w:rPr>
              <w:t>)</w:t>
            </w:r>
          </w:p>
        </w:tc>
      </w:tr>
      <w:tr w:rsidR="007F3128" w:rsidRPr="009F337B" w14:paraId="64C44A77" w14:textId="77777777" w:rsidTr="0010522A">
        <w:tc>
          <w:tcPr>
            <w:tcW w:w="560" w:type="dxa"/>
            <w:gridSpan w:val="2"/>
            <w:vMerge/>
            <w:vAlign w:val="center"/>
          </w:tcPr>
          <w:p w14:paraId="4D3BF711" w14:textId="77777777" w:rsidR="007F3128" w:rsidRPr="009F337B" w:rsidRDefault="007F3128" w:rsidP="00F608A7">
            <w:pPr>
              <w:jc w:val="left"/>
              <w:rPr>
                <w:sz w:val="16"/>
                <w:szCs w:val="16"/>
                <w:lang w:val="en-US"/>
              </w:rPr>
            </w:pPr>
          </w:p>
        </w:tc>
        <w:tc>
          <w:tcPr>
            <w:tcW w:w="2950" w:type="dxa"/>
            <w:vMerge/>
            <w:vAlign w:val="center"/>
          </w:tcPr>
          <w:p w14:paraId="1082365F" w14:textId="77777777" w:rsidR="007F3128" w:rsidRPr="009F337B" w:rsidRDefault="007F3128" w:rsidP="00F608A7">
            <w:pPr>
              <w:jc w:val="left"/>
              <w:rPr>
                <w:sz w:val="16"/>
                <w:szCs w:val="16"/>
                <w:lang w:val="en-US"/>
              </w:rPr>
            </w:pPr>
          </w:p>
        </w:tc>
        <w:tc>
          <w:tcPr>
            <w:tcW w:w="567" w:type="dxa"/>
            <w:vAlign w:val="center"/>
          </w:tcPr>
          <w:p w14:paraId="6E6CA344" w14:textId="77777777" w:rsidR="007F3128" w:rsidRPr="009F337B" w:rsidRDefault="007F3128" w:rsidP="00F608A7">
            <w:pPr>
              <w:jc w:val="left"/>
              <w:rPr>
                <w:sz w:val="16"/>
                <w:szCs w:val="16"/>
                <w:lang w:val="en-US"/>
              </w:rPr>
            </w:pPr>
            <w:r w:rsidRPr="009F337B">
              <w:rPr>
                <w:sz w:val="16"/>
                <w:szCs w:val="16"/>
                <w:lang w:val="en-US"/>
              </w:rPr>
              <w:t>6</w:t>
            </w:r>
          </w:p>
        </w:tc>
        <w:tc>
          <w:tcPr>
            <w:tcW w:w="5211" w:type="dxa"/>
            <w:vAlign w:val="center"/>
          </w:tcPr>
          <w:p w14:paraId="58C04FDA" w14:textId="5C437126" w:rsidR="007F3128" w:rsidRPr="00542AB5" w:rsidRDefault="007F3128" w:rsidP="00F608A7">
            <w:pPr>
              <w:tabs>
                <w:tab w:val="left" w:pos="1277"/>
              </w:tabs>
              <w:jc w:val="left"/>
              <w:rPr>
                <w:sz w:val="16"/>
                <w:szCs w:val="16"/>
                <w:lang w:val="es-CR"/>
              </w:rPr>
            </w:pPr>
            <w:r w:rsidRPr="00542AB5">
              <w:rPr>
                <w:sz w:val="16"/>
                <w:szCs w:val="16"/>
                <w:lang w:val="es-CR"/>
              </w:rPr>
              <w:t>Rosaura Tavares de León (</w:t>
            </w:r>
            <w:r w:rsidR="0010522A" w:rsidRPr="00542AB5">
              <w:rPr>
                <w:sz w:val="16"/>
                <w:szCs w:val="16"/>
                <w:lang w:val="es-CR"/>
              </w:rPr>
              <w:t>Sister</w:t>
            </w:r>
            <w:r w:rsidRPr="00542AB5">
              <w:rPr>
                <w:sz w:val="16"/>
                <w:szCs w:val="16"/>
                <w:lang w:val="es-CR"/>
              </w:rPr>
              <w:t>)</w:t>
            </w:r>
          </w:p>
        </w:tc>
      </w:tr>
      <w:tr w:rsidR="007F3128" w:rsidRPr="009F337B" w14:paraId="318CBC53" w14:textId="77777777" w:rsidTr="0010522A">
        <w:tc>
          <w:tcPr>
            <w:tcW w:w="560" w:type="dxa"/>
            <w:gridSpan w:val="2"/>
            <w:vMerge/>
            <w:vAlign w:val="center"/>
          </w:tcPr>
          <w:p w14:paraId="5969A320" w14:textId="77777777" w:rsidR="007F3128" w:rsidRPr="00542AB5" w:rsidRDefault="007F3128" w:rsidP="00F608A7">
            <w:pPr>
              <w:jc w:val="left"/>
              <w:rPr>
                <w:sz w:val="16"/>
                <w:szCs w:val="16"/>
                <w:lang w:val="es-CR"/>
              </w:rPr>
            </w:pPr>
          </w:p>
        </w:tc>
        <w:tc>
          <w:tcPr>
            <w:tcW w:w="2950" w:type="dxa"/>
            <w:vMerge/>
            <w:vAlign w:val="center"/>
          </w:tcPr>
          <w:p w14:paraId="44A3F20B" w14:textId="77777777" w:rsidR="007F3128" w:rsidRPr="00542AB5" w:rsidRDefault="007F3128" w:rsidP="00F608A7">
            <w:pPr>
              <w:jc w:val="left"/>
              <w:rPr>
                <w:sz w:val="16"/>
                <w:szCs w:val="16"/>
                <w:lang w:val="es-CR"/>
              </w:rPr>
            </w:pPr>
          </w:p>
        </w:tc>
        <w:tc>
          <w:tcPr>
            <w:tcW w:w="567" w:type="dxa"/>
            <w:vAlign w:val="center"/>
          </w:tcPr>
          <w:p w14:paraId="60896DA8" w14:textId="77777777" w:rsidR="007F3128" w:rsidRPr="009F337B" w:rsidRDefault="007F3128" w:rsidP="00F608A7">
            <w:pPr>
              <w:jc w:val="left"/>
              <w:rPr>
                <w:sz w:val="16"/>
                <w:szCs w:val="16"/>
                <w:lang w:val="en-US"/>
              </w:rPr>
            </w:pPr>
            <w:r w:rsidRPr="009F337B">
              <w:rPr>
                <w:sz w:val="16"/>
                <w:szCs w:val="16"/>
                <w:lang w:val="en-US"/>
              </w:rPr>
              <w:t>7</w:t>
            </w:r>
          </w:p>
        </w:tc>
        <w:tc>
          <w:tcPr>
            <w:tcW w:w="5211" w:type="dxa"/>
            <w:vAlign w:val="center"/>
          </w:tcPr>
          <w:p w14:paraId="1340A1D2" w14:textId="473934FB" w:rsidR="007F3128" w:rsidRPr="009F337B" w:rsidRDefault="007F3128" w:rsidP="00F608A7">
            <w:pPr>
              <w:tabs>
                <w:tab w:val="left" w:pos="1277"/>
              </w:tabs>
              <w:jc w:val="left"/>
              <w:rPr>
                <w:sz w:val="16"/>
                <w:szCs w:val="16"/>
                <w:lang w:val="en-US"/>
              </w:rPr>
            </w:pPr>
            <w:r w:rsidRPr="009F337B">
              <w:rPr>
                <w:sz w:val="16"/>
                <w:szCs w:val="16"/>
                <w:lang w:val="en-US"/>
              </w:rPr>
              <w:t>Clarisa Eberatriz Rodríguez (</w:t>
            </w:r>
            <w:r w:rsidR="0010522A" w:rsidRPr="009F337B">
              <w:rPr>
                <w:sz w:val="16"/>
                <w:szCs w:val="16"/>
                <w:lang w:val="en-US"/>
              </w:rPr>
              <w:t>Mother-in-law</w:t>
            </w:r>
            <w:r w:rsidRPr="009F337B">
              <w:rPr>
                <w:sz w:val="16"/>
                <w:szCs w:val="16"/>
                <w:lang w:val="en-US"/>
              </w:rPr>
              <w:t>)</w:t>
            </w:r>
          </w:p>
        </w:tc>
      </w:tr>
      <w:tr w:rsidR="007F3128" w:rsidRPr="009F337B" w14:paraId="51FE590A" w14:textId="77777777" w:rsidTr="0010522A">
        <w:tc>
          <w:tcPr>
            <w:tcW w:w="560" w:type="dxa"/>
            <w:gridSpan w:val="2"/>
            <w:vMerge/>
            <w:vAlign w:val="center"/>
          </w:tcPr>
          <w:p w14:paraId="7F21771E" w14:textId="77777777" w:rsidR="007F3128" w:rsidRPr="009F337B" w:rsidRDefault="007F3128" w:rsidP="00F608A7">
            <w:pPr>
              <w:jc w:val="left"/>
              <w:rPr>
                <w:sz w:val="16"/>
                <w:szCs w:val="16"/>
                <w:lang w:val="en-US"/>
              </w:rPr>
            </w:pPr>
          </w:p>
        </w:tc>
        <w:tc>
          <w:tcPr>
            <w:tcW w:w="2950" w:type="dxa"/>
            <w:vMerge/>
            <w:vAlign w:val="center"/>
          </w:tcPr>
          <w:p w14:paraId="41E3B83A" w14:textId="77777777" w:rsidR="007F3128" w:rsidRPr="009F337B" w:rsidRDefault="007F3128" w:rsidP="00F608A7">
            <w:pPr>
              <w:jc w:val="left"/>
              <w:rPr>
                <w:sz w:val="16"/>
                <w:szCs w:val="16"/>
                <w:lang w:val="en-US"/>
              </w:rPr>
            </w:pPr>
          </w:p>
        </w:tc>
        <w:tc>
          <w:tcPr>
            <w:tcW w:w="567" w:type="dxa"/>
            <w:vAlign w:val="center"/>
          </w:tcPr>
          <w:p w14:paraId="581F6C59" w14:textId="77777777" w:rsidR="007F3128" w:rsidRPr="009F337B" w:rsidRDefault="007F3128" w:rsidP="00F608A7">
            <w:pPr>
              <w:jc w:val="left"/>
              <w:rPr>
                <w:sz w:val="16"/>
                <w:szCs w:val="16"/>
                <w:lang w:val="en-US"/>
              </w:rPr>
            </w:pPr>
            <w:r w:rsidRPr="009F337B">
              <w:rPr>
                <w:sz w:val="16"/>
                <w:szCs w:val="16"/>
                <w:lang w:val="en-US"/>
              </w:rPr>
              <w:t>8</w:t>
            </w:r>
          </w:p>
        </w:tc>
        <w:tc>
          <w:tcPr>
            <w:tcW w:w="5211" w:type="dxa"/>
            <w:vAlign w:val="center"/>
          </w:tcPr>
          <w:p w14:paraId="488C8605" w14:textId="00C8B846" w:rsidR="007F3128" w:rsidRPr="00542AB5" w:rsidRDefault="007F3128" w:rsidP="00F608A7">
            <w:pPr>
              <w:tabs>
                <w:tab w:val="left" w:pos="1277"/>
              </w:tabs>
              <w:jc w:val="left"/>
              <w:rPr>
                <w:sz w:val="16"/>
                <w:szCs w:val="16"/>
                <w:lang w:val="es-CR"/>
              </w:rPr>
            </w:pPr>
            <w:r w:rsidRPr="00542AB5">
              <w:rPr>
                <w:sz w:val="16"/>
                <w:szCs w:val="16"/>
                <w:lang w:val="es-CR"/>
              </w:rPr>
              <w:t>Mario Eduardo Tavares de León (</w:t>
            </w:r>
            <w:r w:rsidR="0010522A" w:rsidRPr="00542AB5">
              <w:rPr>
                <w:sz w:val="16"/>
                <w:szCs w:val="16"/>
                <w:lang w:val="es-CR"/>
              </w:rPr>
              <w:t>Brother</w:t>
            </w:r>
            <w:r w:rsidRPr="00542AB5">
              <w:rPr>
                <w:sz w:val="16"/>
                <w:szCs w:val="16"/>
                <w:lang w:val="es-CR"/>
              </w:rPr>
              <w:t>)</w:t>
            </w:r>
          </w:p>
        </w:tc>
      </w:tr>
      <w:tr w:rsidR="007F3128" w:rsidRPr="009F337B" w14:paraId="7B404DD4" w14:textId="77777777" w:rsidTr="0010522A">
        <w:tc>
          <w:tcPr>
            <w:tcW w:w="560" w:type="dxa"/>
            <w:gridSpan w:val="2"/>
            <w:vMerge/>
            <w:vAlign w:val="center"/>
          </w:tcPr>
          <w:p w14:paraId="25AAABB4" w14:textId="77777777" w:rsidR="007F3128" w:rsidRPr="00542AB5" w:rsidRDefault="007F3128" w:rsidP="00F608A7">
            <w:pPr>
              <w:jc w:val="left"/>
              <w:rPr>
                <w:sz w:val="16"/>
                <w:szCs w:val="16"/>
                <w:lang w:val="es-CR"/>
              </w:rPr>
            </w:pPr>
          </w:p>
        </w:tc>
        <w:tc>
          <w:tcPr>
            <w:tcW w:w="2950" w:type="dxa"/>
            <w:vMerge/>
            <w:vAlign w:val="center"/>
          </w:tcPr>
          <w:p w14:paraId="1F89CE6B" w14:textId="77777777" w:rsidR="007F3128" w:rsidRPr="00542AB5" w:rsidRDefault="007F3128" w:rsidP="00F608A7">
            <w:pPr>
              <w:jc w:val="left"/>
              <w:rPr>
                <w:sz w:val="16"/>
                <w:szCs w:val="16"/>
                <w:lang w:val="es-CR"/>
              </w:rPr>
            </w:pPr>
          </w:p>
        </w:tc>
        <w:tc>
          <w:tcPr>
            <w:tcW w:w="567" w:type="dxa"/>
            <w:vAlign w:val="center"/>
          </w:tcPr>
          <w:p w14:paraId="04C090ED" w14:textId="77777777" w:rsidR="007F3128" w:rsidRPr="009F337B" w:rsidRDefault="007F3128" w:rsidP="00F608A7">
            <w:pPr>
              <w:jc w:val="left"/>
              <w:rPr>
                <w:sz w:val="16"/>
                <w:szCs w:val="16"/>
                <w:lang w:val="en-US"/>
              </w:rPr>
            </w:pPr>
            <w:r w:rsidRPr="009F337B">
              <w:rPr>
                <w:sz w:val="16"/>
                <w:szCs w:val="16"/>
                <w:lang w:val="en-US"/>
              </w:rPr>
              <w:t>9</w:t>
            </w:r>
          </w:p>
        </w:tc>
        <w:tc>
          <w:tcPr>
            <w:tcW w:w="5211" w:type="dxa"/>
            <w:vAlign w:val="center"/>
          </w:tcPr>
          <w:p w14:paraId="6A849475" w14:textId="7B4605C4" w:rsidR="007F3128" w:rsidRPr="00542AB5" w:rsidRDefault="007F3128" w:rsidP="00F608A7">
            <w:pPr>
              <w:tabs>
                <w:tab w:val="left" w:pos="1277"/>
              </w:tabs>
              <w:jc w:val="left"/>
              <w:rPr>
                <w:sz w:val="16"/>
                <w:szCs w:val="16"/>
                <w:lang w:val="es-CR"/>
              </w:rPr>
            </w:pPr>
            <w:r w:rsidRPr="00542AB5">
              <w:rPr>
                <w:sz w:val="16"/>
                <w:szCs w:val="16"/>
                <w:lang w:val="es-CR"/>
              </w:rPr>
              <w:t>Jose Francisco Tavares de León (</w:t>
            </w:r>
            <w:r w:rsidR="0010522A" w:rsidRPr="00542AB5">
              <w:rPr>
                <w:sz w:val="16"/>
                <w:szCs w:val="16"/>
                <w:lang w:val="es-CR"/>
              </w:rPr>
              <w:t>Brother</w:t>
            </w:r>
            <w:r w:rsidRPr="00542AB5">
              <w:rPr>
                <w:sz w:val="16"/>
                <w:szCs w:val="16"/>
                <w:lang w:val="es-CR"/>
              </w:rPr>
              <w:t>)</w:t>
            </w:r>
          </w:p>
        </w:tc>
      </w:tr>
      <w:tr w:rsidR="007F3128" w:rsidRPr="009F337B" w14:paraId="77CE8A42" w14:textId="77777777" w:rsidTr="0010522A">
        <w:tc>
          <w:tcPr>
            <w:tcW w:w="560" w:type="dxa"/>
            <w:gridSpan w:val="2"/>
            <w:vMerge w:val="restart"/>
            <w:vAlign w:val="center"/>
          </w:tcPr>
          <w:p w14:paraId="6CF6AB7C" w14:textId="77777777" w:rsidR="007F3128" w:rsidRPr="009F337B" w:rsidRDefault="007F3128" w:rsidP="00F608A7">
            <w:pPr>
              <w:jc w:val="left"/>
              <w:rPr>
                <w:sz w:val="16"/>
                <w:szCs w:val="16"/>
                <w:lang w:val="en-US"/>
              </w:rPr>
            </w:pPr>
            <w:r w:rsidRPr="009F337B">
              <w:rPr>
                <w:sz w:val="16"/>
                <w:szCs w:val="16"/>
                <w:lang w:val="en-US"/>
              </w:rPr>
              <w:t>46</w:t>
            </w:r>
          </w:p>
        </w:tc>
        <w:tc>
          <w:tcPr>
            <w:tcW w:w="2950" w:type="dxa"/>
            <w:vMerge w:val="restart"/>
            <w:vAlign w:val="center"/>
          </w:tcPr>
          <w:p w14:paraId="4E1D9C6C" w14:textId="7984737F" w:rsidR="007F3128" w:rsidRPr="009F337B" w:rsidRDefault="003C5C55" w:rsidP="00F608A7">
            <w:pPr>
              <w:jc w:val="left"/>
              <w:rPr>
                <w:sz w:val="16"/>
                <w:szCs w:val="16"/>
                <w:lang w:val="en-US"/>
              </w:rPr>
            </w:pPr>
            <w:r w:rsidRPr="009F337B">
              <w:rPr>
                <w:sz w:val="16"/>
                <w:szCs w:val="16"/>
                <w:lang w:val="en-US"/>
              </w:rPr>
              <w:t>Miguel Lucas Vaí</w:t>
            </w:r>
            <w:r w:rsidR="007F3128" w:rsidRPr="009F337B">
              <w:rPr>
                <w:sz w:val="16"/>
                <w:szCs w:val="16"/>
                <w:lang w:val="en-US"/>
              </w:rPr>
              <w:t>l</w:t>
            </w:r>
          </w:p>
        </w:tc>
        <w:tc>
          <w:tcPr>
            <w:tcW w:w="567" w:type="dxa"/>
            <w:vAlign w:val="center"/>
          </w:tcPr>
          <w:p w14:paraId="6106B61F" w14:textId="77777777" w:rsidR="007F3128" w:rsidRPr="009F337B" w:rsidRDefault="007F3128" w:rsidP="00F608A7">
            <w:pPr>
              <w:jc w:val="left"/>
              <w:rPr>
                <w:sz w:val="16"/>
                <w:szCs w:val="16"/>
                <w:lang w:val="en-US"/>
              </w:rPr>
            </w:pPr>
            <w:r w:rsidRPr="009F337B">
              <w:rPr>
                <w:sz w:val="16"/>
                <w:szCs w:val="16"/>
                <w:lang w:val="en-US"/>
              </w:rPr>
              <w:t>1</w:t>
            </w:r>
          </w:p>
        </w:tc>
        <w:tc>
          <w:tcPr>
            <w:tcW w:w="5211" w:type="dxa"/>
            <w:vAlign w:val="center"/>
          </w:tcPr>
          <w:p w14:paraId="5985A9C3" w14:textId="78B26728" w:rsidR="007F3128" w:rsidRPr="00542AB5" w:rsidRDefault="007F3128" w:rsidP="00F608A7">
            <w:pPr>
              <w:tabs>
                <w:tab w:val="left" w:pos="1277"/>
              </w:tabs>
              <w:jc w:val="left"/>
              <w:rPr>
                <w:sz w:val="16"/>
                <w:szCs w:val="16"/>
                <w:lang w:val="es-CR"/>
              </w:rPr>
            </w:pPr>
            <w:r w:rsidRPr="00542AB5">
              <w:rPr>
                <w:sz w:val="16"/>
                <w:szCs w:val="16"/>
                <w:lang w:val="es-CR"/>
              </w:rPr>
              <w:t xml:space="preserve">María Dominga Miranda </w:t>
            </w:r>
            <w:r w:rsidR="000E550E" w:rsidRPr="00542AB5">
              <w:rPr>
                <w:sz w:val="16"/>
                <w:szCs w:val="16"/>
                <w:lang w:val="es-CR"/>
              </w:rPr>
              <w:t xml:space="preserve">Bámac </w:t>
            </w:r>
            <w:r w:rsidRPr="00542AB5">
              <w:rPr>
                <w:sz w:val="16"/>
                <w:szCs w:val="16"/>
                <w:lang w:val="es-CR"/>
              </w:rPr>
              <w:t>(</w:t>
            </w:r>
            <w:r w:rsidR="0010522A" w:rsidRPr="00542AB5">
              <w:rPr>
                <w:sz w:val="16"/>
                <w:szCs w:val="16"/>
                <w:lang w:val="es-CR"/>
              </w:rPr>
              <w:t>Wife,</w:t>
            </w:r>
            <w:r w:rsidRPr="00542AB5">
              <w:rPr>
                <w:sz w:val="16"/>
                <w:szCs w:val="16"/>
                <w:lang w:val="es-CR"/>
              </w:rPr>
              <w:t xml:space="preserve"> </w:t>
            </w:r>
            <w:r w:rsidR="0010522A" w:rsidRPr="00542AB5">
              <w:rPr>
                <w:sz w:val="16"/>
                <w:szCs w:val="16"/>
                <w:lang w:val="es-CR"/>
              </w:rPr>
              <w:t>deceased</w:t>
            </w:r>
            <w:r w:rsidRPr="00542AB5">
              <w:rPr>
                <w:sz w:val="16"/>
                <w:szCs w:val="16"/>
                <w:lang w:val="es-CR"/>
              </w:rPr>
              <w:t>)</w:t>
            </w:r>
          </w:p>
        </w:tc>
      </w:tr>
      <w:tr w:rsidR="007F3128" w:rsidRPr="009F337B" w14:paraId="10B959F7" w14:textId="77777777" w:rsidTr="0010522A">
        <w:tc>
          <w:tcPr>
            <w:tcW w:w="560" w:type="dxa"/>
            <w:gridSpan w:val="2"/>
            <w:vMerge/>
            <w:vAlign w:val="center"/>
          </w:tcPr>
          <w:p w14:paraId="499AFFCF" w14:textId="77777777" w:rsidR="007F3128" w:rsidRPr="00542AB5" w:rsidRDefault="007F3128" w:rsidP="00F608A7">
            <w:pPr>
              <w:jc w:val="left"/>
              <w:rPr>
                <w:sz w:val="16"/>
                <w:szCs w:val="16"/>
                <w:lang w:val="es-CR"/>
              </w:rPr>
            </w:pPr>
          </w:p>
        </w:tc>
        <w:tc>
          <w:tcPr>
            <w:tcW w:w="2950" w:type="dxa"/>
            <w:vMerge/>
            <w:vAlign w:val="center"/>
          </w:tcPr>
          <w:p w14:paraId="5A548F60" w14:textId="77777777" w:rsidR="007F3128" w:rsidRPr="00542AB5" w:rsidRDefault="007F3128" w:rsidP="00F608A7">
            <w:pPr>
              <w:jc w:val="left"/>
              <w:rPr>
                <w:sz w:val="16"/>
                <w:szCs w:val="16"/>
                <w:lang w:val="es-CR"/>
              </w:rPr>
            </w:pPr>
          </w:p>
        </w:tc>
        <w:tc>
          <w:tcPr>
            <w:tcW w:w="567" w:type="dxa"/>
            <w:vAlign w:val="center"/>
          </w:tcPr>
          <w:p w14:paraId="790D3448" w14:textId="77777777" w:rsidR="007F3128" w:rsidRPr="009F337B" w:rsidRDefault="007F3128" w:rsidP="00F608A7">
            <w:pPr>
              <w:jc w:val="left"/>
              <w:rPr>
                <w:sz w:val="16"/>
                <w:szCs w:val="16"/>
                <w:lang w:val="en-US"/>
              </w:rPr>
            </w:pPr>
            <w:r w:rsidRPr="009F337B">
              <w:rPr>
                <w:sz w:val="16"/>
                <w:szCs w:val="16"/>
                <w:lang w:val="en-US"/>
              </w:rPr>
              <w:t>2</w:t>
            </w:r>
          </w:p>
        </w:tc>
        <w:tc>
          <w:tcPr>
            <w:tcW w:w="5211" w:type="dxa"/>
            <w:vAlign w:val="center"/>
          </w:tcPr>
          <w:p w14:paraId="0A9BA944" w14:textId="462D9E2E" w:rsidR="007F3128" w:rsidRPr="009F337B" w:rsidRDefault="007F3128" w:rsidP="00F608A7">
            <w:pPr>
              <w:tabs>
                <w:tab w:val="left" w:pos="1277"/>
              </w:tabs>
              <w:jc w:val="left"/>
              <w:rPr>
                <w:sz w:val="16"/>
                <w:szCs w:val="16"/>
                <w:lang w:val="en-US"/>
              </w:rPr>
            </w:pPr>
            <w:r w:rsidRPr="009F337B">
              <w:rPr>
                <w:sz w:val="16"/>
                <w:szCs w:val="16"/>
                <w:lang w:val="en-US"/>
              </w:rPr>
              <w:t>Ramón Lucas Miranda (</w:t>
            </w:r>
            <w:r w:rsidR="0010522A" w:rsidRPr="009F337B">
              <w:rPr>
                <w:sz w:val="16"/>
                <w:szCs w:val="16"/>
                <w:lang w:val="en-US"/>
              </w:rPr>
              <w:t>Son</w:t>
            </w:r>
            <w:r w:rsidRPr="009F337B">
              <w:rPr>
                <w:sz w:val="16"/>
                <w:szCs w:val="16"/>
                <w:lang w:val="en-US"/>
              </w:rPr>
              <w:t>)</w:t>
            </w:r>
          </w:p>
        </w:tc>
      </w:tr>
      <w:tr w:rsidR="007F3128" w:rsidRPr="009F337B" w14:paraId="2F6107A2" w14:textId="77777777" w:rsidTr="0010522A">
        <w:tc>
          <w:tcPr>
            <w:tcW w:w="560" w:type="dxa"/>
            <w:gridSpan w:val="2"/>
            <w:vMerge/>
            <w:vAlign w:val="center"/>
          </w:tcPr>
          <w:p w14:paraId="31BD1E6A" w14:textId="77777777" w:rsidR="007F3128" w:rsidRPr="009F337B" w:rsidRDefault="007F3128" w:rsidP="00F608A7">
            <w:pPr>
              <w:jc w:val="left"/>
              <w:rPr>
                <w:sz w:val="16"/>
                <w:szCs w:val="16"/>
                <w:lang w:val="en-US"/>
              </w:rPr>
            </w:pPr>
          </w:p>
        </w:tc>
        <w:tc>
          <w:tcPr>
            <w:tcW w:w="2950" w:type="dxa"/>
            <w:vMerge/>
            <w:vAlign w:val="center"/>
          </w:tcPr>
          <w:p w14:paraId="3F449F80" w14:textId="77777777" w:rsidR="007F3128" w:rsidRPr="009F337B" w:rsidRDefault="007F3128" w:rsidP="00F608A7">
            <w:pPr>
              <w:jc w:val="left"/>
              <w:rPr>
                <w:sz w:val="16"/>
                <w:szCs w:val="16"/>
                <w:lang w:val="en-US"/>
              </w:rPr>
            </w:pPr>
          </w:p>
        </w:tc>
        <w:tc>
          <w:tcPr>
            <w:tcW w:w="567" w:type="dxa"/>
            <w:vAlign w:val="center"/>
          </w:tcPr>
          <w:p w14:paraId="46A7C6EB" w14:textId="77777777" w:rsidR="007F3128" w:rsidRPr="009F337B" w:rsidRDefault="007F3128" w:rsidP="00F608A7">
            <w:pPr>
              <w:jc w:val="left"/>
              <w:rPr>
                <w:sz w:val="16"/>
                <w:szCs w:val="16"/>
                <w:lang w:val="en-US"/>
              </w:rPr>
            </w:pPr>
            <w:r w:rsidRPr="009F337B">
              <w:rPr>
                <w:sz w:val="16"/>
                <w:szCs w:val="16"/>
                <w:lang w:val="en-US"/>
              </w:rPr>
              <w:t>3</w:t>
            </w:r>
          </w:p>
        </w:tc>
        <w:tc>
          <w:tcPr>
            <w:tcW w:w="5211" w:type="dxa"/>
            <w:vAlign w:val="center"/>
          </w:tcPr>
          <w:p w14:paraId="2D8701E9" w14:textId="0843EF0C" w:rsidR="007F3128" w:rsidRPr="009F337B" w:rsidRDefault="007F3128" w:rsidP="00F608A7">
            <w:pPr>
              <w:jc w:val="left"/>
              <w:rPr>
                <w:sz w:val="16"/>
                <w:szCs w:val="16"/>
                <w:lang w:val="en-US"/>
              </w:rPr>
            </w:pPr>
            <w:r w:rsidRPr="009F337B">
              <w:rPr>
                <w:sz w:val="16"/>
                <w:szCs w:val="16"/>
                <w:lang w:val="en-US"/>
              </w:rPr>
              <w:t>Romeo Lucas Miranda (</w:t>
            </w:r>
            <w:r w:rsidR="0010522A" w:rsidRPr="009F337B">
              <w:rPr>
                <w:sz w:val="16"/>
                <w:szCs w:val="16"/>
                <w:lang w:val="en-US"/>
              </w:rPr>
              <w:t>Son</w:t>
            </w:r>
            <w:r w:rsidRPr="009F337B">
              <w:rPr>
                <w:sz w:val="16"/>
                <w:szCs w:val="16"/>
                <w:lang w:val="en-US"/>
              </w:rPr>
              <w:t>)</w:t>
            </w:r>
          </w:p>
        </w:tc>
      </w:tr>
      <w:tr w:rsidR="007F3128" w:rsidRPr="009F337B" w14:paraId="3B56DA14" w14:textId="77777777" w:rsidTr="0010522A">
        <w:tc>
          <w:tcPr>
            <w:tcW w:w="560" w:type="dxa"/>
            <w:gridSpan w:val="2"/>
            <w:vMerge/>
            <w:vAlign w:val="center"/>
          </w:tcPr>
          <w:p w14:paraId="386EB056" w14:textId="77777777" w:rsidR="007F3128" w:rsidRPr="009F337B" w:rsidRDefault="007F3128" w:rsidP="00F608A7">
            <w:pPr>
              <w:jc w:val="left"/>
              <w:rPr>
                <w:sz w:val="16"/>
                <w:szCs w:val="16"/>
                <w:lang w:val="en-US"/>
              </w:rPr>
            </w:pPr>
          </w:p>
        </w:tc>
        <w:tc>
          <w:tcPr>
            <w:tcW w:w="2950" w:type="dxa"/>
            <w:vMerge/>
            <w:vAlign w:val="center"/>
          </w:tcPr>
          <w:p w14:paraId="096FAEF5" w14:textId="77777777" w:rsidR="007F3128" w:rsidRPr="009F337B" w:rsidRDefault="007F3128" w:rsidP="00F608A7">
            <w:pPr>
              <w:jc w:val="left"/>
              <w:rPr>
                <w:sz w:val="16"/>
                <w:szCs w:val="16"/>
                <w:lang w:val="en-US"/>
              </w:rPr>
            </w:pPr>
          </w:p>
        </w:tc>
        <w:tc>
          <w:tcPr>
            <w:tcW w:w="567" w:type="dxa"/>
            <w:vAlign w:val="center"/>
          </w:tcPr>
          <w:p w14:paraId="1C97AD12" w14:textId="77777777" w:rsidR="007F3128" w:rsidRPr="009F337B" w:rsidRDefault="007F3128" w:rsidP="00F608A7">
            <w:pPr>
              <w:jc w:val="left"/>
              <w:rPr>
                <w:sz w:val="16"/>
                <w:szCs w:val="16"/>
                <w:lang w:val="en-US"/>
              </w:rPr>
            </w:pPr>
            <w:r w:rsidRPr="009F337B">
              <w:rPr>
                <w:sz w:val="16"/>
                <w:szCs w:val="16"/>
                <w:lang w:val="en-US"/>
              </w:rPr>
              <w:t>4</w:t>
            </w:r>
          </w:p>
        </w:tc>
        <w:tc>
          <w:tcPr>
            <w:tcW w:w="5211" w:type="dxa"/>
            <w:vAlign w:val="center"/>
          </w:tcPr>
          <w:p w14:paraId="01D74AA2" w14:textId="0AAD5D95" w:rsidR="007F3128" w:rsidRPr="00542AB5" w:rsidRDefault="007F3128" w:rsidP="00F608A7">
            <w:pPr>
              <w:jc w:val="left"/>
              <w:rPr>
                <w:sz w:val="16"/>
                <w:szCs w:val="16"/>
                <w:lang w:val="es-CR"/>
              </w:rPr>
            </w:pPr>
            <w:r w:rsidRPr="00542AB5">
              <w:rPr>
                <w:sz w:val="16"/>
                <w:szCs w:val="16"/>
                <w:lang w:val="es-CR"/>
              </w:rPr>
              <w:t>Mario Romeo Lucas Miranda (</w:t>
            </w:r>
            <w:r w:rsidR="0010522A" w:rsidRPr="00542AB5">
              <w:rPr>
                <w:sz w:val="16"/>
                <w:szCs w:val="16"/>
                <w:lang w:val="es-CR"/>
              </w:rPr>
              <w:t>Son</w:t>
            </w:r>
            <w:r w:rsidRPr="00542AB5">
              <w:rPr>
                <w:sz w:val="16"/>
                <w:szCs w:val="16"/>
                <w:lang w:val="es-CR"/>
              </w:rPr>
              <w:t>)</w:t>
            </w:r>
          </w:p>
        </w:tc>
      </w:tr>
      <w:tr w:rsidR="007F3128" w:rsidRPr="009F337B" w14:paraId="2433F5D4" w14:textId="77777777" w:rsidTr="0010522A">
        <w:tc>
          <w:tcPr>
            <w:tcW w:w="560" w:type="dxa"/>
            <w:gridSpan w:val="2"/>
            <w:vMerge/>
            <w:vAlign w:val="center"/>
          </w:tcPr>
          <w:p w14:paraId="0DF91813" w14:textId="77777777" w:rsidR="007F3128" w:rsidRPr="00542AB5" w:rsidRDefault="007F3128" w:rsidP="00F608A7">
            <w:pPr>
              <w:jc w:val="left"/>
              <w:rPr>
                <w:sz w:val="16"/>
                <w:szCs w:val="16"/>
                <w:lang w:val="es-CR"/>
              </w:rPr>
            </w:pPr>
          </w:p>
        </w:tc>
        <w:tc>
          <w:tcPr>
            <w:tcW w:w="2950" w:type="dxa"/>
            <w:vMerge/>
            <w:vAlign w:val="center"/>
          </w:tcPr>
          <w:p w14:paraId="281D3D1D" w14:textId="77777777" w:rsidR="007F3128" w:rsidRPr="00542AB5" w:rsidRDefault="007F3128" w:rsidP="00F608A7">
            <w:pPr>
              <w:jc w:val="left"/>
              <w:rPr>
                <w:sz w:val="16"/>
                <w:szCs w:val="16"/>
                <w:lang w:val="es-CR"/>
              </w:rPr>
            </w:pPr>
          </w:p>
        </w:tc>
        <w:tc>
          <w:tcPr>
            <w:tcW w:w="567" w:type="dxa"/>
            <w:vAlign w:val="center"/>
          </w:tcPr>
          <w:p w14:paraId="04BE3B75" w14:textId="77777777" w:rsidR="007F3128" w:rsidRPr="009F337B" w:rsidRDefault="007F3128" w:rsidP="00F608A7">
            <w:pPr>
              <w:jc w:val="left"/>
              <w:rPr>
                <w:sz w:val="16"/>
                <w:szCs w:val="16"/>
                <w:lang w:val="en-US"/>
              </w:rPr>
            </w:pPr>
            <w:r w:rsidRPr="009F337B">
              <w:rPr>
                <w:sz w:val="16"/>
                <w:szCs w:val="16"/>
                <w:lang w:val="en-US"/>
              </w:rPr>
              <w:t>5</w:t>
            </w:r>
          </w:p>
        </w:tc>
        <w:tc>
          <w:tcPr>
            <w:tcW w:w="5211" w:type="dxa"/>
            <w:vAlign w:val="center"/>
          </w:tcPr>
          <w:p w14:paraId="10FBBAA5" w14:textId="6F12E06E" w:rsidR="007F3128" w:rsidRPr="009F337B" w:rsidRDefault="007F3128" w:rsidP="00F608A7">
            <w:pPr>
              <w:jc w:val="left"/>
              <w:rPr>
                <w:sz w:val="16"/>
                <w:szCs w:val="16"/>
                <w:lang w:val="en-US"/>
              </w:rPr>
            </w:pPr>
            <w:r w:rsidRPr="009F337B">
              <w:rPr>
                <w:sz w:val="16"/>
                <w:szCs w:val="16"/>
                <w:lang w:val="en-US"/>
              </w:rPr>
              <w:t>Miguel Lucas Miranda (</w:t>
            </w:r>
            <w:r w:rsidR="0010522A" w:rsidRPr="009F337B">
              <w:rPr>
                <w:sz w:val="16"/>
                <w:szCs w:val="16"/>
                <w:lang w:val="en-US"/>
              </w:rPr>
              <w:t>Son</w:t>
            </w:r>
            <w:r w:rsidRPr="009F337B">
              <w:rPr>
                <w:sz w:val="16"/>
                <w:szCs w:val="16"/>
                <w:lang w:val="en-US"/>
              </w:rPr>
              <w:t>)</w:t>
            </w:r>
          </w:p>
        </w:tc>
      </w:tr>
      <w:tr w:rsidR="007F3128" w:rsidRPr="009F337B" w14:paraId="11F0F4EF" w14:textId="77777777" w:rsidTr="0010522A">
        <w:tc>
          <w:tcPr>
            <w:tcW w:w="560" w:type="dxa"/>
            <w:gridSpan w:val="2"/>
            <w:vMerge/>
            <w:vAlign w:val="center"/>
          </w:tcPr>
          <w:p w14:paraId="786A8E18" w14:textId="77777777" w:rsidR="007F3128" w:rsidRPr="009F337B" w:rsidRDefault="007F3128" w:rsidP="00F608A7">
            <w:pPr>
              <w:jc w:val="left"/>
              <w:rPr>
                <w:sz w:val="16"/>
                <w:szCs w:val="16"/>
                <w:lang w:val="en-US"/>
              </w:rPr>
            </w:pPr>
          </w:p>
        </w:tc>
        <w:tc>
          <w:tcPr>
            <w:tcW w:w="2950" w:type="dxa"/>
            <w:vMerge/>
            <w:vAlign w:val="center"/>
          </w:tcPr>
          <w:p w14:paraId="2ADA24E2" w14:textId="77777777" w:rsidR="007F3128" w:rsidRPr="009F337B" w:rsidRDefault="007F3128" w:rsidP="00F608A7">
            <w:pPr>
              <w:jc w:val="left"/>
              <w:rPr>
                <w:sz w:val="16"/>
                <w:szCs w:val="16"/>
                <w:lang w:val="en-US"/>
              </w:rPr>
            </w:pPr>
          </w:p>
        </w:tc>
        <w:tc>
          <w:tcPr>
            <w:tcW w:w="567" w:type="dxa"/>
            <w:vAlign w:val="center"/>
          </w:tcPr>
          <w:p w14:paraId="0DC5B6D0" w14:textId="77777777" w:rsidR="007F3128" w:rsidRPr="009F337B" w:rsidRDefault="007F3128" w:rsidP="00F608A7">
            <w:pPr>
              <w:jc w:val="left"/>
              <w:rPr>
                <w:sz w:val="16"/>
                <w:szCs w:val="16"/>
                <w:lang w:val="en-US"/>
              </w:rPr>
            </w:pPr>
            <w:r w:rsidRPr="009F337B">
              <w:rPr>
                <w:sz w:val="16"/>
                <w:szCs w:val="16"/>
                <w:lang w:val="en-US"/>
              </w:rPr>
              <w:t>6</w:t>
            </w:r>
          </w:p>
        </w:tc>
        <w:tc>
          <w:tcPr>
            <w:tcW w:w="5211" w:type="dxa"/>
            <w:vAlign w:val="center"/>
          </w:tcPr>
          <w:p w14:paraId="750312B1" w14:textId="17BC59DB" w:rsidR="007F3128" w:rsidRPr="00542AB5" w:rsidRDefault="007F3128" w:rsidP="00F608A7">
            <w:pPr>
              <w:jc w:val="left"/>
              <w:rPr>
                <w:sz w:val="16"/>
                <w:szCs w:val="16"/>
                <w:lang w:val="es-CR"/>
              </w:rPr>
            </w:pPr>
            <w:r w:rsidRPr="00542AB5">
              <w:rPr>
                <w:sz w:val="16"/>
                <w:szCs w:val="16"/>
                <w:lang w:val="es-CR"/>
              </w:rPr>
              <w:t>Silvia Marleny Lucas Miranda (</w:t>
            </w:r>
            <w:r w:rsidR="0010522A" w:rsidRPr="00542AB5">
              <w:rPr>
                <w:sz w:val="16"/>
                <w:szCs w:val="16"/>
                <w:lang w:val="es-CR"/>
              </w:rPr>
              <w:t>Daughter</w:t>
            </w:r>
            <w:r w:rsidRPr="00542AB5">
              <w:rPr>
                <w:sz w:val="16"/>
                <w:szCs w:val="16"/>
                <w:lang w:val="es-CR"/>
              </w:rPr>
              <w:t>)</w:t>
            </w:r>
          </w:p>
        </w:tc>
      </w:tr>
      <w:tr w:rsidR="007F3128" w:rsidRPr="009F337B" w14:paraId="6DF5A23A" w14:textId="77777777" w:rsidTr="0010522A">
        <w:tc>
          <w:tcPr>
            <w:tcW w:w="560" w:type="dxa"/>
            <w:gridSpan w:val="2"/>
            <w:vMerge/>
            <w:vAlign w:val="center"/>
          </w:tcPr>
          <w:p w14:paraId="63F12633" w14:textId="77777777" w:rsidR="007F3128" w:rsidRPr="00542AB5" w:rsidRDefault="007F3128" w:rsidP="00F608A7">
            <w:pPr>
              <w:jc w:val="left"/>
              <w:rPr>
                <w:sz w:val="16"/>
                <w:szCs w:val="16"/>
                <w:lang w:val="es-CR"/>
              </w:rPr>
            </w:pPr>
          </w:p>
        </w:tc>
        <w:tc>
          <w:tcPr>
            <w:tcW w:w="2950" w:type="dxa"/>
            <w:vMerge/>
            <w:vAlign w:val="center"/>
          </w:tcPr>
          <w:p w14:paraId="35536744" w14:textId="77777777" w:rsidR="007F3128" w:rsidRPr="00542AB5" w:rsidRDefault="007F3128" w:rsidP="00F608A7">
            <w:pPr>
              <w:jc w:val="left"/>
              <w:rPr>
                <w:sz w:val="16"/>
                <w:szCs w:val="16"/>
                <w:lang w:val="es-CR"/>
              </w:rPr>
            </w:pPr>
          </w:p>
        </w:tc>
        <w:tc>
          <w:tcPr>
            <w:tcW w:w="567" w:type="dxa"/>
            <w:vAlign w:val="center"/>
          </w:tcPr>
          <w:p w14:paraId="5BAD7564" w14:textId="77777777" w:rsidR="007F3128" w:rsidRPr="009F337B" w:rsidRDefault="007F3128" w:rsidP="00F608A7">
            <w:pPr>
              <w:jc w:val="left"/>
              <w:rPr>
                <w:sz w:val="16"/>
                <w:szCs w:val="16"/>
                <w:lang w:val="en-US"/>
              </w:rPr>
            </w:pPr>
            <w:r w:rsidRPr="009F337B">
              <w:rPr>
                <w:sz w:val="16"/>
                <w:szCs w:val="16"/>
                <w:lang w:val="en-US"/>
              </w:rPr>
              <w:t>7</w:t>
            </w:r>
          </w:p>
        </w:tc>
        <w:tc>
          <w:tcPr>
            <w:tcW w:w="5211" w:type="dxa"/>
            <w:vAlign w:val="center"/>
          </w:tcPr>
          <w:p w14:paraId="287D676E" w14:textId="1B0121F8" w:rsidR="007F3128" w:rsidRPr="009F337B" w:rsidRDefault="00CD1DBA" w:rsidP="00F608A7">
            <w:pPr>
              <w:jc w:val="left"/>
              <w:rPr>
                <w:sz w:val="16"/>
                <w:szCs w:val="16"/>
                <w:lang w:val="en-US"/>
              </w:rPr>
            </w:pPr>
            <w:r w:rsidRPr="009F337B">
              <w:rPr>
                <w:sz w:val="16"/>
                <w:szCs w:val="16"/>
                <w:lang w:val="en-US"/>
              </w:rPr>
              <w:t>Jorge Luis</w:t>
            </w:r>
            <w:r w:rsidR="007F3128" w:rsidRPr="009F337B">
              <w:rPr>
                <w:sz w:val="16"/>
                <w:szCs w:val="16"/>
                <w:lang w:val="en-US"/>
              </w:rPr>
              <w:t xml:space="preserve"> Lucas Miranda (</w:t>
            </w:r>
            <w:r w:rsidR="0010522A" w:rsidRPr="009F337B">
              <w:rPr>
                <w:sz w:val="16"/>
                <w:szCs w:val="16"/>
                <w:lang w:val="en-US"/>
              </w:rPr>
              <w:t>Son</w:t>
            </w:r>
            <w:r w:rsidR="007F3128" w:rsidRPr="009F337B">
              <w:rPr>
                <w:sz w:val="16"/>
                <w:szCs w:val="16"/>
                <w:lang w:val="en-US"/>
              </w:rPr>
              <w:t>)</w:t>
            </w:r>
          </w:p>
        </w:tc>
      </w:tr>
      <w:tr w:rsidR="007F3128" w:rsidRPr="009F337B" w14:paraId="58D15CF6" w14:textId="77777777" w:rsidTr="0010522A">
        <w:tc>
          <w:tcPr>
            <w:tcW w:w="560" w:type="dxa"/>
            <w:gridSpan w:val="2"/>
            <w:vMerge/>
            <w:vAlign w:val="center"/>
          </w:tcPr>
          <w:p w14:paraId="035D7EEA" w14:textId="77777777" w:rsidR="007F3128" w:rsidRPr="009F337B" w:rsidRDefault="007F3128" w:rsidP="00F608A7">
            <w:pPr>
              <w:jc w:val="left"/>
              <w:rPr>
                <w:sz w:val="16"/>
                <w:szCs w:val="16"/>
                <w:lang w:val="en-US"/>
              </w:rPr>
            </w:pPr>
          </w:p>
        </w:tc>
        <w:tc>
          <w:tcPr>
            <w:tcW w:w="2950" w:type="dxa"/>
            <w:vMerge/>
            <w:vAlign w:val="center"/>
          </w:tcPr>
          <w:p w14:paraId="34DA8371" w14:textId="77777777" w:rsidR="007F3128" w:rsidRPr="009F337B" w:rsidRDefault="007F3128" w:rsidP="00F608A7">
            <w:pPr>
              <w:jc w:val="left"/>
              <w:rPr>
                <w:sz w:val="16"/>
                <w:szCs w:val="16"/>
                <w:lang w:val="en-US"/>
              </w:rPr>
            </w:pPr>
          </w:p>
        </w:tc>
        <w:tc>
          <w:tcPr>
            <w:tcW w:w="567" w:type="dxa"/>
            <w:vAlign w:val="center"/>
          </w:tcPr>
          <w:p w14:paraId="3DF154E0" w14:textId="77777777" w:rsidR="007F3128" w:rsidRPr="009F337B" w:rsidRDefault="007F3128" w:rsidP="00F608A7">
            <w:pPr>
              <w:jc w:val="left"/>
              <w:rPr>
                <w:sz w:val="16"/>
                <w:szCs w:val="16"/>
                <w:lang w:val="en-US"/>
              </w:rPr>
            </w:pPr>
            <w:r w:rsidRPr="009F337B">
              <w:rPr>
                <w:sz w:val="16"/>
                <w:szCs w:val="16"/>
                <w:lang w:val="en-US"/>
              </w:rPr>
              <w:t>8</w:t>
            </w:r>
          </w:p>
        </w:tc>
        <w:tc>
          <w:tcPr>
            <w:tcW w:w="5211" w:type="dxa"/>
            <w:vAlign w:val="center"/>
          </w:tcPr>
          <w:p w14:paraId="6E51F282" w14:textId="0DDA675B" w:rsidR="007F3128" w:rsidRPr="009F337B" w:rsidRDefault="00CD1DBA" w:rsidP="00F608A7">
            <w:pPr>
              <w:jc w:val="left"/>
              <w:rPr>
                <w:sz w:val="16"/>
                <w:szCs w:val="16"/>
                <w:lang w:val="en-US"/>
              </w:rPr>
            </w:pPr>
            <w:r w:rsidRPr="009F337B">
              <w:rPr>
                <w:sz w:val="16"/>
                <w:szCs w:val="16"/>
                <w:lang w:val="en-US"/>
              </w:rPr>
              <w:t>Adán</w:t>
            </w:r>
            <w:r w:rsidR="007F3128" w:rsidRPr="009F337B">
              <w:rPr>
                <w:sz w:val="16"/>
                <w:szCs w:val="16"/>
                <w:lang w:val="en-US"/>
              </w:rPr>
              <w:t xml:space="preserve"> Lucas Miranda (</w:t>
            </w:r>
            <w:r w:rsidR="0010522A" w:rsidRPr="009F337B">
              <w:rPr>
                <w:sz w:val="16"/>
                <w:szCs w:val="16"/>
                <w:lang w:val="en-US"/>
              </w:rPr>
              <w:t>Son</w:t>
            </w:r>
            <w:r w:rsidR="007F3128" w:rsidRPr="009F337B">
              <w:rPr>
                <w:sz w:val="16"/>
                <w:szCs w:val="16"/>
                <w:lang w:val="en-US"/>
              </w:rPr>
              <w:t>)</w:t>
            </w:r>
          </w:p>
        </w:tc>
      </w:tr>
      <w:tr w:rsidR="007F3128" w:rsidRPr="009F337B" w14:paraId="47541B6A" w14:textId="77777777" w:rsidTr="0010522A">
        <w:tc>
          <w:tcPr>
            <w:tcW w:w="560" w:type="dxa"/>
            <w:gridSpan w:val="2"/>
            <w:vMerge/>
            <w:vAlign w:val="center"/>
          </w:tcPr>
          <w:p w14:paraId="72E82D3E" w14:textId="77777777" w:rsidR="007F3128" w:rsidRPr="009F337B" w:rsidRDefault="007F3128" w:rsidP="00F608A7">
            <w:pPr>
              <w:jc w:val="left"/>
              <w:rPr>
                <w:sz w:val="16"/>
                <w:szCs w:val="16"/>
                <w:lang w:val="en-US"/>
              </w:rPr>
            </w:pPr>
          </w:p>
        </w:tc>
        <w:tc>
          <w:tcPr>
            <w:tcW w:w="2950" w:type="dxa"/>
            <w:vMerge/>
            <w:vAlign w:val="center"/>
          </w:tcPr>
          <w:p w14:paraId="501CA898" w14:textId="77777777" w:rsidR="007F3128" w:rsidRPr="009F337B" w:rsidRDefault="007F3128" w:rsidP="00F608A7">
            <w:pPr>
              <w:jc w:val="left"/>
              <w:rPr>
                <w:sz w:val="16"/>
                <w:szCs w:val="16"/>
                <w:lang w:val="en-US"/>
              </w:rPr>
            </w:pPr>
          </w:p>
        </w:tc>
        <w:tc>
          <w:tcPr>
            <w:tcW w:w="567" w:type="dxa"/>
            <w:vAlign w:val="center"/>
          </w:tcPr>
          <w:p w14:paraId="767CBFD5" w14:textId="77777777" w:rsidR="007F3128" w:rsidRPr="009F337B" w:rsidRDefault="007F3128" w:rsidP="00F608A7">
            <w:pPr>
              <w:jc w:val="left"/>
              <w:rPr>
                <w:sz w:val="16"/>
                <w:szCs w:val="16"/>
                <w:lang w:val="en-US"/>
              </w:rPr>
            </w:pPr>
            <w:r w:rsidRPr="009F337B">
              <w:rPr>
                <w:sz w:val="16"/>
                <w:szCs w:val="16"/>
                <w:lang w:val="en-US"/>
              </w:rPr>
              <w:t>9</w:t>
            </w:r>
          </w:p>
        </w:tc>
        <w:tc>
          <w:tcPr>
            <w:tcW w:w="5211" w:type="dxa"/>
            <w:vAlign w:val="center"/>
          </w:tcPr>
          <w:p w14:paraId="2AD84ECF" w14:textId="5774AE7B" w:rsidR="007F3128" w:rsidRPr="00542AB5" w:rsidRDefault="007F3128" w:rsidP="00F608A7">
            <w:pPr>
              <w:jc w:val="left"/>
              <w:rPr>
                <w:sz w:val="16"/>
                <w:szCs w:val="16"/>
                <w:lang w:val="es-CR"/>
              </w:rPr>
            </w:pPr>
            <w:r w:rsidRPr="00542AB5">
              <w:rPr>
                <w:sz w:val="16"/>
                <w:szCs w:val="16"/>
                <w:lang w:val="es-CR"/>
              </w:rPr>
              <w:t>Juan Carlos Lucas Miranda (</w:t>
            </w:r>
            <w:r w:rsidR="0010522A" w:rsidRPr="00542AB5">
              <w:rPr>
                <w:sz w:val="16"/>
                <w:szCs w:val="16"/>
                <w:lang w:val="es-CR"/>
              </w:rPr>
              <w:t>Son</w:t>
            </w:r>
            <w:r w:rsidRPr="00542AB5">
              <w:rPr>
                <w:sz w:val="16"/>
                <w:szCs w:val="16"/>
                <w:lang w:val="es-CR"/>
              </w:rPr>
              <w:t>)</w:t>
            </w:r>
          </w:p>
        </w:tc>
      </w:tr>
      <w:tr w:rsidR="007F3128" w:rsidRPr="009F337B" w14:paraId="1D2DB159" w14:textId="77777777" w:rsidTr="0010522A">
        <w:tc>
          <w:tcPr>
            <w:tcW w:w="560" w:type="dxa"/>
            <w:gridSpan w:val="2"/>
            <w:vMerge/>
            <w:vAlign w:val="center"/>
          </w:tcPr>
          <w:p w14:paraId="00AC7E8A" w14:textId="77777777" w:rsidR="007F3128" w:rsidRPr="00542AB5" w:rsidRDefault="007F3128" w:rsidP="00F608A7">
            <w:pPr>
              <w:jc w:val="left"/>
              <w:rPr>
                <w:sz w:val="16"/>
                <w:szCs w:val="16"/>
                <w:lang w:val="es-CR"/>
              </w:rPr>
            </w:pPr>
          </w:p>
        </w:tc>
        <w:tc>
          <w:tcPr>
            <w:tcW w:w="2950" w:type="dxa"/>
            <w:vMerge/>
            <w:vAlign w:val="center"/>
          </w:tcPr>
          <w:p w14:paraId="747F1D1E" w14:textId="77777777" w:rsidR="007F3128" w:rsidRPr="00542AB5" w:rsidRDefault="007F3128" w:rsidP="00F608A7">
            <w:pPr>
              <w:jc w:val="left"/>
              <w:rPr>
                <w:sz w:val="16"/>
                <w:szCs w:val="16"/>
                <w:lang w:val="es-CR"/>
              </w:rPr>
            </w:pPr>
          </w:p>
        </w:tc>
        <w:tc>
          <w:tcPr>
            <w:tcW w:w="567" w:type="dxa"/>
            <w:vAlign w:val="center"/>
          </w:tcPr>
          <w:p w14:paraId="4B8CEF73" w14:textId="77777777" w:rsidR="007F3128" w:rsidRPr="009F337B" w:rsidRDefault="007F3128" w:rsidP="00F608A7">
            <w:pPr>
              <w:jc w:val="left"/>
              <w:rPr>
                <w:sz w:val="16"/>
                <w:szCs w:val="16"/>
                <w:lang w:val="en-US"/>
              </w:rPr>
            </w:pPr>
            <w:r w:rsidRPr="009F337B">
              <w:rPr>
                <w:sz w:val="16"/>
                <w:szCs w:val="16"/>
                <w:lang w:val="en-US"/>
              </w:rPr>
              <w:t>10</w:t>
            </w:r>
          </w:p>
        </w:tc>
        <w:tc>
          <w:tcPr>
            <w:tcW w:w="5211" w:type="dxa"/>
            <w:vAlign w:val="center"/>
          </w:tcPr>
          <w:p w14:paraId="78CAF534" w14:textId="53AD1FC9" w:rsidR="007F3128" w:rsidRPr="00542AB5" w:rsidRDefault="007F3128" w:rsidP="00F608A7">
            <w:pPr>
              <w:jc w:val="left"/>
              <w:rPr>
                <w:sz w:val="16"/>
                <w:szCs w:val="16"/>
                <w:lang w:val="es-CR"/>
              </w:rPr>
            </w:pPr>
            <w:r w:rsidRPr="00542AB5">
              <w:rPr>
                <w:sz w:val="16"/>
                <w:szCs w:val="16"/>
                <w:lang w:val="es-CR"/>
              </w:rPr>
              <w:t>Ana Patricia Lucas Miranda (</w:t>
            </w:r>
            <w:r w:rsidR="0010522A" w:rsidRPr="00542AB5">
              <w:rPr>
                <w:sz w:val="16"/>
                <w:szCs w:val="16"/>
                <w:lang w:val="es-CR"/>
              </w:rPr>
              <w:t>Daughter</w:t>
            </w:r>
            <w:r w:rsidRPr="00542AB5">
              <w:rPr>
                <w:sz w:val="16"/>
                <w:szCs w:val="16"/>
                <w:lang w:val="es-CR"/>
              </w:rPr>
              <w:t>)</w:t>
            </w:r>
          </w:p>
        </w:tc>
      </w:tr>
      <w:tr w:rsidR="007F3128" w:rsidRPr="009F337B" w14:paraId="5C58399F" w14:textId="77777777" w:rsidTr="0010522A">
        <w:tc>
          <w:tcPr>
            <w:tcW w:w="560" w:type="dxa"/>
            <w:gridSpan w:val="2"/>
            <w:vMerge/>
            <w:vAlign w:val="center"/>
          </w:tcPr>
          <w:p w14:paraId="7CF9548E" w14:textId="77777777" w:rsidR="007F3128" w:rsidRPr="00542AB5" w:rsidRDefault="007F3128" w:rsidP="00F608A7">
            <w:pPr>
              <w:jc w:val="left"/>
              <w:rPr>
                <w:sz w:val="16"/>
                <w:szCs w:val="16"/>
                <w:lang w:val="es-CR"/>
              </w:rPr>
            </w:pPr>
          </w:p>
        </w:tc>
        <w:tc>
          <w:tcPr>
            <w:tcW w:w="2950" w:type="dxa"/>
            <w:vMerge/>
            <w:vAlign w:val="center"/>
          </w:tcPr>
          <w:p w14:paraId="042DD8C1" w14:textId="77777777" w:rsidR="007F3128" w:rsidRPr="00542AB5" w:rsidRDefault="007F3128" w:rsidP="00F608A7">
            <w:pPr>
              <w:jc w:val="left"/>
              <w:rPr>
                <w:sz w:val="16"/>
                <w:szCs w:val="16"/>
                <w:lang w:val="es-CR"/>
              </w:rPr>
            </w:pPr>
          </w:p>
        </w:tc>
        <w:tc>
          <w:tcPr>
            <w:tcW w:w="567" w:type="dxa"/>
            <w:vAlign w:val="center"/>
          </w:tcPr>
          <w:p w14:paraId="6DE11FAE" w14:textId="77777777" w:rsidR="007F3128" w:rsidRPr="009F337B" w:rsidRDefault="007F3128" w:rsidP="00F608A7">
            <w:pPr>
              <w:jc w:val="left"/>
              <w:rPr>
                <w:sz w:val="16"/>
                <w:szCs w:val="16"/>
                <w:lang w:val="en-US"/>
              </w:rPr>
            </w:pPr>
            <w:r w:rsidRPr="009F337B">
              <w:rPr>
                <w:sz w:val="16"/>
                <w:szCs w:val="16"/>
                <w:lang w:val="en-US"/>
              </w:rPr>
              <w:t>11</w:t>
            </w:r>
          </w:p>
        </w:tc>
        <w:tc>
          <w:tcPr>
            <w:tcW w:w="5211" w:type="dxa"/>
            <w:vAlign w:val="center"/>
          </w:tcPr>
          <w:p w14:paraId="70893F8F" w14:textId="55792DB3" w:rsidR="007F3128" w:rsidRPr="00542AB5" w:rsidRDefault="007F3128" w:rsidP="00F608A7">
            <w:pPr>
              <w:jc w:val="left"/>
              <w:rPr>
                <w:sz w:val="16"/>
                <w:szCs w:val="16"/>
                <w:lang w:val="es-CR"/>
              </w:rPr>
            </w:pPr>
            <w:r w:rsidRPr="00542AB5">
              <w:rPr>
                <w:sz w:val="16"/>
                <w:szCs w:val="16"/>
                <w:lang w:val="es-CR"/>
              </w:rPr>
              <w:t>María Dominga Lucas Miranda (</w:t>
            </w:r>
            <w:r w:rsidR="0010522A" w:rsidRPr="00542AB5">
              <w:rPr>
                <w:sz w:val="16"/>
                <w:szCs w:val="16"/>
                <w:lang w:val="es-CR"/>
              </w:rPr>
              <w:t>Granddaughter</w:t>
            </w:r>
            <w:r w:rsidRPr="00542AB5">
              <w:rPr>
                <w:sz w:val="16"/>
                <w:szCs w:val="16"/>
                <w:lang w:val="es-CR"/>
              </w:rPr>
              <w:t>)</w:t>
            </w:r>
          </w:p>
        </w:tc>
      </w:tr>
      <w:tr w:rsidR="007F3128" w:rsidRPr="009F337B" w14:paraId="7F6C80DA" w14:textId="77777777" w:rsidTr="0010522A">
        <w:tc>
          <w:tcPr>
            <w:tcW w:w="560" w:type="dxa"/>
            <w:gridSpan w:val="2"/>
            <w:vMerge/>
            <w:vAlign w:val="center"/>
          </w:tcPr>
          <w:p w14:paraId="3FA77F86" w14:textId="77777777" w:rsidR="007F3128" w:rsidRPr="00542AB5" w:rsidRDefault="007F3128" w:rsidP="00F608A7">
            <w:pPr>
              <w:jc w:val="left"/>
              <w:rPr>
                <w:sz w:val="16"/>
                <w:szCs w:val="16"/>
                <w:lang w:val="es-CR"/>
              </w:rPr>
            </w:pPr>
          </w:p>
        </w:tc>
        <w:tc>
          <w:tcPr>
            <w:tcW w:w="2950" w:type="dxa"/>
            <w:vMerge/>
            <w:vAlign w:val="center"/>
          </w:tcPr>
          <w:p w14:paraId="17D40DB3" w14:textId="77777777" w:rsidR="007F3128" w:rsidRPr="00542AB5" w:rsidRDefault="007F3128" w:rsidP="00F608A7">
            <w:pPr>
              <w:jc w:val="left"/>
              <w:rPr>
                <w:sz w:val="16"/>
                <w:szCs w:val="16"/>
                <w:lang w:val="es-CR"/>
              </w:rPr>
            </w:pPr>
          </w:p>
        </w:tc>
        <w:tc>
          <w:tcPr>
            <w:tcW w:w="567" w:type="dxa"/>
            <w:vAlign w:val="center"/>
          </w:tcPr>
          <w:p w14:paraId="3D1E5396" w14:textId="77777777" w:rsidR="007F3128" w:rsidRPr="009F337B" w:rsidRDefault="007F3128" w:rsidP="00F608A7">
            <w:pPr>
              <w:jc w:val="left"/>
              <w:rPr>
                <w:sz w:val="16"/>
                <w:szCs w:val="16"/>
                <w:lang w:val="en-US"/>
              </w:rPr>
            </w:pPr>
            <w:r w:rsidRPr="009F337B">
              <w:rPr>
                <w:sz w:val="16"/>
                <w:szCs w:val="16"/>
                <w:lang w:val="en-US"/>
              </w:rPr>
              <w:t>12</w:t>
            </w:r>
          </w:p>
        </w:tc>
        <w:tc>
          <w:tcPr>
            <w:tcW w:w="5211" w:type="dxa"/>
            <w:vAlign w:val="center"/>
          </w:tcPr>
          <w:p w14:paraId="4F7966E0" w14:textId="035A11DB" w:rsidR="007F3128" w:rsidRPr="009F337B" w:rsidRDefault="007F3128" w:rsidP="00F608A7">
            <w:pPr>
              <w:jc w:val="left"/>
              <w:rPr>
                <w:sz w:val="16"/>
                <w:szCs w:val="16"/>
                <w:lang w:val="en-US"/>
              </w:rPr>
            </w:pPr>
            <w:r w:rsidRPr="009F337B">
              <w:rPr>
                <w:sz w:val="16"/>
                <w:szCs w:val="16"/>
                <w:lang w:val="en-US"/>
              </w:rPr>
              <w:t>Uri Miguel Lucas Miranda (</w:t>
            </w:r>
            <w:r w:rsidR="0010522A" w:rsidRPr="009F337B">
              <w:rPr>
                <w:sz w:val="16"/>
                <w:szCs w:val="16"/>
                <w:lang w:val="en-US"/>
              </w:rPr>
              <w:t>Granddaughter</w:t>
            </w:r>
            <w:r w:rsidRPr="009F337B">
              <w:rPr>
                <w:sz w:val="16"/>
                <w:szCs w:val="16"/>
                <w:lang w:val="en-US"/>
              </w:rPr>
              <w:t>)</w:t>
            </w:r>
          </w:p>
        </w:tc>
      </w:tr>
      <w:tr w:rsidR="007F3128" w:rsidRPr="009F337B" w14:paraId="32A50598" w14:textId="77777777" w:rsidTr="0010522A">
        <w:tc>
          <w:tcPr>
            <w:tcW w:w="560" w:type="dxa"/>
            <w:gridSpan w:val="2"/>
            <w:vMerge w:val="restart"/>
            <w:vAlign w:val="center"/>
          </w:tcPr>
          <w:p w14:paraId="00983777" w14:textId="77777777" w:rsidR="007F3128" w:rsidRPr="009F337B" w:rsidRDefault="007F3128" w:rsidP="00F608A7">
            <w:pPr>
              <w:jc w:val="left"/>
              <w:rPr>
                <w:sz w:val="16"/>
                <w:szCs w:val="16"/>
                <w:lang w:val="en-US"/>
              </w:rPr>
            </w:pPr>
            <w:r w:rsidRPr="009F337B">
              <w:rPr>
                <w:sz w:val="16"/>
                <w:szCs w:val="16"/>
                <w:lang w:val="en-US"/>
              </w:rPr>
              <w:t>47</w:t>
            </w:r>
          </w:p>
        </w:tc>
        <w:tc>
          <w:tcPr>
            <w:tcW w:w="2950" w:type="dxa"/>
            <w:vMerge w:val="restart"/>
            <w:vAlign w:val="center"/>
          </w:tcPr>
          <w:p w14:paraId="6A9484E7" w14:textId="694FBC4E" w:rsidR="007F3128" w:rsidRPr="009F337B" w:rsidRDefault="007F3128" w:rsidP="00F608A7">
            <w:pPr>
              <w:jc w:val="left"/>
              <w:rPr>
                <w:sz w:val="16"/>
                <w:szCs w:val="16"/>
                <w:lang w:val="en-US"/>
              </w:rPr>
            </w:pPr>
            <w:r w:rsidRPr="009F337B">
              <w:rPr>
                <w:sz w:val="16"/>
                <w:szCs w:val="16"/>
                <w:lang w:val="en-US"/>
              </w:rPr>
              <w:t>Santos Vásquez Oliveros</w:t>
            </w:r>
          </w:p>
        </w:tc>
        <w:tc>
          <w:tcPr>
            <w:tcW w:w="567" w:type="dxa"/>
            <w:vAlign w:val="center"/>
          </w:tcPr>
          <w:p w14:paraId="5EBB865B" w14:textId="77777777" w:rsidR="007F3128" w:rsidRPr="009F337B" w:rsidRDefault="007F3128" w:rsidP="00F608A7">
            <w:pPr>
              <w:jc w:val="left"/>
              <w:rPr>
                <w:sz w:val="16"/>
                <w:szCs w:val="16"/>
                <w:lang w:val="en-US"/>
              </w:rPr>
            </w:pPr>
            <w:r w:rsidRPr="009F337B">
              <w:rPr>
                <w:sz w:val="16"/>
                <w:szCs w:val="16"/>
                <w:lang w:val="en-US"/>
              </w:rPr>
              <w:t>1</w:t>
            </w:r>
          </w:p>
        </w:tc>
        <w:tc>
          <w:tcPr>
            <w:tcW w:w="5211" w:type="dxa"/>
            <w:vAlign w:val="center"/>
          </w:tcPr>
          <w:p w14:paraId="5B1E40B3" w14:textId="23247198" w:rsidR="007F3128" w:rsidRPr="009F337B" w:rsidRDefault="007F3128" w:rsidP="00F608A7">
            <w:pPr>
              <w:jc w:val="left"/>
              <w:rPr>
                <w:sz w:val="16"/>
                <w:szCs w:val="16"/>
                <w:lang w:val="en-US"/>
              </w:rPr>
            </w:pPr>
            <w:r w:rsidRPr="009F337B">
              <w:rPr>
                <w:sz w:val="16"/>
                <w:szCs w:val="16"/>
                <w:lang w:val="en-US"/>
              </w:rPr>
              <w:t>María Elena Moreno (</w:t>
            </w:r>
            <w:r w:rsidR="0010522A" w:rsidRPr="009F337B">
              <w:rPr>
                <w:sz w:val="16"/>
                <w:szCs w:val="16"/>
                <w:lang w:val="en-US"/>
              </w:rPr>
              <w:t>Wife</w:t>
            </w:r>
            <w:r w:rsidRPr="009F337B">
              <w:rPr>
                <w:sz w:val="16"/>
                <w:szCs w:val="16"/>
                <w:lang w:val="en-US"/>
              </w:rPr>
              <w:t>)</w:t>
            </w:r>
          </w:p>
        </w:tc>
      </w:tr>
      <w:tr w:rsidR="007F3128" w:rsidRPr="009F337B" w14:paraId="7CFAEF8A" w14:textId="77777777" w:rsidTr="0010522A">
        <w:tc>
          <w:tcPr>
            <w:tcW w:w="560" w:type="dxa"/>
            <w:gridSpan w:val="2"/>
            <w:vMerge/>
            <w:vAlign w:val="center"/>
          </w:tcPr>
          <w:p w14:paraId="7FD467A4" w14:textId="77777777" w:rsidR="007F3128" w:rsidRPr="009F337B" w:rsidRDefault="007F3128" w:rsidP="00F608A7">
            <w:pPr>
              <w:jc w:val="left"/>
              <w:rPr>
                <w:sz w:val="16"/>
                <w:szCs w:val="16"/>
                <w:lang w:val="en-US"/>
              </w:rPr>
            </w:pPr>
          </w:p>
        </w:tc>
        <w:tc>
          <w:tcPr>
            <w:tcW w:w="2950" w:type="dxa"/>
            <w:vMerge/>
            <w:vAlign w:val="center"/>
          </w:tcPr>
          <w:p w14:paraId="1298ED1A" w14:textId="77777777" w:rsidR="007F3128" w:rsidRPr="009F337B" w:rsidRDefault="007F3128" w:rsidP="00F608A7">
            <w:pPr>
              <w:jc w:val="left"/>
              <w:rPr>
                <w:sz w:val="16"/>
                <w:szCs w:val="16"/>
                <w:lang w:val="en-US"/>
              </w:rPr>
            </w:pPr>
          </w:p>
        </w:tc>
        <w:tc>
          <w:tcPr>
            <w:tcW w:w="567" w:type="dxa"/>
            <w:vAlign w:val="center"/>
          </w:tcPr>
          <w:p w14:paraId="0FCCAEED" w14:textId="77777777" w:rsidR="007F3128" w:rsidRPr="009F337B" w:rsidRDefault="007F3128" w:rsidP="00F608A7">
            <w:pPr>
              <w:jc w:val="left"/>
              <w:rPr>
                <w:sz w:val="16"/>
                <w:szCs w:val="16"/>
                <w:lang w:val="en-US"/>
              </w:rPr>
            </w:pPr>
            <w:r w:rsidRPr="009F337B">
              <w:rPr>
                <w:sz w:val="16"/>
                <w:szCs w:val="16"/>
                <w:lang w:val="en-US"/>
              </w:rPr>
              <w:t>2</w:t>
            </w:r>
          </w:p>
        </w:tc>
        <w:tc>
          <w:tcPr>
            <w:tcW w:w="5211" w:type="dxa"/>
            <w:vAlign w:val="center"/>
          </w:tcPr>
          <w:p w14:paraId="3A5F8194" w14:textId="006FA152" w:rsidR="007F3128" w:rsidRPr="00542AB5" w:rsidRDefault="007F3128" w:rsidP="00F608A7">
            <w:pPr>
              <w:jc w:val="left"/>
              <w:rPr>
                <w:sz w:val="16"/>
                <w:szCs w:val="16"/>
                <w:lang w:val="es-CR"/>
              </w:rPr>
            </w:pPr>
            <w:r w:rsidRPr="00542AB5">
              <w:rPr>
                <w:sz w:val="16"/>
                <w:szCs w:val="16"/>
                <w:lang w:val="es-CR"/>
              </w:rPr>
              <w:t>Viviana Mercedes Vásquez Moreno (</w:t>
            </w:r>
            <w:r w:rsidR="0010522A" w:rsidRPr="00542AB5">
              <w:rPr>
                <w:sz w:val="16"/>
                <w:szCs w:val="16"/>
                <w:lang w:val="es-CR"/>
              </w:rPr>
              <w:t>Daughter</w:t>
            </w:r>
            <w:r w:rsidRPr="00542AB5">
              <w:rPr>
                <w:sz w:val="16"/>
                <w:szCs w:val="16"/>
                <w:lang w:val="es-CR"/>
              </w:rPr>
              <w:t>)</w:t>
            </w:r>
          </w:p>
        </w:tc>
      </w:tr>
      <w:tr w:rsidR="007F3128" w:rsidRPr="009F337B" w14:paraId="582F94D7" w14:textId="77777777" w:rsidTr="0010522A">
        <w:tc>
          <w:tcPr>
            <w:tcW w:w="560" w:type="dxa"/>
            <w:gridSpan w:val="2"/>
            <w:vMerge/>
            <w:vAlign w:val="center"/>
          </w:tcPr>
          <w:p w14:paraId="41C48D19" w14:textId="77777777" w:rsidR="007F3128" w:rsidRPr="00542AB5" w:rsidRDefault="007F3128" w:rsidP="00F608A7">
            <w:pPr>
              <w:jc w:val="left"/>
              <w:rPr>
                <w:sz w:val="16"/>
                <w:szCs w:val="16"/>
                <w:lang w:val="es-CR"/>
              </w:rPr>
            </w:pPr>
          </w:p>
        </w:tc>
        <w:tc>
          <w:tcPr>
            <w:tcW w:w="2950" w:type="dxa"/>
            <w:vMerge/>
            <w:vAlign w:val="center"/>
          </w:tcPr>
          <w:p w14:paraId="2C65DD9D" w14:textId="77777777" w:rsidR="007F3128" w:rsidRPr="00542AB5" w:rsidRDefault="007F3128" w:rsidP="00F608A7">
            <w:pPr>
              <w:jc w:val="left"/>
              <w:rPr>
                <w:sz w:val="16"/>
                <w:szCs w:val="16"/>
                <w:lang w:val="es-CR"/>
              </w:rPr>
            </w:pPr>
          </w:p>
        </w:tc>
        <w:tc>
          <w:tcPr>
            <w:tcW w:w="567" w:type="dxa"/>
            <w:vAlign w:val="center"/>
          </w:tcPr>
          <w:p w14:paraId="5AF3883B" w14:textId="77777777" w:rsidR="007F3128" w:rsidRPr="009F337B" w:rsidRDefault="007F3128" w:rsidP="00F608A7">
            <w:pPr>
              <w:jc w:val="left"/>
              <w:rPr>
                <w:sz w:val="16"/>
                <w:szCs w:val="16"/>
                <w:lang w:val="en-US"/>
              </w:rPr>
            </w:pPr>
            <w:r w:rsidRPr="009F337B">
              <w:rPr>
                <w:sz w:val="16"/>
                <w:szCs w:val="16"/>
                <w:lang w:val="en-US"/>
              </w:rPr>
              <w:t>3</w:t>
            </w:r>
          </w:p>
        </w:tc>
        <w:tc>
          <w:tcPr>
            <w:tcW w:w="5211" w:type="dxa"/>
            <w:vAlign w:val="center"/>
          </w:tcPr>
          <w:p w14:paraId="4BBE221D" w14:textId="073BAB66" w:rsidR="007F3128" w:rsidRPr="00542AB5" w:rsidRDefault="007F3128" w:rsidP="00F608A7">
            <w:pPr>
              <w:jc w:val="left"/>
              <w:rPr>
                <w:sz w:val="16"/>
                <w:szCs w:val="16"/>
                <w:lang w:val="es-CR"/>
              </w:rPr>
            </w:pPr>
            <w:r w:rsidRPr="00542AB5">
              <w:rPr>
                <w:sz w:val="16"/>
                <w:szCs w:val="16"/>
                <w:lang w:val="es-CR"/>
              </w:rPr>
              <w:t>María Elena Vásquez Moreno (</w:t>
            </w:r>
            <w:r w:rsidR="0010522A" w:rsidRPr="00542AB5">
              <w:rPr>
                <w:sz w:val="16"/>
                <w:szCs w:val="16"/>
                <w:lang w:val="es-CR"/>
              </w:rPr>
              <w:t>Daughter</w:t>
            </w:r>
            <w:r w:rsidRPr="00542AB5">
              <w:rPr>
                <w:sz w:val="16"/>
                <w:szCs w:val="16"/>
                <w:lang w:val="es-CR"/>
              </w:rPr>
              <w:t>)</w:t>
            </w:r>
          </w:p>
        </w:tc>
      </w:tr>
      <w:tr w:rsidR="007F3128" w:rsidRPr="009F337B" w14:paraId="2ADDD22E" w14:textId="77777777" w:rsidTr="0010522A">
        <w:tc>
          <w:tcPr>
            <w:tcW w:w="560" w:type="dxa"/>
            <w:gridSpan w:val="2"/>
            <w:vMerge/>
            <w:vAlign w:val="center"/>
          </w:tcPr>
          <w:p w14:paraId="346DE1EF" w14:textId="77777777" w:rsidR="007F3128" w:rsidRPr="00542AB5" w:rsidRDefault="007F3128" w:rsidP="00F608A7">
            <w:pPr>
              <w:jc w:val="left"/>
              <w:rPr>
                <w:sz w:val="16"/>
                <w:szCs w:val="16"/>
                <w:lang w:val="es-CR"/>
              </w:rPr>
            </w:pPr>
          </w:p>
        </w:tc>
        <w:tc>
          <w:tcPr>
            <w:tcW w:w="2950" w:type="dxa"/>
            <w:vMerge/>
            <w:vAlign w:val="center"/>
          </w:tcPr>
          <w:p w14:paraId="768161E4" w14:textId="77777777" w:rsidR="007F3128" w:rsidRPr="00542AB5" w:rsidRDefault="007F3128" w:rsidP="00F608A7">
            <w:pPr>
              <w:jc w:val="left"/>
              <w:rPr>
                <w:sz w:val="16"/>
                <w:szCs w:val="16"/>
                <w:lang w:val="es-CR"/>
              </w:rPr>
            </w:pPr>
          </w:p>
        </w:tc>
        <w:tc>
          <w:tcPr>
            <w:tcW w:w="567" w:type="dxa"/>
            <w:vAlign w:val="center"/>
          </w:tcPr>
          <w:p w14:paraId="5C956063" w14:textId="77777777" w:rsidR="007F3128" w:rsidRPr="009F337B" w:rsidRDefault="007F3128" w:rsidP="00F608A7">
            <w:pPr>
              <w:jc w:val="left"/>
              <w:rPr>
                <w:sz w:val="16"/>
                <w:szCs w:val="16"/>
                <w:lang w:val="en-US"/>
              </w:rPr>
            </w:pPr>
            <w:r w:rsidRPr="009F337B">
              <w:rPr>
                <w:sz w:val="16"/>
                <w:szCs w:val="16"/>
                <w:lang w:val="en-US"/>
              </w:rPr>
              <w:t>4</w:t>
            </w:r>
          </w:p>
        </w:tc>
        <w:tc>
          <w:tcPr>
            <w:tcW w:w="5211" w:type="dxa"/>
            <w:vAlign w:val="center"/>
          </w:tcPr>
          <w:p w14:paraId="699F99D8" w14:textId="279DB09E" w:rsidR="007F3128" w:rsidRPr="009F337B" w:rsidRDefault="007F3128" w:rsidP="00F608A7">
            <w:pPr>
              <w:jc w:val="left"/>
              <w:rPr>
                <w:sz w:val="16"/>
                <w:szCs w:val="16"/>
                <w:lang w:val="en-US"/>
              </w:rPr>
            </w:pPr>
            <w:r w:rsidRPr="009F337B">
              <w:rPr>
                <w:sz w:val="16"/>
                <w:szCs w:val="16"/>
                <w:lang w:val="en-US"/>
              </w:rPr>
              <w:t>Rafael Vásquez Gómez (</w:t>
            </w:r>
            <w:r w:rsidR="0010522A" w:rsidRPr="009F337B">
              <w:rPr>
                <w:sz w:val="16"/>
                <w:szCs w:val="16"/>
                <w:lang w:val="en-US"/>
              </w:rPr>
              <w:t>Father</w:t>
            </w:r>
            <w:r w:rsidRPr="009F337B">
              <w:rPr>
                <w:sz w:val="16"/>
                <w:szCs w:val="16"/>
                <w:lang w:val="en-US"/>
              </w:rPr>
              <w:t>)</w:t>
            </w:r>
          </w:p>
        </w:tc>
      </w:tr>
      <w:tr w:rsidR="007F3128" w:rsidRPr="009F337B" w14:paraId="6C24E7EE" w14:textId="77777777" w:rsidTr="0010522A">
        <w:tc>
          <w:tcPr>
            <w:tcW w:w="560" w:type="dxa"/>
            <w:gridSpan w:val="2"/>
            <w:vMerge/>
            <w:vAlign w:val="center"/>
          </w:tcPr>
          <w:p w14:paraId="1AD4F8F8" w14:textId="77777777" w:rsidR="007F3128" w:rsidRPr="009F337B" w:rsidRDefault="007F3128" w:rsidP="00F608A7">
            <w:pPr>
              <w:jc w:val="left"/>
              <w:rPr>
                <w:sz w:val="16"/>
                <w:szCs w:val="16"/>
                <w:lang w:val="en-US"/>
              </w:rPr>
            </w:pPr>
          </w:p>
        </w:tc>
        <w:tc>
          <w:tcPr>
            <w:tcW w:w="2950" w:type="dxa"/>
            <w:vMerge/>
            <w:vAlign w:val="center"/>
          </w:tcPr>
          <w:p w14:paraId="775FF5CB" w14:textId="77777777" w:rsidR="007F3128" w:rsidRPr="009F337B" w:rsidRDefault="007F3128" w:rsidP="00F608A7">
            <w:pPr>
              <w:jc w:val="left"/>
              <w:rPr>
                <w:sz w:val="16"/>
                <w:szCs w:val="16"/>
                <w:lang w:val="en-US"/>
              </w:rPr>
            </w:pPr>
          </w:p>
        </w:tc>
        <w:tc>
          <w:tcPr>
            <w:tcW w:w="567" w:type="dxa"/>
            <w:vAlign w:val="center"/>
          </w:tcPr>
          <w:p w14:paraId="37655353" w14:textId="77777777" w:rsidR="007F3128" w:rsidRPr="009F337B" w:rsidRDefault="007F3128" w:rsidP="00F608A7">
            <w:pPr>
              <w:jc w:val="left"/>
              <w:rPr>
                <w:sz w:val="16"/>
                <w:szCs w:val="16"/>
                <w:lang w:val="en-US"/>
              </w:rPr>
            </w:pPr>
            <w:r w:rsidRPr="009F337B">
              <w:rPr>
                <w:sz w:val="16"/>
                <w:szCs w:val="16"/>
                <w:lang w:val="en-US"/>
              </w:rPr>
              <w:t>5</w:t>
            </w:r>
          </w:p>
        </w:tc>
        <w:tc>
          <w:tcPr>
            <w:tcW w:w="5211" w:type="dxa"/>
            <w:vAlign w:val="center"/>
          </w:tcPr>
          <w:p w14:paraId="453A6441" w14:textId="08EAB884" w:rsidR="007F3128" w:rsidRPr="00542AB5" w:rsidRDefault="007F3128" w:rsidP="00F608A7">
            <w:pPr>
              <w:jc w:val="left"/>
              <w:rPr>
                <w:sz w:val="16"/>
                <w:szCs w:val="16"/>
                <w:lang w:val="es-CR"/>
              </w:rPr>
            </w:pPr>
            <w:r w:rsidRPr="00542AB5">
              <w:rPr>
                <w:sz w:val="16"/>
                <w:szCs w:val="16"/>
                <w:lang w:val="es-CR"/>
              </w:rPr>
              <w:t>Francisca Oliveros de Vásquez (</w:t>
            </w:r>
            <w:r w:rsidR="0010522A" w:rsidRPr="00542AB5">
              <w:rPr>
                <w:sz w:val="16"/>
                <w:szCs w:val="16"/>
                <w:lang w:val="es-CR"/>
              </w:rPr>
              <w:t>Mother</w:t>
            </w:r>
            <w:r w:rsidRPr="00542AB5">
              <w:rPr>
                <w:sz w:val="16"/>
                <w:szCs w:val="16"/>
                <w:lang w:val="es-CR"/>
              </w:rPr>
              <w:t>)</w:t>
            </w:r>
          </w:p>
        </w:tc>
      </w:tr>
      <w:tr w:rsidR="007F3128" w:rsidRPr="009F337B" w14:paraId="4DD126FF" w14:textId="77777777" w:rsidTr="0010522A">
        <w:tc>
          <w:tcPr>
            <w:tcW w:w="560" w:type="dxa"/>
            <w:gridSpan w:val="2"/>
            <w:vMerge/>
            <w:vAlign w:val="center"/>
          </w:tcPr>
          <w:p w14:paraId="5EE278E4" w14:textId="77777777" w:rsidR="007F3128" w:rsidRPr="00542AB5" w:rsidRDefault="007F3128" w:rsidP="00F608A7">
            <w:pPr>
              <w:jc w:val="left"/>
              <w:rPr>
                <w:sz w:val="16"/>
                <w:szCs w:val="16"/>
                <w:lang w:val="es-CR"/>
              </w:rPr>
            </w:pPr>
          </w:p>
        </w:tc>
        <w:tc>
          <w:tcPr>
            <w:tcW w:w="2950" w:type="dxa"/>
            <w:vMerge/>
            <w:vAlign w:val="center"/>
          </w:tcPr>
          <w:p w14:paraId="31449E2B" w14:textId="77777777" w:rsidR="007F3128" w:rsidRPr="00542AB5" w:rsidRDefault="007F3128" w:rsidP="00F608A7">
            <w:pPr>
              <w:jc w:val="left"/>
              <w:rPr>
                <w:sz w:val="16"/>
                <w:szCs w:val="16"/>
                <w:lang w:val="es-CR"/>
              </w:rPr>
            </w:pPr>
          </w:p>
        </w:tc>
        <w:tc>
          <w:tcPr>
            <w:tcW w:w="567" w:type="dxa"/>
            <w:vAlign w:val="center"/>
          </w:tcPr>
          <w:p w14:paraId="30749B35" w14:textId="77777777" w:rsidR="007F3128" w:rsidRPr="009F337B" w:rsidRDefault="007F3128" w:rsidP="00F608A7">
            <w:pPr>
              <w:jc w:val="left"/>
              <w:rPr>
                <w:sz w:val="16"/>
                <w:szCs w:val="16"/>
                <w:lang w:val="en-US"/>
              </w:rPr>
            </w:pPr>
            <w:r w:rsidRPr="009F337B">
              <w:rPr>
                <w:sz w:val="16"/>
                <w:szCs w:val="16"/>
                <w:lang w:val="en-US"/>
              </w:rPr>
              <w:t>6</w:t>
            </w:r>
          </w:p>
        </w:tc>
        <w:tc>
          <w:tcPr>
            <w:tcW w:w="5211" w:type="dxa"/>
            <w:vAlign w:val="center"/>
          </w:tcPr>
          <w:p w14:paraId="047313F4" w14:textId="169CB6DE" w:rsidR="007F3128" w:rsidRPr="009F337B" w:rsidRDefault="007F3128" w:rsidP="00F608A7">
            <w:pPr>
              <w:tabs>
                <w:tab w:val="left" w:pos="1002"/>
              </w:tabs>
              <w:jc w:val="left"/>
              <w:rPr>
                <w:sz w:val="16"/>
                <w:szCs w:val="16"/>
                <w:lang w:val="en-US"/>
              </w:rPr>
            </w:pPr>
            <w:r w:rsidRPr="009F337B">
              <w:rPr>
                <w:sz w:val="16"/>
                <w:szCs w:val="16"/>
                <w:lang w:val="en-US"/>
              </w:rPr>
              <w:t>Josefina Izabel Miranda (</w:t>
            </w:r>
            <w:r w:rsidR="0010522A" w:rsidRPr="009F337B">
              <w:rPr>
                <w:sz w:val="16"/>
                <w:szCs w:val="16"/>
                <w:lang w:val="en-US"/>
              </w:rPr>
              <w:t>Mother-in-law</w:t>
            </w:r>
            <w:r w:rsidRPr="009F337B">
              <w:rPr>
                <w:sz w:val="16"/>
                <w:szCs w:val="16"/>
                <w:lang w:val="en-US"/>
              </w:rPr>
              <w:t>)</w:t>
            </w:r>
          </w:p>
        </w:tc>
      </w:tr>
      <w:tr w:rsidR="007F3128" w:rsidRPr="00310E7A" w14:paraId="621967CB" w14:textId="77777777" w:rsidTr="0010522A">
        <w:tc>
          <w:tcPr>
            <w:tcW w:w="560" w:type="dxa"/>
            <w:gridSpan w:val="2"/>
            <w:vMerge w:val="restart"/>
            <w:vAlign w:val="center"/>
          </w:tcPr>
          <w:p w14:paraId="6BD1D6AE" w14:textId="77777777" w:rsidR="007F3128" w:rsidRPr="009F337B" w:rsidRDefault="007F3128" w:rsidP="00F608A7">
            <w:pPr>
              <w:jc w:val="left"/>
              <w:rPr>
                <w:sz w:val="16"/>
                <w:szCs w:val="16"/>
                <w:lang w:val="en-US"/>
              </w:rPr>
            </w:pPr>
            <w:r w:rsidRPr="009F337B">
              <w:rPr>
                <w:sz w:val="16"/>
                <w:szCs w:val="16"/>
                <w:lang w:val="en-US"/>
              </w:rPr>
              <w:t>48</w:t>
            </w:r>
          </w:p>
        </w:tc>
        <w:tc>
          <w:tcPr>
            <w:tcW w:w="2950" w:type="dxa"/>
            <w:vMerge w:val="restart"/>
            <w:vAlign w:val="center"/>
          </w:tcPr>
          <w:p w14:paraId="6C25CD71" w14:textId="2C197824" w:rsidR="007F3128" w:rsidRPr="009F337B" w:rsidRDefault="007F3128" w:rsidP="00F608A7">
            <w:pPr>
              <w:jc w:val="left"/>
              <w:rPr>
                <w:sz w:val="16"/>
                <w:szCs w:val="16"/>
                <w:lang w:val="en-US"/>
              </w:rPr>
            </w:pPr>
            <w:r w:rsidRPr="009F337B">
              <w:rPr>
                <w:sz w:val="16"/>
                <w:szCs w:val="16"/>
                <w:lang w:val="en-US"/>
              </w:rPr>
              <w:t xml:space="preserve">Iris </w:t>
            </w:r>
            <w:r w:rsidR="00F608A7" w:rsidRPr="009F337B">
              <w:rPr>
                <w:sz w:val="16"/>
                <w:szCs w:val="16"/>
                <w:lang w:val="en-US"/>
              </w:rPr>
              <w:t>Carolina Vicente Baullas</w:t>
            </w:r>
          </w:p>
        </w:tc>
        <w:tc>
          <w:tcPr>
            <w:tcW w:w="567" w:type="dxa"/>
            <w:vAlign w:val="center"/>
          </w:tcPr>
          <w:p w14:paraId="0147480A" w14:textId="77777777" w:rsidR="007F3128" w:rsidRPr="009F337B" w:rsidRDefault="007F3128" w:rsidP="00F608A7">
            <w:pPr>
              <w:jc w:val="left"/>
              <w:rPr>
                <w:sz w:val="16"/>
                <w:szCs w:val="16"/>
                <w:lang w:val="en-US"/>
              </w:rPr>
            </w:pPr>
            <w:r w:rsidRPr="009F337B">
              <w:rPr>
                <w:sz w:val="16"/>
                <w:szCs w:val="16"/>
                <w:lang w:val="en-US"/>
              </w:rPr>
              <w:t>1</w:t>
            </w:r>
          </w:p>
        </w:tc>
        <w:tc>
          <w:tcPr>
            <w:tcW w:w="5211" w:type="dxa"/>
            <w:vAlign w:val="center"/>
          </w:tcPr>
          <w:p w14:paraId="26A34EF9" w14:textId="3A12D9EE" w:rsidR="007F3128" w:rsidRPr="00542AB5" w:rsidRDefault="007F3128" w:rsidP="00F608A7">
            <w:pPr>
              <w:tabs>
                <w:tab w:val="left" w:pos="1277"/>
              </w:tabs>
              <w:jc w:val="left"/>
              <w:rPr>
                <w:sz w:val="16"/>
                <w:szCs w:val="16"/>
                <w:lang w:val="fr-FR"/>
              </w:rPr>
            </w:pPr>
            <w:r w:rsidRPr="00542AB5">
              <w:rPr>
                <w:sz w:val="16"/>
                <w:szCs w:val="16"/>
                <w:lang w:val="fr-FR"/>
              </w:rPr>
              <w:t>Christian Alexander Chij Vicente (</w:t>
            </w:r>
            <w:r w:rsidR="0010522A" w:rsidRPr="00542AB5">
              <w:rPr>
                <w:sz w:val="16"/>
                <w:szCs w:val="16"/>
                <w:lang w:val="fr-FR"/>
              </w:rPr>
              <w:t>Son</w:t>
            </w:r>
            <w:r w:rsidRPr="00542AB5">
              <w:rPr>
                <w:sz w:val="16"/>
                <w:szCs w:val="16"/>
                <w:lang w:val="fr-FR"/>
              </w:rPr>
              <w:t>)</w:t>
            </w:r>
          </w:p>
        </w:tc>
      </w:tr>
      <w:tr w:rsidR="007F3128" w:rsidRPr="00310E7A" w14:paraId="294F6034" w14:textId="77777777" w:rsidTr="0010522A">
        <w:tc>
          <w:tcPr>
            <w:tcW w:w="560" w:type="dxa"/>
            <w:gridSpan w:val="2"/>
            <w:vMerge/>
            <w:vAlign w:val="center"/>
          </w:tcPr>
          <w:p w14:paraId="03AFCB14" w14:textId="77777777" w:rsidR="007F3128" w:rsidRPr="00542AB5" w:rsidRDefault="007F3128" w:rsidP="00F608A7">
            <w:pPr>
              <w:jc w:val="left"/>
              <w:rPr>
                <w:sz w:val="16"/>
                <w:szCs w:val="16"/>
                <w:lang w:val="fr-FR"/>
              </w:rPr>
            </w:pPr>
          </w:p>
        </w:tc>
        <w:tc>
          <w:tcPr>
            <w:tcW w:w="2950" w:type="dxa"/>
            <w:vMerge/>
            <w:vAlign w:val="center"/>
          </w:tcPr>
          <w:p w14:paraId="0A0E5E7D" w14:textId="77777777" w:rsidR="007F3128" w:rsidRPr="00542AB5" w:rsidRDefault="007F3128" w:rsidP="00F608A7">
            <w:pPr>
              <w:jc w:val="left"/>
              <w:rPr>
                <w:sz w:val="16"/>
                <w:szCs w:val="16"/>
                <w:lang w:val="fr-FR"/>
              </w:rPr>
            </w:pPr>
          </w:p>
        </w:tc>
        <w:tc>
          <w:tcPr>
            <w:tcW w:w="567" w:type="dxa"/>
            <w:vAlign w:val="center"/>
          </w:tcPr>
          <w:p w14:paraId="644B98EE" w14:textId="77777777" w:rsidR="007F3128" w:rsidRPr="009F337B" w:rsidRDefault="007F3128" w:rsidP="00F608A7">
            <w:pPr>
              <w:jc w:val="left"/>
              <w:rPr>
                <w:sz w:val="16"/>
                <w:szCs w:val="16"/>
                <w:lang w:val="en-US"/>
              </w:rPr>
            </w:pPr>
            <w:r w:rsidRPr="009F337B">
              <w:rPr>
                <w:sz w:val="16"/>
                <w:szCs w:val="16"/>
                <w:lang w:val="en-US"/>
              </w:rPr>
              <w:t>2</w:t>
            </w:r>
          </w:p>
        </w:tc>
        <w:tc>
          <w:tcPr>
            <w:tcW w:w="5211" w:type="dxa"/>
            <w:vAlign w:val="center"/>
          </w:tcPr>
          <w:p w14:paraId="4336D327" w14:textId="6E24C70C" w:rsidR="007F3128" w:rsidRPr="009F337B" w:rsidRDefault="007F3128" w:rsidP="00F608A7">
            <w:pPr>
              <w:tabs>
                <w:tab w:val="left" w:pos="1277"/>
              </w:tabs>
              <w:jc w:val="left"/>
              <w:rPr>
                <w:sz w:val="16"/>
                <w:szCs w:val="16"/>
                <w:lang w:val="en-US"/>
              </w:rPr>
            </w:pPr>
            <w:r w:rsidRPr="009F337B">
              <w:rPr>
                <w:sz w:val="16"/>
                <w:szCs w:val="16"/>
                <w:lang w:val="en-US"/>
              </w:rPr>
              <w:t>Emma Elizabeth Chij Vicente (</w:t>
            </w:r>
            <w:r w:rsidR="0010522A" w:rsidRPr="009F337B">
              <w:rPr>
                <w:sz w:val="16"/>
                <w:szCs w:val="16"/>
                <w:lang w:val="en-US"/>
              </w:rPr>
              <w:t>Daughter</w:t>
            </w:r>
            <w:r w:rsidRPr="009F337B">
              <w:rPr>
                <w:sz w:val="16"/>
                <w:szCs w:val="16"/>
                <w:lang w:val="en-US"/>
              </w:rPr>
              <w:t>)</w:t>
            </w:r>
          </w:p>
        </w:tc>
      </w:tr>
      <w:tr w:rsidR="007F3128" w:rsidRPr="00310E7A" w14:paraId="08E3EAE1" w14:textId="77777777" w:rsidTr="0010522A">
        <w:tc>
          <w:tcPr>
            <w:tcW w:w="560" w:type="dxa"/>
            <w:gridSpan w:val="2"/>
            <w:vMerge/>
            <w:vAlign w:val="center"/>
          </w:tcPr>
          <w:p w14:paraId="652A66FB" w14:textId="77777777" w:rsidR="007F3128" w:rsidRPr="009F337B" w:rsidRDefault="007F3128" w:rsidP="00F608A7">
            <w:pPr>
              <w:jc w:val="left"/>
              <w:rPr>
                <w:sz w:val="16"/>
                <w:szCs w:val="16"/>
                <w:lang w:val="en-US"/>
              </w:rPr>
            </w:pPr>
          </w:p>
        </w:tc>
        <w:tc>
          <w:tcPr>
            <w:tcW w:w="2950" w:type="dxa"/>
            <w:vMerge/>
            <w:vAlign w:val="center"/>
          </w:tcPr>
          <w:p w14:paraId="26BD9EF3" w14:textId="77777777" w:rsidR="007F3128" w:rsidRPr="009F337B" w:rsidRDefault="007F3128" w:rsidP="00F608A7">
            <w:pPr>
              <w:jc w:val="left"/>
              <w:rPr>
                <w:sz w:val="16"/>
                <w:szCs w:val="16"/>
                <w:lang w:val="en-US"/>
              </w:rPr>
            </w:pPr>
          </w:p>
        </w:tc>
        <w:tc>
          <w:tcPr>
            <w:tcW w:w="567" w:type="dxa"/>
            <w:vAlign w:val="center"/>
          </w:tcPr>
          <w:p w14:paraId="53879C1B" w14:textId="77777777" w:rsidR="007F3128" w:rsidRPr="009F337B" w:rsidRDefault="007F3128" w:rsidP="00F608A7">
            <w:pPr>
              <w:jc w:val="left"/>
              <w:rPr>
                <w:sz w:val="16"/>
                <w:szCs w:val="16"/>
                <w:lang w:val="en-US"/>
              </w:rPr>
            </w:pPr>
            <w:r w:rsidRPr="009F337B">
              <w:rPr>
                <w:sz w:val="16"/>
                <w:szCs w:val="16"/>
                <w:lang w:val="en-US"/>
              </w:rPr>
              <w:t>3</w:t>
            </w:r>
          </w:p>
        </w:tc>
        <w:tc>
          <w:tcPr>
            <w:tcW w:w="5211" w:type="dxa"/>
            <w:vAlign w:val="center"/>
          </w:tcPr>
          <w:p w14:paraId="147C8AC2" w14:textId="39EC7FC9" w:rsidR="007F3128" w:rsidRPr="009F337B" w:rsidRDefault="007F3128" w:rsidP="00F608A7">
            <w:pPr>
              <w:tabs>
                <w:tab w:val="left" w:pos="1277"/>
              </w:tabs>
              <w:jc w:val="left"/>
              <w:rPr>
                <w:sz w:val="16"/>
                <w:szCs w:val="16"/>
                <w:lang w:val="en-US"/>
              </w:rPr>
            </w:pPr>
            <w:r w:rsidRPr="009F337B">
              <w:rPr>
                <w:sz w:val="16"/>
                <w:szCs w:val="16"/>
                <w:lang w:val="en-US"/>
              </w:rPr>
              <w:t>Iris Carolina Chij Vicente (</w:t>
            </w:r>
            <w:r w:rsidR="0010522A" w:rsidRPr="009F337B">
              <w:rPr>
                <w:sz w:val="16"/>
                <w:szCs w:val="16"/>
                <w:lang w:val="en-US"/>
              </w:rPr>
              <w:t>Daughter</w:t>
            </w:r>
            <w:r w:rsidRPr="009F337B">
              <w:rPr>
                <w:sz w:val="16"/>
                <w:szCs w:val="16"/>
                <w:lang w:val="en-US"/>
              </w:rPr>
              <w:t>)</w:t>
            </w:r>
          </w:p>
        </w:tc>
      </w:tr>
      <w:tr w:rsidR="007F3128" w:rsidRPr="009F337B" w14:paraId="1A1D1340" w14:textId="77777777" w:rsidTr="0010522A">
        <w:tc>
          <w:tcPr>
            <w:tcW w:w="560" w:type="dxa"/>
            <w:gridSpan w:val="2"/>
            <w:vMerge/>
            <w:vAlign w:val="center"/>
          </w:tcPr>
          <w:p w14:paraId="2AB66845" w14:textId="77777777" w:rsidR="007F3128" w:rsidRPr="009F337B" w:rsidRDefault="007F3128" w:rsidP="00F608A7">
            <w:pPr>
              <w:jc w:val="left"/>
              <w:rPr>
                <w:sz w:val="16"/>
                <w:szCs w:val="16"/>
                <w:lang w:val="en-US"/>
              </w:rPr>
            </w:pPr>
          </w:p>
        </w:tc>
        <w:tc>
          <w:tcPr>
            <w:tcW w:w="2950" w:type="dxa"/>
            <w:vMerge/>
            <w:vAlign w:val="center"/>
          </w:tcPr>
          <w:p w14:paraId="32CAF130" w14:textId="77777777" w:rsidR="007F3128" w:rsidRPr="009F337B" w:rsidRDefault="007F3128" w:rsidP="00F608A7">
            <w:pPr>
              <w:jc w:val="left"/>
              <w:rPr>
                <w:sz w:val="16"/>
                <w:szCs w:val="16"/>
                <w:lang w:val="en-US"/>
              </w:rPr>
            </w:pPr>
          </w:p>
        </w:tc>
        <w:tc>
          <w:tcPr>
            <w:tcW w:w="567" w:type="dxa"/>
            <w:vAlign w:val="center"/>
          </w:tcPr>
          <w:p w14:paraId="2E939B46" w14:textId="77777777" w:rsidR="007F3128" w:rsidRPr="009F337B" w:rsidRDefault="007F3128" w:rsidP="00F608A7">
            <w:pPr>
              <w:jc w:val="left"/>
              <w:rPr>
                <w:sz w:val="16"/>
                <w:szCs w:val="16"/>
                <w:lang w:val="en-US"/>
              </w:rPr>
            </w:pPr>
            <w:r w:rsidRPr="009F337B">
              <w:rPr>
                <w:sz w:val="16"/>
                <w:szCs w:val="16"/>
                <w:lang w:val="en-US"/>
              </w:rPr>
              <w:t>4</w:t>
            </w:r>
          </w:p>
        </w:tc>
        <w:tc>
          <w:tcPr>
            <w:tcW w:w="5211" w:type="dxa"/>
            <w:vAlign w:val="center"/>
          </w:tcPr>
          <w:p w14:paraId="6FB8A84A" w14:textId="012BB676" w:rsidR="007F3128" w:rsidRPr="00542AB5" w:rsidRDefault="007F3128" w:rsidP="00F608A7">
            <w:pPr>
              <w:tabs>
                <w:tab w:val="left" w:pos="1277"/>
              </w:tabs>
              <w:jc w:val="left"/>
              <w:rPr>
                <w:sz w:val="16"/>
                <w:szCs w:val="16"/>
                <w:lang w:val="es-CR"/>
              </w:rPr>
            </w:pPr>
            <w:r w:rsidRPr="00542AB5">
              <w:rPr>
                <w:sz w:val="16"/>
                <w:szCs w:val="16"/>
                <w:lang w:val="es-CR"/>
              </w:rPr>
              <w:t>Olivia Barillas de Sánchez (</w:t>
            </w:r>
            <w:r w:rsidR="0010522A" w:rsidRPr="00542AB5">
              <w:rPr>
                <w:sz w:val="16"/>
                <w:szCs w:val="16"/>
                <w:lang w:val="es-CR"/>
              </w:rPr>
              <w:t>Maternal aunt</w:t>
            </w:r>
            <w:r w:rsidRPr="00542AB5">
              <w:rPr>
                <w:sz w:val="16"/>
                <w:szCs w:val="16"/>
                <w:lang w:val="es-CR"/>
              </w:rPr>
              <w:t>)</w:t>
            </w:r>
          </w:p>
        </w:tc>
      </w:tr>
      <w:tr w:rsidR="007F3128" w:rsidRPr="009F337B" w14:paraId="7B9D7085" w14:textId="77777777" w:rsidTr="0010522A">
        <w:tc>
          <w:tcPr>
            <w:tcW w:w="560" w:type="dxa"/>
            <w:gridSpan w:val="2"/>
            <w:vMerge/>
            <w:vAlign w:val="center"/>
          </w:tcPr>
          <w:p w14:paraId="6878352C" w14:textId="77777777" w:rsidR="007F3128" w:rsidRPr="00542AB5" w:rsidRDefault="007F3128" w:rsidP="00F608A7">
            <w:pPr>
              <w:jc w:val="left"/>
              <w:rPr>
                <w:sz w:val="16"/>
                <w:szCs w:val="16"/>
                <w:lang w:val="es-CR"/>
              </w:rPr>
            </w:pPr>
          </w:p>
        </w:tc>
        <w:tc>
          <w:tcPr>
            <w:tcW w:w="2950" w:type="dxa"/>
            <w:vMerge/>
            <w:vAlign w:val="center"/>
          </w:tcPr>
          <w:p w14:paraId="669CB84B" w14:textId="77777777" w:rsidR="007F3128" w:rsidRPr="00542AB5" w:rsidRDefault="007F3128" w:rsidP="00F608A7">
            <w:pPr>
              <w:jc w:val="left"/>
              <w:rPr>
                <w:sz w:val="16"/>
                <w:szCs w:val="16"/>
                <w:lang w:val="es-CR"/>
              </w:rPr>
            </w:pPr>
          </w:p>
        </w:tc>
        <w:tc>
          <w:tcPr>
            <w:tcW w:w="567" w:type="dxa"/>
            <w:vAlign w:val="center"/>
          </w:tcPr>
          <w:p w14:paraId="2556F0E3" w14:textId="77777777" w:rsidR="007F3128" w:rsidRPr="009F337B" w:rsidRDefault="007F3128" w:rsidP="00F608A7">
            <w:pPr>
              <w:jc w:val="left"/>
              <w:rPr>
                <w:sz w:val="16"/>
                <w:szCs w:val="16"/>
                <w:lang w:val="en-US"/>
              </w:rPr>
            </w:pPr>
            <w:r w:rsidRPr="009F337B">
              <w:rPr>
                <w:sz w:val="16"/>
                <w:szCs w:val="16"/>
                <w:lang w:val="en-US"/>
              </w:rPr>
              <w:t>5</w:t>
            </w:r>
          </w:p>
        </w:tc>
        <w:tc>
          <w:tcPr>
            <w:tcW w:w="5211" w:type="dxa"/>
            <w:vAlign w:val="center"/>
          </w:tcPr>
          <w:p w14:paraId="1363ED90" w14:textId="61F20686" w:rsidR="007F3128" w:rsidRPr="00542AB5" w:rsidRDefault="007F3128" w:rsidP="00F608A7">
            <w:pPr>
              <w:tabs>
                <w:tab w:val="left" w:pos="1277"/>
              </w:tabs>
              <w:jc w:val="left"/>
              <w:rPr>
                <w:sz w:val="16"/>
                <w:szCs w:val="16"/>
                <w:lang w:val="es-CR"/>
              </w:rPr>
            </w:pPr>
            <w:r w:rsidRPr="00542AB5">
              <w:rPr>
                <w:sz w:val="16"/>
                <w:szCs w:val="16"/>
                <w:lang w:val="es-CR"/>
              </w:rPr>
              <w:t>Olivia Aguilar Ambrosio de Barillas (</w:t>
            </w:r>
            <w:r w:rsidR="0010522A" w:rsidRPr="00542AB5">
              <w:rPr>
                <w:sz w:val="16"/>
                <w:szCs w:val="16"/>
                <w:lang w:val="es-CR"/>
              </w:rPr>
              <w:t>Grandmother</w:t>
            </w:r>
            <w:r w:rsidRPr="00542AB5">
              <w:rPr>
                <w:sz w:val="16"/>
                <w:szCs w:val="16"/>
                <w:lang w:val="es-CR"/>
              </w:rPr>
              <w:t>)</w:t>
            </w:r>
          </w:p>
        </w:tc>
      </w:tr>
      <w:tr w:rsidR="007F3128" w:rsidRPr="009F337B" w14:paraId="5851CA5D" w14:textId="77777777" w:rsidTr="0010522A">
        <w:tc>
          <w:tcPr>
            <w:tcW w:w="560" w:type="dxa"/>
            <w:gridSpan w:val="2"/>
            <w:vMerge/>
            <w:vAlign w:val="center"/>
          </w:tcPr>
          <w:p w14:paraId="61F29BE5" w14:textId="77777777" w:rsidR="007F3128" w:rsidRPr="00542AB5" w:rsidRDefault="007F3128" w:rsidP="00F608A7">
            <w:pPr>
              <w:jc w:val="left"/>
              <w:rPr>
                <w:sz w:val="16"/>
                <w:szCs w:val="16"/>
                <w:lang w:val="es-CR"/>
              </w:rPr>
            </w:pPr>
          </w:p>
        </w:tc>
        <w:tc>
          <w:tcPr>
            <w:tcW w:w="2950" w:type="dxa"/>
            <w:vMerge/>
            <w:vAlign w:val="center"/>
          </w:tcPr>
          <w:p w14:paraId="33538A84" w14:textId="77777777" w:rsidR="007F3128" w:rsidRPr="00542AB5" w:rsidRDefault="007F3128" w:rsidP="00F608A7">
            <w:pPr>
              <w:jc w:val="left"/>
              <w:rPr>
                <w:sz w:val="16"/>
                <w:szCs w:val="16"/>
                <w:lang w:val="es-CR"/>
              </w:rPr>
            </w:pPr>
          </w:p>
        </w:tc>
        <w:tc>
          <w:tcPr>
            <w:tcW w:w="567" w:type="dxa"/>
            <w:vAlign w:val="center"/>
          </w:tcPr>
          <w:p w14:paraId="26F5BA21" w14:textId="77777777" w:rsidR="007F3128" w:rsidRPr="009F337B" w:rsidRDefault="007F3128" w:rsidP="00F608A7">
            <w:pPr>
              <w:jc w:val="left"/>
              <w:rPr>
                <w:sz w:val="16"/>
                <w:szCs w:val="16"/>
                <w:lang w:val="en-US"/>
              </w:rPr>
            </w:pPr>
            <w:r w:rsidRPr="009F337B">
              <w:rPr>
                <w:sz w:val="16"/>
                <w:szCs w:val="16"/>
                <w:lang w:val="en-US"/>
              </w:rPr>
              <w:t>6</w:t>
            </w:r>
          </w:p>
        </w:tc>
        <w:tc>
          <w:tcPr>
            <w:tcW w:w="5211" w:type="dxa"/>
            <w:vAlign w:val="center"/>
          </w:tcPr>
          <w:p w14:paraId="3BF2451A" w14:textId="27590829" w:rsidR="007F3128" w:rsidRPr="009F337B" w:rsidRDefault="007F3128" w:rsidP="00F608A7">
            <w:pPr>
              <w:tabs>
                <w:tab w:val="left" w:pos="1277"/>
              </w:tabs>
              <w:jc w:val="left"/>
              <w:rPr>
                <w:sz w:val="16"/>
                <w:szCs w:val="16"/>
                <w:lang w:val="en-US"/>
              </w:rPr>
            </w:pPr>
            <w:r w:rsidRPr="009F337B">
              <w:rPr>
                <w:sz w:val="16"/>
                <w:szCs w:val="16"/>
                <w:lang w:val="en-US"/>
              </w:rPr>
              <w:t>Balbino Barillas Barreno (</w:t>
            </w:r>
            <w:r w:rsidR="0010522A" w:rsidRPr="009F337B">
              <w:rPr>
                <w:sz w:val="16"/>
                <w:szCs w:val="16"/>
                <w:lang w:val="en-US"/>
              </w:rPr>
              <w:t>Grandfather</w:t>
            </w:r>
            <w:r w:rsidRPr="009F337B">
              <w:rPr>
                <w:sz w:val="16"/>
                <w:szCs w:val="16"/>
                <w:lang w:val="en-US"/>
              </w:rPr>
              <w:t>)</w:t>
            </w:r>
          </w:p>
        </w:tc>
      </w:tr>
      <w:tr w:rsidR="007F3128" w:rsidRPr="009F337B" w14:paraId="791EBEFA" w14:textId="77777777" w:rsidTr="0010522A">
        <w:tc>
          <w:tcPr>
            <w:tcW w:w="560" w:type="dxa"/>
            <w:gridSpan w:val="2"/>
            <w:vMerge/>
            <w:vAlign w:val="center"/>
          </w:tcPr>
          <w:p w14:paraId="54CD3C68" w14:textId="77777777" w:rsidR="007F3128" w:rsidRPr="009F337B" w:rsidRDefault="007F3128" w:rsidP="00F608A7">
            <w:pPr>
              <w:jc w:val="left"/>
              <w:rPr>
                <w:sz w:val="16"/>
                <w:szCs w:val="16"/>
                <w:lang w:val="en-US"/>
              </w:rPr>
            </w:pPr>
          </w:p>
        </w:tc>
        <w:tc>
          <w:tcPr>
            <w:tcW w:w="2950" w:type="dxa"/>
            <w:vMerge/>
            <w:vAlign w:val="center"/>
          </w:tcPr>
          <w:p w14:paraId="60934DD4" w14:textId="77777777" w:rsidR="007F3128" w:rsidRPr="009F337B" w:rsidRDefault="007F3128" w:rsidP="00F608A7">
            <w:pPr>
              <w:jc w:val="left"/>
              <w:rPr>
                <w:sz w:val="16"/>
                <w:szCs w:val="16"/>
                <w:lang w:val="en-US"/>
              </w:rPr>
            </w:pPr>
          </w:p>
        </w:tc>
        <w:tc>
          <w:tcPr>
            <w:tcW w:w="567" w:type="dxa"/>
            <w:vAlign w:val="center"/>
          </w:tcPr>
          <w:p w14:paraId="0E1D9503" w14:textId="77777777" w:rsidR="007F3128" w:rsidRPr="009F337B" w:rsidRDefault="007F3128" w:rsidP="00F608A7">
            <w:pPr>
              <w:jc w:val="left"/>
              <w:rPr>
                <w:sz w:val="16"/>
                <w:szCs w:val="16"/>
                <w:lang w:val="en-US"/>
              </w:rPr>
            </w:pPr>
            <w:r w:rsidRPr="009F337B">
              <w:rPr>
                <w:sz w:val="16"/>
                <w:szCs w:val="16"/>
                <w:lang w:val="en-US"/>
              </w:rPr>
              <w:t>7</w:t>
            </w:r>
          </w:p>
        </w:tc>
        <w:tc>
          <w:tcPr>
            <w:tcW w:w="5211" w:type="dxa"/>
            <w:vAlign w:val="center"/>
          </w:tcPr>
          <w:p w14:paraId="1FEA4326" w14:textId="5DE146D9" w:rsidR="007F3128" w:rsidRPr="009F337B" w:rsidRDefault="007F3128" w:rsidP="00F608A7">
            <w:pPr>
              <w:tabs>
                <w:tab w:val="left" w:pos="1277"/>
              </w:tabs>
              <w:jc w:val="left"/>
              <w:rPr>
                <w:sz w:val="16"/>
                <w:szCs w:val="16"/>
                <w:lang w:val="en-US"/>
              </w:rPr>
            </w:pPr>
            <w:r w:rsidRPr="009F337B">
              <w:rPr>
                <w:sz w:val="16"/>
                <w:szCs w:val="16"/>
                <w:lang w:val="en-US"/>
              </w:rPr>
              <w:t>Héctor Barillas (</w:t>
            </w:r>
            <w:r w:rsidR="0010522A" w:rsidRPr="009F337B">
              <w:rPr>
                <w:sz w:val="16"/>
                <w:szCs w:val="16"/>
                <w:lang w:val="en-US"/>
              </w:rPr>
              <w:t>Uncle</w:t>
            </w:r>
            <w:r w:rsidRPr="009F337B">
              <w:rPr>
                <w:sz w:val="16"/>
                <w:szCs w:val="16"/>
                <w:lang w:val="en-US"/>
              </w:rPr>
              <w:t>)</w:t>
            </w:r>
          </w:p>
        </w:tc>
      </w:tr>
      <w:tr w:rsidR="007F3128" w:rsidRPr="009F337B" w14:paraId="00668C4C" w14:textId="77777777" w:rsidTr="0010522A">
        <w:tc>
          <w:tcPr>
            <w:tcW w:w="560" w:type="dxa"/>
            <w:gridSpan w:val="2"/>
            <w:vAlign w:val="center"/>
          </w:tcPr>
          <w:p w14:paraId="2B91632D" w14:textId="77777777" w:rsidR="007F3128" w:rsidRPr="009F337B" w:rsidRDefault="007F3128" w:rsidP="00F608A7">
            <w:pPr>
              <w:jc w:val="left"/>
              <w:rPr>
                <w:sz w:val="16"/>
                <w:szCs w:val="16"/>
                <w:lang w:val="en-US"/>
              </w:rPr>
            </w:pPr>
            <w:r w:rsidRPr="009F337B">
              <w:rPr>
                <w:sz w:val="16"/>
                <w:szCs w:val="16"/>
                <w:lang w:val="en-US"/>
              </w:rPr>
              <w:t>49</w:t>
            </w:r>
          </w:p>
        </w:tc>
        <w:tc>
          <w:tcPr>
            <w:tcW w:w="2950" w:type="dxa"/>
            <w:vAlign w:val="center"/>
          </w:tcPr>
          <w:p w14:paraId="03966D79" w14:textId="6CA062D2" w:rsidR="007F3128" w:rsidRPr="009F337B" w:rsidRDefault="007F3128" w:rsidP="00F608A7">
            <w:pPr>
              <w:jc w:val="left"/>
              <w:rPr>
                <w:sz w:val="16"/>
                <w:szCs w:val="16"/>
                <w:lang w:val="en-US"/>
              </w:rPr>
            </w:pPr>
            <w:r w:rsidRPr="009F337B">
              <w:rPr>
                <w:sz w:val="16"/>
                <w:szCs w:val="16"/>
                <w:lang w:val="en-US"/>
              </w:rPr>
              <w:t>Sandra Lisbeth Zepeda Herrera</w:t>
            </w:r>
          </w:p>
        </w:tc>
        <w:tc>
          <w:tcPr>
            <w:tcW w:w="567" w:type="dxa"/>
            <w:vAlign w:val="center"/>
          </w:tcPr>
          <w:p w14:paraId="3CF2704E" w14:textId="47904E18" w:rsidR="007F3128" w:rsidRPr="009F337B" w:rsidRDefault="007F3128" w:rsidP="00F608A7">
            <w:pPr>
              <w:jc w:val="left"/>
              <w:rPr>
                <w:sz w:val="16"/>
                <w:szCs w:val="16"/>
                <w:lang w:val="en-US"/>
              </w:rPr>
            </w:pPr>
          </w:p>
        </w:tc>
        <w:tc>
          <w:tcPr>
            <w:tcW w:w="5211" w:type="dxa"/>
            <w:vAlign w:val="center"/>
          </w:tcPr>
          <w:p w14:paraId="3BCB46C3" w14:textId="40EF0E03" w:rsidR="007F3128" w:rsidRPr="009F337B" w:rsidRDefault="0010522A" w:rsidP="00F608A7">
            <w:pPr>
              <w:tabs>
                <w:tab w:val="left" w:pos="1002"/>
              </w:tabs>
              <w:jc w:val="left"/>
              <w:rPr>
                <w:sz w:val="16"/>
                <w:szCs w:val="16"/>
                <w:lang w:val="en-US"/>
              </w:rPr>
            </w:pPr>
            <w:r w:rsidRPr="009F337B">
              <w:rPr>
                <w:sz w:val="16"/>
                <w:szCs w:val="16"/>
                <w:lang w:val="en-US"/>
              </w:rPr>
              <w:t>No information available</w:t>
            </w:r>
          </w:p>
        </w:tc>
      </w:tr>
    </w:tbl>
    <w:p w14:paraId="51DC9A4D" w14:textId="268D902C" w:rsidR="00C571EC" w:rsidRPr="009F337B" w:rsidRDefault="00F608A7" w:rsidP="009932B2">
      <w:pPr>
        <w:jc w:val="center"/>
        <w:rPr>
          <w:sz w:val="16"/>
          <w:szCs w:val="16"/>
          <w:lang w:val="en-US"/>
        </w:rPr>
      </w:pPr>
      <w:r w:rsidRPr="009F337B">
        <w:rPr>
          <w:sz w:val="16"/>
          <w:szCs w:val="16"/>
          <w:lang w:val="en-US"/>
        </w:rPr>
        <w:br w:type="textWrapping" w:clear="all"/>
      </w:r>
    </w:p>
    <w:p w14:paraId="53AB7C20" w14:textId="17186194" w:rsidR="00C571EC" w:rsidRPr="009F337B" w:rsidRDefault="00C571EC" w:rsidP="009932B2">
      <w:pPr>
        <w:spacing w:after="200" w:line="276" w:lineRule="auto"/>
        <w:jc w:val="center"/>
        <w:rPr>
          <w:rFonts w:cs="Vrinda"/>
          <w:lang w:val="en-US" w:bidi="en-US"/>
        </w:rPr>
      </w:pPr>
      <w:r w:rsidRPr="009F337B">
        <w:rPr>
          <w:rFonts w:cs="Vrinda"/>
          <w:lang w:val="en-US" w:bidi="en-US"/>
        </w:rPr>
        <w:br w:type="page"/>
      </w:r>
    </w:p>
    <w:tbl>
      <w:tblPr>
        <w:tblStyle w:val="Tablaconcuadrcula"/>
        <w:tblW w:w="0" w:type="auto"/>
        <w:tblLayout w:type="fixed"/>
        <w:tblLook w:val="04A0" w:firstRow="1" w:lastRow="0" w:firstColumn="1" w:lastColumn="0" w:noHBand="0" w:noVBand="1"/>
      </w:tblPr>
      <w:tblGrid>
        <w:gridCol w:w="560"/>
        <w:gridCol w:w="3092"/>
        <w:gridCol w:w="567"/>
        <w:gridCol w:w="4785"/>
      </w:tblGrid>
      <w:tr w:rsidR="000D2D79" w:rsidRPr="00310E7A" w14:paraId="42D91F17" w14:textId="77777777" w:rsidTr="009932B2">
        <w:tc>
          <w:tcPr>
            <w:tcW w:w="9004" w:type="dxa"/>
            <w:gridSpan w:val="4"/>
            <w:vAlign w:val="center"/>
          </w:tcPr>
          <w:p w14:paraId="048E9F4C" w14:textId="35368005" w:rsidR="000D2D79" w:rsidRPr="009F337B" w:rsidRDefault="00F658A6" w:rsidP="009932B2">
            <w:pPr>
              <w:pStyle w:val="Ttulo1"/>
              <w:spacing w:after="0"/>
              <w:outlineLvl w:val="0"/>
              <w:rPr>
                <w:lang w:val="en-US"/>
              </w:rPr>
            </w:pPr>
            <w:bookmarkStart w:id="148" w:name="_Toc520238596"/>
            <w:bookmarkStart w:id="149" w:name="_Toc527466508"/>
            <w:r w:rsidRPr="009F337B">
              <w:rPr>
                <w:lang w:val="en-US"/>
              </w:rPr>
              <w:lastRenderedPageBreak/>
              <w:t>AN</w:t>
            </w:r>
            <w:r w:rsidR="005D7C5A" w:rsidRPr="009F337B">
              <w:rPr>
                <w:lang w:val="en-US"/>
              </w:rPr>
              <w:t>nex</w:t>
            </w:r>
            <w:r w:rsidRPr="009F337B">
              <w:rPr>
                <w:lang w:val="en-US"/>
              </w:rPr>
              <w:t xml:space="preserve"> 2</w:t>
            </w:r>
            <w:r w:rsidR="000D2D79" w:rsidRPr="009F337B">
              <w:rPr>
                <w:lang w:val="en-US"/>
              </w:rPr>
              <w:t xml:space="preserve">. </w:t>
            </w:r>
            <w:bookmarkEnd w:id="148"/>
            <w:r w:rsidR="00986BEA" w:rsidRPr="009F337B">
              <w:rPr>
                <w:lang w:val="en-US"/>
              </w:rPr>
              <w:t>LIS</w:t>
            </w:r>
            <w:r w:rsidR="005D7C5A" w:rsidRPr="009F337B">
              <w:rPr>
                <w:lang w:val="en-US"/>
              </w:rPr>
              <w:t>t of victims</w:t>
            </w:r>
            <w:r w:rsidR="003C46A3" w:rsidRPr="009F337B">
              <w:rPr>
                <w:lang w:val="en-US"/>
              </w:rPr>
              <w:t xml:space="preserve"> and </w:t>
            </w:r>
            <w:r w:rsidR="00BB0DF2" w:rsidRPr="009F337B">
              <w:rPr>
                <w:lang w:val="en-US"/>
              </w:rPr>
              <w:t>their next of kin</w:t>
            </w:r>
            <w:bookmarkEnd w:id="149"/>
          </w:p>
          <w:p w14:paraId="3E259530" w14:textId="17A81ED3" w:rsidR="000303A4" w:rsidRPr="009F337B" w:rsidRDefault="000303A4" w:rsidP="009932B2">
            <w:pPr>
              <w:jc w:val="center"/>
              <w:rPr>
                <w:lang w:val="en-US" w:eastAsia="es-ES"/>
              </w:rPr>
            </w:pPr>
          </w:p>
        </w:tc>
      </w:tr>
      <w:tr w:rsidR="000D2D79" w:rsidRPr="009F337B" w14:paraId="4398EEDD" w14:textId="77777777" w:rsidTr="009932B2">
        <w:tc>
          <w:tcPr>
            <w:tcW w:w="9004" w:type="dxa"/>
            <w:gridSpan w:val="4"/>
            <w:vAlign w:val="center"/>
          </w:tcPr>
          <w:p w14:paraId="1E8A883B" w14:textId="63ACEBAB" w:rsidR="000D2D79" w:rsidRPr="009F337B" w:rsidRDefault="000D2D79" w:rsidP="009932B2">
            <w:pPr>
              <w:jc w:val="center"/>
              <w:rPr>
                <w:b/>
                <w:sz w:val="16"/>
                <w:szCs w:val="16"/>
                <w:lang w:val="en-US"/>
              </w:rPr>
            </w:pPr>
            <w:r w:rsidRPr="009F337B">
              <w:rPr>
                <w:b/>
                <w:sz w:val="16"/>
                <w:szCs w:val="16"/>
                <w:lang w:val="en-US"/>
              </w:rPr>
              <w:t xml:space="preserve">A. </w:t>
            </w:r>
            <w:r w:rsidR="0010522A" w:rsidRPr="009F337B">
              <w:rPr>
                <w:b/>
                <w:sz w:val="16"/>
                <w:szCs w:val="16"/>
                <w:lang w:val="en-US"/>
              </w:rPr>
              <w:t>DECEASED</w:t>
            </w:r>
            <w:r w:rsidR="005D7C5A" w:rsidRPr="009F337B">
              <w:rPr>
                <w:b/>
                <w:sz w:val="16"/>
                <w:szCs w:val="16"/>
                <w:lang w:val="en-US"/>
              </w:rPr>
              <w:t xml:space="preserve"> VICTIM</w:t>
            </w:r>
            <w:r w:rsidRPr="009F337B">
              <w:rPr>
                <w:b/>
                <w:sz w:val="16"/>
                <w:szCs w:val="16"/>
                <w:lang w:val="en-US"/>
              </w:rPr>
              <w:t>S</w:t>
            </w:r>
          </w:p>
        </w:tc>
      </w:tr>
      <w:tr w:rsidR="000D2D79" w:rsidRPr="009F337B" w14:paraId="4223D5C4" w14:textId="77777777" w:rsidTr="009932B2">
        <w:tc>
          <w:tcPr>
            <w:tcW w:w="560" w:type="dxa"/>
            <w:vAlign w:val="center"/>
          </w:tcPr>
          <w:p w14:paraId="5D106D4C" w14:textId="64437FA6" w:rsidR="000D2D79" w:rsidRPr="009F337B" w:rsidRDefault="0010522A" w:rsidP="009932B2">
            <w:pPr>
              <w:jc w:val="center"/>
              <w:rPr>
                <w:b/>
                <w:sz w:val="16"/>
                <w:szCs w:val="16"/>
                <w:lang w:val="en-US"/>
              </w:rPr>
            </w:pPr>
            <w:r w:rsidRPr="009F337B">
              <w:rPr>
                <w:b/>
                <w:sz w:val="16"/>
                <w:szCs w:val="16"/>
                <w:lang w:val="en-US"/>
              </w:rPr>
              <w:t>No.</w:t>
            </w:r>
          </w:p>
        </w:tc>
        <w:tc>
          <w:tcPr>
            <w:tcW w:w="3092" w:type="dxa"/>
            <w:vAlign w:val="center"/>
          </w:tcPr>
          <w:p w14:paraId="5A3DF4B8" w14:textId="23B93ED4" w:rsidR="000D2D79" w:rsidRPr="009F337B" w:rsidRDefault="000D2D79" w:rsidP="00074CB7">
            <w:pPr>
              <w:jc w:val="center"/>
              <w:rPr>
                <w:b/>
                <w:sz w:val="16"/>
                <w:szCs w:val="16"/>
                <w:lang w:val="en-US"/>
              </w:rPr>
            </w:pPr>
            <w:r w:rsidRPr="009F337B">
              <w:rPr>
                <w:b/>
                <w:sz w:val="16"/>
                <w:szCs w:val="16"/>
                <w:lang w:val="en-US"/>
              </w:rPr>
              <w:t>V</w:t>
            </w:r>
            <w:r w:rsidR="005D7C5A" w:rsidRPr="009F337B">
              <w:rPr>
                <w:b/>
                <w:sz w:val="16"/>
                <w:szCs w:val="16"/>
                <w:lang w:val="en-US"/>
              </w:rPr>
              <w:t>ICTIM</w:t>
            </w:r>
            <w:r w:rsidR="00D35892" w:rsidRPr="009F337B">
              <w:rPr>
                <w:b/>
                <w:sz w:val="16"/>
                <w:szCs w:val="16"/>
                <w:lang w:val="en-US"/>
              </w:rPr>
              <w:t>S</w:t>
            </w:r>
            <w:r w:rsidR="00EF718A" w:rsidRPr="009F337B">
              <w:rPr>
                <w:b/>
                <w:sz w:val="16"/>
                <w:szCs w:val="16"/>
                <w:lang w:val="en-US"/>
              </w:rPr>
              <w:t xml:space="preserve"> </w:t>
            </w:r>
          </w:p>
        </w:tc>
        <w:tc>
          <w:tcPr>
            <w:tcW w:w="567" w:type="dxa"/>
            <w:vAlign w:val="center"/>
          </w:tcPr>
          <w:p w14:paraId="15E21734" w14:textId="614F98A9" w:rsidR="000D2D79" w:rsidRPr="009F337B" w:rsidRDefault="0010522A" w:rsidP="009932B2">
            <w:pPr>
              <w:jc w:val="center"/>
              <w:rPr>
                <w:b/>
                <w:sz w:val="16"/>
                <w:szCs w:val="16"/>
                <w:lang w:val="en-US"/>
              </w:rPr>
            </w:pPr>
            <w:r w:rsidRPr="009F337B">
              <w:rPr>
                <w:b/>
                <w:sz w:val="16"/>
                <w:szCs w:val="16"/>
                <w:lang w:val="en-US"/>
              </w:rPr>
              <w:t>No.</w:t>
            </w:r>
          </w:p>
        </w:tc>
        <w:tc>
          <w:tcPr>
            <w:tcW w:w="4785" w:type="dxa"/>
            <w:vAlign w:val="center"/>
          </w:tcPr>
          <w:p w14:paraId="1DA0EFFF" w14:textId="413B326A" w:rsidR="000D2D79" w:rsidRPr="009F337B" w:rsidRDefault="0010522A" w:rsidP="009932B2">
            <w:pPr>
              <w:jc w:val="center"/>
              <w:rPr>
                <w:b/>
                <w:sz w:val="16"/>
                <w:szCs w:val="16"/>
                <w:lang w:val="en-US"/>
              </w:rPr>
            </w:pPr>
            <w:r w:rsidRPr="009F337B">
              <w:rPr>
                <w:b/>
                <w:sz w:val="16"/>
                <w:szCs w:val="16"/>
                <w:lang w:val="en-US"/>
              </w:rPr>
              <w:t>NEXT OF KIN</w:t>
            </w:r>
          </w:p>
        </w:tc>
      </w:tr>
      <w:tr w:rsidR="000D2D79" w:rsidRPr="009F337B" w14:paraId="49755112" w14:textId="77777777" w:rsidTr="009932B2">
        <w:tc>
          <w:tcPr>
            <w:tcW w:w="560" w:type="dxa"/>
            <w:vMerge w:val="restart"/>
            <w:vAlign w:val="center"/>
          </w:tcPr>
          <w:p w14:paraId="73CC88A8" w14:textId="77777777" w:rsidR="000D2D79" w:rsidRPr="009F337B" w:rsidRDefault="000D2D79" w:rsidP="003D3071">
            <w:pPr>
              <w:jc w:val="center"/>
              <w:rPr>
                <w:sz w:val="16"/>
                <w:szCs w:val="16"/>
                <w:lang w:val="en-US"/>
              </w:rPr>
            </w:pPr>
            <w:r w:rsidRPr="009F337B">
              <w:rPr>
                <w:sz w:val="16"/>
                <w:szCs w:val="16"/>
                <w:lang w:val="en-US"/>
              </w:rPr>
              <w:t>1</w:t>
            </w:r>
          </w:p>
        </w:tc>
        <w:tc>
          <w:tcPr>
            <w:tcW w:w="3092" w:type="dxa"/>
            <w:vMerge w:val="restart"/>
            <w:vAlign w:val="center"/>
          </w:tcPr>
          <w:p w14:paraId="08A387AD" w14:textId="77777777" w:rsidR="000D2D79" w:rsidRPr="009F337B" w:rsidRDefault="000D2D79" w:rsidP="00F23970">
            <w:pPr>
              <w:jc w:val="left"/>
              <w:rPr>
                <w:sz w:val="16"/>
                <w:szCs w:val="16"/>
                <w:lang w:val="en-US"/>
              </w:rPr>
            </w:pPr>
            <w:r w:rsidRPr="009F337B">
              <w:rPr>
                <w:sz w:val="16"/>
                <w:szCs w:val="16"/>
                <w:lang w:val="en-US"/>
              </w:rPr>
              <w:t>Facundo Gómez Reyes</w:t>
            </w:r>
          </w:p>
        </w:tc>
        <w:tc>
          <w:tcPr>
            <w:tcW w:w="567" w:type="dxa"/>
            <w:vAlign w:val="center"/>
          </w:tcPr>
          <w:p w14:paraId="0498A7E1" w14:textId="77777777" w:rsidR="000D2D79" w:rsidRPr="009F337B" w:rsidRDefault="000D2D79" w:rsidP="003D3071">
            <w:pPr>
              <w:jc w:val="center"/>
              <w:rPr>
                <w:sz w:val="16"/>
                <w:szCs w:val="16"/>
                <w:lang w:val="en-US"/>
              </w:rPr>
            </w:pPr>
            <w:r w:rsidRPr="009F337B">
              <w:rPr>
                <w:sz w:val="16"/>
                <w:szCs w:val="16"/>
                <w:lang w:val="en-US"/>
              </w:rPr>
              <w:t>1</w:t>
            </w:r>
          </w:p>
        </w:tc>
        <w:tc>
          <w:tcPr>
            <w:tcW w:w="4785" w:type="dxa"/>
            <w:vAlign w:val="center"/>
          </w:tcPr>
          <w:p w14:paraId="6F6D26C5" w14:textId="21C48DE8" w:rsidR="000D2D79" w:rsidRPr="00542AB5" w:rsidRDefault="000D2D79" w:rsidP="00F23970">
            <w:pPr>
              <w:jc w:val="left"/>
              <w:rPr>
                <w:sz w:val="16"/>
                <w:szCs w:val="16"/>
                <w:lang w:val="es-CR"/>
              </w:rPr>
            </w:pPr>
            <w:r w:rsidRPr="00542AB5">
              <w:rPr>
                <w:sz w:val="16"/>
                <w:szCs w:val="16"/>
                <w:lang w:val="es-CR"/>
              </w:rPr>
              <w:t>María Elena Morales Villafuerte (</w:t>
            </w:r>
            <w:r w:rsidR="007419BE" w:rsidRPr="00542AB5">
              <w:rPr>
                <w:sz w:val="16"/>
                <w:szCs w:val="16"/>
                <w:lang w:val="es-CR"/>
              </w:rPr>
              <w:t>Companion</w:t>
            </w:r>
            <w:r w:rsidRPr="00542AB5">
              <w:rPr>
                <w:sz w:val="16"/>
                <w:szCs w:val="16"/>
                <w:lang w:val="es-CR"/>
              </w:rPr>
              <w:t>)</w:t>
            </w:r>
          </w:p>
        </w:tc>
      </w:tr>
      <w:tr w:rsidR="000D2D79" w:rsidRPr="009F337B" w14:paraId="55A77CFE" w14:textId="77777777" w:rsidTr="009932B2">
        <w:tc>
          <w:tcPr>
            <w:tcW w:w="560" w:type="dxa"/>
            <w:vMerge/>
            <w:vAlign w:val="center"/>
          </w:tcPr>
          <w:p w14:paraId="34B402F8" w14:textId="77777777" w:rsidR="000D2D79" w:rsidRPr="00542AB5" w:rsidRDefault="000D2D79" w:rsidP="003D3071">
            <w:pPr>
              <w:jc w:val="center"/>
              <w:rPr>
                <w:sz w:val="16"/>
                <w:szCs w:val="16"/>
                <w:lang w:val="es-CR"/>
              </w:rPr>
            </w:pPr>
          </w:p>
        </w:tc>
        <w:tc>
          <w:tcPr>
            <w:tcW w:w="3092" w:type="dxa"/>
            <w:vMerge/>
            <w:vAlign w:val="center"/>
          </w:tcPr>
          <w:p w14:paraId="78E2BF5A" w14:textId="77777777" w:rsidR="000D2D79" w:rsidRPr="00542AB5" w:rsidRDefault="000D2D79" w:rsidP="00F23970">
            <w:pPr>
              <w:jc w:val="left"/>
              <w:rPr>
                <w:sz w:val="16"/>
                <w:szCs w:val="16"/>
                <w:lang w:val="es-CR"/>
              </w:rPr>
            </w:pPr>
          </w:p>
        </w:tc>
        <w:tc>
          <w:tcPr>
            <w:tcW w:w="567" w:type="dxa"/>
            <w:vAlign w:val="center"/>
          </w:tcPr>
          <w:p w14:paraId="2DD3E90A" w14:textId="77777777" w:rsidR="000D2D79" w:rsidRPr="009F337B" w:rsidRDefault="000D2D79" w:rsidP="003D3071">
            <w:pPr>
              <w:jc w:val="center"/>
              <w:rPr>
                <w:sz w:val="16"/>
                <w:szCs w:val="16"/>
                <w:lang w:val="en-US"/>
              </w:rPr>
            </w:pPr>
            <w:r w:rsidRPr="009F337B">
              <w:rPr>
                <w:sz w:val="16"/>
                <w:szCs w:val="16"/>
                <w:lang w:val="en-US"/>
              </w:rPr>
              <w:t>2</w:t>
            </w:r>
          </w:p>
        </w:tc>
        <w:tc>
          <w:tcPr>
            <w:tcW w:w="4785" w:type="dxa"/>
            <w:vAlign w:val="center"/>
          </w:tcPr>
          <w:p w14:paraId="359FFC86" w14:textId="1ADB7EEE" w:rsidR="000D2D79" w:rsidRPr="009F337B" w:rsidRDefault="000D2D79" w:rsidP="00F23970">
            <w:pPr>
              <w:jc w:val="left"/>
              <w:rPr>
                <w:sz w:val="16"/>
                <w:szCs w:val="16"/>
                <w:lang w:val="en-US"/>
              </w:rPr>
            </w:pPr>
            <w:r w:rsidRPr="009F337B">
              <w:rPr>
                <w:sz w:val="16"/>
                <w:szCs w:val="16"/>
                <w:lang w:val="en-US"/>
              </w:rPr>
              <w:t>Brandon David</w:t>
            </w:r>
            <w:r w:rsidR="00F608A7" w:rsidRPr="009F337B">
              <w:rPr>
                <w:sz w:val="16"/>
                <w:szCs w:val="16"/>
                <w:lang w:val="en-US"/>
              </w:rPr>
              <w:t xml:space="preserve"> Adalberto</w:t>
            </w:r>
            <w:r w:rsidRPr="009F337B">
              <w:rPr>
                <w:sz w:val="16"/>
                <w:szCs w:val="16"/>
                <w:lang w:val="en-US"/>
              </w:rPr>
              <w:t xml:space="preserve"> Gómez Morales (</w:t>
            </w:r>
            <w:r w:rsidR="0010522A" w:rsidRPr="009F337B">
              <w:rPr>
                <w:sz w:val="16"/>
                <w:szCs w:val="16"/>
                <w:lang w:val="en-US"/>
              </w:rPr>
              <w:t>Son</w:t>
            </w:r>
            <w:r w:rsidRPr="009F337B">
              <w:rPr>
                <w:sz w:val="16"/>
                <w:szCs w:val="16"/>
                <w:lang w:val="en-US"/>
              </w:rPr>
              <w:t>)</w:t>
            </w:r>
          </w:p>
        </w:tc>
      </w:tr>
      <w:tr w:rsidR="000D2D79" w:rsidRPr="009F337B" w14:paraId="07F98DFF" w14:textId="77777777" w:rsidTr="009932B2">
        <w:tc>
          <w:tcPr>
            <w:tcW w:w="560" w:type="dxa"/>
            <w:vAlign w:val="center"/>
          </w:tcPr>
          <w:p w14:paraId="1572EDB9" w14:textId="77777777" w:rsidR="000D2D79" w:rsidRPr="009F337B" w:rsidRDefault="000D2D79" w:rsidP="003D3071">
            <w:pPr>
              <w:jc w:val="center"/>
              <w:rPr>
                <w:sz w:val="16"/>
                <w:szCs w:val="16"/>
                <w:lang w:val="en-US"/>
              </w:rPr>
            </w:pPr>
            <w:r w:rsidRPr="009F337B">
              <w:rPr>
                <w:sz w:val="16"/>
                <w:szCs w:val="16"/>
                <w:lang w:val="en-US"/>
              </w:rPr>
              <w:t>2</w:t>
            </w:r>
          </w:p>
        </w:tc>
        <w:tc>
          <w:tcPr>
            <w:tcW w:w="3092" w:type="dxa"/>
            <w:vAlign w:val="center"/>
          </w:tcPr>
          <w:p w14:paraId="751696B0" w14:textId="77777777" w:rsidR="000D2D79" w:rsidRPr="009F337B" w:rsidRDefault="000D2D79" w:rsidP="00F23970">
            <w:pPr>
              <w:jc w:val="left"/>
              <w:rPr>
                <w:sz w:val="16"/>
                <w:szCs w:val="16"/>
                <w:lang w:val="en-US"/>
              </w:rPr>
            </w:pPr>
            <w:r w:rsidRPr="009F337B">
              <w:rPr>
                <w:sz w:val="16"/>
                <w:szCs w:val="16"/>
                <w:lang w:val="en-US"/>
              </w:rPr>
              <w:t>Reina López Mujica</w:t>
            </w:r>
          </w:p>
        </w:tc>
        <w:tc>
          <w:tcPr>
            <w:tcW w:w="567" w:type="dxa"/>
            <w:vAlign w:val="center"/>
          </w:tcPr>
          <w:p w14:paraId="7E9FDEE3" w14:textId="77777777" w:rsidR="000D2D79" w:rsidRPr="009F337B" w:rsidRDefault="000D2D79" w:rsidP="003D3071">
            <w:pPr>
              <w:jc w:val="center"/>
              <w:rPr>
                <w:sz w:val="16"/>
                <w:szCs w:val="16"/>
                <w:lang w:val="en-US"/>
              </w:rPr>
            </w:pPr>
          </w:p>
        </w:tc>
        <w:tc>
          <w:tcPr>
            <w:tcW w:w="4785" w:type="dxa"/>
            <w:vAlign w:val="center"/>
          </w:tcPr>
          <w:p w14:paraId="56369B88" w14:textId="77777777" w:rsidR="000D2D79" w:rsidRPr="009F337B" w:rsidRDefault="000D2D79" w:rsidP="00F23970">
            <w:pPr>
              <w:jc w:val="left"/>
              <w:rPr>
                <w:sz w:val="16"/>
                <w:szCs w:val="16"/>
                <w:lang w:val="en-US"/>
              </w:rPr>
            </w:pPr>
          </w:p>
        </w:tc>
      </w:tr>
      <w:tr w:rsidR="000D2D79" w:rsidRPr="009F337B" w14:paraId="1AB246BA" w14:textId="77777777" w:rsidTr="009932B2">
        <w:tc>
          <w:tcPr>
            <w:tcW w:w="560" w:type="dxa"/>
            <w:vMerge w:val="restart"/>
            <w:vAlign w:val="center"/>
          </w:tcPr>
          <w:p w14:paraId="0BC91E19" w14:textId="77777777" w:rsidR="000D2D79" w:rsidRPr="009F337B" w:rsidRDefault="000D2D79" w:rsidP="003D3071">
            <w:pPr>
              <w:jc w:val="center"/>
              <w:rPr>
                <w:sz w:val="16"/>
                <w:szCs w:val="16"/>
                <w:lang w:val="en-US"/>
              </w:rPr>
            </w:pPr>
            <w:r w:rsidRPr="009F337B">
              <w:rPr>
                <w:sz w:val="16"/>
                <w:szCs w:val="16"/>
                <w:lang w:val="en-US"/>
              </w:rPr>
              <w:t>3</w:t>
            </w:r>
          </w:p>
        </w:tc>
        <w:tc>
          <w:tcPr>
            <w:tcW w:w="3092" w:type="dxa"/>
            <w:vMerge w:val="restart"/>
            <w:vAlign w:val="center"/>
          </w:tcPr>
          <w:p w14:paraId="3D9449DF" w14:textId="77777777" w:rsidR="000D2D79" w:rsidRPr="009F337B" w:rsidRDefault="000D2D79" w:rsidP="00F23970">
            <w:pPr>
              <w:jc w:val="left"/>
              <w:rPr>
                <w:sz w:val="16"/>
                <w:szCs w:val="16"/>
                <w:lang w:val="en-US"/>
              </w:rPr>
            </w:pPr>
            <w:r w:rsidRPr="009F337B">
              <w:rPr>
                <w:sz w:val="16"/>
                <w:szCs w:val="16"/>
                <w:lang w:val="en-US"/>
              </w:rPr>
              <w:t>Ismar Ramírez Chajón</w:t>
            </w:r>
          </w:p>
        </w:tc>
        <w:tc>
          <w:tcPr>
            <w:tcW w:w="567" w:type="dxa"/>
            <w:vAlign w:val="center"/>
          </w:tcPr>
          <w:p w14:paraId="7CE2D0F7" w14:textId="2F778488" w:rsidR="000D2D79" w:rsidRPr="009F337B" w:rsidRDefault="00FB476A" w:rsidP="003D3071">
            <w:pPr>
              <w:jc w:val="center"/>
              <w:rPr>
                <w:sz w:val="16"/>
                <w:szCs w:val="16"/>
                <w:lang w:val="en-US"/>
              </w:rPr>
            </w:pPr>
            <w:r w:rsidRPr="009F337B">
              <w:rPr>
                <w:sz w:val="16"/>
                <w:szCs w:val="16"/>
                <w:lang w:val="en-US"/>
              </w:rPr>
              <w:t>3</w:t>
            </w:r>
          </w:p>
        </w:tc>
        <w:tc>
          <w:tcPr>
            <w:tcW w:w="4785" w:type="dxa"/>
            <w:vAlign w:val="center"/>
          </w:tcPr>
          <w:p w14:paraId="24779595" w14:textId="58EA04AB" w:rsidR="000D2D79" w:rsidRPr="00542AB5" w:rsidRDefault="000D2D79" w:rsidP="00F23970">
            <w:pPr>
              <w:jc w:val="left"/>
              <w:rPr>
                <w:sz w:val="16"/>
                <w:szCs w:val="16"/>
                <w:lang w:val="es-CR"/>
              </w:rPr>
            </w:pPr>
            <w:r w:rsidRPr="00542AB5">
              <w:rPr>
                <w:sz w:val="16"/>
                <w:szCs w:val="16"/>
                <w:lang w:val="es-CR"/>
              </w:rPr>
              <w:t>María de Jesús Chajón de León (</w:t>
            </w:r>
            <w:r w:rsidR="0010522A" w:rsidRPr="00542AB5">
              <w:rPr>
                <w:sz w:val="16"/>
                <w:szCs w:val="16"/>
                <w:lang w:val="es-CR"/>
              </w:rPr>
              <w:t>Mother</w:t>
            </w:r>
            <w:r w:rsidRPr="00542AB5">
              <w:rPr>
                <w:sz w:val="16"/>
                <w:szCs w:val="16"/>
                <w:lang w:val="es-CR"/>
              </w:rPr>
              <w:t>)</w:t>
            </w:r>
          </w:p>
        </w:tc>
      </w:tr>
      <w:tr w:rsidR="000D2D79" w:rsidRPr="009F337B" w14:paraId="0F0C70F8" w14:textId="77777777" w:rsidTr="009932B2">
        <w:tc>
          <w:tcPr>
            <w:tcW w:w="560" w:type="dxa"/>
            <w:vMerge/>
            <w:vAlign w:val="center"/>
          </w:tcPr>
          <w:p w14:paraId="44501FFE" w14:textId="77777777" w:rsidR="000D2D79" w:rsidRPr="00542AB5" w:rsidRDefault="000D2D79" w:rsidP="003D3071">
            <w:pPr>
              <w:jc w:val="center"/>
              <w:rPr>
                <w:sz w:val="16"/>
                <w:szCs w:val="16"/>
                <w:lang w:val="es-CR"/>
              </w:rPr>
            </w:pPr>
          </w:p>
        </w:tc>
        <w:tc>
          <w:tcPr>
            <w:tcW w:w="3092" w:type="dxa"/>
            <w:vMerge/>
            <w:vAlign w:val="center"/>
          </w:tcPr>
          <w:p w14:paraId="50E8259E" w14:textId="77777777" w:rsidR="000D2D79" w:rsidRPr="00542AB5" w:rsidRDefault="000D2D79" w:rsidP="00F23970">
            <w:pPr>
              <w:jc w:val="left"/>
              <w:rPr>
                <w:sz w:val="16"/>
                <w:szCs w:val="16"/>
                <w:lang w:val="es-CR"/>
              </w:rPr>
            </w:pPr>
          </w:p>
        </w:tc>
        <w:tc>
          <w:tcPr>
            <w:tcW w:w="567" w:type="dxa"/>
            <w:vAlign w:val="center"/>
          </w:tcPr>
          <w:p w14:paraId="74F81023" w14:textId="61CDDA36" w:rsidR="000D2D79" w:rsidRPr="009F337B" w:rsidRDefault="00FB476A" w:rsidP="003D3071">
            <w:pPr>
              <w:jc w:val="center"/>
              <w:rPr>
                <w:sz w:val="16"/>
                <w:szCs w:val="16"/>
                <w:lang w:val="en-US"/>
              </w:rPr>
            </w:pPr>
            <w:r w:rsidRPr="009F337B">
              <w:rPr>
                <w:sz w:val="16"/>
                <w:szCs w:val="16"/>
                <w:lang w:val="en-US"/>
              </w:rPr>
              <w:t>4</w:t>
            </w:r>
          </w:p>
        </w:tc>
        <w:tc>
          <w:tcPr>
            <w:tcW w:w="4785" w:type="dxa"/>
            <w:vAlign w:val="center"/>
          </w:tcPr>
          <w:p w14:paraId="6B900493" w14:textId="7B6C7A3B" w:rsidR="000D2D79" w:rsidRPr="00542AB5" w:rsidRDefault="000D2D79" w:rsidP="00F23970">
            <w:pPr>
              <w:jc w:val="left"/>
              <w:rPr>
                <w:sz w:val="16"/>
                <w:szCs w:val="16"/>
                <w:lang w:val="es-CR"/>
              </w:rPr>
            </w:pPr>
            <w:r w:rsidRPr="00542AB5">
              <w:rPr>
                <w:sz w:val="16"/>
                <w:szCs w:val="16"/>
                <w:lang w:val="es-CR"/>
              </w:rPr>
              <w:t>Carlos Fer</w:t>
            </w:r>
            <w:r w:rsidR="00E01D6E" w:rsidRPr="00542AB5">
              <w:rPr>
                <w:sz w:val="16"/>
                <w:szCs w:val="16"/>
                <w:lang w:val="es-CR"/>
              </w:rPr>
              <w:t>nando Coc</w:t>
            </w:r>
            <w:r w:rsidRPr="00542AB5">
              <w:rPr>
                <w:sz w:val="16"/>
                <w:szCs w:val="16"/>
                <w:lang w:val="es-CR"/>
              </w:rPr>
              <w:t xml:space="preserve"> Chajón (</w:t>
            </w:r>
            <w:r w:rsidR="0010522A" w:rsidRPr="00542AB5">
              <w:rPr>
                <w:sz w:val="16"/>
                <w:szCs w:val="16"/>
                <w:lang w:val="es-CR"/>
              </w:rPr>
              <w:t>Brother</w:t>
            </w:r>
            <w:r w:rsidRPr="00542AB5">
              <w:rPr>
                <w:sz w:val="16"/>
                <w:szCs w:val="16"/>
                <w:lang w:val="es-CR"/>
              </w:rPr>
              <w:t>)</w:t>
            </w:r>
          </w:p>
        </w:tc>
      </w:tr>
      <w:tr w:rsidR="000D2D79" w:rsidRPr="009F337B" w14:paraId="32F4D207" w14:textId="77777777" w:rsidTr="009932B2">
        <w:tc>
          <w:tcPr>
            <w:tcW w:w="560" w:type="dxa"/>
            <w:vAlign w:val="center"/>
          </w:tcPr>
          <w:p w14:paraId="6B568D6B" w14:textId="77777777" w:rsidR="000D2D79" w:rsidRPr="009F337B" w:rsidRDefault="000D2D79" w:rsidP="003D3071">
            <w:pPr>
              <w:jc w:val="center"/>
              <w:rPr>
                <w:sz w:val="16"/>
                <w:szCs w:val="16"/>
                <w:lang w:val="en-US"/>
              </w:rPr>
            </w:pPr>
            <w:r w:rsidRPr="009F337B">
              <w:rPr>
                <w:sz w:val="16"/>
                <w:szCs w:val="16"/>
                <w:lang w:val="en-US"/>
              </w:rPr>
              <w:t>4</w:t>
            </w:r>
          </w:p>
        </w:tc>
        <w:tc>
          <w:tcPr>
            <w:tcW w:w="3092" w:type="dxa"/>
            <w:vAlign w:val="center"/>
          </w:tcPr>
          <w:p w14:paraId="727C2BF8" w14:textId="77777777" w:rsidR="000D2D79" w:rsidRPr="009F337B" w:rsidRDefault="000D2D79" w:rsidP="00F23970">
            <w:pPr>
              <w:jc w:val="left"/>
              <w:rPr>
                <w:sz w:val="16"/>
                <w:szCs w:val="16"/>
                <w:lang w:val="en-US"/>
              </w:rPr>
            </w:pPr>
            <w:r w:rsidRPr="009F337B">
              <w:rPr>
                <w:sz w:val="16"/>
                <w:szCs w:val="16"/>
                <w:lang w:val="en-US"/>
              </w:rPr>
              <w:t>Petrona López Robledo</w:t>
            </w:r>
          </w:p>
        </w:tc>
        <w:tc>
          <w:tcPr>
            <w:tcW w:w="567" w:type="dxa"/>
            <w:vAlign w:val="center"/>
          </w:tcPr>
          <w:p w14:paraId="20AFAABA" w14:textId="77777777" w:rsidR="000D2D79" w:rsidRPr="009F337B" w:rsidRDefault="000D2D79" w:rsidP="003D3071">
            <w:pPr>
              <w:jc w:val="center"/>
              <w:rPr>
                <w:sz w:val="16"/>
                <w:szCs w:val="16"/>
                <w:lang w:val="en-US"/>
              </w:rPr>
            </w:pPr>
          </w:p>
        </w:tc>
        <w:tc>
          <w:tcPr>
            <w:tcW w:w="4785" w:type="dxa"/>
            <w:vAlign w:val="center"/>
          </w:tcPr>
          <w:p w14:paraId="0E356F20" w14:textId="77777777" w:rsidR="000D2D79" w:rsidRPr="009F337B" w:rsidRDefault="000D2D79" w:rsidP="00F23970">
            <w:pPr>
              <w:jc w:val="left"/>
              <w:rPr>
                <w:sz w:val="16"/>
                <w:szCs w:val="16"/>
                <w:lang w:val="en-US"/>
              </w:rPr>
            </w:pPr>
          </w:p>
        </w:tc>
      </w:tr>
      <w:tr w:rsidR="000D2D79" w:rsidRPr="009F337B" w14:paraId="73962C1C" w14:textId="77777777" w:rsidTr="009932B2">
        <w:tc>
          <w:tcPr>
            <w:tcW w:w="560" w:type="dxa"/>
            <w:vAlign w:val="center"/>
          </w:tcPr>
          <w:p w14:paraId="752A213E" w14:textId="77777777" w:rsidR="000D2D79" w:rsidRPr="009F337B" w:rsidRDefault="000D2D79" w:rsidP="003D3071">
            <w:pPr>
              <w:jc w:val="center"/>
              <w:rPr>
                <w:sz w:val="16"/>
                <w:szCs w:val="16"/>
                <w:lang w:val="en-US"/>
              </w:rPr>
            </w:pPr>
            <w:r w:rsidRPr="009F337B">
              <w:rPr>
                <w:sz w:val="16"/>
                <w:szCs w:val="16"/>
                <w:lang w:val="en-US"/>
              </w:rPr>
              <w:t>5</w:t>
            </w:r>
          </w:p>
        </w:tc>
        <w:tc>
          <w:tcPr>
            <w:tcW w:w="3092" w:type="dxa"/>
            <w:vAlign w:val="center"/>
          </w:tcPr>
          <w:p w14:paraId="6C4A4B65" w14:textId="77777777" w:rsidR="000D2D79" w:rsidRPr="009F337B" w:rsidRDefault="000D2D79" w:rsidP="00F23970">
            <w:pPr>
              <w:jc w:val="left"/>
              <w:rPr>
                <w:sz w:val="16"/>
                <w:szCs w:val="16"/>
                <w:lang w:val="en-US"/>
              </w:rPr>
            </w:pPr>
            <w:r w:rsidRPr="009F337B">
              <w:rPr>
                <w:sz w:val="16"/>
                <w:szCs w:val="16"/>
                <w:lang w:val="en-US"/>
              </w:rPr>
              <w:t>Rita Mariana Dubón Orozco</w:t>
            </w:r>
          </w:p>
        </w:tc>
        <w:tc>
          <w:tcPr>
            <w:tcW w:w="567" w:type="dxa"/>
            <w:vAlign w:val="center"/>
          </w:tcPr>
          <w:p w14:paraId="793B55E7" w14:textId="509EFED7" w:rsidR="000D2D79" w:rsidRPr="009F337B" w:rsidRDefault="005C4A7F" w:rsidP="003D3071">
            <w:pPr>
              <w:jc w:val="center"/>
              <w:rPr>
                <w:sz w:val="16"/>
                <w:szCs w:val="16"/>
                <w:lang w:val="en-US"/>
              </w:rPr>
            </w:pPr>
            <w:r w:rsidRPr="009F337B">
              <w:rPr>
                <w:sz w:val="16"/>
                <w:szCs w:val="16"/>
                <w:lang w:val="en-US"/>
              </w:rPr>
              <w:t>5</w:t>
            </w:r>
          </w:p>
        </w:tc>
        <w:tc>
          <w:tcPr>
            <w:tcW w:w="4785" w:type="dxa"/>
            <w:vAlign w:val="center"/>
          </w:tcPr>
          <w:p w14:paraId="745B74A1" w14:textId="1D7AAF7D" w:rsidR="000D2D79" w:rsidRPr="00542AB5" w:rsidRDefault="00E01D6E" w:rsidP="00F23970">
            <w:pPr>
              <w:jc w:val="left"/>
              <w:rPr>
                <w:sz w:val="16"/>
                <w:szCs w:val="16"/>
                <w:lang w:val="es-CR"/>
              </w:rPr>
            </w:pPr>
            <w:r w:rsidRPr="00542AB5">
              <w:rPr>
                <w:sz w:val="16"/>
                <w:szCs w:val="16"/>
                <w:lang w:val="es-CR"/>
              </w:rPr>
              <w:t>Luz Imelda Lucas</w:t>
            </w:r>
            <w:r w:rsidR="00F608A7" w:rsidRPr="00542AB5">
              <w:rPr>
                <w:sz w:val="16"/>
                <w:szCs w:val="16"/>
                <w:lang w:val="es-CR"/>
              </w:rPr>
              <w:t xml:space="preserve"> de</w:t>
            </w:r>
            <w:r w:rsidRPr="00542AB5">
              <w:rPr>
                <w:sz w:val="16"/>
                <w:szCs w:val="16"/>
                <w:lang w:val="es-CR"/>
              </w:rPr>
              <w:t xml:space="preserve"> León</w:t>
            </w:r>
          </w:p>
        </w:tc>
      </w:tr>
      <w:tr w:rsidR="000D2D79" w:rsidRPr="009F337B" w14:paraId="2220F721" w14:textId="77777777" w:rsidTr="009932B2">
        <w:tc>
          <w:tcPr>
            <w:tcW w:w="560" w:type="dxa"/>
            <w:vAlign w:val="center"/>
          </w:tcPr>
          <w:p w14:paraId="63273677" w14:textId="77777777" w:rsidR="000D2D79" w:rsidRPr="009F337B" w:rsidRDefault="000D2D79" w:rsidP="003D3071">
            <w:pPr>
              <w:jc w:val="center"/>
              <w:rPr>
                <w:sz w:val="16"/>
                <w:szCs w:val="16"/>
                <w:lang w:val="en-US"/>
              </w:rPr>
            </w:pPr>
            <w:r w:rsidRPr="009F337B">
              <w:rPr>
                <w:sz w:val="16"/>
                <w:szCs w:val="16"/>
                <w:lang w:val="en-US"/>
              </w:rPr>
              <w:t>6</w:t>
            </w:r>
          </w:p>
        </w:tc>
        <w:tc>
          <w:tcPr>
            <w:tcW w:w="3092" w:type="dxa"/>
            <w:vAlign w:val="center"/>
          </w:tcPr>
          <w:p w14:paraId="72615CA7" w14:textId="63C87D45" w:rsidR="000D2D79" w:rsidRPr="009F337B" w:rsidRDefault="00F608A7" w:rsidP="00F23970">
            <w:pPr>
              <w:jc w:val="left"/>
              <w:rPr>
                <w:sz w:val="16"/>
                <w:szCs w:val="16"/>
                <w:lang w:val="en-US"/>
              </w:rPr>
            </w:pPr>
            <w:r w:rsidRPr="009F337B">
              <w:rPr>
                <w:sz w:val="16"/>
                <w:szCs w:val="16"/>
                <w:lang w:val="en-US"/>
              </w:rPr>
              <w:t>Luis Edwin Cruz Gramajo</w:t>
            </w:r>
          </w:p>
        </w:tc>
        <w:tc>
          <w:tcPr>
            <w:tcW w:w="567" w:type="dxa"/>
            <w:vAlign w:val="center"/>
          </w:tcPr>
          <w:p w14:paraId="1C2C6250" w14:textId="77777777" w:rsidR="000D2D79" w:rsidRPr="009F337B" w:rsidRDefault="000D2D79" w:rsidP="003D3071">
            <w:pPr>
              <w:jc w:val="center"/>
              <w:rPr>
                <w:sz w:val="16"/>
                <w:szCs w:val="16"/>
                <w:lang w:val="en-US"/>
              </w:rPr>
            </w:pPr>
          </w:p>
        </w:tc>
        <w:tc>
          <w:tcPr>
            <w:tcW w:w="4785" w:type="dxa"/>
            <w:vAlign w:val="center"/>
          </w:tcPr>
          <w:p w14:paraId="6DC46343" w14:textId="77777777" w:rsidR="000D2D79" w:rsidRPr="009F337B" w:rsidRDefault="000D2D79" w:rsidP="00F23970">
            <w:pPr>
              <w:jc w:val="left"/>
              <w:rPr>
                <w:sz w:val="16"/>
                <w:szCs w:val="16"/>
                <w:lang w:val="en-US"/>
              </w:rPr>
            </w:pPr>
          </w:p>
        </w:tc>
      </w:tr>
      <w:tr w:rsidR="007F18B8" w:rsidRPr="009F337B" w14:paraId="0139F28D" w14:textId="77777777" w:rsidTr="009932B2">
        <w:tc>
          <w:tcPr>
            <w:tcW w:w="560" w:type="dxa"/>
            <w:vMerge w:val="restart"/>
            <w:vAlign w:val="center"/>
          </w:tcPr>
          <w:p w14:paraId="5593CC90" w14:textId="518CBB4D" w:rsidR="007F18B8" w:rsidRPr="009F337B" w:rsidRDefault="007F18B8" w:rsidP="003D3071">
            <w:pPr>
              <w:jc w:val="center"/>
              <w:rPr>
                <w:sz w:val="16"/>
                <w:szCs w:val="16"/>
                <w:lang w:val="en-US"/>
              </w:rPr>
            </w:pPr>
            <w:r w:rsidRPr="009F337B">
              <w:rPr>
                <w:sz w:val="16"/>
                <w:szCs w:val="16"/>
                <w:lang w:val="en-US"/>
              </w:rPr>
              <w:t>7</w:t>
            </w:r>
          </w:p>
        </w:tc>
        <w:tc>
          <w:tcPr>
            <w:tcW w:w="3092" w:type="dxa"/>
            <w:vMerge w:val="restart"/>
            <w:vAlign w:val="center"/>
          </w:tcPr>
          <w:p w14:paraId="221B9492" w14:textId="6A06CC8A" w:rsidR="007F18B8" w:rsidRPr="009F337B" w:rsidRDefault="007F18B8" w:rsidP="00F608A7">
            <w:pPr>
              <w:jc w:val="left"/>
              <w:rPr>
                <w:sz w:val="16"/>
                <w:szCs w:val="16"/>
                <w:lang w:val="en-US"/>
              </w:rPr>
            </w:pPr>
            <w:r w:rsidRPr="009F337B">
              <w:rPr>
                <w:sz w:val="16"/>
                <w:szCs w:val="16"/>
                <w:lang w:val="en-US"/>
              </w:rPr>
              <w:t>María Blanca Va</w:t>
            </w:r>
            <w:r w:rsidR="00F608A7" w:rsidRPr="009F337B">
              <w:rPr>
                <w:sz w:val="16"/>
                <w:szCs w:val="16"/>
                <w:lang w:val="en-US"/>
              </w:rPr>
              <w:t>í</w:t>
            </w:r>
            <w:r w:rsidRPr="009F337B">
              <w:rPr>
                <w:sz w:val="16"/>
                <w:szCs w:val="16"/>
                <w:lang w:val="en-US"/>
              </w:rPr>
              <w:t>l López</w:t>
            </w:r>
          </w:p>
        </w:tc>
        <w:tc>
          <w:tcPr>
            <w:tcW w:w="567" w:type="dxa"/>
            <w:vAlign w:val="center"/>
          </w:tcPr>
          <w:p w14:paraId="171F59DE" w14:textId="5EC48A4E" w:rsidR="007F18B8" w:rsidRPr="009F337B" w:rsidRDefault="005C4A7F" w:rsidP="003D3071">
            <w:pPr>
              <w:jc w:val="center"/>
              <w:rPr>
                <w:sz w:val="16"/>
                <w:szCs w:val="16"/>
                <w:lang w:val="en-US"/>
              </w:rPr>
            </w:pPr>
            <w:r w:rsidRPr="009F337B">
              <w:rPr>
                <w:sz w:val="16"/>
                <w:szCs w:val="16"/>
                <w:lang w:val="en-US"/>
              </w:rPr>
              <w:t>6</w:t>
            </w:r>
          </w:p>
        </w:tc>
        <w:tc>
          <w:tcPr>
            <w:tcW w:w="4785" w:type="dxa"/>
            <w:vAlign w:val="center"/>
          </w:tcPr>
          <w:p w14:paraId="28C74F4D" w14:textId="3931B557" w:rsidR="007F18B8" w:rsidRPr="009F337B" w:rsidRDefault="00F608A7" w:rsidP="00F23970">
            <w:pPr>
              <w:jc w:val="left"/>
              <w:rPr>
                <w:sz w:val="16"/>
                <w:szCs w:val="16"/>
                <w:lang w:val="en-US"/>
              </w:rPr>
            </w:pPr>
            <w:r w:rsidRPr="009F337B">
              <w:rPr>
                <w:sz w:val="16"/>
                <w:szCs w:val="16"/>
                <w:lang w:val="en-US"/>
              </w:rPr>
              <w:t>Lexana Rosbetty Pérez Vaíl</w:t>
            </w:r>
          </w:p>
        </w:tc>
      </w:tr>
      <w:tr w:rsidR="007F18B8" w:rsidRPr="009F337B" w14:paraId="49740A46" w14:textId="77777777" w:rsidTr="009932B2">
        <w:tc>
          <w:tcPr>
            <w:tcW w:w="560" w:type="dxa"/>
            <w:vMerge/>
            <w:vAlign w:val="center"/>
          </w:tcPr>
          <w:p w14:paraId="0D81BB9F" w14:textId="77777777" w:rsidR="007F18B8" w:rsidRPr="009F337B" w:rsidRDefault="007F18B8" w:rsidP="003D3071">
            <w:pPr>
              <w:jc w:val="center"/>
              <w:rPr>
                <w:sz w:val="16"/>
                <w:szCs w:val="16"/>
                <w:lang w:val="en-US"/>
              </w:rPr>
            </w:pPr>
          </w:p>
        </w:tc>
        <w:tc>
          <w:tcPr>
            <w:tcW w:w="3092" w:type="dxa"/>
            <w:vMerge/>
            <w:vAlign w:val="center"/>
          </w:tcPr>
          <w:p w14:paraId="45077317" w14:textId="77777777" w:rsidR="007F18B8" w:rsidRPr="009F337B" w:rsidRDefault="007F18B8" w:rsidP="00F23970">
            <w:pPr>
              <w:jc w:val="left"/>
              <w:rPr>
                <w:sz w:val="16"/>
                <w:szCs w:val="16"/>
                <w:lang w:val="en-US"/>
              </w:rPr>
            </w:pPr>
          </w:p>
        </w:tc>
        <w:tc>
          <w:tcPr>
            <w:tcW w:w="567" w:type="dxa"/>
            <w:vAlign w:val="center"/>
          </w:tcPr>
          <w:p w14:paraId="49D71943" w14:textId="10C5BF59" w:rsidR="007F18B8" w:rsidRPr="009F337B" w:rsidRDefault="005C4A7F" w:rsidP="003D3071">
            <w:pPr>
              <w:jc w:val="center"/>
              <w:rPr>
                <w:sz w:val="16"/>
                <w:szCs w:val="16"/>
                <w:lang w:val="en-US"/>
              </w:rPr>
            </w:pPr>
            <w:r w:rsidRPr="009F337B">
              <w:rPr>
                <w:sz w:val="16"/>
                <w:szCs w:val="16"/>
                <w:lang w:val="en-US"/>
              </w:rPr>
              <w:t>7</w:t>
            </w:r>
          </w:p>
        </w:tc>
        <w:tc>
          <w:tcPr>
            <w:tcW w:w="4785" w:type="dxa"/>
            <w:vAlign w:val="center"/>
          </w:tcPr>
          <w:p w14:paraId="5BF10C5C" w14:textId="5F970C4D" w:rsidR="007F18B8" w:rsidRPr="009F337B" w:rsidRDefault="00F608A7" w:rsidP="00F23970">
            <w:pPr>
              <w:jc w:val="left"/>
              <w:rPr>
                <w:sz w:val="16"/>
                <w:szCs w:val="16"/>
                <w:lang w:val="en-US"/>
              </w:rPr>
            </w:pPr>
            <w:r w:rsidRPr="009F337B">
              <w:rPr>
                <w:sz w:val="16"/>
                <w:szCs w:val="16"/>
                <w:lang w:val="en-US"/>
              </w:rPr>
              <w:t>Antonio Vaíl</w:t>
            </w:r>
            <w:r w:rsidR="007F18B8" w:rsidRPr="009F337B">
              <w:rPr>
                <w:sz w:val="16"/>
                <w:szCs w:val="16"/>
                <w:lang w:val="en-US"/>
              </w:rPr>
              <w:t xml:space="preserve"> Molina</w:t>
            </w:r>
          </w:p>
        </w:tc>
      </w:tr>
      <w:tr w:rsidR="000D2D79" w:rsidRPr="009F337B" w14:paraId="3B030290" w14:textId="77777777" w:rsidTr="009932B2">
        <w:tc>
          <w:tcPr>
            <w:tcW w:w="560" w:type="dxa"/>
            <w:vMerge w:val="restart"/>
            <w:vAlign w:val="center"/>
          </w:tcPr>
          <w:p w14:paraId="65B57524" w14:textId="39C83D68" w:rsidR="000D2D79" w:rsidRPr="009F337B" w:rsidRDefault="00E01D6E" w:rsidP="003D3071">
            <w:pPr>
              <w:jc w:val="center"/>
              <w:rPr>
                <w:sz w:val="16"/>
                <w:szCs w:val="16"/>
                <w:lang w:val="en-US"/>
              </w:rPr>
            </w:pPr>
            <w:r w:rsidRPr="009F337B">
              <w:rPr>
                <w:sz w:val="16"/>
                <w:szCs w:val="16"/>
                <w:lang w:val="en-US"/>
              </w:rPr>
              <w:t>8</w:t>
            </w:r>
          </w:p>
        </w:tc>
        <w:tc>
          <w:tcPr>
            <w:tcW w:w="3092" w:type="dxa"/>
            <w:vMerge w:val="restart"/>
            <w:vAlign w:val="center"/>
          </w:tcPr>
          <w:p w14:paraId="7D5BE334" w14:textId="5A0C08B9" w:rsidR="000D2D79" w:rsidRPr="009F337B" w:rsidRDefault="00F608A7" w:rsidP="00767761">
            <w:pPr>
              <w:jc w:val="left"/>
              <w:rPr>
                <w:sz w:val="16"/>
                <w:szCs w:val="16"/>
                <w:lang w:val="en-US"/>
              </w:rPr>
            </w:pPr>
            <w:r w:rsidRPr="009F337B">
              <w:rPr>
                <w:sz w:val="16"/>
                <w:szCs w:val="16"/>
                <w:lang w:val="en-US"/>
              </w:rPr>
              <w:t>Guadalupe He</w:t>
            </w:r>
            <w:r w:rsidR="000D2D79" w:rsidRPr="009F337B">
              <w:rPr>
                <w:sz w:val="16"/>
                <w:szCs w:val="16"/>
                <w:lang w:val="en-US"/>
              </w:rPr>
              <w:t>rminia Cayax</w:t>
            </w:r>
            <w:r w:rsidR="00767761" w:rsidRPr="009F337B">
              <w:rPr>
                <w:sz w:val="16"/>
                <w:szCs w:val="16"/>
                <w:lang w:val="en-US"/>
              </w:rPr>
              <w:t>o</w:t>
            </w:r>
            <w:r w:rsidR="000D2D79" w:rsidRPr="009F337B">
              <w:rPr>
                <w:sz w:val="16"/>
                <w:szCs w:val="16"/>
                <w:lang w:val="en-US"/>
              </w:rPr>
              <w:t>n García</w:t>
            </w:r>
          </w:p>
        </w:tc>
        <w:tc>
          <w:tcPr>
            <w:tcW w:w="567" w:type="dxa"/>
            <w:vAlign w:val="center"/>
          </w:tcPr>
          <w:p w14:paraId="49284F21" w14:textId="7DE37459" w:rsidR="000D2D79" w:rsidRPr="009F337B" w:rsidRDefault="005C4A7F" w:rsidP="003D3071">
            <w:pPr>
              <w:jc w:val="center"/>
              <w:rPr>
                <w:sz w:val="16"/>
                <w:szCs w:val="16"/>
                <w:lang w:val="en-US"/>
              </w:rPr>
            </w:pPr>
            <w:r w:rsidRPr="009F337B">
              <w:rPr>
                <w:sz w:val="16"/>
                <w:szCs w:val="16"/>
                <w:lang w:val="en-US"/>
              </w:rPr>
              <w:t>8</w:t>
            </w:r>
          </w:p>
        </w:tc>
        <w:tc>
          <w:tcPr>
            <w:tcW w:w="4785" w:type="dxa"/>
            <w:shd w:val="clear" w:color="auto" w:fill="auto"/>
            <w:vAlign w:val="center"/>
          </w:tcPr>
          <w:p w14:paraId="2A708DF7" w14:textId="2EF5C524" w:rsidR="000D2D79" w:rsidRPr="009F337B" w:rsidRDefault="00F608A7" w:rsidP="00F23970">
            <w:pPr>
              <w:jc w:val="left"/>
              <w:rPr>
                <w:sz w:val="16"/>
                <w:szCs w:val="16"/>
                <w:lang w:val="en-US"/>
              </w:rPr>
            </w:pPr>
            <w:r w:rsidRPr="009F337B">
              <w:rPr>
                <w:sz w:val="16"/>
                <w:szCs w:val="16"/>
                <w:lang w:val="en-US"/>
              </w:rPr>
              <w:t>Sandra Judith Pérez Cayaxo</w:t>
            </w:r>
            <w:r w:rsidR="000D2D79" w:rsidRPr="009F337B">
              <w:rPr>
                <w:sz w:val="16"/>
                <w:szCs w:val="16"/>
                <w:lang w:val="en-US"/>
              </w:rPr>
              <w:t>n (</w:t>
            </w:r>
            <w:r w:rsidR="0010522A" w:rsidRPr="009F337B">
              <w:rPr>
                <w:sz w:val="16"/>
                <w:szCs w:val="16"/>
                <w:lang w:val="en-US"/>
              </w:rPr>
              <w:t>Daughter</w:t>
            </w:r>
            <w:r w:rsidR="000D2D79" w:rsidRPr="009F337B">
              <w:rPr>
                <w:sz w:val="16"/>
                <w:szCs w:val="16"/>
                <w:lang w:val="en-US"/>
              </w:rPr>
              <w:t>)</w:t>
            </w:r>
          </w:p>
        </w:tc>
      </w:tr>
      <w:tr w:rsidR="000D2D79" w:rsidRPr="009F337B" w14:paraId="2A5F4A27" w14:textId="77777777" w:rsidTr="009932B2">
        <w:tc>
          <w:tcPr>
            <w:tcW w:w="560" w:type="dxa"/>
            <w:vMerge/>
            <w:vAlign w:val="center"/>
          </w:tcPr>
          <w:p w14:paraId="7D86333D" w14:textId="77777777" w:rsidR="000D2D79" w:rsidRPr="009F337B" w:rsidRDefault="000D2D79" w:rsidP="003D3071">
            <w:pPr>
              <w:jc w:val="center"/>
              <w:rPr>
                <w:sz w:val="16"/>
                <w:szCs w:val="16"/>
                <w:lang w:val="en-US"/>
              </w:rPr>
            </w:pPr>
          </w:p>
        </w:tc>
        <w:tc>
          <w:tcPr>
            <w:tcW w:w="3092" w:type="dxa"/>
            <w:vMerge/>
            <w:vAlign w:val="center"/>
          </w:tcPr>
          <w:p w14:paraId="20689EB4" w14:textId="77777777" w:rsidR="000D2D79" w:rsidRPr="009F337B" w:rsidRDefault="000D2D79" w:rsidP="00F23970">
            <w:pPr>
              <w:jc w:val="left"/>
              <w:rPr>
                <w:sz w:val="16"/>
                <w:szCs w:val="16"/>
                <w:lang w:val="en-US"/>
              </w:rPr>
            </w:pPr>
          </w:p>
        </w:tc>
        <w:tc>
          <w:tcPr>
            <w:tcW w:w="567" w:type="dxa"/>
            <w:vAlign w:val="center"/>
          </w:tcPr>
          <w:p w14:paraId="689D1650" w14:textId="2A9A0393" w:rsidR="000D2D79" w:rsidRPr="009F337B" w:rsidRDefault="005C4A7F" w:rsidP="003D3071">
            <w:pPr>
              <w:jc w:val="center"/>
              <w:rPr>
                <w:sz w:val="16"/>
                <w:szCs w:val="16"/>
                <w:lang w:val="en-US"/>
              </w:rPr>
            </w:pPr>
            <w:r w:rsidRPr="009F337B">
              <w:rPr>
                <w:sz w:val="16"/>
                <w:szCs w:val="16"/>
                <w:lang w:val="en-US"/>
              </w:rPr>
              <w:t>9</w:t>
            </w:r>
          </w:p>
        </w:tc>
        <w:tc>
          <w:tcPr>
            <w:tcW w:w="4785" w:type="dxa"/>
            <w:shd w:val="clear" w:color="auto" w:fill="auto"/>
            <w:vAlign w:val="center"/>
          </w:tcPr>
          <w:p w14:paraId="6D6DDA5E" w14:textId="6F06433A" w:rsidR="000D2D79" w:rsidRPr="009F337B" w:rsidRDefault="00F608A7" w:rsidP="00F23970">
            <w:pPr>
              <w:jc w:val="left"/>
              <w:rPr>
                <w:sz w:val="16"/>
                <w:szCs w:val="16"/>
                <w:lang w:val="en-US"/>
              </w:rPr>
            </w:pPr>
            <w:r w:rsidRPr="009F337B">
              <w:rPr>
                <w:sz w:val="16"/>
                <w:szCs w:val="16"/>
                <w:lang w:val="en-US"/>
              </w:rPr>
              <w:t>Guadalupe Pérez Cayaxo</w:t>
            </w:r>
            <w:r w:rsidR="000D2D79" w:rsidRPr="009F337B">
              <w:rPr>
                <w:sz w:val="16"/>
                <w:szCs w:val="16"/>
                <w:lang w:val="en-US"/>
              </w:rPr>
              <w:t>n (</w:t>
            </w:r>
            <w:r w:rsidR="0010522A" w:rsidRPr="009F337B">
              <w:rPr>
                <w:sz w:val="16"/>
                <w:szCs w:val="16"/>
                <w:lang w:val="en-US"/>
              </w:rPr>
              <w:t>Daughter</w:t>
            </w:r>
            <w:r w:rsidR="000D2D79" w:rsidRPr="009F337B">
              <w:rPr>
                <w:sz w:val="16"/>
                <w:szCs w:val="16"/>
                <w:lang w:val="en-US"/>
              </w:rPr>
              <w:t>)</w:t>
            </w:r>
          </w:p>
        </w:tc>
      </w:tr>
      <w:tr w:rsidR="000D2D79" w:rsidRPr="009F337B" w14:paraId="68172572" w14:textId="77777777" w:rsidTr="009932B2">
        <w:tc>
          <w:tcPr>
            <w:tcW w:w="560" w:type="dxa"/>
            <w:vMerge/>
            <w:vAlign w:val="center"/>
          </w:tcPr>
          <w:p w14:paraId="24AC7357" w14:textId="77777777" w:rsidR="000D2D79" w:rsidRPr="009F337B" w:rsidRDefault="000D2D79" w:rsidP="003D3071">
            <w:pPr>
              <w:jc w:val="center"/>
              <w:rPr>
                <w:sz w:val="16"/>
                <w:szCs w:val="16"/>
                <w:lang w:val="en-US"/>
              </w:rPr>
            </w:pPr>
          </w:p>
        </w:tc>
        <w:tc>
          <w:tcPr>
            <w:tcW w:w="3092" w:type="dxa"/>
            <w:vMerge/>
            <w:vAlign w:val="center"/>
          </w:tcPr>
          <w:p w14:paraId="06D19ACA" w14:textId="77777777" w:rsidR="000D2D79" w:rsidRPr="009F337B" w:rsidRDefault="000D2D79" w:rsidP="00F23970">
            <w:pPr>
              <w:jc w:val="left"/>
              <w:rPr>
                <w:sz w:val="16"/>
                <w:szCs w:val="16"/>
                <w:lang w:val="en-US"/>
              </w:rPr>
            </w:pPr>
          </w:p>
        </w:tc>
        <w:tc>
          <w:tcPr>
            <w:tcW w:w="567" w:type="dxa"/>
            <w:vAlign w:val="center"/>
          </w:tcPr>
          <w:p w14:paraId="322BE41E" w14:textId="0368CC75" w:rsidR="000D2D79" w:rsidRPr="009F337B" w:rsidRDefault="005C4A7F" w:rsidP="003D3071">
            <w:pPr>
              <w:jc w:val="center"/>
              <w:rPr>
                <w:sz w:val="16"/>
                <w:szCs w:val="16"/>
                <w:lang w:val="en-US"/>
              </w:rPr>
            </w:pPr>
            <w:r w:rsidRPr="009F337B">
              <w:rPr>
                <w:sz w:val="16"/>
                <w:szCs w:val="16"/>
                <w:lang w:val="en-US"/>
              </w:rPr>
              <w:t>10</w:t>
            </w:r>
          </w:p>
        </w:tc>
        <w:tc>
          <w:tcPr>
            <w:tcW w:w="4785" w:type="dxa"/>
            <w:shd w:val="clear" w:color="auto" w:fill="auto"/>
            <w:vAlign w:val="center"/>
          </w:tcPr>
          <w:p w14:paraId="58DB173B" w14:textId="6FF6F5E6" w:rsidR="000D2D79" w:rsidRPr="009F337B" w:rsidRDefault="000D2D79" w:rsidP="00F23970">
            <w:pPr>
              <w:jc w:val="left"/>
              <w:rPr>
                <w:sz w:val="16"/>
                <w:szCs w:val="16"/>
                <w:lang w:val="en-US"/>
              </w:rPr>
            </w:pPr>
            <w:r w:rsidRPr="009F337B">
              <w:rPr>
                <w:sz w:val="16"/>
                <w:szCs w:val="16"/>
                <w:lang w:val="en-US"/>
              </w:rPr>
              <w:t>Yensi</w:t>
            </w:r>
            <w:r w:rsidR="00E01D6E" w:rsidRPr="009F337B">
              <w:rPr>
                <w:sz w:val="16"/>
                <w:szCs w:val="16"/>
                <w:lang w:val="en-US"/>
              </w:rPr>
              <w:t xml:space="preserve"> Nohemí</w:t>
            </w:r>
            <w:r w:rsidR="00F608A7" w:rsidRPr="009F337B">
              <w:rPr>
                <w:sz w:val="16"/>
                <w:szCs w:val="16"/>
                <w:lang w:val="en-US"/>
              </w:rPr>
              <w:t xml:space="preserve"> Pérez Cayaxo</w:t>
            </w:r>
            <w:r w:rsidRPr="009F337B">
              <w:rPr>
                <w:sz w:val="16"/>
                <w:szCs w:val="16"/>
                <w:lang w:val="en-US"/>
              </w:rPr>
              <w:t>n (</w:t>
            </w:r>
            <w:r w:rsidR="0010522A" w:rsidRPr="009F337B">
              <w:rPr>
                <w:sz w:val="16"/>
                <w:szCs w:val="16"/>
                <w:lang w:val="en-US"/>
              </w:rPr>
              <w:t>Daughter</w:t>
            </w:r>
            <w:r w:rsidRPr="009F337B">
              <w:rPr>
                <w:sz w:val="16"/>
                <w:szCs w:val="16"/>
                <w:lang w:val="en-US"/>
              </w:rPr>
              <w:t>)</w:t>
            </w:r>
          </w:p>
        </w:tc>
      </w:tr>
      <w:tr w:rsidR="000D2D79" w:rsidRPr="009F337B" w14:paraId="4B818A5F" w14:textId="77777777" w:rsidTr="009932B2">
        <w:tc>
          <w:tcPr>
            <w:tcW w:w="560" w:type="dxa"/>
            <w:vMerge/>
            <w:vAlign w:val="center"/>
          </w:tcPr>
          <w:p w14:paraId="5B047FA6" w14:textId="77777777" w:rsidR="000D2D79" w:rsidRPr="009F337B" w:rsidRDefault="000D2D79" w:rsidP="003D3071">
            <w:pPr>
              <w:jc w:val="center"/>
              <w:rPr>
                <w:sz w:val="16"/>
                <w:szCs w:val="16"/>
                <w:lang w:val="en-US"/>
              </w:rPr>
            </w:pPr>
          </w:p>
        </w:tc>
        <w:tc>
          <w:tcPr>
            <w:tcW w:w="3092" w:type="dxa"/>
            <w:vMerge/>
            <w:vAlign w:val="center"/>
          </w:tcPr>
          <w:p w14:paraId="56A1D919" w14:textId="77777777" w:rsidR="000D2D79" w:rsidRPr="009F337B" w:rsidRDefault="000D2D79" w:rsidP="00F23970">
            <w:pPr>
              <w:jc w:val="left"/>
              <w:rPr>
                <w:sz w:val="16"/>
                <w:szCs w:val="16"/>
                <w:lang w:val="en-US"/>
              </w:rPr>
            </w:pPr>
          </w:p>
        </w:tc>
        <w:tc>
          <w:tcPr>
            <w:tcW w:w="567" w:type="dxa"/>
            <w:vAlign w:val="center"/>
          </w:tcPr>
          <w:p w14:paraId="1A126D19" w14:textId="26EF5FB2" w:rsidR="000D2D79" w:rsidRPr="009F337B" w:rsidRDefault="005C4A7F" w:rsidP="003D3071">
            <w:pPr>
              <w:jc w:val="center"/>
              <w:rPr>
                <w:sz w:val="16"/>
                <w:szCs w:val="16"/>
                <w:lang w:val="en-US"/>
              </w:rPr>
            </w:pPr>
            <w:r w:rsidRPr="009F337B">
              <w:rPr>
                <w:sz w:val="16"/>
                <w:szCs w:val="16"/>
                <w:lang w:val="en-US"/>
              </w:rPr>
              <w:t>11</w:t>
            </w:r>
          </w:p>
        </w:tc>
        <w:tc>
          <w:tcPr>
            <w:tcW w:w="4785" w:type="dxa"/>
            <w:shd w:val="clear" w:color="auto" w:fill="auto"/>
            <w:vAlign w:val="center"/>
          </w:tcPr>
          <w:p w14:paraId="4FF029D4" w14:textId="4098F39B" w:rsidR="000D2D79" w:rsidRPr="009F337B" w:rsidRDefault="000D2D79" w:rsidP="00F23970">
            <w:pPr>
              <w:jc w:val="left"/>
              <w:rPr>
                <w:sz w:val="16"/>
                <w:szCs w:val="16"/>
                <w:lang w:val="en-US"/>
              </w:rPr>
            </w:pPr>
            <w:r w:rsidRPr="009F337B">
              <w:rPr>
                <w:sz w:val="16"/>
                <w:szCs w:val="16"/>
                <w:lang w:val="en-US"/>
              </w:rPr>
              <w:t>Cruz García Ramos (</w:t>
            </w:r>
            <w:r w:rsidR="0010522A" w:rsidRPr="009F337B">
              <w:rPr>
                <w:sz w:val="16"/>
                <w:szCs w:val="16"/>
                <w:lang w:val="en-US"/>
              </w:rPr>
              <w:t>Mother</w:t>
            </w:r>
            <w:r w:rsidRPr="009F337B">
              <w:rPr>
                <w:sz w:val="16"/>
                <w:szCs w:val="16"/>
                <w:lang w:val="en-US"/>
              </w:rPr>
              <w:t>)</w:t>
            </w:r>
          </w:p>
        </w:tc>
      </w:tr>
      <w:tr w:rsidR="000D2D79" w:rsidRPr="009F337B" w14:paraId="35B2979D" w14:textId="77777777" w:rsidTr="009932B2">
        <w:tc>
          <w:tcPr>
            <w:tcW w:w="560" w:type="dxa"/>
            <w:vAlign w:val="center"/>
          </w:tcPr>
          <w:p w14:paraId="43A64EFB" w14:textId="63F754A3" w:rsidR="000D2D79" w:rsidRPr="009F337B" w:rsidRDefault="00E01D6E" w:rsidP="003D3071">
            <w:pPr>
              <w:jc w:val="center"/>
              <w:rPr>
                <w:sz w:val="16"/>
                <w:szCs w:val="16"/>
                <w:lang w:val="en-US"/>
              </w:rPr>
            </w:pPr>
            <w:r w:rsidRPr="009F337B">
              <w:rPr>
                <w:sz w:val="16"/>
                <w:szCs w:val="16"/>
                <w:lang w:val="en-US"/>
              </w:rPr>
              <w:t>9</w:t>
            </w:r>
          </w:p>
        </w:tc>
        <w:tc>
          <w:tcPr>
            <w:tcW w:w="3092" w:type="dxa"/>
            <w:vAlign w:val="center"/>
          </w:tcPr>
          <w:p w14:paraId="5E30BF4F" w14:textId="77777777" w:rsidR="000D2D79" w:rsidRPr="009F337B" w:rsidRDefault="000D2D79" w:rsidP="00F23970">
            <w:pPr>
              <w:jc w:val="left"/>
              <w:rPr>
                <w:sz w:val="16"/>
                <w:szCs w:val="16"/>
                <w:lang w:val="en-US"/>
              </w:rPr>
            </w:pPr>
            <w:r w:rsidRPr="009F337B">
              <w:rPr>
                <w:sz w:val="16"/>
                <w:szCs w:val="16"/>
                <w:lang w:val="en-US"/>
              </w:rPr>
              <w:t>José Rubén Delgado López</w:t>
            </w:r>
          </w:p>
        </w:tc>
        <w:tc>
          <w:tcPr>
            <w:tcW w:w="567" w:type="dxa"/>
            <w:vAlign w:val="center"/>
          </w:tcPr>
          <w:p w14:paraId="0F282885" w14:textId="697619D9" w:rsidR="000D2D79" w:rsidRPr="009F337B" w:rsidRDefault="005C4A7F" w:rsidP="003D3071">
            <w:pPr>
              <w:jc w:val="center"/>
              <w:rPr>
                <w:sz w:val="16"/>
                <w:szCs w:val="16"/>
                <w:lang w:val="en-US"/>
              </w:rPr>
            </w:pPr>
            <w:r w:rsidRPr="009F337B">
              <w:rPr>
                <w:sz w:val="16"/>
                <w:szCs w:val="16"/>
                <w:lang w:val="en-US"/>
              </w:rPr>
              <w:t>12</w:t>
            </w:r>
          </w:p>
        </w:tc>
        <w:tc>
          <w:tcPr>
            <w:tcW w:w="4785" w:type="dxa"/>
            <w:vAlign w:val="center"/>
          </w:tcPr>
          <w:p w14:paraId="12A74299" w14:textId="34A0BF83" w:rsidR="000D2D79" w:rsidRPr="009F337B" w:rsidRDefault="000D2D79" w:rsidP="00F23970">
            <w:pPr>
              <w:jc w:val="left"/>
              <w:rPr>
                <w:sz w:val="16"/>
                <w:szCs w:val="16"/>
                <w:lang w:val="en-US"/>
              </w:rPr>
            </w:pPr>
            <w:r w:rsidRPr="009F337B">
              <w:rPr>
                <w:sz w:val="16"/>
                <w:szCs w:val="16"/>
                <w:lang w:val="en-US"/>
              </w:rPr>
              <w:t>Antonio Miranda Méndez (</w:t>
            </w:r>
            <w:r w:rsidR="0010522A" w:rsidRPr="009F337B">
              <w:rPr>
                <w:sz w:val="16"/>
                <w:szCs w:val="16"/>
                <w:lang w:val="en-US"/>
              </w:rPr>
              <w:t>Brother</w:t>
            </w:r>
            <w:r w:rsidRPr="009F337B">
              <w:rPr>
                <w:sz w:val="16"/>
                <w:szCs w:val="16"/>
                <w:lang w:val="en-US"/>
              </w:rPr>
              <w:t>)</w:t>
            </w:r>
          </w:p>
        </w:tc>
      </w:tr>
      <w:tr w:rsidR="000D2D79" w:rsidRPr="009F337B" w14:paraId="6E668031" w14:textId="77777777" w:rsidTr="009932B2">
        <w:trPr>
          <w:trHeight w:val="61"/>
        </w:trPr>
        <w:tc>
          <w:tcPr>
            <w:tcW w:w="560" w:type="dxa"/>
            <w:vMerge w:val="restart"/>
            <w:vAlign w:val="center"/>
          </w:tcPr>
          <w:p w14:paraId="1F6F2613" w14:textId="4646BC7E" w:rsidR="000D2D79" w:rsidRPr="009F337B" w:rsidRDefault="00E01D6E" w:rsidP="003D3071">
            <w:pPr>
              <w:jc w:val="center"/>
              <w:rPr>
                <w:sz w:val="16"/>
                <w:szCs w:val="16"/>
                <w:lang w:val="en-US"/>
              </w:rPr>
            </w:pPr>
            <w:r w:rsidRPr="009F337B">
              <w:rPr>
                <w:sz w:val="16"/>
                <w:szCs w:val="16"/>
                <w:lang w:val="en-US"/>
              </w:rPr>
              <w:t>10</w:t>
            </w:r>
          </w:p>
        </w:tc>
        <w:tc>
          <w:tcPr>
            <w:tcW w:w="3092" w:type="dxa"/>
            <w:vMerge w:val="restart"/>
            <w:vAlign w:val="center"/>
          </w:tcPr>
          <w:p w14:paraId="061457AF" w14:textId="783B2FEA" w:rsidR="000D2D79" w:rsidRPr="009F337B" w:rsidRDefault="00F608A7" w:rsidP="00F23970">
            <w:pPr>
              <w:jc w:val="left"/>
              <w:rPr>
                <w:sz w:val="16"/>
                <w:szCs w:val="16"/>
                <w:lang w:val="en-US"/>
              </w:rPr>
            </w:pPr>
            <w:r w:rsidRPr="009F337B">
              <w:rPr>
                <w:sz w:val="16"/>
                <w:szCs w:val="16"/>
                <w:lang w:val="en-US"/>
              </w:rPr>
              <w:t>Elsa Miriam Estrada Ruí</w:t>
            </w:r>
            <w:r w:rsidR="000D2D79" w:rsidRPr="009F337B">
              <w:rPr>
                <w:sz w:val="16"/>
                <w:szCs w:val="16"/>
                <w:lang w:val="en-US"/>
              </w:rPr>
              <w:t>z</w:t>
            </w:r>
          </w:p>
        </w:tc>
        <w:tc>
          <w:tcPr>
            <w:tcW w:w="567" w:type="dxa"/>
            <w:vAlign w:val="center"/>
          </w:tcPr>
          <w:p w14:paraId="55749191" w14:textId="30F79E65" w:rsidR="000D2D79" w:rsidRPr="009F337B" w:rsidRDefault="005C4A7F" w:rsidP="003D3071">
            <w:pPr>
              <w:jc w:val="center"/>
              <w:rPr>
                <w:sz w:val="16"/>
                <w:szCs w:val="16"/>
                <w:lang w:val="en-US"/>
              </w:rPr>
            </w:pPr>
            <w:r w:rsidRPr="009F337B">
              <w:rPr>
                <w:sz w:val="16"/>
                <w:szCs w:val="16"/>
                <w:lang w:val="en-US"/>
              </w:rPr>
              <w:t>13</w:t>
            </w:r>
          </w:p>
        </w:tc>
        <w:tc>
          <w:tcPr>
            <w:tcW w:w="4785" w:type="dxa"/>
            <w:vAlign w:val="center"/>
          </w:tcPr>
          <w:p w14:paraId="74013BF8" w14:textId="4F7C1C45" w:rsidR="000D2D79" w:rsidRPr="00542AB5" w:rsidRDefault="000D2D79" w:rsidP="00F23970">
            <w:pPr>
              <w:jc w:val="left"/>
              <w:rPr>
                <w:sz w:val="16"/>
                <w:szCs w:val="16"/>
                <w:lang w:val="es-CR"/>
              </w:rPr>
            </w:pPr>
            <w:r w:rsidRPr="00542AB5">
              <w:rPr>
                <w:sz w:val="16"/>
                <w:szCs w:val="16"/>
                <w:lang w:val="es-CR"/>
              </w:rPr>
              <w:t>Luis Alberto Hernández Estrada (</w:t>
            </w:r>
            <w:r w:rsidR="0010522A" w:rsidRPr="00542AB5">
              <w:rPr>
                <w:sz w:val="16"/>
                <w:szCs w:val="16"/>
                <w:lang w:val="es-CR"/>
              </w:rPr>
              <w:t>Son</w:t>
            </w:r>
            <w:r w:rsidRPr="00542AB5">
              <w:rPr>
                <w:sz w:val="16"/>
                <w:szCs w:val="16"/>
                <w:lang w:val="es-CR"/>
              </w:rPr>
              <w:t>)</w:t>
            </w:r>
          </w:p>
        </w:tc>
      </w:tr>
      <w:tr w:rsidR="000D2D79" w:rsidRPr="009F337B" w14:paraId="1C54DCCD" w14:textId="77777777" w:rsidTr="009932B2">
        <w:tc>
          <w:tcPr>
            <w:tcW w:w="560" w:type="dxa"/>
            <w:vMerge/>
            <w:vAlign w:val="center"/>
          </w:tcPr>
          <w:p w14:paraId="6D50D59A" w14:textId="77777777" w:rsidR="000D2D79" w:rsidRPr="00542AB5" w:rsidRDefault="000D2D79" w:rsidP="003D3071">
            <w:pPr>
              <w:jc w:val="center"/>
              <w:rPr>
                <w:sz w:val="16"/>
                <w:szCs w:val="16"/>
                <w:lang w:val="es-CR"/>
              </w:rPr>
            </w:pPr>
          </w:p>
        </w:tc>
        <w:tc>
          <w:tcPr>
            <w:tcW w:w="3092" w:type="dxa"/>
            <w:vMerge/>
            <w:vAlign w:val="center"/>
          </w:tcPr>
          <w:p w14:paraId="511F743F" w14:textId="77777777" w:rsidR="000D2D79" w:rsidRPr="00542AB5" w:rsidRDefault="000D2D79" w:rsidP="00F23970">
            <w:pPr>
              <w:jc w:val="left"/>
              <w:rPr>
                <w:sz w:val="16"/>
                <w:szCs w:val="16"/>
                <w:lang w:val="es-CR"/>
              </w:rPr>
            </w:pPr>
          </w:p>
        </w:tc>
        <w:tc>
          <w:tcPr>
            <w:tcW w:w="567" w:type="dxa"/>
            <w:vAlign w:val="center"/>
          </w:tcPr>
          <w:p w14:paraId="3EBB861B" w14:textId="29CBBDF1" w:rsidR="000D2D79" w:rsidRPr="009F337B" w:rsidRDefault="005C4A7F" w:rsidP="003D3071">
            <w:pPr>
              <w:jc w:val="center"/>
              <w:rPr>
                <w:sz w:val="16"/>
                <w:szCs w:val="16"/>
                <w:lang w:val="en-US"/>
              </w:rPr>
            </w:pPr>
            <w:r w:rsidRPr="009F337B">
              <w:rPr>
                <w:sz w:val="16"/>
                <w:szCs w:val="16"/>
                <w:lang w:val="en-US"/>
              </w:rPr>
              <w:t>14</w:t>
            </w:r>
          </w:p>
        </w:tc>
        <w:tc>
          <w:tcPr>
            <w:tcW w:w="4785" w:type="dxa"/>
            <w:vAlign w:val="center"/>
          </w:tcPr>
          <w:p w14:paraId="3B147EE5" w14:textId="50784659" w:rsidR="000D2D79" w:rsidRPr="00542AB5" w:rsidRDefault="000D2D79" w:rsidP="00F23970">
            <w:pPr>
              <w:jc w:val="left"/>
              <w:rPr>
                <w:sz w:val="16"/>
                <w:szCs w:val="16"/>
                <w:lang w:val="es-CR"/>
              </w:rPr>
            </w:pPr>
            <w:r w:rsidRPr="00542AB5">
              <w:rPr>
                <w:sz w:val="16"/>
                <w:szCs w:val="16"/>
                <w:lang w:val="es-CR"/>
              </w:rPr>
              <w:t>Estuardo Edison Hernández Estrada (</w:t>
            </w:r>
            <w:r w:rsidR="0010522A" w:rsidRPr="00542AB5">
              <w:rPr>
                <w:sz w:val="16"/>
                <w:szCs w:val="16"/>
                <w:lang w:val="es-CR"/>
              </w:rPr>
              <w:t>Son</w:t>
            </w:r>
            <w:r w:rsidRPr="00542AB5">
              <w:rPr>
                <w:sz w:val="16"/>
                <w:szCs w:val="16"/>
                <w:lang w:val="es-CR"/>
              </w:rPr>
              <w:t>)</w:t>
            </w:r>
          </w:p>
        </w:tc>
      </w:tr>
      <w:tr w:rsidR="000D2D79" w:rsidRPr="009F337B" w14:paraId="66DFB26E" w14:textId="77777777" w:rsidTr="009932B2">
        <w:tc>
          <w:tcPr>
            <w:tcW w:w="560" w:type="dxa"/>
            <w:vMerge/>
            <w:vAlign w:val="center"/>
          </w:tcPr>
          <w:p w14:paraId="7EA7747E" w14:textId="77777777" w:rsidR="000D2D79" w:rsidRPr="00542AB5" w:rsidRDefault="000D2D79" w:rsidP="003D3071">
            <w:pPr>
              <w:jc w:val="center"/>
              <w:rPr>
                <w:sz w:val="16"/>
                <w:szCs w:val="16"/>
                <w:lang w:val="es-CR"/>
              </w:rPr>
            </w:pPr>
          </w:p>
        </w:tc>
        <w:tc>
          <w:tcPr>
            <w:tcW w:w="3092" w:type="dxa"/>
            <w:vMerge/>
            <w:vAlign w:val="center"/>
          </w:tcPr>
          <w:p w14:paraId="792D05AC" w14:textId="77777777" w:rsidR="000D2D79" w:rsidRPr="00542AB5" w:rsidRDefault="000D2D79" w:rsidP="00F23970">
            <w:pPr>
              <w:jc w:val="left"/>
              <w:rPr>
                <w:sz w:val="16"/>
                <w:szCs w:val="16"/>
                <w:lang w:val="es-CR"/>
              </w:rPr>
            </w:pPr>
          </w:p>
        </w:tc>
        <w:tc>
          <w:tcPr>
            <w:tcW w:w="567" w:type="dxa"/>
            <w:vAlign w:val="center"/>
          </w:tcPr>
          <w:p w14:paraId="4F3F9A15" w14:textId="6810A7D3" w:rsidR="000D2D79" w:rsidRPr="009F337B" w:rsidRDefault="005C4A7F" w:rsidP="003D3071">
            <w:pPr>
              <w:jc w:val="center"/>
              <w:rPr>
                <w:sz w:val="16"/>
                <w:szCs w:val="16"/>
                <w:lang w:val="en-US"/>
              </w:rPr>
            </w:pPr>
            <w:r w:rsidRPr="009F337B">
              <w:rPr>
                <w:sz w:val="16"/>
                <w:szCs w:val="16"/>
                <w:lang w:val="en-US"/>
              </w:rPr>
              <w:t>15</w:t>
            </w:r>
          </w:p>
        </w:tc>
        <w:tc>
          <w:tcPr>
            <w:tcW w:w="4785" w:type="dxa"/>
            <w:vAlign w:val="center"/>
          </w:tcPr>
          <w:p w14:paraId="5607088B" w14:textId="0E82A53E" w:rsidR="000D2D79" w:rsidRPr="00542AB5" w:rsidRDefault="000D2D79" w:rsidP="00F23970">
            <w:pPr>
              <w:jc w:val="left"/>
              <w:rPr>
                <w:sz w:val="16"/>
                <w:szCs w:val="16"/>
                <w:lang w:val="es-CR"/>
              </w:rPr>
            </w:pPr>
            <w:r w:rsidRPr="00542AB5">
              <w:rPr>
                <w:sz w:val="16"/>
                <w:szCs w:val="16"/>
                <w:lang w:val="es-CR"/>
              </w:rPr>
              <w:t>Osma Vinicio Hernández Estrada (</w:t>
            </w:r>
            <w:r w:rsidR="0010522A" w:rsidRPr="00542AB5">
              <w:rPr>
                <w:sz w:val="16"/>
                <w:szCs w:val="16"/>
                <w:lang w:val="es-CR"/>
              </w:rPr>
              <w:t>Son</w:t>
            </w:r>
            <w:r w:rsidRPr="00542AB5">
              <w:rPr>
                <w:sz w:val="16"/>
                <w:szCs w:val="16"/>
                <w:lang w:val="es-CR"/>
              </w:rPr>
              <w:t>)</w:t>
            </w:r>
          </w:p>
        </w:tc>
      </w:tr>
      <w:tr w:rsidR="000D2D79" w:rsidRPr="009F337B" w14:paraId="5F014C89" w14:textId="77777777" w:rsidTr="009932B2">
        <w:tc>
          <w:tcPr>
            <w:tcW w:w="560" w:type="dxa"/>
            <w:vMerge/>
            <w:vAlign w:val="center"/>
          </w:tcPr>
          <w:p w14:paraId="2ECD226B" w14:textId="77777777" w:rsidR="000D2D79" w:rsidRPr="00542AB5" w:rsidRDefault="000D2D79" w:rsidP="003D3071">
            <w:pPr>
              <w:jc w:val="center"/>
              <w:rPr>
                <w:sz w:val="16"/>
                <w:szCs w:val="16"/>
                <w:lang w:val="es-CR"/>
              </w:rPr>
            </w:pPr>
          </w:p>
        </w:tc>
        <w:tc>
          <w:tcPr>
            <w:tcW w:w="3092" w:type="dxa"/>
            <w:vMerge/>
            <w:vAlign w:val="center"/>
          </w:tcPr>
          <w:p w14:paraId="0EAE3166" w14:textId="77777777" w:rsidR="000D2D79" w:rsidRPr="00542AB5" w:rsidRDefault="000D2D79" w:rsidP="00F23970">
            <w:pPr>
              <w:jc w:val="left"/>
              <w:rPr>
                <w:sz w:val="16"/>
                <w:szCs w:val="16"/>
                <w:lang w:val="es-CR"/>
              </w:rPr>
            </w:pPr>
          </w:p>
        </w:tc>
        <w:tc>
          <w:tcPr>
            <w:tcW w:w="567" w:type="dxa"/>
            <w:vAlign w:val="center"/>
          </w:tcPr>
          <w:p w14:paraId="4BA9D751" w14:textId="25793FD9" w:rsidR="000D2D79" w:rsidRPr="009F337B" w:rsidRDefault="005C4A7F" w:rsidP="003D3071">
            <w:pPr>
              <w:jc w:val="center"/>
              <w:rPr>
                <w:sz w:val="16"/>
                <w:szCs w:val="16"/>
                <w:lang w:val="en-US"/>
              </w:rPr>
            </w:pPr>
            <w:r w:rsidRPr="009F337B">
              <w:rPr>
                <w:sz w:val="16"/>
                <w:szCs w:val="16"/>
                <w:lang w:val="en-US"/>
              </w:rPr>
              <w:t>16</w:t>
            </w:r>
          </w:p>
        </w:tc>
        <w:tc>
          <w:tcPr>
            <w:tcW w:w="4785" w:type="dxa"/>
            <w:vAlign w:val="center"/>
          </w:tcPr>
          <w:p w14:paraId="4DB62048" w14:textId="0CC2A8D9" w:rsidR="000D2D79" w:rsidRPr="009F337B" w:rsidRDefault="000D2D79" w:rsidP="00F23970">
            <w:pPr>
              <w:jc w:val="left"/>
              <w:rPr>
                <w:sz w:val="16"/>
                <w:szCs w:val="16"/>
                <w:lang w:val="en-US"/>
              </w:rPr>
            </w:pPr>
            <w:r w:rsidRPr="009F337B">
              <w:rPr>
                <w:sz w:val="16"/>
                <w:szCs w:val="16"/>
                <w:lang w:val="en-US"/>
              </w:rPr>
              <w:t>Karen Herlinda Hernández Estrada (</w:t>
            </w:r>
            <w:r w:rsidR="0010522A" w:rsidRPr="009F337B">
              <w:rPr>
                <w:sz w:val="16"/>
                <w:szCs w:val="16"/>
                <w:lang w:val="en-US"/>
              </w:rPr>
              <w:t>Daughter</w:t>
            </w:r>
            <w:r w:rsidRPr="009F337B">
              <w:rPr>
                <w:sz w:val="16"/>
                <w:szCs w:val="16"/>
                <w:lang w:val="en-US"/>
              </w:rPr>
              <w:t>)</w:t>
            </w:r>
          </w:p>
        </w:tc>
      </w:tr>
      <w:tr w:rsidR="000D2D79" w:rsidRPr="00310E7A" w14:paraId="7352F769" w14:textId="77777777" w:rsidTr="009932B2">
        <w:tc>
          <w:tcPr>
            <w:tcW w:w="560" w:type="dxa"/>
            <w:vMerge/>
            <w:vAlign w:val="center"/>
          </w:tcPr>
          <w:p w14:paraId="4FE21091" w14:textId="77777777" w:rsidR="000D2D79" w:rsidRPr="009F337B" w:rsidRDefault="000D2D79" w:rsidP="003D3071">
            <w:pPr>
              <w:jc w:val="center"/>
              <w:rPr>
                <w:sz w:val="16"/>
                <w:szCs w:val="16"/>
                <w:lang w:val="en-US"/>
              </w:rPr>
            </w:pPr>
          </w:p>
        </w:tc>
        <w:tc>
          <w:tcPr>
            <w:tcW w:w="3092" w:type="dxa"/>
            <w:vMerge/>
            <w:vAlign w:val="center"/>
          </w:tcPr>
          <w:p w14:paraId="2EA25AA0" w14:textId="77777777" w:rsidR="000D2D79" w:rsidRPr="009F337B" w:rsidRDefault="000D2D79" w:rsidP="00F23970">
            <w:pPr>
              <w:jc w:val="left"/>
              <w:rPr>
                <w:sz w:val="16"/>
                <w:szCs w:val="16"/>
                <w:lang w:val="en-US"/>
              </w:rPr>
            </w:pPr>
          </w:p>
        </w:tc>
        <w:tc>
          <w:tcPr>
            <w:tcW w:w="567" w:type="dxa"/>
            <w:vAlign w:val="center"/>
          </w:tcPr>
          <w:p w14:paraId="257B7EB3" w14:textId="1CFCAF08" w:rsidR="000D2D79" w:rsidRPr="009F337B" w:rsidRDefault="005C4A7F" w:rsidP="003D3071">
            <w:pPr>
              <w:jc w:val="center"/>
              <w:rPr>
                <w:sz w:val="16"/>
                <w:szCs w:val="16"/>
                <w:lang w:val="en-US"/>
              </w:rPr>
            </w:pPr>
            <w:r w:rsidRPr="009F337B">
              <w:rPr>
                <w:sz w:val="16"/>
                <w:szCs w:val="16"/>
                <w:lang w:val="en-US"/>
              </w:rPr>
              <w:t>17</w:t>
            </w:r>
          </w:p>
        </w:tc>
        <w:tc>
          <w:tcPr>
            <w:tcW w:w="4785" w:type="dxa"/>
            <w:vAlign w:val="center"/>
          </w:tcPr>
          <w:p w14:paraId="0DB852F3" w14:textId="4266775F" w:rsidR="000D2D79" w:rsidRPr="009F337B" w:rsidRDefault="000D2D79" w:rsidP="00F23970">
            <w:pPr>
              <w:jc w:val="left"/>
              <w:rPr>
                <w:sz w:val="16"/>
                <w:szCs w:val="16"/>
                <w:lang w:val="en-US"/>
              </w:rPr>
            </w:pPr>
            <w:r w:rsidRPr="009F337B">
              <w:rPr>
                <w:sz w:val="16"/>
                <w:szCs w:val="16"/>
                <w:lang w:val="en-US"/>
              </w:rPr>
              <w:t>Miriam Lisbeth Hernández Estrada (</w:t>
            </w:r>
            <w:r w:rsidR="0010522A" w:rsidRPr="009F337B">
              <w:rPr>
                <w:sz w:val="16"/>
                <w:szCs w:val="16"/>
                <w:lang w:val="en-US"/>
              </w:rPr>
              <w:t>Daughter</w:t>
            </w:r>
            <w:r w:rsidR="00E01D6E" w:rsidRPr="009F337B">
              <w:rPr>
                <w:sz w:val="16"/>
                <w:szCs w:val="16"/>
                <w:lang w:val="en-US"/>
              </w:rPr>
              <w:t>)</w:t>
            </w:r>
          </w:p>
        </w:tc>
      </w:tr>
      <w:tr w:rsidR="000D2D79" w:rsidRPr="009F337B" w14:paraId="28452E55" w14:textId="77777777" w:rsidTr="009932B2">
        <w:tc>
          <w:tcPr>
            <w:tcW w:w="560" w:type="dxa"/>
            <w:vAlign w:val="center"/>
          </w:tcPr>
          <w:p w14:paraId="50EA6DC1" w14:textId="5801C9D7" w:rsidR="000D2D79" w:rsidRPr="009F337B" w:rsidRDefault="00E01D6E" w:rsidP="003D3071">
            <w:pPr>
              <w:jc w:val="center"/>
              <w:rPr>
                <w:sz w:val="16"/>
                <w:szCs w:val="16"/>
                <w:lang w:val="en-US"/>
              </w:rPr>
            </w:pPr>
            <w:r w:rsidRPr="009F337B">
              <w:rPr>
                <w:sz w:val="16"/>
                <w:szCs w:val="16"/>
                <w:lang w:val="en-US"/>
              </w:rPr>
              <w:t>11</w:t>
            </w:r>
          </w:p>
        </w:tc>
        <w:tc>
          <w:tcPr>
            <w:tcW w:w="3092" w:type="dxa"/>
            <w:vAlign w:val="center"/>
          </w:tcPr>
          <w:p w14:paraId="4C8173A2" w14:textId="77777777" w:rsidR="000D2D79" w:rsidRPr="009F337B" w:rsidRDefault="000D2D79" w:rsidP="00F23970">
            <w:pPr>
              <w:jc w:val="left"/>
              <w:rPr>
                <w:sz w:val="16"/>
                <w:szCs w:val="16"/>
                <w:lang w:val="en-US"/>
              </w:rPr>
            </w:pPr>
            <w:r w:rsidRPr="009F337B">
              <w:rPr>
                <w:sz w:val="16"/>
                <w:szCs w:val="16"/>
                <w:lang w:val="en-US"/>
              </w:rPr>
              <w:t>Alberto Quiché Cuxeva</w:t>
            </w:r>
          </w:p>
        </w:tc>
        <w:tc>
          <w:tcPr>
            <w:tcW w:w="567" w:type="dxa"/>
            <w:vAlign w:val="center"/>
          </w:tcPr>
          <w:p w14:paraId="1D3DE49F" w14:textId="77777777" w:rsidR="000D2D79" w:rsidRPr="009F337B" w:rsidRDefault="000D2D79" w:rsidP="003D3071">
            <w:pPr>
              <w:jc w:val="center"/>
              <w:rPr>
                <w:sz w:val="16"/>
                <w:szCs w:val="16"/>
                <w:lang w:val="en-US"/>
              </w:rPr>
            </w:pPr>
          </w:p>
        </w:tc>
        <w:tc>
          <w:tcPr>
            <w:tcW w:w="4785" w:type="dxa"/>
            <w:vAlign w:val="center"/>
          </w:tcPr>
          <w:p w14:paraId="6A786846" w14:textId="77777777" w:rsidR="000D2D79" w:rsidRPr="009F337B" w:rsidRDefault="000D2D79" w:rsidP="00F23970">
            <w:pPr>
              <w:jc w:val="left"/>
              <w:rPr>
                <w:sz w:val="16"/>
                <w:szCs w:val="16"/>
                <w:lang w:val="en-US"/>
              </w:rPr>
            </w:pPr>
          </w:p>
        </w:tc>
      </w:tr>
      <w:tr w:rsidR="000D2D79" w:rsidRPr="009F337B" w14:paraId="0838E84C" w14:textId="77777777" w:rsidTr="009932B2">
        <w:tc>
          <w:tcPr>
            <w:tcW w:w="560" w:type="dxa"/>
            <w:vAlign w:val="center"/>
          </w:tcPr>
          <w:p w14:paraId="010F31BF" w14:textId="0FC7B239" w:rsidR="000D2D79" w:rsidRPr="009F337B" w:rsidRDefault="00E01D6E" w:rsidP="003D3071">
            <w:pPr>
              <w:jc w:val="center"/>
              <w:rPr>
                <w:sz w:val="16"/>
                <w:szCs w:val="16"/>
                <w:lang w:val="en-US"/>
              </w:rPr>
            </w:pPr>
            <w:r w:rsidRPr="009F337B">
              <w:rPr>
                <w:sz w:val="16"/>
                <w:szCs w:val="16"/>
                <w:lang w:val="en-US"/>
              </w:rPr>
              <w:t>12</w:t>
            </w:r>
          </w:p>
        </w:tc>
        <w:tc>
          <w:tcPr>
            <w:tcW w:w="3092" w:type="dxa"/>
            <w:vAlign w:val="center"/>
          </w:tcPr>
          <w:p w14:paraId="3EF42F13" w14:textId="2BDAB78F" w:rsidR="000D2D79" w:rsidRPr="009F337B" w:rsidRDefault="000D2D79" w:rsidP="00F608A7">
            <w:pPr>
              <w:jc w:val="left"/>
              <w:rPr>
                <w:sz w:val="16"/>
                <w:szCs w:val="16"/>
                <w:lang w:val="en-US"/>
              </w:rPr>
            </w:pPr>
            <w:r w:rsidRPr="009F337B">
              <w:rPr>
                <w:sz w:val="16"/>
                <w:szCs w:val="16"/>
                <w:lang w:val="en-US"/>
              </w:rPr>
              <w:t xml:space="preserve">Silvia Mirtala </w:t>
            </w:r>
            <w:r w:rsidR="00F608A7" w:rsidRPr="009F337B">
              <w:rPr>
                <w:sz w:val="16"/>
                <w:szCs w:val="16"/>
                <w:lang w:val="en-US"/>
              </w:rPr>
              <w:t>A</w:t>
            </w:r>
            <w:r w:rsidRPr="009F337B">
              <w:rPr>
                <w:sz w:val="16"/>
                <w:szCs w:val="16"/>
                <w:lang w:val="en-US"/>
              </w:rPr>
              <w:t>lvarez Villatoro</w:t>
            </w:r>
          </w:p>
        </w:tc>
        <w:tc>
          <w:tcPr>
            <w:tcW w:w="567" w:type="dxa"/>
            <w:vAlign w:val="center"/>
          </w:tcPr>
          <w:p w14:paraId="38BEB8B5" w14:textId="77777777" w:rsidR="000D2D79" w:rsidRPr="009F337B" w:rsidRDefault="000D2D79" w:rsidP="003D3071">
            <w:pPr>
              <w:jc w:val="center"/>
              <w:rPr>
                <w:sz w:val="16"/>
                <w:szCs w:val="16"/>
                <w:lang w:val="en-US"/>
              </w:rPr>
            </w:pPr>
          </w:p>
        </w:tc>
        <w:tc>
          <w:tcPr>
            <w:tcW w:w="4785" w:type="dxa"/>
            <w:vAlign w:val="center"/>
          </w:tcPr>
          <w:p w14:paraId="07C0BDAA" w14:textId="77777777" w:rsidR="000D2D79" w:rsidRPr="009F337B" w:rsidRDefault="000D2D79" w:rsidP="00F23970">
            <w:pPr>
              <w:jc w:val="left"/>
              <w:rPr>
                <w:sz w:val="16"/>
                <w:szCs w:val="16"/>
                <w:lang w:val="en-US"/>
              </w:rPr>
            </w:pPr>
          </w:p>
        </w:tc>
      </w:tr>
      <w:tr w:rsidR="000D2D79" w:rsidRPr="009F337B" w14:paraId="385B5701" w14:textId="77777777" w:rsidTr="009932B2">
        <w:tc>
          <w:tcPr>
            <w:tcW w:w="560" w:type="dxa"/>
            <w:vAlign w:val="center"/>
          </w:tcPr>
          <w:p w14:paraId="0A344E4E" w14:textId="3AC692A4" w:rsidR="000D2D79" w:rsidRPr="009F337B" w:rsidRDefault="00E01D6E" w:rsidP="003D3071">
            <w:pPr>
              <w:jc w:val="center"/>
              <w:rPr>
                <w:sz w:val="16"/>
                <w:szCs w:val="16"/>
                <w:lang w:val="en-US"/>
              </w:rPr>
            </w:pPr>
            <w:r w:rsidRPr="009F337B">
              <w:rPr>
                <w:sz w:val="16"/>
                <w:szCs w:val="16"/>
                <w:lang w:val="en-US"/>
              </w:rPr>
              <w:t>13</w:t>
            </w:r>
          </w:p>
        </w:tc>
        <w:tc>
          <w:tcPr>
            <w:tcW w:w="3092" w:type="dxa"/>
            <w:vAlign w:val="center"/>
          </w:tcPr>
          <w:p w14:paraId="13ACBDA3" w14:textId="77777777" w:rsidR="000D2D79" w:rsidRPr="009F337B" w:rsidRDefault="000D2D79" w:rsidP="00F23970">
            <w:pPr>
              <w:jc w:val="left"/>
              <w:rPr>
                <w:sz w:val="16"/>
                <w:szCs w:val="16"/>
                <w:lang w:val="en-US"/>
              </w:rPr>
            </w:pPr>
            <w:r w:rsidRPr="009F337B">
              <w:rPr>
                <w:sz w:val="16"/>
                <w:szCs w:val="16"/>
                <w:lang w:val="en-US"/>
              </w:rPr>
              <w:t>Juana Aguilar</w:t>
            </w:r>
          </w:p>
        </w:tc>
        <w:tc>
          <w:tcPr>
            <w:tcW w:w="567" w:type="dxa"/>
            <w:vAlign w:val="center"/>
          </w:tcPr>
          <w:p w14:paraId="64F3CBA3" w14:textId="77777777" w:rsidR="000D2D79" w:rsidRPr="009F337B" w:rsidRDefault="000D2D79" w:rsidP="003D3071">
            <w:pPr>
              <w:jc w:val="center"/>
              <w:rPr>
                <w:sz w:val="16"/>
                <w:szCs w:val="16"/>
                <w:lang w:val="en-US"/>
              </w:rPr>
            </w:pPr>
          </w:p>
        </w:tc>
        <w:tc>
          <w:tcPr>
            <w:tcW w:w="4785" w:type="dxa"/>
            <w:vAlign w:val="center"/>
          </w:tcPr>
          <w:p w14:paraId="77D8199B" w14:textId="77777777" w:rsidR="000D2D79" w:rsidRPr="009F337B" w:rsidRDefault="000D2D79" w:rsidP="00F23970">
            <w:pPr>
              <w:jc w:val="left"/>
              <w:rPr>
                <w:sz w:val="16"/>
                <w:szCs w:val="16"/>
                <w:lang w:val="en-US"/>
              </w:rPr>
            </w:pPr>
          </w:p>
        </w:tc>
      </w:tr>
      <w:tr w:rsidR="00E01D6E" w:rsidRPr="009F337B" w14:paraId="7E0E12BD" w14:textId="77777777" w:rsidTr="009932B2">
        <w:tc>
          <w:tcPr>
            <w:tcW w:w="560" w:type="dxa"/>
            <w:vAlign w:val="center"/>
          </w:tcPr>
          <w:p w14:paraId="0327CA5D" w14:textId="334B58E8" w:rsidR="00E01D6E" w:rsidRPr="009F337B" w:rsidRDefault="00E01D6E" w:rsidP="003D3071">
            <w:pPr>
              <w:jc w:val="center"/>
              <w:rPr>
                <w:sz w:val="16"/>
                <w:szCs w:val="16"/>
                <w:lang w:val="en-US"/>
              </w:rPr>
            </w:pPr>
            <w:r w:rsidRPr="009F337B">
              <w:rPr>
                <w:sz w:val="16"/>
                <w:szCs w:val="16"/>
                <w:lang w:val="en-US"/>
              </w:rPr>
              <w:t>14</w:t>
            </w:r>
          </w:p>
        </w:tc>
        <w:tc>
          <w:tcPr>
            <w:tcW w:w="3092" w:type="dxa"/>
            <w:vAlign w:val="center"/>
          </w:tcPr>
          <w:p w14:paraId="288AFE12" w14:textId="2BFE9EDD" w:rsidR="00E01D6E" w:rsidRPr="009F337B" w:rsidRDefault="00767761" w:rsidP="00F23970">
            <w:pPr>
              <w:jc w:val="left"/>
              <w:rPr>
                <w:sz w:val="16"/>
                <w:szCs w:val="16"/>
                <w:lang w:val="en-US"/>
              </w:rPr>
            </w:pPr>
            <w:r w:rsidRPr="009F337B">
              <w:rPr>
                <w:sz w:val="16"/>
                <w:szCs w:val="16"/>
                <w:lang w:val="en-US"/>
              </w:rPr>
              <w:t>Melvin Yovani A</w:t>
            </w:r>
            <w:r w:rsidR="00F608A7" w:rsidRPr="009F337B">
              <w:rPr>
                <w:sz w:val="16"/>
                <w:szCs w:val="16"/>
                <w:lang w:val="en-US"/>
              </w:rPr>
              <w:t>j</w:t>
            </w:r>
            <w:r w:rsidRPr="009F337B">
              <w:rPr>
                <w:sz w:val="16"/>
                <w:szCs w:val="16"/>
                <w:lang w:val="en-US"/>
              </w:rPr>
              <w:t>t</w:t>
            </w:r>
            <w:r w:rsidR="00F608A7" w:rsidRPr="009F337B">
              <w:rPr>
                <w:sz w:val="16"/>
                <w:szCs w:val="16"/>
                <w:lang w:val="en-US"/>
              </w:rPr>
              <w:t>u</w:t>
            </w:r>
            <w:r w:rsidR="00E01D6E" w:rsidRPr="009F337B">
              <w:rPr>
                <w:sz w:val="16"/>
                <w:szCs w:val="16"/>
                <w:lang w:val="en-US"/>
              </w:rPr>
              <w:t>n Escobar</w:t>
            </w:r>
          </w:p>
        </w:tc>
        <w:tc>
          <w:tcPr>
            <w:tcW w:w="567" w:type="dxa"/>
            <w:vAlign w:val="center"/>
          </w:tcPr>
          <w:p w14:paraId="7741B96D" w14:textId="77777777" w:rsidR="00E01D6E" w:rsidRPr="009F337B" w:rsidRDefault="00E01D6E" w:rsidP="003D3071">
            <w:pPr>
              <w:jc w:val="center"/>
              <w:rPr>
                <w:sz w:val="16"/>
                <w:szCs w:val="16"/>
                <w:lang w:val="en-US"/>
              </w:rPr>
            </w:pPr>
          </w:p>
        </w:tc>
        <w:tc>
          <w:tcPr>
            <w:tcW w:w="4785" w:type="dxa"/>
            <w:vAlign w:val="center"/>
          </w:tcPr>
          <w:p w14:paraId="2F7386FB" w14:textId="77777777" w:rsidR="00E01D6E" w:rsidRPr="009F337B" w:rsidRDefault="00E01D6E" w:rsidP="00F23970">
            <w:pPr>
              <w:jc w:val="left"/>
              <w:rPr>
                <w:sz w:val="16"/>
                <w:szCs w:val="16"/>
                <w:lang w:val="en-US"/>
              </w:rPr>
            </w:pPr>
          </w:p>
        </w:tc>
      </w:tr>
      <w:tr w:rsidR="00E01D6E" w:rsidRPr="009F337B" w14:paraId="34E89F2B" w14:textId="77777777" w:rsidTr="009932B2">
        <w:tc>
          <w:tcPr>
            <w:tcW w:w="560" w:type="dxa"/>
            <w:vAlign w:val="center"/>
          </w:tcPr>
          <w:p w14:paraId="23259968" w14:textId="19B0036C" w:rsidR="00E01D6E" w:rsidRPr="009F337B" w:rsidRDefault="00E01D6E" w:rsidP="003D3071">
            <w:pPr>
              <w:jc w:val="center"/>
              <w:rPr>
                <w:sz w:val="16"/>
                <w:szCs w:val="16"/>
                <w:lang w:val="en-US"/>
              </w:rPr>
            </w:pPr>
            <w:r w:rsidRPr="009F337B">
              <w:rPr>
                <w:sz w:val="16"/>
                <w:szCs w:val="16"/>
                <w:lang w:val="en-US"/>
              </w:rPr>
              <w:t>15</w:t>
            </w:r>
          </w:p>
        </w:tc>
        <w:tc>
          <w:tcPr>
            <w:tcW w:w="3092" w:type="dxa"/>
            <w:vAlign w:val="center"/>
          </w:tcPr>
          <w:p w14:paraId="747AEEAA" w14:textId="5EDC0360" w:rsidR="00E01D6E" w:rsidRPr="009F337B" w:rsidRDefault="00E01D6E" w:rsidP="00F23970">
            <w:pPr>
              <w:jc w:val="left"/>
              <w:rPr>
                <w:sz w:val="16"/>
                <w:szCs w:val="16"/>
                <w:lang w:val="en-US"/>
              </w:rPr>
            </w:pPr>
            <w:r w:rsidRPr="009F337B">
              <w:rPr>
                <w:sz w:val="16"/>
                <w:szCs w:val="16"/>
                <w:lang w:val="en-US"/>
              </w:rPr>
              <w:t>José Cupertino Ramírez</w:t>
            </w:r>
          </w:p>
        </w:tc>
        <w:tc>
          <w:tcPr>
            <w:tcW w:w="567" w:type="dxa"/>
            <w:vAlign w:val="center"/>
          </w:tcPr>
          <w:p w14:paraId="2B22DF54" w14:textId="7B6BCE54" w:rsidR="00E01D6E" w:rsidRPr="009F337B" w:rsidRDefault="005C4A7F" w:rsidP="003D3071">
            <w:pPr>
              <w:jc w:val="center"/>
              <w:rPr>
                <w:sz w:val="16"/>
                <w:szCs w:val="16"/>
                <w:lang w:val="en-US"/>
              </w:rPr>
            </w:pPr>
            <w:r w:rsidRPr="009F337B">
              <w:rPr>
                <w:sz w:val="16"/>
                <w:szCs w:val="16"/>
                <w:lang w:val="en-US"/>
              </w:rPr>
              <w:t>18</w:t>
            </w:r>
          </w:p>
        </w:tc>
        <w:tc>
          <w:tcPr>
            <w:tcW w:w="4785" w:type="dxa"/>
            <w:vAlign w:val="center"/>
          </w:tcPr>
          <w:p w14:paraId="73DE5ED2" w14:textId="00B1C71F" w:rsidR="00E01D6E" w:rsidRPr="009F337B" w:rsidRDefault="00E01D6E" w:rsidP="00F23970">
            <w:pPr>
              <w:jc w:val="left"/>
              <w:rPr>
                <w:sz w:val="16"/>
                <w:szCs w:val="16"/>
                <w:lang w:val="en-US"/>
              </w:rPr>
            </w:pPr>
            <w:r w:rsidRPr="009F337B">
              <w:rPr>
                <w:sz w:val="16"/>
                <w:szCs w:val="16"/>
                <w:lang w:val="en-US"/>
              </w:rPr>
              <w:t>Victoria Ramírez Ramos (</w:t>
            </w:r>
            <w:r w:rsidR="007419BE" w:rsidRPr="009F337B">
              <w:rPr>
                <w:sz w:val="16"/>
                <w:szCs w:val="16"/>
                <w:lang w:val="en-US"/>
              </w:rPr>
              <w:t>Cousin</w:t>
            </w:r>
            <w:r w:rsidRPr="009F337B">
              <w:rPr>
                <w:sz w:val="16"/>
                <w:szCs w:val="16"/>
                <w:lang w:val="en-US"/>
              </w:rPr>
              <w:t>)</w:t>
            </w:r>
          </w:p>
        </w:tc>
      </w:tr>
      <w:tr w:rsidR="00E01D6E" w:rsidRPr="009F337B" w14:paraId="444A85E9" w14:textId="77777777" w:rsidTr="009932B2">
        <w:tc>
          <w:tcPr>
            <w:tcW w:w="9004" w:type="dxa"/>
            <w:gridSpan w:val="4"/>
            <w:vAlign w:val="center"/>
          </w:tcPr>
          <w:p w14:paraId="2F3FF945" w14:textId="499EBB57" w:rsidR="00E01D6E" w:rsidRPr="009F337B" w:rsidRDefault="00E01D6E" w:rsidP="003D3071">
            <w:pPr>
              <w:jc w:val="center"/>
              <w:rPr>
                <w:sz w:val="16"/>
                <w:szCs w:val="16"/>
                <w:lang w:val="en-US"/>
              </w:rPr>
            </w:pPr>
            <w:r w:rsidRPr="009F337B">
              <w:rPr>
                <w:b/>
                <w:sz w:val="16"/>
                <w:szCs w:val="16"/>
                <w:lang w:val="en-US"/>
              </w:rPr>
              <w:t xml:space="preserve">B. </w:t>
            </w:r>
            <w:r w:rsidR="007419BE" w:rsidRPr="009F337B">
              <w:rPr>
                <w:b/>
                <w:sz w:val="16"/>
                <w:szCs w:val="16"/>
                <w:lang w:val="en-US"/>
              </w:rPr>
              <w:t>SURVIVING VICTIMS</w:t>
            </w:r>
          </w:p>
        </w:tc>
      </w:tr>
      <w:tr w:rsidR="00074CB7" w:rsidRPr="009F337B" w14:paraId="7AAA0AA0" w14:textId="77777777" w:rsidTr="003D3071">
        <w:tc>
          <w:tcPr>
            <w:tcW w:w="560" w:type="dxa"/>
            <w:vAlign w:val="center"/>
          </w:tcPr>
          <w:p w14:paraId="1A9C79C7" w14:textId="77777777" w:rsidR="00074CB7" w:rsidRPr="009F337B" w:rsidRDefault="00074CB7" w:rsidP="003D3071">
            <w:pPr>
              <w:jc w:val="center"/>
              <w:rPr>
                <w:sz w:val="16"/>
                <w:szCs w:val="16"/>
                <w:lang w:val="en-US"/>
              </w:rPr>
            </w:pPr>
          </w:p>
        </w:tc>
        <w:tc>
          <w:tcPr>
            <w:tcW w:w="3092" w:type="dxa"/>
            <w:vAlign w:val="center"/>
          </w:tcPr>
          <w:p w14:paraId="7FF88122" w14:textId="3EA6CC71" w:rsidR="00074CB7" w:rsidRPr="009F337B" w:rsidRDefault="00074CB7" w:rsidP="00074CB7">
            <w:pPr>
              <w:jc w:val="center"/>
              <w:rPr>
                <w:sz w:val="16"/>
                <w:szCs w:val="16"/>
                <w:lang w:val="en-US"/>
              </w:rPr>
            </w:pPr>
            <w:r w:rsidRPr="009F337B">
              <w:rPr>
                <w:b/>
                <w:sz w:val="16"/>
                <w:szCs w:val="16"/>
                <w:lang w:val="en-US"/>
              </w:rPr>
              <w:t>V</w:t>
            </w:r>
            <w:r w:rsidR="007419BE" w:rsidRPr="009F337B">
              <w:rPr>
                <w:b/>
                <w:sz w:val="16"/>
                <w:szCs w:val="16"/>
                <w:lang w:val="en-US"/>
              </w:rPr>
              <w:t>ICTIM</w:t>
            </w:r>
            <w:r w:rsidRPr="009F337B">
              <w:rPr>
                <w:b/>
                <w:sz w:val="16"/>
                <w:szCs w:val="16"/>
                <w:lang w:val="en-US"/>
              </w:rPr>
              <w:t>S</w:t>
            </w:r>
          </w:p>
        </w:tc>
        <w:tc>
          <w:tcPr>
            <w:tcW w:w="567" w:type="dxa"/>
            <w:vAlign w:val="center"/>
          </w:tcPr>
          <w:p w14:paraId="7B7EFE3E" w14:textId="77777777" w:rsidR="00074CB7" w:rsidRPr="009F337B" w:rsidRDefault="00074CB7" w:rsidP="003D3071">
            <w:pPr>
              <w:jc w:val="center"/>
              <w:rPr>
                <w:sz w:val="16"/>
                <w:szCs w:val="16"/>
                <w:lang w:val="en-US"/>
              </w:rPr>
            </w:pPr>
          </w:p>
        </w:tc>
        <w:tc>
          <w:tcPr>
            <w:tcW w:w="4785" w:type="dxa"/>
            <w:vAlign w:val="center"/>
          </w:tcPr>
          <w:p w14:paraId="51EC8B55" w14:textId="6FC2EDED" w:rsidR="00074CB7" w:rsidRPr="009F337B" w:rsidRDefault="0010522A" w:rsidP="00074CB7">
            <w:pPr>
              <w:jc w:val="center"/>
              <w:rPr>
                <w:sz w:val="16"/>
                <w:szCs w:val="16"/>
                <w:lang w:val="en-US"/>
              </w:rPr>
            </w:pPr>
            <w:r w:rsidRPr="009F337B">
              <w:rPr>
                <w:b/>
                <w:sz w:val="16"/>
                <w:szCs w:val="16"/>
                <w:lang w:val="en-US"/>
              </w:rPr>
              <w:t>NEXT OF KIN</w:t>
            </w:r>
          </w:p>
        </w:tc>
      </w:tr>
      <w:tr w:rsidR="00E01D6E" w:rsidRPr="009F337B" w14:paraId="516F339B" w14:textId="77777777" w:rsidTr="003D3071">
        <w:tc>
          <w:tcPr>
            <w:tcW w:w="560" w:type="dxa"/>
            <w:vAlign w:val="center"/>
          </w:tcPr>
          <w:p w14:paraId="7A001E2C" w14:textId="77777777" w:rsidR="00E01D6E" w:rsidRPr="009F337B" w:rsidRDefault="00E01D6E" w:rsidP="003D3071">
            <w:pPr>
              <w:jc w:val="center"/>
              <w:rPr>
                <w:sz w:val="16"/>
                <w:szCs w:val="16"/>
                <w:lang w:val="en-US"/>
              </w:rPr>
            </w:pPr>
            <w:r w:rsidRPr="009F337B">
              <w:rPr>
                <w:sz w:val="16"/>
                <w:szCs w:val="16"/>
                <w:lang w:val="en-US"/>
              </w:rPr>
              <w:t>16</w:t>
            </w:r>
          </w:p>
        </w:tc>
        <w:tc>
          <w:tcPr>
            <w:tcW w:w="3092" w:type="dxa"/>
            <w:vAlign w:val="center"/>
          </w:tcPr>
          <w:p w14:paraId="719278B7" w14:textId="77777777" w:rsidR="00E01D6E" w:rsidRPr="009F337B" w:rsidRDefault="00E01D6E" w:rsidP="00F23970">
            <w:pPr>
              <w:jc w:val="left"/>
              <w:rPr>
                <w:sz w:val="16"/>
                <w:szCs w:val="16"/>
                <w:lang w:val="en-US"/>
              </w:rPr>
            </w:pPr>
            <w:r w:rsidRPr="009F337B">
              <w:rPr>
                <w:sz w:val="16"/>
                <w:szCs w:val="16"/>
                <w:lang w:val="en-US"/>
              </w:rPr>
              <w:t>Sebastián Emilio Dueñas</w:t>
            </w:r>
          </w:p>
        </w:tc>
        <w:tc>
          <w:tcPr>
            <w:tcW w:w="567" w:type="dxa"/>
            <w:vAlign w:val="center"/>
          </w:tcPr>
          <w:p w14:paraId="1B2DF28D" w14:textId="217730D0" w:rsidR="00E01D6E" w:rsidRPr="009F337B" w:rsidRDefault="00E01D6E" w:rsidP="003D3071">
            <w:pPr>
              <w:jc w:val="center"/>
              <w:rPr>
                <w:sz w:val="16"/>
                <w:szCs w:val="16"/>
                <w:lang w:val="en-US"/>
              </w:rPr>
            </w:pPr>
          </w:p>
        </w:tc>
        <w:tc>
          <w:tcPr>
            <w:tcW w:w="4785" w:type="dxa"/>
            <w:vAlign w:val="center"/>
          </w:tcPr>
          <w:p w14:paraId="4CBEDE9E" w14:textId="0471C47D" w:rsidR="00E01D6E" w:rsidRPr="009F337B" w:rsidRDefault="00E01D6E" w:rsidP="00F23970">
            <w:pPr>
              <w:jc w:val="left"/>
              <w:rPr>
                <w:sz w:val="16"/>
                <w:szCs w:val="16"/>
                <w:lang w:val="en-US"/>
              </w:rPr>
            </w:pPr>
          </w:p>
        </w:tc>
      </w:tr>
      <w:tr w:rsidR="00E01D6E" w:rsidRPr="009F337B" w14:paraId="34B8B745" w14:textId="77777777" w:rsidTr="003D3071">
        <w:trPr>
          <w:trHeight w:val="56"/>
        </w:trPr>
        <w:tc>
          <w:tcPr>
            <w:tcW w:w="560" w:type="dxa"/>
            <w:vAlign w:val="center"/>
          </w:tcPr>
          <w:p w14:paraId="6F04D054" w14:textId="77777777" w:rsidR="00E01D6E" w:rsidRPr="009F337B" w:rsidRDefault="00E01D6E" w:rsidP="003D3071">
            <w:pPr>
              <w:jc w:val="center"/>
              <w:rPr>
                <w:sz w:val="16"/>
                <w:szCs w:val="16"/>
                <w:lang w:val="en-US"/>
              </w:rPr>
            </w:pPr>
            <w:r w:rsidRPr="009F337B">
              <w:rPr>
                <w:sz w:val="16"/>
                <w:szCs w:val="16"/>
                <w:lang w:val="en-US"/>
              </w:rPr>
              <w:t>17</w:t>
            </w:r>
          </w:p>
        </w:tc>
        <w:tc>
          <w:tcPr>
            <w:tcW w:w="3092" w:type="dxa"/>
            <w:vAlign w:val="center"/>
          </w:tcPr>
          <w:p w14:paraId="26B920E0" w14:textId="77777777" w:rsidR="00E01D6E" w:rsidRPr="009F337B" w:rsidRDefault="00E01D6E" w:rsidP="00F23970">
            <w:pPr>
              <w:jc w:val="left"/>
              <w:rPr>
                <w:sz w:val="16"/>
                <w:szCs w:val="16"/>
                <w:lang w:val="en-US"/>
              </w:rPr>
            </w:pPr>
            <w:r w:rsidRPr="009F337B">
              <w:rPr>
                <w:sz w:val="16"/>
                <w:szCs w:val="16"/>
                <w:lang w:val="en-US"/>
              </w:rPr>
              <w:t>Julia Aguilar</w:t>
            </w:r>
          </w:p>
        </w:tc>
        <w:tc>
          <w:tcPr>
            <w:tcW w:w="567" w:type="dxa"/>
            <w:vAlign w:val="center"/>
          </w:tcPr>
          <w:p w14:paraId="272EFCAE" w14:textId="149551D8" w:rsidR="00E01D6E" w:rsidRPr="009F337B" w:rsidRDefault="00E01D6E" w:rsidP="003D3071">
            <w:pPr>
              <w:jc w:val="center"/>
              <w:rPr>
                <w:sz w:val="16"/>
                <w:szCs w:val="16"/>
                <w:lang w:val="en-US"/>
              </w:rPr>
            </w:pPr>
          </w:p>
        </w:tc>
        <w:tc>
          <w:tcPr>
            <w:tcW w:w="4785" w:type="dxa"/>
            <w:vAlign w:val="center"/>
          </w:tcPr>
          <w:p w14:paraId="50A067BE" w14:textId="5A73DF20" w:rsidR="00E01D6E" w:rsidRPr="009F337B" w:rsidRDefault="00E01D6E" w:rsidP="00F23970">
            <w:pPr>
              <w:jc w:val="left"/>
              <w:rPr>
                <w:sz w:val="16"/>
                <w:szCs w:val="16"/>
                <w:lang w:val="en-US"/>
              </w:rPr>
            </w:pPr>
          </w:p>
        </w:tc>
      </w:tr>
      <w:tr w:rsidR="00E01D6E" w:rsidRPr="009F337B" w14:paraId="1DE106D7" w14:textId="77777777" w:rsidTr="003D3071">
        <w:tc>
          <w:tcPr>
            <w:tcW w:w="560" w:type="dxa"/>
            <w:vMerge w:val="restart"/>
            <w:vAlign w:val="center"/>
          </w:tcPr>
          <w:p w14:paraId="2D5BA457" w14:textId="77777777" w:rsidR="00E01D6E" w:rsidRPr="009F337B" w:rsidRDefault="00E01D6E" w:rsidP="003D3071">
            <w:pPr>
              <w:jc w:val="center"/>
              <w:rPr>
                <w:sz w:val="16"/>
                <w:szCs w:val="16"/>
                <w:lang w:val="en-US"/>
              </w:rPr>
            </w:pPr>
            <w:r w:rsidRPr="009F337B">
              <w:rPr>
                <w:sz w:val="16"/>
                <w:szCs w:val="16"/>
                <w:lang w:val="en-US"/>
              </w:rPr>
              <w:t>18</w:t>
            </w:r>
          </w:p>
        </w:tc>
        <w:tc>
          <w:tcPr>
            <w:tcW w:w="3092" w:type="dxa"/>
            <w:vMerge w:val="restart"/>
            <w:vAlign w:val="center"/>
          </w:tcPr>
          <w:p w14:paraId="2FBC6204" w14:textId="086200DE" w:rsidR="00E01D6E" w:rsidRPr="009F337B" w:rsidRDefault="00CC6C64" w:rsidP="00F23970">
            <w:pPr>
              <w:jc w:val="left"/>
              <w:rPr>
                <w:sz w:val="16"/>
                <w:szCs w:val="16"/>
                <w:lang w:val="en-US"/>
              </w:rPr>
            </w:pPr>
            <w:r w:rsidRPr="009F337B">
              <w:rPr>
                <w:sz w:val="16"/>
                <w:szCs w:val="16"/>
                <w:lang w:val="en-US"/>
              </w:rPr>
              <w:t>Felipe Tebalan Ordo</w:t>
            </w:r>
            <w:r w:rsidR="00E01D6E" w:rsidRPr="009F337B">
              <w:rPr>
                <w:sz w:val="16"/>
                <w:szCs w:val="16"/>
                <w:lang w:val="en-US"/>
              </w:rPr>
              <w:t>ñez</w:t>
            </w:r>
          </w:p>
        </w:tc>
        <w:tc>
          <w:tcPr>
            <w:tcW w:w="567" w:type="dxa"/>
            <w:vAlign w:val="center"/>
          </w:tcPr>
          <w:p w14:paraId="69090712" w14:textId="7138F797" w:rsidR="00E01D6E" w:rsidRPr="009F337B" w:rsidRDefault="00E3701B" w:rsidP="003D3071">
            <w:pPr>
              <w:jc w:val="center"/>
              <w:rPr>
                <w:sz w:val="16"/>
                <w:szCs w:val="16"/>
                <w:lang w:val="en-US"/>
              </w:rPr>
            </w:pPr>
            <w:r w:rsidRPr="009F337B">
              <w:rPr>
                <w:sz w:val="16"/>
                <w:szCs w:val="16"/>
                <w:lang w:val="en-US"/>
              </w:rPr>
              <w:t>1</w:t>
            </w:r>
            <w:r w:rsidR="005C4A7F" w:rsidRPr="009F337B">
              <w:rPr>
                <w:sz w:val="16"/>
                <w:szCs w:val="16"/>
                <w:lang w:val="en-US"/>
              </w:rPr>
              <w:t>9</w:t>
            </w:r>
          </w:p>
        </w:tc>
        <w:tc>
          <w:tcPr>
            <w:tcW w:w="4785" w:type="dxa"/>
            <w:vAlign w:val="center"/>
          </w:tcPr>
          <w:p w14:paraId="1A6132A8" w14:textId="0D18DDA0" w:rsidR="00E01D6E" w:rsidRPr="009F337B" w:rsidRDefault="00CC6C64" w:rsidP="00F23970">
            <w:pPr>
              <w:jc w:val="left"/>
              <w:rPr>
                <w:sz w:val="16"/>
                <w:szCs w:val="16"/>
                <w:lang w:val="en-US"/>
              </w:rPr>
            </w:pPr>
            <w:r w:rsidRPr="009F337B">
              <w:rPr>
                <w:sz w:val="16"/>
                <w:szCs w:val="16"/>
                <w:lang w:val="en-US"/>
              </w:rPr>
              <w:t>Candelaria Ordo</w:t>
            </w:r>
            <w:r w:rsidR="00767761" w:rsidRPr="009F337B">
              <w:rPr>
                <w:sz w:val="16"/>
                <w:szCs w:val="16"/>
                <w:lang w:val="en-US"/>
              </w:rPr>
              <w:t>ñez A</w:t>
            </w:r>
            <w:r w:rsidR="00E01D6E" w:rsidRPr="009F337B">
              <w:rPr>
                <w:sz w:val="16"/>
                <w:szCs w:val="16"/>
                <w:lang w:val="en-US"/>
              </w:rPr>
              <w:t>lvarez (</w:t>
            </w:r>
            <w:r w:rsidR="0010522A" w:rsidRPr="009F337B">
              <w:rPr>
                <w:sz w:val="16"/>
                <w:szCs w:val="16"/>
                <w:lang w:val="en-US"/>
              </w:rPr>
              <w:t>Daughter</w:t>
            </w:r>
            <w:r w:rsidR="00E01D6E" w:rsidRPr="009F337B">
              <w:rPr>
                <w:sz w:val="16"/>
                <w:szCs w:val="16"/>
                <w:lang w:val="en-US"/>
              </w:rPr>
              <w:t>)</w:t>
            </w:r>
          </w:p>
        </w:tc>
      </w:tr>
      <w:tr w:rsidR="007F18B8" w:rsidRPr="009F337B" w14:paraId="3C0DA9E0" w14:textId="77777777" w:rsidTr="003D3071">
        <w:tc>
          <w:tcPr>
            <w:tcW w:w="560" w:type="dxa"/>
            <w:vMerge/>
            <w:vAlign w:val="center"/>
          </w:tcPr>
          <w:p w14:paraId="450A7024" w14:textId="77777777" w:rsidR="007F18B8" w:rsidRPr="009F337B" w:rsidRDefault="007F18B8" w:rsidP="003D3071">
            <w:pPr>
              <w:jc w:val="center"/>
              <w:rPr>
                <w:sz w:val="16"/>
                <w:szCs w:val="16"/>
                <w:lang w:val="en-US"/>
              </w:rPr>
            </w:pPr>
          </w:p>
        </w:tc>
        <w:tc>
          <w:tcPr>
            <w:tcW w:w="3092" w:type="dxa"/>
            <w:vMerge/>
            <w:vAlign w:val="center"/>
          </w:tcPr>
          <w:p w14:paraId="3C7CDB96" w14:textId="77777777" w:rsidR="007F18B8" w:rsidRPr="009F337B" w:rsidRDefault="007F18B8" w:rsidP="00F23970">
            <w:pPr>
              <w:jc w:val="left"/>
              <w:rPr>
                <w:sz w:val="16"/>
                <w:szCs w:val="16"/>
                <w:lang w:val="en-US"/>
              </w:rPr>
            </w:pPr>
          </w:p>
        </w:tc>
        <w:tc>
          <w:tcPr>
            <w:tcW w:w="567" w:type="dxa"/>
            <w:vAlign w:val="center"/>
          </w:tcPr>
          <w:p w14:paraId="1D00E069" w14:textId="28956F24" w:rsidR="007F18B8" w:rsidRPr="009F337B" w:rsidRDefault="005C4A7F" w:rsidP="003D3071">
            <w:pPr>
              <w:jc w:val="center"/>
              <w:rPr>
                <w:sz w:val="16"/>
                <w:szCs w:val="16"/>
                <w:lang w:val="en-US"/>
              </w:rPr>
            </w:pPr>
            <w:r w:rsidRPr="009F337B">
              <w:rPr>
                <w:sz w:val="16"/>
                <w:szCs w:val="16"/>
                <w:lang w:val="en-US"/>
              </w:rPr>
              <w:t>20</w:t>
            </w:r>
          </w:p>
        </w:tc>
        <w:tc>
          <w:tcPr>
            <w:tcW w:w="4785" w:type="dxa"/>
            <w:vAlign w:val="center"/>
          </w:tcPr>
          <w:p w14:paraId="45ADEA98" w14:textId="717130FE" w:rsidR="007F18B8" w:rsidRPr="009F337B" w:rsidRDefault="00CC6C64" w:rsidP="00F23970">
            <w:pPr>
              <w:jc w:val="left"/>
              <w:rPr>
                <w:sz w:val="16"/>
                <w:szCs w:val="16"/>
                <w:lang w:val="en-US"/>
              </w:rPr>
            </w:pPr>
            <w:r w:rsidRPr="009F337B">
              <w:rPr>
                <w:sz w:val="16"/>
                <w:szCs w:val="16"/>
                <w:lang w:val="en-US"/>
              </w:rPr>
              <w:t>Argentina Ordo</w:t>
            </w:r>
            <w:r w:rsidR="00767761" w:rsidRPr="009F337B">
              <w:rPr>
                <w:sz w:val="16"/>
                <w:szCs w:val="16"/>
                <w:lang w:val="en-US"/>
              </w:rPr>
              <w:t>ñez A</w:t>
            </w:r>
            <w:r w:rsidR="007F18B8" w:rsidRPr="009F337B">
              <w:rPr>
                <w:sz w:val="16"/>
                <w:szCs w:val="16"/>
                <w:lang w:val="en-US"/>
              </w:rPr>
              <w:t>lvarez (</w:t>
            </w:r>
            <w:r w:rsidR="0010522A" w:rsidRPr="009F337B">
              <w:rPr>
                <w:sz w:val="16"/>
                <w:szCs w:val="16"/>
                <w:lang w:val="en-US"/>
              </w:rPr>
              <w:t>Daughter</w:t>
            </w:r>
            <w:r w:rsidR="007F18B8" w:rsidRPr="009F337B">
              <w:rPr>
                <w:sz w:val="16"/>
                <w:szCs w:val="16"/>
                <w:lang w:val="en-US"/>
              </w:rPr>
              <w:t>)</w:t>
            </w:r>
          </w:p>
        </w:tc>
      </w:tr>
      <w:tr w:rsidR="007F18B8" w:rsidRPr="009F337B" w14:paraId="7C8EC4C2" w14:textId="77777777" w:rsidTr="003D3071">
        <w:tc>
          <w:tcPr>
            <w:tcW w:w="560" w:type="dxa"/>
            <w:vMerge/>
            <w:vAlign w:val="center"/>
          </w:tcPr>
          <w:p w14:paraId="1415890D" w14:textId="77777777" w:rsidR="007F18B8" w:rsidRPr="009F337B" w:rsidRDefault="007F18B8" w:rsidP="003D3071">
            <w:pPr>
              <w:jc w:val="center"/>
              <w:rPr>
                <w:sz w:val="16"/>
                <w:szCs w:val="16"/>
                <w:lang w:val="en-US"/>
              </w:rPr>
            </w:pPr>
          </w:p>
        </w:tc>
        <w:tc>
          <w:tcPr>
            <w:tcW w:w="3092" w:type="dxa"/>
            <w:vMerge/>
            <w:vAlign w:val="center"/>
          </w:tcPr>
          <w:p w14:paraId="19377A69" w14:textId="77777777" w:rsidR="007F18B8" w:rsidRPr="009F337B" w:rsidRDefault="007F18B8" w:rsidP="00F23970">
            <w:pPr>
              <w:jc w:val="left"/>
              <w:rPr>
                <w:sz w:val="16"/>
                <w:szCs w:val="16"/>
                <w:lang w:val="en-US"/>
              </w:rPr>
            </w:pPr>
          </w:p>
        </w:tc>
        <w:tc>
          <w:tcPr>
            <w:tcW w:w="567" w:type="dxa"/>
            <w:vAlign w:val="center"/>
          </w:tcPr>
          <w:p w14:paraId="005FDAF3" w14:textId="09699679" w:rsidR="007F18B8" w:rsidRPr="009F337B" w:rsidRDefault="005C4A7F" w:rsidP="003D3071">
            <w:pPr>
              <w:jc w:val="center"/>
              <w:rPr>
                <w:sz w:val="16"/>
                <w:szCs w:val="16"/>
                <w:lang w:val="en-US"/>
              </w:rPr>
            </w:pPr>
            <w:r w:rsidRPr="009F337B">
              <w:rPr>
                <w:sz w:val="16"/>
                <w:szCs w:val="16"/>
                <w:lang w:val="en-US"/>
              </w:rPr>
              <w:t>21</w:t>
            </w:r>
          </w:p>
        </w:tc>
        <w:tc>
          <w:tcPr>
            <w:tcW w:w="4785" w:type="dxa"/>
            <w:vAlign w:val="center"/>
          </w:tcPr>
          <w:p w14:paraId="785F56B8" w14:textId="009779E3" w:rsidR="007F18B8" w:rsidRPr="009F337B" w:rsidRDefault="00CC6C64" w:rsidP="00F23970">
            <w:pPr>
              <w:jc w:val="left"/>
              <w:rPr>
                <w:sz w:val="16"/>
                <w:szCs w:val="16"/>
                <w:lang w:val="en-US"/>
              </w:rPr>
            </w:pPr>
            <w:r w:rsidRPr="009F337B">
              <w:rPr>
                <w:sz w:val="16"/>
                <w:szCs w:val="16"/>
                <w:lang w:val="en-US"/>
              </w:rPr>
              <w:t>Honoria Ordo</w:t>
            </w:r>
            <w:r w:rsidR="00767761" w:rsidRPr="009F337B">
              <w:rPr>
                <w:sz w:val="16"/>
                <w:szCs w:val="16"/>
                <w:lang w:val="en-US"/>
              </w:rPr>
              <w:t>ñez A</w:t>
            </w:r>
            <w:r w:rsidR="007F18B8" w:rsidRPr="009F337B">
              <w:rPr>
                <w:sz w:val="16"/>
                <w:szCs w:val="16"/>
                <w:lang w:val="en-US"/>
              </w:rPr>
              <w:t>lvarez (</w:t>
            </w:r>
            <w:r w:rsidR="0010522A" w:rsidRPr="009F337B">
              <w:rPr>
                <w:sz w:val="16"/>
                <w:szCs w:val="16"/>
                <w:lang w:val="en-US"/>
              </w:rPr>
              <w:t>Daughter</w:t>
            </w:r>
            <w:r w:rsidR="007F18B8" w:rsidRPr="009F337B">
              <w:rPr>
                <w:sz w:val="16"/>
                <w:szCs w:val="16"/>
                <w:lang w:val="en-US"/>
              </w:rPr>
              <w:t>)</w:t>
            </w:r>
          </w:p>
        </w:tc>
      </w:tr>
      <w:tr w:rsidR="007F18B8" w:rsidRPr="009F337B" w14:paraId="0C128D7E" w14:textId="77777777" w:rsidTr="003D3071">
        <w:tc>
          <w:tcPr>
            <w:tcW w:w="560" w:type="dxa"/>
            <w:vMerge/>
            <w:vAlign w:val="center"/>
          </w:tcPr>
          <w:p w14:paraId="40B7270E" w14:textId="77777777" w:rsidR="007F18B8" w:rsidRPr="009F337B" w:rsidRDefault="007F18B8" w:rsidP="003D3071">
            <w:pPr>
              <w:jc w:val="center"/>
              <w:rPr>
                <w:sz w:val="16"/>
                <w:szCs w:val="16"/>
                <w:lang w:val="en-US"/>
              </w:rPr>
            </w:pPr>
          </w:p>
        </w:tc>
        <w:tc>
          <w:tcPr>
            <w:tcW w:w="3092" w:type="dxa"/>
            <w:vMerge/>
            <w:vAlign w:val="center"/>
          </w:tcPr>
          <w:p w14:paraId="4D621F7F" w14:textId="77777777" w:rsidR="007F18B8" w:rsidRPr="009F337B" w:rsidRDefault="007F18B8" w:rsidP="00F23970">
            <w:pPr>
              <w:jc w:val="left"/>
              <w:rPr>
                <w:sz w:val="16"/>
                <w:szCs w:val="16"/>
                <w:lang w:val="en-US"/>
              </w:rPr>
            </w:pPr>
          </w:p>
        </w:tc>
        <w:tc>
          <w:tcPr>
            <w:tcW w:w="567" w:type="dxa"/>
            <w:vAlign w:val="center"/>
          </w:tcPr>
          <w:p w14:paraId="485F3C0E" w14:textId="4B263466" w:rsidR="007F18B8" w:rsidRPr="009F337B" w:rsidRDefault="0009273C" w:rsidP="003D3071">
            <w:pPr>
              <w:jc w:val="center"/>
              <w:rPr>
                <w:sz w:val="16"/>
                <w:szCs w:val="16"/>
                <w:lang w:val="en-US"/>
              </w:rPr>
            </w:pPr>
            <w:r w:rsidRPr="009F337B">
              <w:rPr>
                <w:sz w:val="16"/>
                <w:szCs w:val="16"/>
                <w:lang w:val="en-US"/>
              </w:rPr>
              <w:t>2</w:t>
            </w:r>
            <w:r w:rsidR="005C4A7F" w:rsidRPr="009F337B">
              <w:rPr>
                <w:sz w:val="16"/>
                <w:szCs w:val="16"/>
                <w:lang w:val="en-US"/>
              </w:rPr>
              <w:t>2</w:t>
            </w:r>
          </w:p>
        </w:tc>
        <w:tc>
          <w:tcPr>
            <w:tcW w:w="4785" w:type="dxa"/>
            <w:vAlign w:val="center"/>
          </w:tcPr>
          <w:p w14:paraId="088FB4AA" w14:textId="7A4365FE" w:rsidR="007F18B8" w:rsidRPr="009F337B" w:rsidRDefault="00CC6C64" w:rsidP="00F23970">
            <w:pPr>
              <w:jc w:val="left"/>
              <w:rPr>
                <w:sz w:val="16"/>
                <w:szCs w:val="16"/>
                <w:lang w:val="en-US"/>
              </w:rPr>
            </w:pPr>
            <w:r w:rsidRPr="009F337B">
              <w:rPr>
                <w:sz w:val="16"/>
                <w:szCs w:val="16"/>
                <w:lang w:val="en-US"/>
              </w:rPr>
              <w:t>Cecilia Ordo</w:t>
            </w:r>
            <w:r w:rsidR="007F18B8" w:rsidRPr="009F337B">
              <w:rPr>
                <w:sz w:val="16"/>
                <w:szCs w:val="16"/>
                <w:lang w:val="en-US"/>
              </w:rPr>
              <w:t>ñez Alvarez (</w:t>
            </w:r>
            <w:r w:rsidR="0010522A" w:rsidRPr="009F337B">
              <w:rPr>
                <w:sz w:val="16"/>
                <w:szCs w:val="16"/>
                <w:lang w:val="en-US"/>
              </w:rPr>
              <w:t>Daughter</w:t>
            </w:r>
            <w:r w:rsidR="007F18B8" w:rsidRPr="009F337B">
              <w:rPr>
                <w:sz w:val="16"/>
                <w:szCs w:val="16"/>
                <w:lang w:val="en-US"/>
              </w:rPr>
              <w:t>)</w:t>
            </w:r>
          </w:p>
        </w:tc>
      </w:tr>
      <w:tr w:rsidR="007F18B8" w:rsidRPr="009F337B" w14:paraId="19100476" w14:textId="77777777" w:rsidTr="003D3071">
        <w:tc>
          <w:tcPr>
            <w:tcW w:w="560" w:type="dxa"/>
            <w:vMerge/>
            <w:vAlign w:val="center"/>
          </w:tcPr>
          <w:p w14:paraId="5E1FAC96" w14:textId="77777777" w:rsidR="007F18B8" w:rsidRPr="009F337B" w:rsidRDefault="007F18B8" w:rsidP="003D3071">
            <w:pPr>
              <w:jc w:val="center"/>
              <w:rPr>
                <w:sz w:val="16"/>
                <w:szCs w:val="16"/>
                <w:lang w:val="en-US"/>
              </w:rPr>
            </w:pPr>
          </w:p>
        </w:tc>
        <w:tc>
          <w:tcPr>
            <w:tcW w:w="3092" w:type="dxa"/>
            <w:vMerge/>
            <w:vAlign w:val="center"/>
          </w:tcPr>
          <w:p w14:paraId="002CD0A3" w14:textId="77777777" w:rsidR="007F18B8" w:rsidRPr="009F337B" w:rsidRDefault="007F18B8" w:rsidP="00F23970">
            <w:pPr>
              <w:jc w:val="left"/>
              <w:rPr>
                <w:sz w:val="16"/>
                <w:szCs w:val="16"/>
                <w:lang w:val="en-US"/>
              </w:rPr>
            </w:pPr>
          </w:p>
        </w:tc>
        <w:tc>
          <w:tcPr>
            <w:tcW w:w="567" w:type="dxa"/>
            <w:vAlign w:val="center"/>
          </w:tcPr>
          <w:p w14:paraId="524C9E08" w14:textId="25C48F1C" w:rsidR="007F18B8" w:rsidRPr="009F337B" w:rsidRDefault="0009273C" w:rsidP="003D3071">
            <w:pPr>
              <w:jc w:val="center"/>
              <w:rPr>
                <w:sz w:val="16"/>
                <w:szCs w:val="16"/>
                <w:lang w:val="en-US"/>
              </w:rPr>
            </w:pPr>
            <w:r w:rsidRPr="009F337B">
              <w:rPr>
                <w:sz w:val="16"/>
                <w:szCs w:val="16"/>
                <w:lang w:val="en-US"/>
              </w:rPr>
              <w:t>2</w:t>
            </w:r>
            <w:r w:rsidR="005C4A7F" w:rsidRPr="009F337B">
              <w:rPr>
                <w:sz w:val="16"/>
                <w:szCs w:val="16"/>
                <w:lang w:val="en-US"/>
              </w:rPr>
              <w:t>3</w:t>
            </w:r>
          </w:p>
        </w:tc>
        <w:tc>
          <w:tcPr>
            <w:tcW w:w="4785" w:type="dxa"/>
            <w:vAlign w:val="center"/>
          </w:tcPr>
          <w:p w14:paraId="6057882D" w14:textId="29C9D6A0" w:rsidR="007F18B8" w:rsidRPr="009F337B" w:rsidRDefault="00CC6C64" w:rsidP="00F23970">
            <w:pPr>
              <w:jc w:val="left"/>
              <w:rPr>
                <w:sz w:val="16"/>
                <w:szCs w:val="16"/>
                <w:lang w:val="en-US"/>
              </w:rPr>
            </w:pPr>
            <w:r w:rsidRPr="009F337B">
              <w:rPr>
                <w:sz w:val="16"/>
                <w:szCs w:val="16"/>
                <w:lang w:val="en-US"/>
              </w:rPr>
              <w:t>Daria Ordo</w:t>
            </w:r>
            <w:r w:rsidR="007F18B8" w:rsidRPr="009F337B">
              <w:rPr>
                <w:sz w:val="16"/>
                <w:szCs w:val="16"/>
                <w:lang w:val="en-US"/>
              </w:rPr>
              <w:t>ñez Alvarez (</w:t>
            </w:r>
            <w:r w:rsidR="0010522A" w:rsidRPr="009F337B">
              <w:rPr>
                <w:sz w:val="16"/>
                <w:szCs w:val="16"/>
                <w:lang w:val="en-US"/>
              </w:rPr>
              <w:t>Daughter</w:t>
            </w:r>
            <w:r w:rsidR="007F18B8" w:rsidRPr="009F337B">
              <w:rPr>
                <w:sz w:val="16"/>
                <w:szCs w:val="16"/>
                <w:lang w:val="en-US"/>
              </w:rPr>
              <w:t>)</w:t>
            </w:r>
          </w:p>
        </w:tc>
      </w:tr>
      <w:tr w:rsidR="007F18B8" w:rsidRPr="009F337B" w14:paraId="26F94721" w14:textId="77777777" w:rsidTr="003D3071">
        <w:tc>
          <w:tcPr>
            <w:tcW w:w="560" w:type="dxa"/>
            <w:vMerge/>
            <w:vAlign w:val="center"/>
          </w:tcPr>
          <w:p w14:paraId="6C5D017D" w14:textId="77777777" w:rsidR="007F18B8" w:rsidRPr="009F337B" w:rsidRDefault="007F18B8" w:rsidP="003D3071">
            <w:pPr>
              <w:jc w:val="center"/>
              <w:rPr>
                <w:sz w:val="16"/>
                <w:szCs w:val="16"/>
                <w:lang w:val="en-US"/>
              </w:rPr>
            </w:pPr>
          </w:p>
        </w:tc>
        <w:tc>
          <w:tcPr>
            <w:tcW w:w="3092" w:type="dxa"/>
            <w:vMerge/>
            <w:vAlign w:val="center"/>
          </w:tcPr>
          <w:p w14:paraId="470F0A00" w14:textId="77777777" w:rsidR="007F18B8" w:rsidRPr="009F337B" w:rsidRDefault="007F18B8" w:rsidP="00F23970">
            <w:pPr>
              <w:jc w:val="left"/>
              <w:rPr>
                <w:sz w:val="16"/>
                <w:szCs w:val="16"/>
                <w:lang w:val="en-US"/>
              </w:rPr>
            </w:pPr>
          </w:p>
        </w:tc>
        <w:tc>
          <w:tcPr>
            <w:tcW w:w="567" w:type="dxa"/>
            <w:vAlign w:val="center"/>
          </w:tcPr>
          <w:p w14:paraId="26FF89ED" w14:textId="6DA60AFE" w:rsidR="007F18B8" w:rsidRPr="009F337B" w:rsidRDefault="0009273C" w:rsidP="003D3071">
            <w:pPr>
              <w:jc w:val="center"/>
              <w:rPr>
                <w:sz w:val="16"/>
                <w:szCs w:val="16"/>
                <w:lang w:val="en-US"/>
              </w:rPr>
            </w:pPr>
            <w:r w:rsidRPr="009F337B">
              <w:rPr>
                <w:sz w:val="16"/>
                <w:szCs w:val="16"/>
                <w:lang w:val="en-US"/>
              </w:rPr>
              <w:t>2</w:t>
            </w:r>
            <w:r w:rsidR="005C4A7F" w:rsidRPr="009F337B">
              <w:rPr>
                <w:sz w:val="16"/>
                <w:szCs w:val="16"/>
                <w:lang w:val="en-US"/>
              </w:rPr>
              <w:t>4</w:t>
            </w:r>
          </w:p>
        </w:tc>
        <w:tc>
          <w:tcPr>
            <w:tcW w:w="4785" w:type="dxa"/>
            <w:vAlign w:val="center"/>
          </w:tcPr>
          <w:p w14:paraId="345B2077" w14:textId="27B874F8" w:rsidR="007F18B8" w:rsidRPr="00542AB5" w:rsidRDefault="00CC6C64" w:rsidP="00F23970">
            <w:pPr>
              <w:jc w:val="left"/>
              <w:rPr>
                <w:sz w:val="16"/>
                <w:szCs w:val="16"/>
                <w:lang w:val="es-CR"/>
              </w:rPr>
            </w:pPr>
            <w:r w:rsidRPr="00542AB5">
              <w:rPr>
                <w:sz w:val="16"/>
                <w:szCs w:val="16"/>
                <w:lang w:val="es-CR"/>
              </w:rPr>
              <w:t>Juan Carlos Ordo</w:t>
            </w:r>
            <w:r w:rsidR="007F18B8" w:rsidRPr="00542AB5">
              <w:rPr>
                <w:sz w:val="16"/>
                <w:szCs w:val="16"/>
                <w:lang w:val="es-CR"/>
              </w:rPr>
              <w:t>ñez Alvarez (</w:t>
            </w:r>
            <w:r w:rsidR="0010522A" w:rsidRPr="00542AB5">
              <w:rPr>
                <w:sz w:val="16"/>
                <w:szCs w:val="16"/>
                <w:lang w:val="es-CR"/>
              </w:rPr>
              <w:t>Son</w:t>
            </w:r>
            <w:r w:rsidR="007F18B8" w:rsidRPr="00542AB5">
              <w:rPr>
                <w:sz w:val="16"/>
                <w:szCs w:val="16"/>
                <w:lang w:val="es-CR"/>
              </w:rPr>
              <w:t>)</w:t>
            </w:r>
          </w:p>
        </w:tc>
      </w:tr>
      <w:tr w:rsidR="007F18B8" w:rsidRPr="009F337B" w14:paraId="70139A36" w14:textId="77777777" w:rsidTr="003D3071">
        <w:tc>
          <w:tcPr>
            <w:tcW w:w="560" w:type="dxa"/>
            <w:vAlign w:val="center"/>
          </w:tcPr>
          <w:p w14:paraId="39AEC7B0" w14:textId="77777777" w:rsidR="007F18B8" w:rsidRPr="009F337B" w:rsidRDefault="007F18B8" w:rsidP="003D3071">
            <w:pPr>
              <w:jc w:val="center"/>
              <w:rPr>
                <w:sz w:val="16"/>
                <w:szCs w:val="16"/>
                <w:lang w:val="en-US"/>
              </w:rPr>
            </w:pPr>
            <w:r w:rsidRPr="009F337B">
              <w:rPr>
                <w:sz w:val="16"/>
                <w:szCs w:val="16"/>
                <w:lang w:val="en-US"/>
              </w:rPr>
              <w:t>19</w:t>
            </w:r>
          </w:p>
        </w:tc>
        <w:tc>
          <w:tcPr>
            <w:tcW w:w="3092" w:type="dxa"/>
            <w:vAlign w:val="center"/>
          </w:tcPr>
          <w:p w14:paraId="012F800F" w14:textId="710F7949" w:rsidR="007F18B8" w:rsidRPr="009F337B" w:rsidRDefault="00CC6C64" w:rsidP="00F23970">
            <w:pPr>
              <w:jc w:val="left"/>
              <w:rPr>
                <w:sz w:val="16"/>
                <w:szCs w:val="16"/>
                <w:lang w:val="en-US"/>
              </w:rPr>
            </w:pPr>
            <w:r w:rsidRPr="009F337B">
              <w:rPr>
                <w:sz w:val="16"/>
                <w:szCs w:val="16"/>
                <w:lang w:val="en-US"/>
              </w:rPr>
              <w:t>Martina Candelaria A</w:t>
            </w:r>
            <w:r w:rsidR="007F18B8" w:rsidRPr="009F337B">
              <w:rPr>
                <w:sz w:val="16"/>
                <w:szCs w:val="16"/>
                <w:lang w:val="en-US"/>
              </w:rPr>
              <w:t>lvarez Estrada</w:t>
            </w:r>
          </w:p>
        </w:tc>
        <w:tc>
          <w:tcPr>
            <w:tcW w:w="567" w:type="dxa"/>
            <w:vAlign w:val="center"/>
          </w:tcPr>
          <w:p w14:paraId="1650801D" w14:textId="27E3294E" w:rsidR="007F18B8" w:rsidRPr="009F337B" w:rsidRDefault="007F18B8" w:rsidP="003D3071">
            <w:pPr>
              <w:jc w:val="center"/>
              <w:rPr>
                <w:sz w:val="16"/>
                <w:szCs w:val="16"/>
                <w:lang w:val="en-US"/>
              </w:rPr>
            </w:pPr>
          </w:p>
        </w:tc>
        <w:tc>
          <w:tcPr>
            <w:tcW w:w="4785" w:type="dxa"/>
            <w:vAlign w:val="center"/>
          </w:tcPr>
          <w:p w14:paraId="294FA903" w14:textId="7EB613C5" w:rsidR="007F18B8" w:rsidRPr="009F337B" w:rsidRDefault="007F18B8" w:rsidP="00F23970">
            <w:pPr>
              <w:jc w:val="left"/>
              <w:rPr>
                <w:sz w:val="16"/>
                <w:szCs w:val="16"/>
                <w:lang w:val="en-US"/>
              </w:rPr>
            </w:pPr>
          </w:p>
        </w:tc>
      </w:tr>
      <w:tr w:rsidR="00FB476A" w:rsidRPr="009F337B" w14:paraId="16B832CB" w14:textId="77777777" w:rsidTr="003D3071">
        <w:tc>
          <w:tcPr>
            <w:tcW w:w="560" w:type="dxa"/>
            <w:vAlign w:val="center"/>
          </w:tcPr>
          <w:p w14:paraId="3AE51226" w14:textId="77777777" w:rsidR="00FB476A" w:rsidRPr="009F337B" w:rsidRDefault="00FB476A" w:rsidP="003D3071">
            <w:pPr>
              <w:jc w:val="center"/>
              <w:rPr>
                <w:sz w:val="16"/>
                <w:szCs w:val="16"/>
                <w:lang w:val="en-US"/>
              </w:rPr>
            </w:pPr>
            <w:r w:rsidRPr="009F337B">
              <w:rPr>
                <w:sz w:val="16"/>
                <w:szCs w:val="16"/>
                <w:lang w:val="en-US"/>
              </w:rPr>
              <w:t>20</w:t>
            </w:r>
          </w:p>
        </w:tc>
        <w:tc>
          <w:tcPr>
            <w:tcW w:w="3092" w:type="dxa"/>
            <w:vAlign w:val="center"/>
          </w:tcPr>
          <w:p w14:paraId="00F600BE" w14:textId="0D0C0F2F" w:rsidR="00FB476A" w:rsidRPr="00542AB5" w:rsidRDefault="00FB476A" w:rsidP="00F23970">
            <w:pPr>
              <w:jc w:val="left"/>
              <w:rPr>
                <w:sz w:val="16"/>
                <w:szCs w:val="16"/>
                <w:lang w:val="es-CR"/>
              </w:rPr>
            </w:pPr>
            <w:r w:rsidRPr="00542AB5">
              <w:rPr>
                <w:sz w:val="16"/>
                <w:szCs w:val="16"/>
                <w:lang w:val="es-CR"/>
              </w:rPr>
              <w:t>Luis Rubén Isabel Alvarez Flores</w:t>
            </w:r>
          </w:p>
        </w:tc>
        <w:tc>
          <w:tcPr>
            <w:tcW w:w="567" w:type="dxa"/>
            <w:vAlign w:val="center"/>
          </w:tcPr>
          <w:p w14:paraId="788730B1" w14:textId="3EE0A3ED" w:rsidR="00FB476A" w:rsidRPr="00542AB5" w:rsidRDefault="00FB476A" w:rsidP="003D3071">
            <w:pPr>
              <w:jc w:val="center"/>
              <w:rPr>
                <w:sz w:val="16"/>
                <w:szCs w:val="16"/>
                <w:lang w:val="es-CR"/>
              </w:rPr>
            </w:pPr>
          </w:p>
        </w:tc>
        <w:tc>
          <w:tcPr>
            <w:tcW w:w="4785" w:type="dxa"/>
            <w:vAlign w:val="center"/>
          </w:tcPr>
          <w:p w14:paraId="7563F4EE" w14:textId="77777777" w:rsidR="00FB476A" w:rsidRPr="00542AB5" w:rsidRDefault="00FB476A" w:rsidP="00F23970">
            <w:pPr>
              <w:tabs>
                <w:tab w:val="left" w:pos="1277"/>
              </w:tabs>
              <w:jc w:val="left"/>
              <w:rPr>
                <w:sz w:val="16"/>
                <w:szCs w:val="16"/>
                <w:lang w:val="es-CR"/>
              </w:rPr>
            </w:pPr>
          </w:p>
        </w:tc>
      </w:tr>
      <w:tr w:rsidR="00FB476A" w:rsidRPr="009F337B" w14:paraId="33555591" w14:textId="77777777" w:rsidTr="003D3071">
        <w:tc>
          <w:tcPr>
            <w:tcW w:w="560" w:type="dxa"/>
            <w:vAlign w:val="center"/>
          </w:tcPr>
          <w:p w14:paraId="3381519D" w14:textId="77777777" w:rsidR="00FB476A" w:rsidRPr="009F337B" w:rsidRDefault="00FB476A" w:rsidP="003D3071">
            <w:pPr>
              <w:jc w:val="center"/>
              <w:rPr>
                <w:sz w:val="16"/>
                <w:szCs w:val="16"/>
                <w:lang w:val="en-US"/>
              </w:rPr>
            </w:pPr>
            <w:r w:rsidRPr="009F337B">
              <w:rPr>
                <w:sz w:val="16"/>
                <w:szCs w:val="16"/>
                <w:lang w:val="en-US"/>
              </w:rPr>
              <w:t>21</w:t>
            </w:r>
          </w:p>
        </w:tc>
        <w:tc>
          <w:tcPr>
            <w:tcW w:w="3092" w:type="dxa"/>
            <w:vAlign w:val="center"/>
          </w:tcPr>
          <w:p w14:paraId="0324D2E6" w14:textId="77777777" w:rsidR="00FB476A" w:rsidRPr="009F337B" w:rsidRDefault="00FB476A" w:rsidP="00F23970">
            <w:pPr>
              <w:jc w:val="left"/>
              <w:rPr>
                <w:sz w:val="16"/>
                <w:szCs w:val="16"/>
                <w:lang w:val="en-US"/>
              </w:rPr>
            </w:pPr>
            <w:r w:rsidRPr="009F337B">
              <w:rPr>
                <w:sz w:val="16"/>
                <w:szCs w:val="16"/>
                <w:lang w:val="en-US"/>
              </w:rPr>
              <w:t>Ingrid Janeth Barillas Martínez</w:t>
            </w:r>
          </w:p>
        </w:tc>
        <w:tc>
          <w:tcPr>
            <w:tcW w:w="567" w:type="dxa"/>
            <w:vAlign w:val="center"/>
          </w:tcPr>
          <w:p w14:paraId="36BB7362" w14:textId="77777777" w:rsidR="00FB476A" w:rsidRPr="009F337B" w:rsidRDefault="00FB476A" w:rsidP="003D3071">
            <w:pPr>
              <w:jc w:val="center"/>
              <w:rPr>
                <w:sz w:val="16"/>
                <w:szCs w:val="16"/>
                <w:lang w:val="en-US"/>
              </w:rPr>
            </w:pPr>
          </w:p>
        </w:tc>
        <w:tc>
          <w:tcPr>
            <w:tcW w:w="4785" w:type="dxa"/>
            <w:vAlign w:val="center"/>
          </w:tcPr>
          <w:p w14:paraId="5046486D" w14:textId="77777777" w:rsidR="00FB476A" w:rsidRPr="009F337B" w:rsidRDefault="00FB476A" w:rsidP="00F23970">
            <w:pPr>
              <w:jc w:val="left"/>
              <w:rPr>
                <w:sz w:val="16"/>
                <w:szCs w:val="16"/>
                <w:lang w:val="en-US"/>
              </w:rPr>
            </w:pPr>
          </w:p>
        </w:tc>
      </w:tr>
      <w:tr w:rsidR="00FB476A" w:rsidRPr="009F337B" w14:paraId="5BB79F08" w14:textId="77777777" w:rsidTr="003D3071">
        <w:tc>
          <w:tcPr>
            <w:tcW w:w="560" w:type="dxa"/>
            <w:vMerge w:val="restart"/>
            <w:vAlign w:val="center"/>
          </w:tcPr>
          <w:p w14:paraId="6BC05897" w14:textId="77777777" w:rsidR="00FB476A" w:rsidRPr="009F337B" w:rsidRDefault="00FB476A" w:rsidP="003D3071">
            <w:pPr>
              <w:jc w:val="center"/>
              <w:rPr>
                <w:sz w:val="16"/>
                <w:szCs w:val="16"/>
                <w:lang w:val="en-US"/>
              </w:rPr>
            </w:pPr>
            <w:r w:rsidRPr="009F337B">
              <w:rPr>
                <w:sz w:val="16"/>
                <w:szCs w:val="16"/>
                <w:lang w:val="en-US"/>
              </w:rPr>
              <w:t>22</w:t>
            </w:r>
          </w:p>
        </w:tc>
        <w:tc>
          <w:tcPr>
            <w:tcW w:w="3092" w:type="dxa"/>
            <w:vMerge w:val="restart"/>
            <w:vAlign w:val="center"/>
          </w:tcPr>
          <w:p w14:paraId="4D138C8B" w14:textId="77777777" w:rsidR="00FB476A" w:rsidRPr="009F337B" w:rsidRDefault="00FB476A" w:rsidP="00F23970">
            <w:pPr>
              <w:jc w:val="left"/>
              <w:rPr>
                <w:sz w:val="16"/>
                <w:szCs w:val="16"/>
                <w:lang w:val="en-US"/>
              </w:rPr>
            </w:pPr>
            <w:r w:rsidRPr="009F337B">
              <w:rPr>
                <w:sz w:val="16"/>
                <w:szCs w:val="16"/>
                <w:lang w:val="en-US"/>
              </w:rPr>
              <w:t>Saira Elisa Barrios</w:t>
            </w:r>
          </w:p>
        </w:tc>
        <w:tc>
          <w:tcPr>
            <w:tcW w:w="567" w:type="dxa"/>
            <w:vAlign w:val="center"/>
          </w:tcPr>
          <w:p w14:paraId="02039BB9" w14:textId="31EBC521" w:rsidR="00FB476A" w:rsidRPr="009F337B" w:rsidRDefault="0009273C" w:rsidP="003D3071">
            <w:pPr>
              <w:jc w:val="center"/>
              <w:rPr>
                <w:sz w:val="16"/>
                <w:szCs w:val="16"/>
                <w:lang w:val="en-US"/>
              </w:rPr>
            </w:pPr>
            <w:r w:rsidRPr="009F337B">
              <w:rPr>
                <w:sz w:val="16"/>
                <w:szCs w:val="16"/>
                <w:lang w:val="en-US"/>
              </w:rPr>
              <w:t>2</w:t>
            </w:r>
            <w:r w:rsidR="005C4A7F" w:rsidRPr="009F337B">
              <w:rPr>
                <w:sz w:val="16"/>
                <w:szCs w:val="16"/>
                <w:lang w:val="en-US"/>
              </w:rPr>
              <w:t>5</w:t>
            </w:r>
          </w:p>
        </w:tc>
        <w:tc>
          <w:tcPr>
            <w:tcW w:w="4785" w:type="dxa"/>
            <w:vAlign w:val="center"/>
          </w:tcPr>
          <w:p w14:paraId="5F79B8E9" w14:textId="67CC4B66" w:rsidR="00FB476A" w:rsidRPr="009F337B" w:rsidRDefault="00FB476A" w:rsidP="00F23970">
            <w:pPr>
              <w:jc w:val="left"/>
              <w:rPr>
                <w:sz w:val="16"/>
                <w:szCs w:val="16"/>
                <w:lang w:val="en-US"/>
              </w:rPr>
            </w:pPr>
            <w:r w:rsidRPr="009F337B">
              <w:rPr>
                <w:sz w:val="16"/>
                <w:szCs w:val="16"/>
                <w:lang w:val="en-US"/>
              </w:rPr>
              <w:t>Edilma Evelina Barrios (</w:t>
            </w:r>
            <w:r w:rsidR="0010522A" w:rsidRPr="009F337B">
              <w:rPr>
                <w:sz w:val="16"/>
                <w:szCs w:val="16"/>
                <w:lang w:val="en-US"/>
              </w:rPr>
              <w:t>Daughter</w:t>
            </w:r>
            <w:r w:rsidRPr="009F337B">
              <w:rPr>
                <w:sz w:val="16"/>
                <w:szCs w:val="16"/>
                <w:lang w:val="en-US"/>
              </w:rPr>
              <w:t>)</w:t>
            </w:r>
          </w:p>
        </w:tc>
      </w:tr>
      <w:tr w:rsidR="00FB476A" w:rsidRPr="009F337B" w14:paraId="06020CE8" w14:textId="77777777" w:rsidTr="003D3071">
        <w:tc>
          <w:tcPr>
            <w:tcW w:w="560" w:type="dxa"/>
            <w:vMerge/>
            <w:vAlign w:val="center"/>
          </w:tcPr>
          <w:p w14:paraId="2E5CE553" w14:textId="77777777" w:rsidR="00FB476A" w:rsidRPr="009F337B" w:rsidRDefault="00FB476A" w:rsidP="003D3071">
            <w:pPr>
              <w:jc w:val="center"/>
              <w:rPr>
                <w:sz w:val="16"/>
                <w:szCs w:val="16"/>
                <w:lang w:val="en-US"/>
              </w:rPr>
            </w:pPr>
          </w:p>
        </w:tc>
        <w:tc>
          <w:tcPr>
            <w:tcW w:w="3092" w:type="dxa"/>
            <w:vMerge/>
            <w:vAlign w:val="center"/>
          </w:tcPr>
          <w:p w14:paraId="3CD67ED0" w14:textId="77777777" w:rsidR="00FB476A" w:rsidRPr="009F337B" w:rsidRDefault="00FB476A" w:rsidP="00F23970">
            <w:pPr>
              <w:jc w:val="left"/>
              <w:rPr>
                <w:sz w:val="16"/>
                <w:szCs w:val="16"/>
                <w:lang w:val="en-US"/>
              </w:rPr>
            </w:pPr>
          </w:p>
        </w:tc>
        <w:tc>
          <w:tcPr>
            <w:tcW w:w="567" w:type="dxa"/>
            <w:vAlign w:val="center"/>
          </w:tcPr>
          <w:p w14:paraId="0BCBCD5A" w14:textId="51C16948" w:rsidR="00FB476A" w:rsidRPr="009F337B" w:rsidRDefault="0009273C" w:rsidP="003D3071">
            <w:pPr>
              <w:jc w:val="center"/>
              <w:rPr>
                <w:sz w:val="16"/>
                <w:szCs w:val="16"/>
                <w:lang w:val="en-US"/>
              </w:rPr>
            </w:pPr>
            <w:r w:rsidRPr="009F337B">
              <w:rPr>
                <w:sz w:val="16"/>
                <w:szCs w:val="16"/>
                <w:lang w:val="en-US"/>
              </w:rPr>
              <w:t>2</w:t>
            </w:r>
            <w:r w:rsidR="005C4A7F" w:rsidRPr="009F337B">
              <w:rPr>
                <w:sz w:val="16"/>
                <w:szCs w:val="16"/>
                <w:lang w:val="en-US"/>
              </w:rPr>
              <w:t>6</w:t>
            </w:r>
          </w:p>
        </w:tc>
        <w:tc>
          <w:tcPr>
            <w:tcW w:w="4785" w:type="dxa"/>
            <w:vAlign w:val="center"/>
          </w:tcPr>
          <w:p w14:paraId="2491BCBB" w14:textId="6975BD25" w:rsidR="00FB476A" w:rsidRPr="009F337B" w:rsidRDefault="00FB476A" w:rsidP="00F23970">
            <w:pPr>
              <w:jc w:val="left"/>
              <w:rPr>
                <w:sz w:val="16"/>
                <w:szCs w:val="16"/>
                <w:lang w:val="en-US"/>
              </w:rPr>
            </w:pPr>
            <w:r w:rsidRPr="009F337B">
              <w:rPr>
                <w:sz w:val="16"/>
                <w:szCs w:val="16"/>
                <w:lang w:val="en-US"/>
              </w:rPr>
              <w:t>Darlin Sureima Barrios (</w:t>
            </w:r>
            <w:r w:rsidR="0010522A" w:rsidRPr="009F337B">
              <w:rPr>
                <w:sz w:val="16"/>
                <w:szCs w:val="16"/>
                <w:lang w:val="en-US"/>
              </w:rPr>
              <w:t>Daughter</w:t>
            </w:r>
            <w:r w:rsidRPr="009F337B">
              <w:rPr>
                <w:sz w:val="16"/>
                <w:szCs w:val="16"/>
                <w:lang w:val="en-US"/>
              </w:rPr>
              <w:t>)</w:t>
            </w:r>
          </w:p>
        </w:tc>
      </w:tr>
      <w:tr w:rsidR="00FB476A" w:rsidRPr="009F337B" w14:paraId="078435DC" w14:textId="77777777" w:rsidTr="003D3071">
        <w:tc>
          <w:tcPr>
            <w:tcW w:w="560" w:type="dxa"/>
            <w:vMerge/>
            <w:vAlign w:val="center"/>
          </w:tcPr>
          <w:p w14:paraId="17B5D1E3" w14:textId="77777777" w:rsidR="00FB476A" w:rsidRPr="009F337B" w:rsidRDefault="00FB476A" w:rsidP="003D3071">
            <w:pPr>
              <w:jc w:val="center"/>
              <w:rPr>
                <w:sz w:val="16"/>
                <w:szCs w:val="16"/>
                <w:lang w:val="en-US"/>
              </w:rPr>
            </w:pPr>
          </w:p>
        </w:tc>
        <w:tc>
          <w:tcPr>
            <w:tcW w:w="3092" w:type="dxa"/>
            <w:vMerge/>
            <w:vAlign w:val="center"/>
          </w:tcPr>
          <w:p w14:paraId="3541AE62" w14:textId="77777777" w:rsidR="00FB476A" w:rsidRPr="009F337B" w:rsidRDefault="00FB476A" w:rsidP="00F23970">
            <w:pPr>
              <w:jc w:val="left"/>
              <w:rPr>
                <w:sz w:val="16"/>
                <w:szCs w:val="16"/>
                <w:lang w:val="en-US"/>
              </w:rPr>
            </w:pPr>
          </w:p>
        </w:tc>
        <w:tc>
          <w:tcPr>
            <w:tcW w:w="567" w:type="dxa"/>
            <w:vAlign w:val="center"/>
          </w:tcPr>
          <w:p w14:paraId="33CBB2EE" w14:textId="4A0AB166" w:rsidR="00FB476A" w:rsidRPr="009F337B" w:rsidRDefault="0009273C" w:rsidP="003D3071">
            <w:pPr>
              <w:jc w:val="center"/>
              <w:rPr>
                <w:sz w:val="16"/>
                <w:szCs w:val="16"/>
                <w:lang w:val="en-US"/>
              </w:rPr>
            </w:pPr>
            <w:r w:rsidRPr="009F337B">
              <w:rPr>
                <w:sz w:val="16"/>
                <w:szCs w:val="16"/>
                <w:lang w:val="en-US"/>
              </w:rPr>
              <w:t>2</w:t>
            </w:r>
            <w:r w:rsidR="005C4A7F" w:rsidRPr="009F337B">
              <w:rPr>
                <w:sz w:val="16"/>
                <w:szCs w:val="16"/>
                <w:lang w:val="en-US"/>
              </w:rPr>
              <w:t>7</w:t>
            </w:r>
          </w:p>
        </w:tc>
        <w:tc>
          <w:tcPr>
            <w:tcW w:w="4785" w:type="dxa"/>
            <w:vAlign w:val="center"/>
          </w:tcPr>
          <w:p w14:paraId="289C1952" w14:textId="6CF4A154" w:rsidR="00FB476A" w:rsidRPr="009F337B" w:rsidRDefault="00FB476A" w:rsidP="00F23970">
            <w:pPr>
              <w:jc w:val="left"/>
              <w:rPr>
                <w:sz w:val="16"/>
                <w:szCs w:val="16"/>
                <w:lang w:val="en-US"/>
              </w:rPr>
            </w:pPr>
            <w:r w:rsidRPr="009F337B">
              <w:rPr>
                <w:sz w:val="16"/>
                <w:szCs w:val="16"/>
                <w:lang w:val="en-US"/>
              </w:rPr>
              <w:t>Kendi Liserli Barrios (</w:t>
            </w:r>
            <w:r w:rsidR="0010522A" w:rsidRPr="009F337B">
              <w:rPr>
                <w:sz w:val="16"/>
                <w:szCs w:val="16"/>
                <w:lang w:val="en-US"/>
              </w:rPr>
              <w:t>Daughter</w:t>
            </w:r>
            <w:r w:rsidRPr="009F337B">
              <w:rPr>
                <w:sz w:val="16"/>
                <w:szCs w:val="16"/>
                <w:lang w:val="en-US"/>
              </w:rPr>
              <w:t>)</w:t>
            </w:r>
          </w:p>
        </w:tc>
      </w:tr>
      <w:tr w:rsidR="00FB476A" w:rsidRPr="009F337B" w14:paraId="5400F284" w14:textId="77777777" w:rsidTr="003D3071">
        <w:tc>
          <w:tcPr>
            <w:tcW w:w="560" w:type="dxa"/>
            <w:vMerge/>
            <w:vAlign w:val="center"/>
          </w:tcPr>
          <w:p w14:paraId="7612EEF1" w14:textId="77777777" w:rsidR="00FB476A" w:rsidRPr="009F337B" w:rsidRDefault="00FB476A" w:rsidP="003D3071">
            <w:pPr>
              <w:jc w:val="center"/>
              <w:rPr>
                <w:sz w:val="16"/>
                <w:szCs w:val="16"/>
                <w:lang w:val="en-US"/>
              </w:rPr>
            </w:pPr>
          </w:p>
        </w:tc>
        <w:tc>
          <w:tcPr>
            <w:tcW w:w="3092" w:type="dxa"/>
            <w:vMerge/>
            <w:vAlign w:val="center"/>
          </w:tcPr>
          <w:p w14:paraId="4F659254" w14:textId="77777777" w:rsidR="00FB476A" w:rsidRPr="009F337B" w:rsidRDefault="00FB476A" w:rsidP="00F23970">
            <w:pPr>
              <w:jc w:val="left"/>
              <w:rPr>
                <w:sz w:val="16"/>
                <w:szCs w:val="16"/>
                <w:lang w:val="en-US"/>
              </w:rPr>
            </w:pPr>
          </w:p>
        </w:tc>
        <w:tc>
          <w:tcPr>
            <w:tcW w:w="567" w:type="dxa"/>
            <w:vAlign w:val="center"/>
          </w:tcPr>
          <w:p w14:paraId="06AB873F" w14:textId="3954410B" w:rsidR="00FB476A" w:rsidRPr="009F337B" w:rsidRDefault="0009273C" w:rsidP="003D3071">
            <w:pPr>
              <w:jc w:val="center"/>
              <w:rPr>
                <w:sz w:val="16"/>
                <w:szCs w:val="16"/>
                <w:lang w:val="en-US"/>
              </w:rPr>
            </w:pPr>
            <w:r w:rsidRPr="009F337B">
              <w:rPr>
                <w:sz w:val="16"/>
                <w:szCs w:val="16"/>
                <w:lang w:val="en-US"/>
              </w:rPr>
              <w:t>2</w:t>
            </w:r>
            <w:r w:rsidR="005C4A7F" w:rsidRPr="009F337B">
              <w:rPr>
                <w:sz w:val="16"/>
                <w:szCs w:val="16"/>
                <w:lang w:val="en-US"/>
              </w:rPr>
              <w:t>8</w:t>
            </w:r>
          </w:p>
        </w:tc>
        <w:tc>
          <w:tcPr>
            <w:tcW w:w="4785" w:type="dxa"/>
            <w:vAlign w:val="center"/>
          </w:tcPr>
          <w:p w14:paraId="7D70307C" w14:textId="03F53F0C" w:rsidR="00FB476A" w:rsidRPr="009F337B" w:rsidRDefault="00FB476A" w:rsidP="00F23970">
            <w:pPr>
              <w:jc w:val="left"/>
              <w:rPr>
                <w:sz w:val="16"/>
                <w:szCs w:val="16"/>
                <w:lang w:val="en-US"/>
              </w:rPr>
            </w:pPr>
            <w:r w:rsidRPr="009F337B">
              <w:rPr>
                <w:sz w:val="16"/>
                <w:szCs w:val="16"/>
                <w:lang w:val="en-US"/>
              </w:rPr>
              <w:t>Noret Adali Barrios (</w:t>
            </w:r>
            <w:r w:rsidR="0010522A" w:rsidRPr="009F337B">
              <w:rPr>
                <w:sz w:val="16"/>
                <w:szCs w:val="16"/>
                <w:lang w:val="en-US"/>
              </w:rPr>
              <w:t>Daughter</w:t>
            </w:r>
            <w:r w:rsidRPr="009F337B">
              <w:rPr>
                <w:sz w:val="16"/>
                <w:szCs w:val="16"/>
                <w:lang w:val="en-US"/>
              </w:rPr>
              <w:t>)</w:t>
            </w:r>
          </w:p>
        </w:tc>
      </w:tr>
      <w:tr w:rsidR="00FB476A" w:rsidRPr="009F337B" w14:paraId="066C5204" w14:textId="77777777" w:rsidTr="003D3071">
        <w:tc>
          <w:tcPr>
            <w:tcW w:w="560" w:type="dxa"/>
            <w:vAlign w:val="center"/>
          </w:tcPr>
          <w:p w14:paraId="43649A54" w14:textId="77777777" w:rsidR="00FB476A" w:rsidRPr="009F337B" w:rsidRDefault="00FB476A" w:rsidP="003D3071">
            <w:pPr>
              <w:jc w:val="center"/>
              <w:rPr>
                <w:sz w:val="16"/>
                <w:szCs w:val="16"/>
                <w:lang w:val="en-US"/>
              </w:rPr>
            </w:pPr>
            <w:r w:rsidRPr="009F337B">
              <w:rPr>
                <w:sz w:val="16"/>
                <w:szCs w:val="16"/>
                <w:lang w:val="en-US"/>
              </w:rPr>
              <w:t>23</w:t>
            </w:r>
          </w:p>
        </w:tc>
        <w:tc>
          <w:tcPr>
            <w:tcW w:w="3092" w:type="dxa"/>
            <w:vAlign w:val="center"/>
          </w:tcPr>
          <w:p w14:paraId="05816355" w14:textId="77777777" w:rsidR="00FB476A" w:rsidRPr="00542AB5" w:rsidRDefault="00FB476A" w:rsidP="00F23970">
            <w:pPr>
              <w:jc w:val="left"/>
              <w:rPr>
                <w:sz w:val="16"/>
                <w:szCs w:val="16"/>
                <w:lang w:val="es-CR"/>
              </w:rPr>
            </w:pPr>
            <w:r w:rsidRPr="00542AB5">
              <w:rPr>
                <w:sz w:val="16"/>
                <w:szCs w:val="16"/>
                <w:lang w:val="es-CR"/>
              </w:rPr>
              <w:t>Felix de Jesús Cabrera Morales</w:t>
            </w:r>
          </w:p>
        </w:tc>
        <w:tc>
          <w:tcPr>
            <w:tcW w:w="567" w:type="dxa"/>
            <w:vAlign w:val="center"/>
          </w:tcPr>
          <w:p w14:paraId="4FCC6D0C" w14:textId="1A8B6E1D" w:rsidR="00FB476A" w:rsidRPr="00542AB5" w:rsidRDefault="00FB476A" w:rsidP="003D3071">
            <w:pPr>
              <w:jc w:val="center"/>
              <w:rPr>
                <w:sz w:val="16"/>
                <w:szCs w:val="16"/>
                <w:lang w:val="es-CR"/>
              </w:rPr>
            </w:pPr>
          </w:p>
        </w:tc>
        <w:tc>
          <w:tcPr>
            <w:tcW w:w="4785" w:type="dxa"/>
            <w:vAlign w:val="center"/>
          </w:tcPr>
          <w:p w14:paraId="708055E6" w14:textId="720C1FE8" w:rsidR="00FB476A" w:rsidRPr="00542AB5" w:rsidRDefault="00FB476A" w:rsidP="00F23970">
            <w:pPr>
              <w:tabs>
                <w:tab w:val="left" w:pos="1277"/>
              </w:tabs>
              <w:jc w:val="left"/>
              <w:rPr>
                <w:sz w:val="16"/>
                <w:szCs w:val="16"/>
                <w:lang w:val="es-CR"/>
              </w:rPr>
            </w:pPr>
          </w:p>
        </w:tc>
      </w:tr>
      <w:tr w:rsidR="00FB476A" w:rsidRPr="009F337B" w14:paraId="14525A68" w14:textId="77777777" w:rsidTr="003D3071">
        <w:tc>
          <w:tcPr>
            <w:tcW w:w="560" w:type="dxa"/>
            <w:vAlign w:val="center"/>
          </w:tcPr>
          <w:p w14:paraId="0C6A0833" w14:textId="77777777" w:rsidR="00FB476A" w:rsidRPr="009F337B" w:rsidRDefault="00FB476A" w:rsidP="003D3071">
            <w:pPr>
              <w:jc w:val="center"/>
              <w:rPr>
                <w:sz w:val="16"/>
                <w:szCs w:val="16"/>
                <w:lang w:val="en-US"/>
              </w:rPr>
            </w:pPr>
            <w:r w:rsidRPr="009F337B">
              <w:rPr>
                <w:sz w:val="16"/>
                <w:szCs w:val="16"/>
                <w:lang w:val="en-US"/>
              </w:rPr>
              <w:t>24</w:t>
            </w:r>
          </w:p>
        </w:tc>
        <w:tc>
          <w:tcPr>
            <w:tcW w:w="3092" w:type="dxa"/>
            <w:vAlign w:val="center"/>
          </w:tcPr>
          <w:p w14:paraId="5AC94865" w14:textId="2DDE68F4" w:rsidR="00FB476A" w:rsidRPr="009F337B" w:rsidRDefault="00FB476A" w:rsidP="00F23970">
            <w:pPr>
              <w:jc w:val="left"/>
              <w:rPr>
                <w:sz w:val="16"/>
                <w:szCs w:val="16"/>
                <w:lang w:val="en-US"/>
              </w:rPr>
            </w:pPr>
            <w:r w:rsidRPr="009F337B">
              <w:rPr>
                <w:sz w:val="16"/>
                <w:szCs w:val="16"/>
                <w:lang w:val="en-US"/>
              </w:rPr>
              <w:t>César Noé Cancinos Gómez</w:t>
            </w:r>
          </w:p>
        </w:tc>
        <w:tc>
          <w:tcPr>
            <w:tcW w:w="567" w:type="dxa"/>
            <w:vAlign w:val="center"/>
          </w:tcPr>
          <w:p w14:paraId="76EB298C" w14:textId="0D52DF32" w:rsidR="00FB476A" w:rsidRPr="009F337B" w:rsidRDefault="00FB476A" w:rsidP="003D3071">
            <w:pPr>
              <w:jc w:val="center"/>
              <w:rPr>
                <w:sz w:val="16"/>
                <w:szCs w:val="16"/>
                <w:lang w:val="en-US"/>
              </w:rPr>
            </w:pPr>
          </w:p>
        </w:tc>
        <w:tc>
          <w:tcPr>
            <w:tcW w:w="4785" w:type="dxa"/>
            <w:vAlign w:val="center"/>
          </w:tcPr>
          <w:p w14:paraId="36A5DE6A" w14:textId="2D360B0E" w:rsidR="00FB476A" w:rsidRPr="009F337B" w:rsidRDefault="00FB476A" w:rsidP="00F23970">
            <w:pPr>
              <w:tabs>
                <w:tab w:val="left" w:pos="1277"/>
              </w:tabs>
              <w:jc w:val="left"/>
              <w:rPr>
                <w:sz w:val="16"/>
                <w:szCs w:val="16"/>
                <w:lang w:val="en-US"/>
              </w:rPr>
            </w:pPr>
          </w:p>
        </w:tc>
      </w:tr>
      <w:tr w:rsidR="00FB476A" w:rsidRPr="009F337B" w14:paraId="6645859A" w14:textId="77777777" w:rsidTr="003D3071">
        <w:tc>
          <w:tcPr>
            <w:tcW w:w="560" w:type="dxa"/>
            <w:vAlign w:val="center"/>
          </w:tcPr>
          <w:p w14:paraId="59653791" w14:textId="77777777" w:rsidR="00FB476A" w:rsidRPr="009F337B" w:rsidRDefault="00FB476A" w:rsidP="003D3071">
            <w:pPr>
              <w:jc w:val="center"/>
              <w:rPr>
                <w:sz w:val="16"/>
                <w:szCs w:val="16"/>
                <w:lang w:val="en-US"/>
              </w:rPr>
            </w:pPr>
            <w:r w:rsidRPr="009F337B">
              <w:rPr>
                <w:sz w:val="16"/>
                <w:szCs w:val="16"/>
                <w:lang w:val="en-US"/>
              </w:rPr>
              <w:t>25</w:t>
            </w:r>
          </w:p>
        </w:tc>
        <w:tc>
          <w:tcPr>
            <w:tcW w:w="3092" w:type="dxa"/>
            <w:vAlign w:val="center"/>
          </w:tcPr>
          <w:p w14:paraId="1B11A5D9" w14:textId="77777777" w:rsidR="00FB476A" w:rsidRPr="009F337B" w:rsidRDefault="00FB476A" w:rsidP="00F23970">
            <w:pPr>
              <w:jc w:val="left"/>
              <w:rPr>
                <w:sz w:val="16"/>
                <w:szCs w:val="16"/>
                <w:lang w:val="en-US"/>
              </w:rPr>
            </w:pPr>
            <w:r w:rsidRPr="009F337B">
              <w:rPr>
                <w:sz w:val="16"/>
                <w:szCs w:val="16"/>
                <w:lang w:val="en-US"/>
              </w:rPr>
              <w:t>Aracely Cinto</w:t>
            </w:r>
          </w:p>
        </w:tc>
        <w:tc>
          <w:tcPr>
            <w:tcW w:w="567" w:type="dxa"/>
            <w:vAlign w:val="center"/>
          </w:tcPr>
          <w:p w14:paraId="0F142617" w14:textId="4AABC3B8" w:rsidR="00FB476A" w:rsidRPr="009F337B" w:rsidRDefault="0009273C" w:rsidP="003D3071">
            <w:pPr>
              <w:jc w:val="center"/>
              <w:rPr>
                <w:sz w:val="16"/>
                <w:szCs w:val="16"/>
                <w:lang w:val="en-US"/>
              </w:rPr>
            </w:pPr>
            <w:r w:rsidRPr="009F337B">
              <w:rPr>
                <w:sz w:val="16"/>
                <w:szCs w:val="16"/>
                <w:lang w:val="en-US"/>
              </w:rPr>
              <w:t>2</w:t>
            </w:r>
            <w:r w:rsidR="005C4A7F" w:rsidRPr="009F337B">
              <w:rPr>
                <w:sz w:val="16"/>
                <w:szCs w:val="16"/>
                <w:lang w:val="en-US"/>
              </w:rPr>
              <w:t>9</w:t>
            </w:r>
          </w:p>
        </w:tc>
        <w:tc>
          <w:tcPr>
            <w:tcW w:w="4785" w:type="dxa"/>
            <w:vAlign w:val="center"/>
          </w:tcPr>
          <w:p w14:paraId="1305F2EF" w14:textId="4F876D0D" w:rsidR="00FB476A" w:rsidRPr="00542AB5" w:rsidRDefault="00FB476A" w:rsidP="00F23970">
            <w:pPr>
              <w:tabs>
                <w:tab w:val="left" w:pos="1277"/>
              </w:tabs>
              <w:jc w:val="left"/>
              <w:rPr>
                <w:sz w:val="16"/>
                <w:szCs w:val="16"/>
                <w:lang w:val="es-CR"/>
              </w:rPr>
            </w:pPr>
            <w:r w:rsidRPr="00542AB5">
              <w:rPr>
                <w:sz w:val="16"/>
                <w:szCs w:val="16"/>
                <w:lang w:val="es-CR"/>
              </w:rPr>
              <w:t>Leonel Celestino Mazariegos Cinto (</w:t>
            </w:r>
            <w:r w:rsidR="0010522A" w:rsidRPr="00542AB5">
              <w:rPr>
                <w:sz w:val="16"/>
                <w:szCs w:val="16"/>
                <w:lang w:val="es-CR"/>
              </w:rPr>
              <w:t>Son</w:t>
            </w:r>
            <w:r w:rsidRPr="00542AB5">
              <w:rPr>
                <w:sz w:val="16"/>
                <w:szCs w:val="16"/>
                <w:lang w:val="es-CR"/>
              </w:rPr>
              <w:t>)</w:t>
            </w:r>
          </w:p>
        </w:tc>
      </w:tr>
      <w:tr w:rsidR="00FB476A" w:rsidRPr="009F337B" w14:paraId="70969CFF" w14:textId="77777777" w:rsidTr="003D3071">
        <w:tc>
          <w:tcPr>
            <w:tcW w:w="560" w:type="dxa"/>
            <w:vAlign w:val="center"/>
          </w:tcPr>
          <w:p w14:paraId="3D086366" w14:textId="77777777" w:rsidR="00FB476A" w:rsidRPr="009F337B" w:rsidRDefault="00FB476A" w:rsidP="003D3071">
            <w:pPr>
              <w:jc w:val="center"/>
              <w:rPr>
                <w:sz w:val="16"/>
                <w:szCs w:val="16"/>
                <w:lang w:val="en-US"/>
              </w:rPr>
            </w:pPr>
            <w:r w:rsidRPr="009F337B">
              <w:rPr>
                <w:sz w:val="16"/>
                <w:szCs w:val="16"/>
                <w:lang w:val="en-US"/>
              </w:rPr>
              <w:t>26</w:t>
            </w:r>
          </w:p>
        </w:tc>
        <w:tc>
          <w:tcPr>
            <w:tcW w:w="3092" w:type="dxa"/>
            <w:vAlign w:val="center"/>
          </w:tcPr>
          <w:p w14:paraId="05DA22BD" w14:textId="77777777" w:rsidR="00FB476A" w:rsidRPr="009F337B" w:rsidRDefault="00FB476A" w:rsidP="00F23970">
            <w:pPr>
              <w:jc w:val="left"/>
              <w:rPr>
                <w:sz w:val="16"/>
                <w:szCs w:val="16"/>
                <w:lang w:val="en-US"/>
              </w:rPr>
            </w:pPr>
            <w:r w:rsidRPr="009F337B">
              <w:rPr>
                <w:sz w:val="16"/>
                <w:szCs w:val="16"/>
                <w:lang w:val="en-US"/>
              </w:rPr>
              <w:t>Luis Rolando Cuscul Pivaral</w:t>
            </w:r>
          </w:p>
        </w:tc>
        <w:tc>
          <w:tcPr>
            <w:tcW w:w="567" w:type="dxa"/>
            <w:vAlign w:val="center"/>
          </w:tcPr>
          <w:p w14:paraId="1C73689B" w14:textId="77777777" w:rsidR="00FB476A" w:rsidRPr="009F337B" w:rsidRDefault="00FB476A" w:rsidP="003D3071">
            <w:pPr>
              <w:jc w:val="center"/>
              <w:rPr>
                <w:sz w:val="16"/>
                <w:szCs w:val="16"/>
                <w:lang w:val="en-US"/>
              </w:rPr>
            </w:pPr>
          </w:p>
        </w:tc>
        <w:tc>
          <w:tcPr>
            <w:tcW w:w="4785" w:type="dxa"/>
            <w:vAlign w:val="center"/>
          </w:tcPr>
          <w:p w14:paraId="1280C1C7" w14:textId="77777777" w:rsidR="00FB476A" w:rsidRPr="009F337B" w:rsidRDefault="00FB476A" w:rsidP="00F23970">
            <w:pPr>
              <w:jc w:val="left"/>
              <w:rPr>
                <w:sz w:val="16"/>
                <w:szCs w:val="16"/>
                <w:lang w:val="en-US"/>
              </w:rPr>
            </w:pPr>
          </w:p>
        </w:tc>
      </w:tr>
      <w:tr w:rsidR="00FB476A" w:rsidRPr="009F337B" w14:paraId="1BC981CB" w14:textId="77777777" w:rsidTr="003D3071">
        <w:tc>
          <w:tcPr>
            <w:tcW w:w="560" w:type="dxa"/>
            <w:vAlign w:val="center"/>
          </w:tcPr>
          <w:p w14:paraId="5D11DB32" w14:textId="77777777" w:rsidR="00FB476A" w:rsidRPr="009F337B" w:rsidRDefault="00FB476A" w:rsidP="003D3071">
            <w:pPr>
              <w:jc w:val="center"/>
              <w:rPr>
                <w:sz w:val="16"/>
                <w:szCs w:val="16"/>
                <w:lang w:val="en-US"/>
              </w:rPr>
            </w:pPr>
            <w:r w:rsidRPr="009F337B">
              <w:rPr>
                <w:sz w:val="16"/>
                <w:szCs w:val="16"/>
                <w:lang w:val="en-US"/>
              </w:rPr>
              <w:t>27</w:t>
            </w:r>
          </w:p>
        </w:tc>
        <w:tc>
          <w:tcPr>
            <w:tcW w:w="3092" w:type="dxa"/>
            <w:vAlign w:val="center"/>
          </w:tcPr>
          <w:p w14:paraId="1112F10C" w14:textId="77777777" w:rsidR="00FB476A" w:rsidRPr="009F337B" w:rsidRDefault="00FB476A" w:rsidP="00F23970">
            <w:pPr>
              <w:jc w:val="left"/>
              <w:rPr>
                <w:sz w:val="16"/>
                <w:szCs w:val="16"/>
                <w:lang w:val="en-US"/>
              </w:rPr>
            </w:pPr>
            <w:r w:rsidRPr="009F337B">
              <w:rPr>
                <w:sz w:val="16"/>
                <w:szCs w:val="16"/>
                <w:lang w:val="en-US"/>
              </w:rPr>
              <w:t>Olga Marina Castillo</w:t>
            </w:r>
          </w:p>
        </w:tc>
        <w:tc>
          <w:tcPr>
            <w:tcW w:w="567" w:type="dxa"/>
            <w:vAlign w:val="center"/>
          </w:tcPr>
          <w:p w14:paraId="1EB611B5" w14:textId="77777777" w:rsidR="00FB476A" w:rsidRPr="009F337B" w:rsidRDefault="00FB476A" w:rsidP="003D3071">
            <w:pPr>
              <w:jc w:val="center"/>
              <w:rPr>
                <w:sz w:val="16"/>
                <w:szCs w:val="16"/>
                <w:lang w:val="en-US"/>
              </w:rPr>
            </w:pPr>
          </w:p>
        </w:tc>
        <w:tc>
          <w:tcPr>
            <w:tcW w:w="4785" w:type="dxa"/>
            <w:vAlign w:val="center"/>
          </w:tcPr>
          <w:p w14:paraId="49D21702" w14:textId="77777777" w:rsidR="00FB476A" w:rsidRPr="009F337B" w:rsidRDefault="00FB476A" w:rsidP="00F23970">
            <w:pPr>
              <w:jc w:val="left"/>
              <w:rPr>
                <w:sz w:val="16"/>
                <w:szCs w:val="16"/>
                <w:lang w:val="en-US"/>
              </w:rPr>
            </w:pPr>
          </w:p>
        </w:tc>
      </w:tr>
      <w:tr w:rsidR="00FB476A" w:rsidRPr="009F337B" w14:paraId="4CD02CF6" w14:textId="77777777" w:rsidTr="003D3071">
        <w:tc>
          <w:tcPr>
            <w:tcW w:w="560" w:type="dxa"/>
            <w:vMerge w:val="restart"/>
            <w:vAlign w:val="center"/>
          </w:tcPr>
          <w:p w14:paraId="1C8508F6" w14:textId="77777777" w:rsidR="00FB476A" w:rsidRPr="009F337B" w:rsidRDefault="00FB476A" w:rsidP="003D3071">
            <w:pPr>
              <w:jc w:val="center"/>
              <w:rPr>
                <w:sz w:val="16"/>
                <w:szCs w:val="16"/>
                <w:lang w:val="en-US"/>
              </w:rPr>
            </w:pPr>
            <w:r w:rsidRPr="009F337B">
              <w:rPr>
                <w:sz w:val="16"/>
                <w:szCs w:val="16"/>
                <w:lang w:val="en-US"/>
              </w:rPr>
              <w:t>28</w:t>
            </w:r>
          </w:p>
        </w:tc>
        <w:tc>
          <w:tcPr>
            <w:tcW w:w="3092" w:type="dxa"/>
            <w:vMerge w:val="restart"/>
            <w:vAlign w:val="center"/>
          </w:tcPr>
          <w:p w14:paraId="36B59265" w14:textId="3A98D4C1" w:rsidR="00FB476A" w:rsidRPr="009F337B" w:rsidRDefault="00767761" w:rsidP="00F23970">
            <w:pPr>
              <w:jc w:val="left"/>
              <w:rPr>
                <w:sz w:val="16"/>
                <w:szCs w:val="16"/>
                <w:lang w:val="en-US"/>
              </w:rPr>
            </w:pPr>
            <w:r w:rsidRPr="009F337B">
              <w:rPr>
                <w:sz w:val="16"/>
                <w:szCs w:val="16"/>
                <w:lang w:val="en-US"/>
              </w:rPr>
              <w:t>Marí</w:t>
            </w:r>
            <w:r w:rsidR="00FB476A" w:rsidRPr="009F337B">
              <w:rPr>
                <w:sz w:val="16"/>
                <w:szCs w:val="16"/>
                <w:lang w:val="en-US"/>
              </w:rPr>
              <w:t>a Felipe Pérez</w:t>
            </w:r>
          </w:p>
        </w:tc>
        <w:tc>
          <w:tcPr>
            <w:tcW w:w="567" w:type="dxa"/>
            <w:vAlign w:val="center"/>
          </w:tcPr>
          <w:p w14:paraId="6EBDFC0A" w14:textId="00B8485F" w:rsidR="00FB476A" w:rsidRPr="009F337B" w:rsidRDefault="005C4A7F" w:rsidP="003D3071">
            <w:pPr>
              <w:jc w:val="center"/>
              <w:rPr>
                <w:sz w:val="16"/>
                <w:szCs w:val="16"/>
                <w:lang w:val="en-US"/>
              </w:rPr>
            </w:pPr>
            <w:r w:rsidRPr="009F337B">
              <w:rPr>
                <w:sz w:val="16"/>
                <w:szCs w:val="16"/>
                <w:lang w:val="en-US"/>
              </w:rPr>
              <w:t>30</w:t>
            </w:r>
          </w:p>
        </w:tc>
        <w:tc>
          <w:tcPr>
            <w:tcW w:w="4785" w:type="dxa"/>
            <w:vAlign w:val="center"/>
          </w:tcPr>
          <w:p w14:paraId="097AF330" w14:textId="62BD49CB" w:rsidR="00FB476A" w:rsidRPr="009F337B" w:rsidRDefault="00FB476A" w:rsidP="00F23970">
            <w:pPr>
              <w:tabs>
                <w:tab w:val="left" w:pos="1277"/>
              </w:tabs>
              <w:jc w:val="left"/>
              <w:rPr>
                <w:sz w:val="16"/>
                <w:szCs w:val="16"/>
                <w:lang w:val="en-US"/>
              </w:rPr>
            </w:pPr>
            <w:r w:rsidRPr="009F337B">
              <w:rPr>
                <w:sz w:val="16"/>
                <w:szCs w:val="16"/>
                <w:lang w:val="en-US"/>
              </w:rPr>
              <w:t>Rocael Gómez Felipe (</w:t>
            </w:r>
            <w:r w:rsidR="0010522A" w:rsidRPr="009F337B">
              <w:rPr>
                <w:sz w:val="16"/>
                <w:szCs w:val="16"/>
                <w:lang w:val="en-US"/>
              </w:rPr>
              <w:t>Son</w:t>
            </w:r>
            <w:r w:rsidRPr="009F337B">
              <w:rPr>
                <w:sz w:val="16"/>
                <w:szCs w:val="16"/>
                <w:lang w:val="en-US"/>
              </w:rPr>
              <w:t>)</w:t>
            </w:r>
          </w:p>
        </w:tc>
      </w:tr>
      <w:tr w:rsidR="00FB476A" w:rsidRPr="009F337B" w14:paraId="12F81D55" w14:textId="77777777" w:rsidTr="003D3071">
        <w:tc>
          <w:tcPr>
            <w:tcW w:w="560" w:type="dxa"/>
            <w:vMerge/>
            <w:vAlign w:val="center"/>
          </w:tcPr>
          <w:p w14:paraId="6959BFDE" w14:textId="77777777" w:rsidR="00FB476A" w:rsidRPr="009F337B" w:rsidRDefault="00FB476A" w:rsidP="003D3071">
            <w:pPr>
              <w:jc w:val="center"/>
              <w:rPr>
                <w:sz w:val="16"/>
                <w:szCs w:val="16"/>
                <w:lang w:val="en-US"/>
              </w:rPr>
            </w:pPr>
          </w:p>
        </w:tc>
        <w:tc>
          <w:tcPr>
            <w:tcW w:w="3092" w:type="dxa"/>
            <w:vMerge/>
            <w:vAlign w:val="center"/>
          </w:tcPr>
          <w:p w14:paraId="33229412" w14:textId="77777777" w:rsidR="00FB476A" w:rsidRPr="009F337B" w:rsidRDefault="00FB476A" w:rsidP="00F23970">
            <w:pPr>
              <w:jc w:val="left"/>
              <w:rPr>
                <w:sz w:val="16"/>
                <w:szCs w:val="16"/>
                <w:lang w:val="en-US"/>
              </w:rPr>
            </w:pPr>
          </w:p>
        </w:tc>
        <w:tc>
          <w:tcPr>
            <w:tcW w:w="567" w:type="dxa"/>
            <w:vAlign w:val="center"/>
          </w:tcPr>
          <w:p w14:paraId="50974A02" w14:textId="3A31D668" w:rsidR="00FB476A" w:rsidRPr="009F337B" w:rsidRDefault="005C4A7F" w:rsidP="003D3071">
            <w:pPr>
              <w:jc w:val="center"/>
              <w:rPr>
                <w:sz w:val="16"/>
                <w:szCs w:val="16"/>
                <w:lang w:val="en-US"/>
              </w:rPr>
            </w:pPr>
            <w:r w:rsidRPr="009F337B">
              <w:rPr>
                <w:sz w:val="16"/>
                <w:szCs w:val="16"/>
                <w:lang w:val="en-US"/>
              </w:rPr>
              <w:t>31</w:t>
            </w:r>
          </w:p>
        </w:tc>
        <w:tc>
          <w:tcPr>
            <w:tcW w:w="4785" w:type="dxa"/>
            <w:vAlign w:val="center"/>
          </w:tcPr>
          <w:p w14:paraId="56FF15E7" w14:textId="22CAAC19" w:rsidR="00FB476A" w:rsidRPr="009F337B" w:rsidRDefault="00FB476A" w:rsidP="00F23970">
            <w:pPr>
              <w:tabs>
                <w:tab w:val="left" w:pos="1277"/>
              </w:tabs>
              <w:jc w:val="left"/>
              <w:rPr>
                <w:sz w:val="16"/>
                <w:szCs w:val="16"/>
                <w:lang w:val="en-US"/>
              </w:rPr>
            </w:pPr>
            <w:r w:rsidRPr="009F337B">
              <w:rPr>
                <w:sz w:val="16"/>
                <w:szCs w:val="16"/>
                <w:lang w:val="en-US"/>
              </w:rPr>
              <w:t>Jaime Gómez Felipe (</w:t>
            </w:r>
            <w:r w:rsidR="0010522A" w:rsidRPr="009F337B">
              <w:rPr>
                <w:sz w:val="16"/>
                <w:szCs w:val="16"/>
                <w:lang w:val="en-US"/>
              </w:rPr>
              <w:t>Son</w:t>
            </w:r>
            <w:r w:rsidRPr="009F337B">
              <w:rPr>
                <w:sz w:val="16"/>
                <w:szCs w:val="16"/>
                <w:lang w:val="en-US"/>
              </w:rPr>
              <w:t>)</w:t>
            </w:r>
          </w:p>
        </w:tc>
      </w:tr>
      <w:tr w:rsidR="00FB476A" w:rsidRPr="009F337B" w14:paraId="757629C4" w14:textId="77777777" w:rsidTr="003D3071">
        <w:tc>
          <w:tcPr>
            <w:tcW w:w="560" w:type="dxa"/>
            <w:vMerge/>
            <w:vAlign w:val="center"/>
          </w:tcPr>
          <w:p w14:paraId="5389F442" w14:textId="77777777" w:rsidR="00FB476A" w:rsidRPr="009F337B" w:rsidRDefault="00FB476A" w:rsidP="003D3071">
            <w:pPr>
              <w:jc w:val="center"/>
              <w:rPr>
                <w:sz w:val="16"/>
                <w:szCs w:val="16"/>
                <w:lang w:val="en-US"/>
              </w:rPr>
            </w:pPr>
          </w:p>
        </w:tc>
        <w:tc>
          <w:tcPr>
            <w:tcW w:w="3092" w:type="dxa"/>
            <w:vMerge/>
            <w:vAlign w:val="center"/>
          </w:tcPr>
          <w:p w14:paraId="6E6C7286" w14:textId="77777777" w:rsidR="00FB476A" w:rsidRPr="009F337B" w:rsidRDefault="00FB476A" w:rsidP="00F23970">
            <w:pPr>
              <w:jc w:val="left"/>
              <w:rPr>
                <w:sz w:val="16"/>
                <w:szCs w:val="16"/>
                <w:lang w:val="en-US"/>
              </w:rPr>
            </w:pPr>
          </w:p>
        </w:tc>
        <w:tc>
          <w:tcPr>
            <w:tcW w:w="567" w:type="dxa"/>
            <w:vAlign w:val="center"/>
          </w:tcPr>
          <w:p w14:paraId="517263C2" w14:textId="4F6608B9" w:rsidR="00FB476A" w:rsidRPr="009F337B" w:rsidRDefault="0009273C" w:rsidP="003D3071">
            <w:pPr>
              <w:jc w:val="center"/>
              <w:rPr>
                <w:sz w:val="16"/>
                <w:szCs w:val="16"/>
                <w:lang w:val="en-US"/>
              </w:rPr>
            </w:pPr>
            <w:r w:rsidRPr="009F337B">
              <w:rPr>
                <w:sz w:val="16"/>
                <w:szCs w:val="16"/>
                <w:lang w:val="en-US"/>
              </w:rPr>
              <w:t>3</w:t>
            </w:r>
            <w:r w:rsidR="005C4A7F" w:rsidRPr="009F337B">
              <w:rPr>
                <w:sz w:val="16"/>
                <w:szCs w:val="16"/>
                <w:lang w:val="en-US"/>
              </w:rPr>
              <w:t>2</w:t>
            </w:r>
          </w:p>
        </w:tc>
        <w:tc>
          <w:tcPr>
            <w:tcW w:w="4785" w:type="dxa"/>
            <w:vAlign w:val="center"/>
          </w:tcPr>
          <w:p w14:paraId="2C69E4AA" w14:textId="28B163C7" w:rsidR="00FB476A" w:rsidRPr="009F337B" w:rsidRDefault="00FB476A" w:rsidP="00F23970">
            <w:pPr>
              <w:tabs>
                <w:tab w:val="left" w:pos="1277"/>
              </w:tabs>
              <w:jc w:val="left"/>
              <w:rPr>
                <w:sz w:val="16"/>
                <w:szCs w:val="16"/>
                <w:lang w:val="en-US"/>
              </w:rPr>
            </w:pPr>
            <w:r w:rsidRPr="009F337B">
              <w:rPr>
                <w:sz w:val="16"/>
                <w:szCs w:val="16"/>
                <w:lang w:val="en-US"/>
              </w:rPr>
              <w:t>Miguel Gómez Felipe (</w:t>
            </w:r>
            <w:r w:rsidR="0010522A" w:rsidRPr="009F337B">
              <w:rPr>
                <w:sz w:val="16"/>
                <w:szCs w:val="16"/>
                <w:lang w:val="en-US"/>
              </w:rPr>
              <w:t>Son</w:t>
            </w:r>
            <w:r w:rsidRPr="009F337B">
              <w:rPr>
                <w:sz w:val="16"/>
                <w:szCs w:val="16"/>
                <w:lang w:val="en-US"/>
              </w:rPr>
              <w:t>)</w:t>
            </w:r>
          </w:p>
        </w:tc>
      </w:tr>
      <w:tr w:rsidR="00FB476A" w:rsidRPr="009F337B" w14:paraId="5AB2DE23" w14:textId="77777777" w:rsidTr="003D3071">
        <w:tc>
          <w:tcPr>
            <w:tcW w:w="560" w:type="dxa"/>
            <w:vMerge/>
            <w:vAlign w:val="center"/>
          </w:tcPr>
          <w:p w14:paraId="512D4681" w14:textId="77777777" w:rsidR="00FB476A" w:rsidRPr="009F337B" w:rsidRDefault="00FB476A" w:rsidP="003D3071">
            <w:pPr>
              <w:jc w:val="center"/>
              <w:rPr>
                <w:sz w:val="16"/>
                <w:szCs w:val="16"/>
                <w:lang w:val="en-US"/>
              </w:rPr>
            </w:pPr>
          </w:p>
        </w:tc>
        <w:tc>
          <w:tcPr>
            <w:tcW w:w="3092" w:type="dxa"/>
            <w:vMerge/>
            <w:vAlign w:val="center"/>
          </w:tcPr>
          <w:p w14:paraId="50F697E8" w14:textId="77777777" w:rsidR="00FB476A" w:rsidRPr="009F337B" w:rsidRDefault="00FB476A" w:rsidP="00F23970">
            <w:pPr>
              <w:jc w:val="left"/>
              <w:rPr>
                <w:sz w:val="16"/>
                <w:szCs w:val="16"/>
                <w:lang w:val="en-US"/>
              </w:rPr>
            </w:pPr>
          </w:p>
        </w:tc>
        <w:tc>
          <w:tcPr>
            <w:tcW w:w="567" w:type="dxa"/>
            <w:vAlign w:val="center"/>
          </w:tcPr>
          <w:p w14:paraId="1F2E7F57" w14:textId="224BE567" w:rsidR="00FB476A" w:rsidRPr="009F337B" w:rsidRDefault="0009273C" w:rsidP="003D3071">
            <w:pPr>
              <w:jc w:val="center"/>
              <w:rPr>
                <w:sz w:val="16"/>
                <w:szCs w:val="16"/>
                <w:lang w:val="en-US"/>
              </w:rPr>
            </w:pPr>
            <w:r w:rsidRPr="009F337B">
              <w:rPr>
                <w:sz w:val="16"/>
                <w:szCs w:val="16"/>
                <w:lang w:val="en-US"/>
              </w:rPr>
              <w:t>3</w:t>
            </w:r>
            <w:r w:rsidR="005C4A7F" w:rsidRPr="009F337B">
              <w:rPr>
                <w:sz w:val="16"/>
                <w:szCs w:val="16"/>
                <w:lang w:val="en-US"/>
              </w:rPr>
              <w:t>3</w:t>
            </w:r>
          </w:p>
        </w:tc>
        <w:tc>
          <w:tcPr>
            <w:tcW w:w="4785" w:type="dxa"/>
            <w:vAlign w:val="center"/>
          </w:tcPr>
          <w:p w14:paraId="55D80133" w14:textId="10A9D861" w:rsidR="00FB476A" w:rsidRPr="009F337B" w:rsidRDefault="00FB476A" w:rsidP="00F23970">
            <w:pPr>
              <w:tabs>
                <w:tab w:val="left" w:pos="1277"/>
              </w:tabs>
              <w:jc w:val="left"/>
              <w:rPr>
                <w:sz w:val="16"/>
                <w:szCs w:val="16"/>
                <w:lang w:val="en-US"/>
              </w:rPr>
            </w:pPr>
            <w:r w:rsidRPr="009F337B">
              <w:rPr>
                <w:sz w:val="16"/>
                <w:szCs w:val="16"/>
                <w:lang w:val="en-US"/>
              </w:rPr>
              <w:t>Carlos Gómez Felipe (</w:t>
            </w:r>
            <w:r w:rsidR="0010522A" w:rsidRPr="009F337B">
              <w:rPr>
                <w:sz w:val="16"/>
                <w:szCs w:val="16"/>
                <w:lang w:val="en-US"/>
              </w:rPr>
              <w:t>Son</w:t>
            </w:r>
            <w:r w:rsidRPr="009F337B">
              <w:rPr>
                <w:sz w:val="16"/>
                <w:szCs w:val="16"/>
                <w:lang w:val="en-US"/>
              </w:rPr>
              <w:t>)</w:t>
            </w:r>
          </w:p>
        </w:tc>
      </w:tr>
      <w:tr w:rsidR="00FB476A" w:rsidRPr="009F337B" w14:paraId="1CB5BE92" w14:textId="77777777" w:rsidTr="003D3071">
        <w:tc>
          <w:tcPr>
            <w:tcW w:w="560" w:type="dxa"/>
            <w:vMerge/>
            <w:vAlign w:val="center"/>
          </w:tcPr>
          <w:p w14:paraId="1B00D20A" w14:textId="77777777" w:rsidR="00FB476A" w:rsidRPr="009F337B" w:rsidRDefault="00FB476A" w:rsidP="003D3071">
            <w:pPr>
              <w:jc w:val="center"/>
              <w:rPr>
                <w:sz w:val="16"/>
                <w:szCs w:val="16"/>
                <w:lang w:val="en-US"/>
              </w:rPr>
            </w:pPr>
          </w:p>
        </w:tc>
        <w:tc>
          <w:tcPr>
            <w:tcW w:w="3092" w:type="dxa"/>
            <w:vMerge/>
            <w:vAlign w:val="center"/>
          </w:tcPr>
          <w:p w14:paraId="09867DA3" w14:textId="77777777" w:rsidR="00FB476A" w:rsidRPr="009F337B" w:rsidRDefault="00FB476A" w:rsidP="00F23970">
            <w:pPr>
              <w:jc w:val="left"/>
              <w:rPr>
                <w:sz w:val="16"/>
                <w:szCs w:val="16"/>
                <w:lang w:val="en-US"/>
              </w:rPr>
            </w:pPr>
          </w:p>
        </w:tc>
        <w:tc>
          <w:tcPr>
            <w:tcW w:w="567" w:type="dxa"/>
            <w:vAlign w:val="center"/>
          </w:tcPr>
          <w:p w14:paraId="078E8BF1" w14:textId="75D87ECB" w:rsidR="00FB476A" w:rsidRPr="009F337B" w:rsidRDefault="0009273C" w:rsidP="003D3071">
            <w:pPr>
              <w:jc w:val="center"/>
              <w:rPr>
                <w:sz w:val="16"/>
                <w:szCs w:val="16"/>
                <w:lang w:val="en-US"/>
              </w:rPr>
            </w:pPr>
            <w:r w:rsidRPr="009F337B">
              <w:rPr>
                <w:sz w:val="16"/>
                <w:szCs w:val="16"/>
                <w:lang w:val="en-US"/>
              </w:rPr>
              <w:t>3</w:t>
            </w:r>
            <w:r w:rsidR="005C4A7F" w:rsidRPr="009F337B">
              <w:rPr>
                <w:sz w:val="16"/>
                <w:szCs w:val="16"/>
                <w:lang w:val="en-US"/>
              </w:rPr>
              <w:t>4</w:t>
            </w:r>
          </w:p>
        </w:tc>
        <w:tc>
          <w:tcPr>
            <w:tcW w:w="4785" w:type="dxa"/>
            <w:vAlign w:val="center"/>
          </w:tcPr>
          <w:p w14:paraId="029B5919" w14:textId="2093E47B" w:rsidR="00FB476A" w:rsidRPr="009F337B" w:rsidRDefault="00FB476A" w:rsidP="00F23970">
            <w:pPr>
              <w:tabs>
                <w:tab w:val="left" w:pos="1277"/>
              </w:tabs>
              <w:jc w:val="left"/>
              <w:rPr>
                <w:sz w:val="16"/>
                <w:szCs w:val="16"/>
                <w:lang w:val="en-US"/>
              </w:rPr>
            </w:pPr>
            <w:r w:rsidRPr="009F337B">
              <w:rPr>
                <w:sz w:val="16"/>
                <w:szCs w:val="16"/>
                <w:lang w:val="en-US"/>
              </w:rPr>
              <w:t>Francisco Gómez Felipe (</w:t>
            </w:r>
            <w:r w:rsidR="0010522A" w:rsidRPr="009F337B">
              <w:rPr>
                <w:sz w:val="16"/>
                <w:szCs w:val="16"/>
                <w:lang w:val="en-US"/>
              </w:rPr>
              <w:t>Son</w:t>
            </w:r>
            <w:r w:rsidRPr="009F337B">
              <w:rPr>
                <w:sz w:val="16"/>
                <w:szCs w:val="16"/>
                <w:lang w:val="en-US"/>
              </w:rPr>
              <w:t>)</w:t>
            </w:r>
          </w:p>
        </w:tc>
      </w:tr>
      <w:tr w:rsidR="00FB476A" w:rsidRPr="009F337B" w14:paraId="66F989DE" w14:textId="77777777" w:rsidTr="003D3071">
        <w:tc>
          <w:tcPr>
            <w:tcW w:w="560" w:type="dxa"/>
            <w:vMerge/>
            <w:vAlign w:val="center"/>
          </w:tcPr>
          <w:p w14:paraId="035C9A26" w14:textId="77777777" w:rsidR="00FB476A" w:rsidRPr="009F337B" w:rsidRDefault="00FB476A" w:rsidP="003D3071">
            <w:pPr>
              <w:jc w:val="center"/>
              <w:rPr>
                <w:sz w:val="16"/>
                <w:szCs w:val="16"/>
                <w:lang w:val="en-US"/>
              </w:rPr>
            </w:pPr>
          </w:p>
        </w:tc>
        <w:tc>
          <w:tcPr>
            <w:tcW w:w="3092" w:type="dxa"/>
            <w:vMerge/>
            <w:vAlign w:val="center"/>
          </w:tcPr>
          <w:p w14:paraId="12924347" w14:textId="77777777" w:rsidR="00FB476A" w:rsidRPr="009F337B" w:rsidRDefault="00FB476A" w:rsidP="00F23970">
            <w:pPr>
              <w:jc w:val="left"/>
              <w:rPr>
                <w:sz w:val="16"/>
                <w:szCs w:val="16"/>
                <w:lang w:val="en-US"/>
              </w:rPr>
            </w:pPr>
          </w:p>
        </w:tc>
        <w:tc>
          <w:tcPr>
            <w:tcW w:w="567" w:type="dxa"/>
            <w:vAlign w:val="center"/>
          </w:tcPr>
          <w:p w14:paraId="102BB95D" w14:textId="4B191A98" w:rsidR="00FB476A" w:rsidRPr="009F337B" w:rsidRDefault="0009273C" w:rsidP="003D3071">
            <w:pPr>
              <w:jc w:val="center"/>
              <w:rPr>
                <w:sz w:val="16"/>
                <w:szCs w:val="16"/>
                <w:lang w:val="en-US"/>
              </w:rPr>
            </w:pPr>
            <w:r w:rsidRPr="009F337B">
              <w:rPr>
                <w:sz w:val="16"/>
                <w:szCs w:val="16"/>
                <w:lang w:val="en-US"/>
              </w:rPr>
              <w:t>3</w:t>
            </w:r>
            <w:r w:rsidR="005C4A7F" w:rsidRPr="009F337B">
              <w:rPr>
                <w:sz w:val="16"/>
                <w:szCs w:val="16"/>
                <w:lang w:val="en-US"/>
              </w:rPr>
              <w:t>5</w:t>
            </w:r>
          </w:p>
        </w:tc>
        <w:tc>
          <w:tcPr>
            <w:tcW w:w="4785" w:type="dxa"/>
            <w:vAlign w:val="center"/>
          </w:tcPr>
          <w:p w14:paraId="7872CB98" w14:textId="4392EF72" w:rsidR="00FB476A" w:rsidRPr="009F337B" w:rsidRDefault="00FB476A" w:rsidP="00F23970">
            <w:pPr>
              <w:tabs>
                <w:tab w:val="left" w:pos="1277"/>
              </w:tabs>
              <w:jc w:val="left"/>
              <w:rPr>
                <w:sz w:val="16"/>
                <w:szCs w:val="16"/>
                <w:lang w:val="en-US"/>
              </w:rPr>
            </w:pPr>
            <w:r w:rsidRPr="009F337B">
              <w:rPr>
                <w:sz w:val="16"/>
                <w:szCs w:val="16"/>
                <w:lang w:val="en-US"/>
              </w:rPr>
              <w:t>Margarita Gómez Felipe (</w:t>
            </w:r>
            <w:r w:rsidR="0010522A" w:rsidRPr="009F337B">
              <w:rPr>
                <w:sz w:val="16"/>
                <w:szCs w:val="16"/>
                <w:lang w:val="en-US"/>
              </w:rPr>
              <w:t>Daughter</w:t>
            </w:r>
            <w:r w:rsidRPr="009F337B">
              <w:rPr>
                <w:sz w:val="16"/>
                <w:szCs w:val="16"/>
                <w:lang w:val="en-US"/>
              </w:rPr>
              <w:t>)</w:t>
            </w:r>
          </w:p>
        </w:tc>
      </w:tr>
      <w:tr w:rsidR="00FB476A" w:rsidRPr="009F337B" w14:paraId="437D940E" w14:textId="77777777" w:rsidTr="003D3071">
        <w:tc>
          <w:tcPr>
            <w:tcW w:w="560" w:type="dxa"/>
            <w:vMerge/>
            <w:vAlign w:val="center"/>
          </w:tcPr>
          <w:p w14:paraId="0E2AE909" w14:textId="77777777" w:rsidR="00FB476A" w:rsidRPr="009F337B" w:rsidRDefault="00FB476A" w:rsidP="003D3071">
            <w:pPr>
              <w:jc w:val="center"/>
              <w:rPr>
                <w:sz w:val="16"/>
                <w:szCs w:val="16"/>
                <w:lang w:val="en-US"/>
              </w:rPr>
            </w:pPr>
          </w:p>
        </w:tc>
        <w:tc>
          <w:tcPr>
            <w:tcW w:w="3092" w:type="dxa"/>
            <w:vMerge/>
            <w:vAlign w:val="center"/>
          </w:tcPr>
          <w:p w14:paraId="1F3ABA84" w14:textId="77777777" w:rsidR="00FB476A" w:rsidRPr="009F337B" w:rsidRDefault="00FB476A" w:rsidP="00F23970">
            <w:pPr>
              <w:jc w:val="left"/>
              <w:rPr>
                <w:sz w:val="16"/>
                <w:szCs w:val="16"/>
                <w:lang w:val="en-US"/>
              </w:rPr>
            </w:pPr>
          </w:p>
        </w:tc>
        <w:tc>
          <w:tcPr>
            <w:tcW w:w="567" w:type="dxa"/>
            <w:vAlign w:val="center"/>
          </w:tcPr>
          <w:p w14:paraId="2B120EEE" w14:textId="262CD3DB" w:rsidR="00FB476A" w:rsidRPr="009F337B" w:rsidRDefault="0009273C" w:rsidP="003D3071">
            <w:pPr>
              <w:jc w:val="center"/>
              <w:rPr>
                <w:sz w:val="16"/>
                <w:szCs w:val="16"/>
                <w:lang w:val="en-US"/>
              </w:rPr>
            </w:pPr>
            <w:r w:rsidRPr="009F337B">
              <w:rPr>
                <w:sz w:val="16"/>
                <w:szCs w:val="16"/>
                <w:lang w:val="en-US"/>
              </w:rPr>
              <w:t>3</w:t>
            </w:r>
            <w:r w:rsidR="005C4A7F" w:rsidRPr="009F337B">
              <w:rPr>
                <w:sz w:val="16"/>
                <w:szCs w:val="16"/>
                <w:lang w:val="en-US"/>
              </w:rPr>
              <w:t>6</w:t>
            </w:r>
          </w:p>
        </w:tc>
        <w:tc>
          <w:tcPr>
            <w:tcW w:w="4785" w:type="dxa"/>
            <w:vAlign w:val="center"/>
          </w:tcPr>
          <w:p w14:paraId="6ED3840B" w14:textId="427FEF6C" w:rsidR="00FB476A" w:rsidRPr="00542AB5" w:rsidRDefault="00FB476A" w:rsidP="00F23970">
            <w:pPr>
              <w:tabs>
                <w:tab w:val="left" w:pos="1277"/>
              </w:tabs>
              <w:jc w:val="left"/>
              <w:rPr>
                <w:sz w:val="16"/>
                <w:szCs w:val="16"/>
                <w:lang w:val="es-CR"/>
              </w:rPr>
            </w:pPr>
            <w:r w:rsidRPr="00542AB5">
              <w:rPr>
                <w:sz w:val="16"/>
                <w:szCs w:val="16"/>
                <w:lang w:val="es-CR"/>
              </w:rPr>
              <w:t>Ana Patricia Gómez Felipe (</w:t>
            </w:r>
            <w:r w:rsidR="0010522A" w:rsidRPr="00542AB5">
              <w:rPr>
                <w:sz w:val="16"/>
                <w:szCs w:val="16"/>
                <w:lang w:val="es-CR"/>
              </w:rPr>
              <w:t>Daughter</w:t>
            </w:r>
            <w:r w:rsidRPr="00542AB5">
              <w:rPr>
                <w:sz w:val="16"/>
                <w:szCs w:val="16"/>
                <w:lang w:val="es-CR"/>
              </w:rPr>
              <w:t>)</w:t>
            </w:r>
          </w:p>
        </w:tc>
      </w:tr>
      <w:tr w:rsidR="00FB476A" w:rsidRPr="009F337B" w14:paraId="2D6A9343" w14:textId="77777777" w:rsidTr="003D3071">
        <w:tc>
          <w:tcPr>
            <w:tcW w:w="560" w:type="dxa"/>
            <w:vAlign w:val="center"/>
          </w:tcPr>
          <w:p w14:paraId="43A5B2E1" w14:textId="77777777" w:rsidR="00FB476A" w:rsidRPr="009F337B" w:rsidRDefault="00FB476A" w:rsidP="003D3071">
            <w:pPr>
              <w:jc w:val="center"/>
              <w:rPr>
                <w:sz w:val="16"/>
                <w:szCs w:val="16"/>
                <w:lang w:val="en-US"/>
              </w:rPr>
            </w:pPr>
            <w:r w:rsidRPr="009F337B">
              <w:rPr>
                <w:sz w:val="16"/>
                <w:szCs w:val="16"/>
                <w:lang w:val="en-US"/>
              </w:rPr>
              <w:t>29</w:t>
            </w:r>
          </w:p>
        </w:tc>
        <w:tc>
          <w:tcPr>
            <w:tcW w:w="3092" w:type="dxa"/>
            <w:vAlign w:val="center"/>
          </w:tcPr>
          <w:p w14:paraId="46CC3AC1" w14:textId="0C94AF66" w:rsidR="00FB476A" w:rsidRPr="009F337B" w:rsidRDefault="00FB476A" w:rsidP="00CC6C64">
            <w:pPr>
              <w:jc w:val="left"/>
              <w:rPr>
                <w:sz w:val="16"/>
                <w:szCs w:val="16"/>
                <w:lang w:val="en-US"/>
              </w:rPr>
            </w:pPr>
            <w:r w:rsidRPr="009F337B">
              <w:rPr>
                <w:sz w:val="16"/>
                <w:szCs w:val="16"/>
                <w:lang w:val="en-US"/>
              </w:rPr>
              <w:t>Ismerai Olibia García Castañon</w:t>
            </w:r>
          </w:p>
        </w:tc>
        <w:tc>
          <w:tcPr>
            <w:tcW w:w="567" w:type="dxa"/>
            <w:vAlign w:val="center"/>
          </w:tcPr>
          <w:p w14:paraId="23F6CFDD" w14:textId="77777777" w:rsidR="00FB476A" w:rsidRPr="009F337B" w:rsidRDefault="00FB476A" w:rsidP="003D3071">
            <w:pPr>
              <w:jc w:val="center"/>
              <w:rPr>
                <w:sz w:val="16"/>
                <w:szCs w:val="16"/>
                <w:lang w:val="en-US"/>
              </w:rPr>
            </w:pPr>
          </w:p>
        </w:tc>
        <w:tc>
          <w:tcPr>
            <w:tcW w:w="4785" w:type="dxa"/>
            <w:vAlign w:val="center"/>
          </w:tcPr>
          <w:p w14:paraId="4E910B47" w14:textId="77777777" w:rsidR="00FB476A" w:rsidRPr="009F337B" w:rsidRDefault="00FB476A" w:rsidP="00F23970">
            <w:pPr>
              <w:tabs>
                <w:tab w:val="left" w:pos="1277"/>
              </w:tabs>
              <w:jc w:val="left"/>
              <w:rPr>
                <w:sz w:val="16"/>
                <w:szCs w:val="16"/>
                <w:lang w:val="en-US"/>
              </w:rPr>
            </w:pPr>
          </w:p>
        </w:tc>
      </w:tr>
      <w:tr w:rsidR="00FB476A" w:rsidRPr="009F337B" w14:paraId="4B7DA69E" w14:textId="77777777" w:rsidTr="003D3071">
        <w:tc>
          <w:tcPr>
            <w:tcW w:w="560" w:type="dxa"/>
            <w:vAlign w:val="center"/>
          </w:tcPr>
          <w:p w14:paraId="6CA03D77" w14:textId="77777777" w:rsidR="00FB476A" w:rsidRPr="009F337B" w:rsidRDefault="00FB476A" w:rsidP="003D3071">
            <w:pPr>
              <w:jc w:val="center"/>
              <w:rPr>
                <w:sz w:val="16"/>
                <w:szCs w:val="16"/>
                <w:lang w:val="en-US"/>
              </w:rPr>
            </w:pPr>
            <w:r w:rsidRPr="009F337B">
              <w:rPr>
                <w:sz w:val="16"/>
                <w:szCs w:val="16"/>
                <w:lang w:val="en-US"/>
              </w:rPr>
              <w:t>30</w:t>
            </w:r>
          </w:p>
        </w:tc>
        <w:tc>
          <w:tcPr>
            <w:tcW w:w="3092" w:type="dxa"/>
            <w:vAlign w:val="center"/>
          </w:tcPr>
          <w:p w14:paraId="5A62ED0C" w14:textId="77777777" w:rsidR="00FB476A" w:rsidRPr="009F337B" w:rsidRDefault="00FB476A" w:rsidP="00F23970">
            <w:pPr>
              <w:jc w:val="left"/>
              <w:rPr>
                <w:sz w:val="16"/>
                <w:szCs w:val="16"/>
                <w:lang w:val="en-US"/>
              </w:rPr>
            </w:pPr>
            <w:r w:rsidRPr="009F337B">
              <w:rPr>
                <w:sz w:val="16"/>
                <w:szCs w:val="16"/>
                <w:lang w:val="en-US"/>
              </w:rPr>
              <w:t>Santos Isacar Vásquez Barrios</w:t>
            </w:r>
          </w:p>
        </w:tc>
        <w:tc>
          <w:tcPr>
            <w:tcW w:w="567" w:type="dxa"/>
            <w:vAlign w:val="center"/>
          </w:tcPr>
          <w:p w14:paraId="202CD814" w14:textId="77777777" w:rsidR="00FB476A" w:rsidRPr="009F337B" w:rsidRDefault="00FB476A" w:rsidP="003D3071">
            <w:pPr>
              <w:jc w:val="center"/>
              <w:rPr>
                <w:sz w:val="16"/>
                <w:szCs w:val="16"/>
                <w:lang w:val="en-US"/>
              </w:rPr>
            </w:pPr>
          </w:p>
        </w:tc>
        <w:tc>
          <w:tcPr>
            <w:tcW w:w="4785" w:type="dxa"/>
            <w:vAlign w:val="center"/>
          </w:tcPr>
          <w:p w14:paraId="736A2E43" w14:textId="77777777" w:rsidR="00FB476A" w:rsidRPr="009F337B" w:rsidRDefault="00FB476A" w:rsidP="00F23970">
            <w:pPr>
              <w:tabs>
                <w:tab w:val="left" w:pos="1277"/>
              </w:tabs>
              <w:jc w:val="left"/>
              <w:rPr>
                <w:sz w:val="16"/>
                <w:szCs w:val="16"/>
                <w:lang w:val="en-US"/>
              </w:rPr>
            </w:pPr>
          </w:p>
        </w:tc>
      </w:tr>
      <w:tr w:rsidR="00FB476A" w:rsidRPr="00310E7A" w14:paraId="7011B36D" w14:textId="77777777" w:rsidTr="003D3071">
        <w:tc>
          <w:tcPr>
            <w:tcW w:w="560" w:type="dxa"/>
            <w:vMerge w:val="restart"/>
            <w:vAlign w:val="center"/>
          </w:tcPr>
          <w:p w14:paraId="2E6DD2FE" w14:textId="77777777" w:rsidR="00FB476A" w:rsidRPr="009F337B" w:rsidRDefault="00FB476A" w:rsidP="003D3071">
            <w:pPr>
              <w:jc w:val="center"/>
              <w:rPr>
                <w:sz w:val="16"/>
                <w:szCs w:val="16"/>
                <w:lang w:val="en-US"/>
              </w:rPr>
            </w:pPr>
            <w:r w:rsidRPr="009F337B">
              <w:rPr>
                <w:sz w:val="16"/>
                <w:szCs w:val="16"/>
                <w:lang w:val="en-US"/>
              </w:rPr>
              <w:t>31</w:t>
            </w:r>
          </w:p>
        </w:tc>
        <w:tc>
          <w:tcPr>
            <w:tcW w:w="3092" w:type="dxa"/>
            <w:vMerge w:val="restart"/>
            <w:vAlign w:val="center"/>
          </w:tcPr>
          <w:p w14:paraId="46441AB6" w14:textId="2275954D" w:rsidR="00FB476A" w:rsidRPr="00542AB5" w:rsidRDefault="00FB476A" w:rsidP="00F23970">
            <w:pPr>
              <w:jc w:val="left"/>
              <w:rPr>
                <w:sz w:val="16"/>
                <w:szCs w:val="16"/>
                <w:lang w:val="es-CR"/>
              </w:rPr>
            </w:pPr>
            <w:r w:rsidRPr="00542AB5">
              <w:rPr>
                <w:sz w:val="16"/>
                <w:szCs w:val="16"/>
                <w:lang w:val="es-CR"/>
              </w:rPr>
              <w:t>Mardo Luis Hernández</w:t>
            </w:r>
            <w:r w:rsidR="003C46A3" w:rsidRPr="00542AB5">
              <w:rPr>
                <w:sz w:val="16"/>
                <w:szCs w:val="16"/>
                <w:lang w:val="es-CR"/>
              </w:rPr>
              <w:t xml:space="preserve"> and </w:t>
            </w:r>
            <w:r w:rsidRPr="00542AB5">
              <w:rPr>
                <w:sz w:val="16"/>
                <w:szCs w:val="16"/>
                <w:lang w:val="es-CR"/>
              </w:rPr>
              <w:lastRenderedPageBreak/>
              <w:t>Hernández</w:t>
            </w:r>
          </w:p>
        </w:tc>
        <w:tc>
          <w:tcPr>
            <w:tcW w:w="567" w:type="dxa"/>
            <w:vAlign w:val="center"/>
          </w:tcPr>
          <w:p w14:paraId="3DC19A0D" w14:textId="3CDAA996" w:rsidR="00FB476A" w:rsidRPr="009F337B" w:rsidRDefault="0009273C" w:rsidP="003D3071">
            <w:pPr>
              <w:jc w:val="center"/>
              <w:rPr>
                <w:sz w:val="16"/>
                <w:szCs w:val="16"/>
                <w:lang w:val="en-US"/>
              </w:rPr>
            </w:pPr>
            <w:r w:rsidRPr="009F337B">
              <w:rPr>
                <w:sz w:val="16"/>
                <w:szCs w:val="16"/>
                <w:lang w:val="en-US"/>
              </w:rPr>
              <w:lastRenderedPageBreak/>
              <w:t>3</w:t>
            </w:r>
            <w:r w:rsidR="005C4A7F" w:rsidRPr="009F337B">
              <w:rPr>
                <w:sz w:val="16"/>
                <w:szCs w:val="16"/>
                <w:lang w:val="en-US"/>
              </w:rPr>
              <w:t>7</w:t>
            </w:r>
          </w:p>
        </w:tc>
        <w:tc>
          <w:tcPr>
            <w:tcW w:w="4785" w:type="dxa"/>
            <w:vAlign w:val="center"/>
          </w:tcPr>
          <w:p w14:paraId="473FA7B5" w14:textId="0AD15696" w:rsidR="00FB476A" w:rsidRPr="009F337B" w:rsidRDefault="00FB476A" w:rsidP="00F23970">
            <w:pPr>
              <w:tabs>
                <w:tab w:val="left" w:pos="1277"/>
              </w:tabs>
              <w:jc w:val="left"/>
              <w:rPr>
                <w:sz w:val="16"/>
                <w:szCs w:val="16"/>
                <w:lang w:val="en-US"/>
              </w:rPr>
            </w:pPr>
            <w:r w:rsidRPr="009F337B">
              <w:rPr>
                <w:sz w:val="16"/>
                <w:szCs w:val="16"/>
                <w:lang w:val="en-US"/>
              </w:rPr>
              <w:t>Nidya Roxana Zapet Gómez (</w:t>
            </w:r>
            <w:r w:rsidR="0010522A" w:rsidRPr="009F337B">
              <w:rPr>
                <w:sz w:val="16"/>
                <w:szCs w:val="16"/>
                <w:lang w:val="en-US"/>
              </w:rPr>
              <w:t>Wife</w:t>
            </w:r>
            <w:r w:rsidRPr="009F337B">
              <w:rPr>
                <w:sz w:val="16"/>
                <w:szCs w:val="16"/>
                <w:lang w:val="en-US"/>
              </w:rPr>
              <w:t>)</w:t>
            </w:r>
          </w:p>
        </w:tc>
      </w:tr>
      <w:tr w:rsidR="00FB476A" w:rsidRPr="009F337B" w14:paraId="773F1F16" w14:textId="77777777" w:rsidTr="003D3071">
        <w:tc>
          <w:tcPr>
            <w:tcW w:w="560" w:type="dxa"/>
            <w:vMerge/>
            <w:vAlign w:val="center"/>
          </w:tcPr>
          <w:p w14:paraId="721D5348" w14:textId="77777777" w:rsidR="00FB476A" w:rsidRPr="009F337B" w:rsidRDefault="00FB476A" w:rsidP="003D3071">
            <w:pPr>
              <w:jc w:val="center"/>
              <w:rPr>
                <w:sz w:val="16"/>
                <w:szCs w:val="16"/>
                <w:lang w:val="en-US"/>
              </w:rPr>
            </w:pPr>
          </w:p>
        </w:tc>
        <w:tc>
          <w:tcPr>
            <w:tcW w:w="3092" w:type="dxa"/>
            <w:vMerge/>
            <w:vAlign w:val="center"/>
          </w:tcPr>
          <w:p w14:paraId="6A10E691" w14:textId="77777777" w:rsidR="00FB476A" w:rsidRPr="009F337B" w:rsidRDefault="00FB476A" w:rsidP="00F23970">
            <w:pPr>
              <w:jc w:val="left"/>
              <w:rPr>
                <w:sz w:val="16"/>
                <w:szCs w:val="16"/>
                <w:lang w:val="en-US"/>
              </w:rPr>
            </w:pPr>
          </w:p>
        </w:tc>
        <w:tc>
          <w:tcPr>
            <w:tcW w:w="567" w:type="dxa"/>
            <w:vAlign w:val="center"/>
          </w:tcPr>
          <w:p w14:paraId="256A3ACB" w14:textId="00933DCF" w:rsidR="00FB476A" w:rsidRPr="009F337B" w:rsidRDefault="0009273C" w:rsidP="003D3071">
            <w:pPr>
              <w:jc w:val="center"/>
              <w:rPr>
                <w:sz w:val="16"/>
                <w:szCs w:val="16"/>
                <w:lang w:val="en-US"/>
              </w:rPr>
            </w:pPr>
            <w:r w:rsidRPr="009F337B">
              <w:rPr>
                <w:sz w:val="16"/>
                <w:szCs w:val="16"/>
                <w:lang w:val="en-US"/>
              </w:rPr>
              <w:t>3</w:t>
            </w:r>
            <w:r w:rsidR="005C4A7F" w:rsidRPr="009F337B">
              <w:rPr>
                <w:sz w:val="16"/>
                <w:szCs w:val="16"/>
                <w:lang w:val="en-US"/>
              </w:rPr>
              <w:t>8</w:t>
            </w:r>
          </w:p>
        </w:tc>
        <w:tc>
          <w:tcPr>
            <w:tcW w:w="4785" w:type="dxa"/>
            <w:vAlign w:val="center"/>
          </w:tcPr>
          <w:p w14:paraId="775E49B8" w14:textId="792D1785" w:rsidR="00FB476A" w:rsidRPr="009F337B" w:rsidRDefault="00FB476A" w:rsidP="00F23970">
            <w:pPr>
              <w:tabs>
                <w:tab w:val="left" w:pos="1277"/>
              </w:tabs>
              <w:jc w:val="left"/>
              <w:rPr>
                <w:sz w:val="16"/>
                <w:szCs w:val="16"/>
                <w:lang w:val="en-US"/>
              </w:rPr>
            </w:pPr>
            <w:r w:rsidRPr="009F337B">
              <w:rPr>
                <w:sz w:val="16"/>
                <w:szCs w:val="16"/>
                <w:lang w:val="en-US"/>
              </w:rPr>
              <w:t>Mardo Kleiber Hernández Zapet (</w:t>
            </w:r>
            <w:r w:rsidR="0010522A" w:rsidRPr="009F337B">
              <w:rPr>
                <w:sz w:val="16"/>
                <w:szCs w:val="16"/>
                <w:lang w:val="en-US"/>
              </w:rPr>
              <w:t>Son</w:t>
            </w:r>
            <w:r w:rsidRPr="009F337B">
              <w:rPr>
                <w:sz w:val="16"/>
                <w:szCs w:val="16"/>
                <w:lang w:val="en-US"/>
              </w:rPr>
              <w:t>)</w:t>
            </w:r>
          </w:p>
        </w:tc>
      </w:tr>
      <w:tr w:rsidR="00FB476A" w:rsidRPr="009F337B" w14:paraId="1C0FC0F8" w14:textId="77777777" w:rsidTr="003D3071">
        <w:tc>
          <w:tcPr>
            <w:tcW w:w="560" w:type="dxa"/>
            <w:vAlign w:val="center"/>
          </w:tcPr>
          <w:p w14:paraId="4B9889F3" w14:textId="77777777" w:rsidR="00FB476A" w:rsidRPr="009F337B" w:rsidRDefault="00FB476A" w:rsidP="003D3071">
            <w:pPr>
              <w:jc w:val="center"/>
              <w:rPr>
                <w:sz w:val="16"/>
                <w:szCs w:val="16"/>
                <w:lang w:val="en-US"/>
              </w:rPr>
            </w:pPr>
            <w:r w:rsidRPr="009F337B">
              <w:rPr>
                <w:sz w:val="16"/>
                <w:szCs w:val="16"/>
                <w:lang w:val="en-US"/>
              </w:rPr>
              <w:t>32</w:t>
            </w:r>
          </w:p>
        </w:tc>
        <w:tc>
          <w:tcPr>
            <w:tcW w:w="3092" w:type="dxa"/>
            <w:vAlign w:val="center"/>
          </w:tcPr>
          <w:p w14:paraId="35F10BF7" w14:textId="77777777" w:rsidR="00FB476A" w:rsidRPr="009F337B" w:rsidRDefault="00FB476A" w:rsidP="00F23970">
            <w:pPr>
              <w:jc w:val="left"/>
              <w:rPr>
                <w:sz w:val="16"/>
                <w:szCs w:val="16"/>
                <w:lang w:val="en-US"/>
              </w:rPr>
            </w:pPr>
            <w:r w:rsidRPr="009F337B">
              <w:rPr>
                <w:sz w:val="16"/>
                <w:szCs w:val="16"/>
                <w:lang w:val="en-US"/>
              </w:rPr>
              <w:t>Luis Armando Linares Ruano</w:t>
            </w:r>
          </w:p>
        </w:tc>
        <w:tc>
          <w:tcPr>
            <w:tcW w:w="567" w:type="dxa"/>
            <w:vAlign w:val="center"/>
          </w:tcPr>
          <w:p w14:paraId="7B64D0A7" w14:textId="77777777" w:rsidR="00FB476A" w:rsidRPr="009F337B" w:rsidRDefault="00FB476A" w:rsidP="003D3071">
            <w:pPr>
              <w:jc w:val="center"/>
              <w:rPr>
                <w:sz w:val="16"/>
                <w:szCs w:val="16"/>
                <w:lang w:val="en-US"/>
              </w:rPr>
            </w:pPr>
          </w:p>
        </w:tc>
        <w:tc>
          <w:tcPr>
            <w:tcW w:w="4785" w:type="dxa"/>
            <w:vAlign w:val="center"/>
          </w:tcPr>
          <w:p w14:paraId="65A59346" w14:textId="77777777" w:rsidR="00FB476A" w:rsidRPr="009F337B" w:rsidRDefault="00FB476A" w:rsidP="00F23970">
            <w:pPr>
              <w:jc w:val="left"/>
              <w:rPr>
                <w:sz w:val="16"/>
                <w:szCs w:val="16"/>
                <w:lang w:val="en-US"/>
              </w:rPr>
            </w:pPr>
          </w:p>
        </w:tc>
      </w:tr>
      <w:tr w:rsidR="00FB476A" w:rsidRPr="009F337B" w14:paraId="6DF12F83" w14:textId="77777777" w:rsidTr="003D3071">
        <w:tc>
          <w:tcPr>
            <w:tcW w:w="560" w:type="dxa"/>
            <w:vAlign w:val="center"/>
          </w:tcPr>
          <w:p w14:paraId="236AAA16" w14:textId="77777777" w:rsidR="00FB476A" w:rsidRPr="009F337B" w:rsidRDefault="00FB476A" w:rsidP="003D3071">
            <w:pPr>
              <w:jc w:val="center"/>
              <w:rPr>
                <w:sz w:val="16"/>
                <w:szCs w:val="16"/>
                <w:lang w:val="en-US"/>
              </w:rPr>
            </w:pPr>
            <w:r w:rsidRPr="009F337B">
              <w:rPr>
                <w:sz w:val="16"/>
                <w:szCs w:val="16"/>
                <w:lang w:val="en-US"/>
              </w:rPr>
              <w:t>33</w:t>
            </w:r>
          </w:p>
        </w:tc>
        <w:tc>
          <w:tcPr>
            <w:tcW w:w="3092" w:type="dxa"/>
            <w:vAlign w:val="center"/>
          </w:tcPr>
          <w:p w14:paraId="4E0BC61D" w14:textId="77777777" w:rsidR="00FB476A" w:rsidRPr="009F337B" w:rsidRDefault="00FB476A" w:rsidP="00F23970">
            <w:pPr>
              <w:jc w:val="left"/>
              <w:rPr>
                <w:sz w:val="16"/>
                <w:szCs w:val="16"/>
                <w:lang w:val="en-US"/>
              </w:rPr>
            </w:pPr>
            <w:r w:rsidRPr="009F337B">
              <w:rPr>
                <w:sz w:val="16"/>
                <w:szCs w:val="16"/>
                <w:lang w:val="en-US"/>
              </w:rPr>
              <w:t>Marta Alicia Maldonado Paz</w:t>
            </w:r>
          </w:p>
        </w:tc>
        <w:tc>
          <w:tcPr>
            <w:tcW w:w="567" w:type="dxa"/>
            <w:vAlign w:val="center"/>
          </w:tcPr>
          <w:p w14:paraId="34BC2240" w14:textId="77777777" w:rsidR="00FB476A" w:rsidRPr="009F337B" w:rsidRDefault="00FB476A" w:rsidP="003D3071">
            <w:pPr>
              <w:jc w:val="center"/>
              <w:rPr>
                <w:sz w:val="16"/>
                <w:szCs w:val="16"/>
                <w:lang w:val="en-US"/>
              </w:rPr>
            </w:pPr>
          </w:p>
        </w:tc>
        <w:tc>
          <w:tcPr>
            <w:tcW w:w="4785" w:type="dxa"/>
            <w:vAlign w:val="center"/>
          </w:tcPr>
          <w:p w14:paraId="307AB151" w14:textId="77777777" w:rsidR="00FB476A" w:rsidRPr="009F337B" w:rsidRDefault="00FB476A" w:rsidP="00F23970">
            <w:pPr>
              <w:tabs>
                <w:tab w:val="left" w:pos="1277"/>
              </w:tabs>
              <w:jc w:val="left"/>
              <w:rPr>
                <w:sz w:val="16"/>
                <w:szCs w:val="16"/>
                <w:lang w:val="en-US"/>
              </w:rPr>
            </w:pPr>
          </w:p>
        </w:tc>
      </w:tr>
      <w:tr w:rsidR="00FB476A" w:rsidRPr="009F337B" w14:paraId="2330A890" w14:textId="77777777" w:rsidTr="003D3071">
        <w:tc>
          <w:tcPr>
            <w:tcW w:w="560" w:type="dxa"/>
            <w:vAlign w:val="center"/>
          </w:tcPr>
          <w:p w14:paraId="58B8B28B" w14:textId="77777777" w:rsidR="00FB476A" w:rsidRPr="009F337B" w:rsidRDefault="00FB476A" w:rsidP="003D3071">
            <w:pPr>
              <w:jc w:val="center"/>
              <w:rPr>
                <w:sz w:val="16"/>
                <w:szCs w:val="16"/>
                <w:lang w:val="en-US"/>
              </w:rPr>
            </w:pPr>
            <w:r w:rsidRPr="009F337B">
              <w:rPr>
                <w:sz w:val="16"/>
                <w:szCs w:val="16"/>
                <w:lang w:val="en-US"/>
              </w:rPr>
              <w:t>34</w:t>
            </w:r>
          </w:p>
        </w:tc>
        <w:tc>
          <w:tcPr>
            <w:tcW w:w="3092" w:type="dxa"/>
            <w:vAlign w:val="center"/>
          </w:tcPr>
          <w:p w14:paraId="40A6655F" w14:textId="77777777" w:rsidR="00FB476A" w:rsidRPr="009F337B" w:rsidRDefault="00FB476A" w:rsidP="00F23970">
            <w:pPr>
              <w:jc w:val="left"/>
              <w:rPr>
                <w:sz w:val="16"/>
                <w:szCs w:val="16"/>
                <w:lang w:val="en-US"/>
              </w:rPr>
            </w:pPr>
            <w:r w:rsidRPr="009F337B">
              <w:rPr>
                <w:sz w:val="16"/>
                <w:szCs w:val="16"/>
                <w:lang w:val="en-US"/>
              </w:rPr>
              <w:t>Dora Marina Martínez Sofoifa</w:t>
            </w:r>
          </w:p>
        </w:tc>
        <w:tc>
          <w:tcPr>
            <w:tcW w:w="567" w:type="dxa"/>
            <w:vAlign w:val="center"/>
          </w:tcPr>
          <w:p w14:paraId="4A8BD669" w14:textId="77777777" w:rsidR="00FB476A" w:rsidRPr="009F337B" w:rsidRDefault="00FB476A" w:rsidP="003D3071">
            <w:pPr>
              <w:jc w:val="center"/>
              <w:rPr>
                <w:sz w:val="16"/>
                <w:szCs w:val="16"/>
                <w:lang w:val="en-US"/>
              </w:rPr>
            </w:pPr>
          </w:p>
        </w:tc>
        <w:tc>
          <w:tcPr>
            <w:tcW w:w="4785" w:type="dxa"/>
            <w:vAlign w:val="center"/>
          </w:tcPr>
          <w:p w14:paraId="71AD5F5F" w14:textId="77777777" w:rsidR="00FB476A" w:rsidRPr="009F337B" w:rsidRDefault="00FB476A" w:rsidP="00F23970">
            <w:pPr>
              <w:jc w:val="left"/>
              <w:rPr>
                <w:sz w:val="16"/>
                <w:szCs w:val="16"/>
                <w:lang w:val="en-US"/>
              </w:rPr>
            </w:pPr>
          </w:p>
        </w:tc>
      </w:tr>
      <w:tr w:rsidR="00FB476A" w:rsidRPr="009F337B" w14:paraId="203DF335" w14:textId="77777777" w:rsidTr="003D3071">
        <w:tc>
          <w:tcPr>
            <w:tcW w:w="560" w:type="dxa"/>
            <w:vMerge w:val="restart"/>
            <w:vAlign w:val="center"/>
          </w:tcPr>
          <w:p w14:paraId="1CBF691E" w14:textId="77777777" w:rsidR="00FB476A" w:rsidRPr="009F337B" w:rsidRDefault="00FB476A" w:rsidP="003D3071">
            <w:pPr>
              <w:jc w:val="center"/>
              <w:rPr>
                <w:sz w:val="16"/>
                <w:szCs w:val="16"/>
                <w:lang w:val="en-US"/>
              </w:rPr>
            </w:pPr>
            <w:r w:rsidRPr="009F337B">
              <w:rPr>
                <w:sz w:val="16"/>
                <w:szCs w:val="16"/>
                <w:lang w:val="en-US"/>
              </w:rPr>
              <w:t>35</w:t>
            </w:r>
          </w:p>
        </w:tc>
        <w:tc>
          <w:tcPr>
            <w:tcW w:w="3092" w:type="dxa"/>
            <w:vMerge w:val="restart"/>
            <w:vAlign w:val="center"/>
          </w:tcPr>
          <w:p w14:paraId="76305E57" w14:textId="77777777" w:rsidR="00FB476A" w:rsidRPr="00542AB5" w:rsidRDefault="00FB476A" w:rsidP="00F23970">
            <w:pPr>
              <w:jc w:val="left"/>
              <w:rPr>
                <w:sz w:val="16"/>
                <w:szCs w:val="16"/>
                <w:lang w:val="es-CR"/>
              </w:rPr>
            </w:pPr>
            <w:r w:rsidRPr="00542AB5">
              <w:rPr>
                <w:sz w:val="16"/>
                <w:szCs w:val="16"/>
                <w:lang w:val="es-CR"/>
              </w:rPr>
              <w:t>Pascuala de Jesús Mérida Rodríguez</w:t>
            </w:r>
          </w:p>
        </w:tc>
        <w:tc>
          <w:tcPr>
            <w:tcW w:w="567" w:type="dxa"/>
            <w:vAlign w:val="center"/>
          </w:tcPr>
          <w:p w14:paraId="38A02385" w14:textId="20CEA91A" w:rsidR="00FB476A" w:rsidRPr="009F337B" w:rsidRDefault="0009273C" w:rsidP="003D3071">
            <w:pPr>
              <w:jc w:val="center"/>
              <w:rPr>
                <w:sz w:val="16"/>
                <w:szCs w:val="16"/>
                <w:lang w:val="en-US"/>
              </w:rPr>
            </w:pPr>
            <w:r w:rsidRPr="009F337B">
              <w:rPr>
                <w:sz w:val="16"/>
                <w:szCs w:val="16"/>
                <w:lang w:val="en-US"/>
              </w:rPr>
              <w:t>3</w:t>
            </w:r>
            <w:r w:rsidR="005C4A7F" w:rsidRPr="009F337B">
              <w:rPr>
                <w:sz w:val="16"/>
                <w:szCs w:val="16"/>
                <w:lang w:val="en-US"/>
              </w:rPr>
              <w:t>9</w:t>
            </w:r>
          </w:p>
        </w:tc>
        <w:tc>
          <w:tcPr>
            <w:tcW w:w="4785" w:type="dxa"/>
            <w:vAlign w:val="center"/>
          </w:tcPr>
          <w:p w14:paraId="727F7F27" w14:textId="35BA5826" w:rsidR="00FB476A" w:rsidRPr="009F337B" w:rsidRDefault="00FB476A" w:rsidP="00F23970">
            <w:pPr>
              <w:tabs>
                <w:tab w:val="left" w:pos="1277"/>
              </w:tabs>
              <w:jc w:val="left"/>
              <w:rPr>
                <w:sz w:val="16"/>
                <w:szCs w:val="16"/>
                <w:lang w:val="en-US"/>
              </w:rPr>
            </w:pPr>
            <w:r w:rsidRPr="009F337B">
              <w:rPr>
                <w:sz w:val="16"/>
                <w:szCs w:val="16"/>
                <w:lang w:val="en-US"/>
              </w:rPr>
              <w:t xml:space="preserve">Sixto Mérida Mendoza </w:t>
            </w:r>
            <w:r w:rsidR="008D64AF" w:rsidRPr="009F337B">
              <w:rPr>
                <w:sz w:val="16"/>
                <w:szCs w:val="16"/>
                <w:lang w:val="en-US"/>
              </w:rPr>
              <w:t>(</w:t>
            </w:r>
            <w:r w:rsidR="0010522A" w:rsidRPr="009F337B">
              <w:rPr>
                <w:sz w:val="16"/>
                <w:szCs w:val="16"/>
                <w:lang w:val="en-US"/>
              </w:rPr>
              <w:t>Father</w:t>
            </w:r>
            <w:r w:rsidRPr="009F337B">
              <w:rPr>
                <w:sz w:val="16"/>
                <w:szCs w:val="16"/>
                <w:lang w:val="en-US"/>
              </w:rPr>
              <w:t>)</w:t>
            </w:r>
          </w:p>
        </w:tc>
      </w:tr>
      <w:tr w:rsidR="00FB476A" w:rsidRPr="009F337B" w14:paraId="615EF326" w14:textId="77777777" w:rsidTr="003D3071">
        <w:tc>
          <w:tcPr>
            <w:tcW w:w="560" w:type="dxa"/>
            <w:vMerge/>
            <w:vAlign w:val="center"/>
          </w:tcPr>
          <w:p w14:paraId="03A7EB49" w14:textId="77777777" w:rsidR="00FB476A" w:rsidRPr="009F337B" w:rsidRDefault="00FB476A" w:rsidP="003D3071">
            <w:pPr>
              <w:jc w:val="center"/>
              <w:rPr>
                <w:sz w:val="16"/>
                <w:szCs w:val="16"/>
                <w:lang w:val="en-US"/>
              </w:rPr>
            </w:pPr>
          </w:p>
        </w:tc>
        <w:tc>
          <w:tcPr>
            <w:tcW w:w="3092" w:type="dxa"/>
            <w:vMerge/>
            <w:vAlign w:val="center"/>
          </w:tcPr>
          <w:p w14:paraId="5BF9F761" w14:textId="77777777" w:rsidR="00FB476A" w:rsidRPr="009F337B" w:rsidRDefault="00FB476A" w:rsidP="00F23970">
            <w:pPr>
              <w:jc w:val="left"/>
              <w:rPr>
                <w:sz w:val="16"/>
                <w:szCs w:val="16"/>
                <w:lang w:val="en-US"/>
              </w:rPr>
            </w:pPr>
          </w:p>
        </w:tc>
        <w:tc>
          <w:tcPr>
            <w:tcW w:w="567" w:type="dxa"/>
            <w:vAlign w:val="center"/>
          </w:tcPr>
          <w:p w14:paraId="1F94365B" w14:textId="10CF5069" w:rsidR="00FB476A" w:rsidRPr="009F337B" w:rsidRDefault="005C4A7F" w:rsidP="003D3071">
            <w:pPr>
              <w:jc w:val="center"/>
              <w:rPr>
                <w:sz w:val="16"/>
                <w:szCs w:val="16"/>
                <w:lang w:val="en-US"/>
              </w:rPr>
            </w:pPr>
            <w:r w:rsidRPr="009F337B">
              <w:rPr>
                <w:sz w:val="16"/>
                <w:szCs w:val="16"/>
                <w:lang w:val="en-US"/>
              </w:rPr>
              <w:t>40</w:t>
            </w:r>
          </w:p>
        </w:tc>
        <w:tc>
          <w:tcPr>
            <w:tcW w:w="4785" w:type="dxa"/>
            <w:vAlign w:val="center"/>
          </w:tcPr>
          <w:p w14:paraId="13F60D0A" w14:textId="42BA9171" w:rsidR="00FB476A" w:rsidRPr="009F337B" w:rsidRDefault="00FB476A" w:rsidP="00F23970">
            <w:pPr>
              <w:tabs>
                <w:tab w:val="left" w:pos="1277"/>
              </w:tabs>
              <w:jc w:val="left"/>
              <w:rPr>
                <w:sz w:val="16"/>
                <w:szCs w:val="16"/>
                <w:lang w:val="en-US"/>
              </w:rPr>
            </w:pPr>
            <w:r w:rsidRPr="009F337B">
              <w:rPr>
                <w:sz w:val="16"/>
                <w:szCs w:val="16"/>
                <w:lang w:val="en-US"/>
              </w:rPr>
              <w:t>Hermina Rodríguez Coculista (</w:t>
            </w:r>
            <w:r w:rsidR="0010522A" w:rsidRPr="009F337B">
              <w:rPr>
                <w:sz w:val="16"/>
                <w:szCs w:val="16"/>
                <w:lang w:val="en-US"/>
              </w:rPr>
              <w:t>Mother</w:t>
            </w:r>
            <w:r w:rsidRPr="009F337B">
              <w:rPr>
                <w:sz w:val="16"/>
                <w:szCs w:val="16"/>
                <w:lang w:val="en-US"/>
              </w:rPr>
              <w:t>)</w:t>
            </w:r>
          </w:p>
        </w:tc>
      </w:tr>
      <w:tr w:rsidR="00FB476A" w:rsidRPr="009F337B" w14:paraId="6435AC21" w14:textId="77777777" w:rsidTr="003D3071">
        <w:tc>
          <w:tcPr>
            <w:tcW w:w="560" w:type="dxa"/>
            <w:vMerge/>
            <w:vAlign w:val="center"/>
          </w:tcPr>
          <w:p w14:paraId="12A2F3B1" w14:textId="77777777" w:rsidR="00FB476A" w:rsidRPr="009F337B" w:rsidRDefault="00FB476A" w:rsidP="003D3071">
            <w:pPr>
              <w:jc w:val="center"/>
              <w:rPr>
                <w:sz w:val="16"/>
                <w:szCs w:val="16"/>
                <w:lang w:val="en-US"/>
              </w:rPr>
            </w:pPr>
          </w:p>
        </w:tc>
        <w:tc>
          <w:tcPr>
            <w:tcW w:w="3092" w:type="dxa"/>
            <w:vMerge/>
            <w:vAlign w:val="center"/>
          </w:tcPr>
          <w:p w14:paraId="106B7C95" w14:textId="77777777" w:rsidR="00FB476A" w:rsidRPr="009F337B" w:rsidRDefault="00FB476A" w:rsidP="00F23970">
            <w:pPr>
              <w:jc w:val="left"/>
              <w:rPr>
                <w:sz w:val="16"/>
                <w:szCs w:val="16"/>
                <w:lang w:val="en-US"/>
              </w:rPr>
            </w:pPr>
          </w:p>
        </w:tc>
        <w:tc>
          <w:tcPr>
            <w:tcW w:w="567" w:type="dxa"/>
            <w:vAlign w:val="center"/>
          </w:tcPr>
          <w:p w14:paraId="06972B36" w14:textId="421B79C1" w:rsidR="00FB476A" w:rsidRPr="009F337B" w:rsidRDefault="005C4A7F" w:rsidP="003D3071">
            <w:pPr>
              <w:jc w:val="center"/>
              <w:rPr>
                <w:sz w:val="16"/>
                <w:szCs w:val="16"/>
                <w:lang w:val="en-US"/>
              </w:rPr>
            </w:pPr>
            <w:r w:rsidRPr="009F337B">
              <w:rPr>
                <w:sz w:val="16"/>
                <w:szCs w:val="16"/>
                <w:lang w:val="en-US"/>
              </w:rPr>
              <w:t>41</w:t>
            </w:r>
          </w:p>
        </w:tc>
        <w:tc>
          <w:tcPr>
            <w:tcW w:w="4785" w:type="dxa"/>
            <w:vAlign w:val="center"/>
          </w:tcPr>
          <w:p w14:paraId="70616A3D" w14:textId="3C03372A" w:rsidR="00FB476A" w:rsidRPr="00542AB5" w:rsidRDefault="00FB476A" w:rsidP="00F23970">
            <w:pPr>
              <w:tabs>
                <w:tab w:val="left" w:pos="1277"/>
              </w:tabs>
              <w:jc w:val="left"/>
              <w:rPr>
                <w:sz w:val="16"/>
                <w:szCs w:val="16"/>
                <w:lang w:val="es-CR"/>
              </w:rPr>
            </w:pPr>
            <w:r w:rsidRPr="00542AB5">
              <w:rPr>
                <w:sz w:val="16"/>
                <w:szCs w:val="16"/>
                <w:lang w:val="es-CR"/>
              </w:rPr>
              <w:t>Karla de Jesús Coronado Mérida (</w:t>
            </w:r>
            <w:r w:rsidR="0010522A" w:rsidRPr="00542AB5">
              <w:rPr>
                <w:sz w:val="16"/>
                <w:szCs w:val="16"/>
                <w:lang w:val="es-CR"/>
              </w:rPr>
              <w:t>Daughter</w:t>
            </w:r>
            <w:r w:rsidRPr="00542AB5">
              <w:rPr>
                <w:sz w:val="16"/>
                <w:szCs w:val="16"/>
                <w:lang w:val="es-CR"/>
              </w:rPr>
              <w:t>)</w:t>
            </w:r>
          </w:p>
        </w:tc>
      </w:tr>
      <w:tr w:rsidR="00FB476A" w:rsidRPr="009F337B" w14:paraId="002B64E7" w14:textId="77777777" w:rsidTr="003D3071">
        <w:tc>
          <w:tcPr>
            <w:tcW w:w="560" w:type="dxa"/>
            <w:vMerge/>
            <w:vAlign w:val="center"/>
          </w:tcPr>
          <w:p w14:paraId="7A19657F" w14:textId="77777777" w:rsidR="00FB476A" w:rsidRPr="00542AB5" w:rsidRDefault="00FB476A" w:rsidP="003D3071">
            <w:pPr>
              <w:jc w:val="center"/>
              <w:rPr>
                <w:sz w:val="16"/>
                <w:szCs w:val="16"/>
                <w:lang w:val="es-CR"/>
              </w:rPr>
            </w:pPr>
          </w:p>
        </w:tc>
        <w:tc>
          <w:tcPr>
            <w:tcW w:w="3092" w:type="dxa"/>
            <w:vMerge/>
            <w:vAlign w:val="center"/>
          </w:tcPr>
          <w:p w14:paraId="3B57AE7A" w14:textId="77777777" w:rsidR="00FB476A" w:rsidRPr="00542AB5" w:rsidRDefault="00FB476A" w:rsidP="00F23970">
            <w:pPr>
              <w:jc w:val="left"/>
              <w:rPr>
                <w:sz w:val="16"/>
                <w:szCs w:val="16"/>
                <w:lang w:val="es-CR"/>
              </w:rPr>
            </w:pPr>
          </w:p>
        </w:tc>
        <w:tc>
          <w:tcPr>
            <w:tcW w:w="567" w:type="dxa"/>
            <w:vAlign w:val="center"/>
          </w:tcPr>
          <w:p w14:paraId="2DCD4308" w14:textId="25A7FB9D" w:rsidR="00FB476A" w:rsidRPr="009F337B" w:rsidRDefault="0009273C" w:rsidP="003D3071">
            <w:pPr>
              <w:jc w:val="center"/>
              <w:rPr>
                <w:sz w:val="16"/>
                <w:szCs w:val="16"/>
                <w:lang w:val="en-US"/>
              </w:rPr>
            </w:pPr>
            <w:r w:rsidRPr="009F337B">
              <w:rPr>
                <w:sz w:val="16"/>
                <w:szCs w:val="16"/>
                <w:lang w:val="en-US"/>
              </w:rPr>
              <w:t>4</w:t>
            </w:r>
            <w:r w:rsidR="005C4A7F" w:rsidRPr="009F337B">
              <w:rPr>
                <w:sz w:val="16"/>
                <w:szCs w:val="16"/>
                <w:lang w:val="en-US"/>
              </w:rPr>
              <w:t>2</w:t>
            </w:r>
          </w:p>
        </w:tc>
        <w:tc>
          <w:tcPr>
            <w:tcW w:w="4785" w:type="dxa"/>
            <w:vAlign w:val="center"/>
          </w:tcPr>
          <w:p w14:paraId="3691530A" w14:textId="4FFA6CE0" w:rsidR="00FB476A" w:rsidRPr="00542AB5" w:rsidRDefault="00FB476A" w:rsidP="00F23970">
            <w:pPr>
              <w:tabs>
                <w:tab w:val="left" w:pos="1277"/>
              </w:tabs>
              <w:jc w:val="left"/>
              <w:rPr>
                <w:sz w:val="16"/>
                <w:szCs w:val="16"/>
                <w:lang w:val="es-CR"/>
              </w:rPr>
            </w:pPr>
            <w:r w:rsidRPr="00542AB5">
              <w:rPr>
                <w:sz w:val="16"/>
                <w:szCs w:val="16"/>
                <w:lang w:val="es-CR"/>
              </w:rPr>
              <w:t>Benita del Rosario Soto Mérida (</w:t>
            </w:r>
            <w:r w:rsidR="0010522A" w:rsidRPr="00542AB5">
              <w:rPr>
                <w:sz w:val="16"/>
                <w:szCs w:val="16"/>
                <w:lang w:val="es-CR"/>
              </w:rPr>
              <w:t>Daughter</w:t>
            </w:r>
            <w:r w:rsidRPr="00542AB5">
              <w:rPr>
                <w:sz w:val="16"/>
                <w:szCs w:val="16"/>
                <w:lang w:val="es-CR"/>
              </w:rPr>
              <w:t>)</w:t>
            </w:r>
          </w:p>
        </w:tc>
      </w:tr>
      <w:tr w:rsidR="00FB476A" w:rsidRPr="009F337B" w14:paraId="2507FE77" w14:textId="77777777" w:rsidTr="003D3071">
        <w:tc>
          <w:tcPr>
            <w:tcW w:w="560" w:type="dxa"/>
            <w:vMerge/>
            <w:vAlign w:val="center"/>
          </w:tcPr>
          <w:p w14:paraId="1BCAA339" w14:textId="77777777" w:rsidR="00FB476A" w:rsidRPr="00542AB5" w:rsidRDefault="00FB476A" w:rsidP="003D3071">
            <w:pPr>
              <w:jc w:val="center"/>
              <w:rPr>
                <w:sz w:val="16"/>
                <w:szCs w:val="16"/>
                <w:lang w:val="es-CR"/>
              </w:rPr>
            </w:pPr>
          </w:p>
        </w:tc>
        <w:tc>
          <w:tcPr>
            <w:tcW w:w="3092" w:type="dxa"/>
            <w:vMerge/>
            <w:vAlign w:val="center"/>
          </w:tcPr>
          <w:p w14:paraId="47E4891D" w14:textId="77777777" w:rsidR="00FB476A" w:rsidRPr="00542AB5" w:rsidRDefault="00FB476A" w:rsidP="00F23970">
            <w:pPr>
              <w:jc w:val="left"/>
              <w:rPr>
                <w:sz w:val="16"/>
                <w:szCs w:val="16"/>
                <w:lang w:val="es-CR"/>
              </w:rPr>
            </w:pPr>
          </w:p>
        </w:tc>
        <w:tc>
          <w:tcPr>
            <w:tcW w:w="567" w:type="dxa"/>
            <w:vAlign w:val="center"/>
          </w:tcPr>
          <w:p w14:paraId="256D09BC" w14:textId="34CD5918" w:rsidR="00FB476A" w:rsidRPr="009F337B" w:rsidRDefault="0009273C" w:rsidP="003D3071">
            <w:pPr>
              <w:jc w:val="center"/>
              <w:rPr>
                <w:sz w:val="16"/>
                <w:szCs w:val="16"/>
                <w:lang w:val="en-US"/>
              </w:rPr>
            </w:pPr>
            <w:r w:rsidRPr="009F337B">
              <w:rPr>
                <w:sz w:val="16"/>
                <w:szCs w:val="16"/>
                <w:lang w:val="en-US"/>
              </w:rPr>
              <w:t>4</w:t>
            </w:r>
            <w:r w:rsidR="005C4A7F" w:rsidRPr="009F337B">
              <w:rPr>
                <w:sz w:val="16"/>
                <w:szCs w:val="16"/>
                <w:lang w:val="en-US"/>
              </w:rPr>
              <w:t>3</w:t>
            </w:r>
          </w:p>
        </w:tc>
        <w:tc>
          <w:tcPr>
            <w:tcW w:w="4785" w:type="dxa"/>
            <w:vAlign w:val="center"/>
          </w:tcPr>
          <w:p w14:paraId="631B2FDC" w14:textId="7270F22E" w:rsidR="00FB476A" w:rsidRPr="00542AB5" w:rsidRDefault="00FB476A" w:rsidP="00F23970">
            <w:pPr>
              <w:tabs>
                <w:tab w:val="left" w:pos="1277"/>
              </w:tabs>
              <w:jc w:val="left"/>
              <w:rPr>
                <w:sz w:val="16"/>
                <w:szCs w:val="16"/>
                <w:lang w:val="es-CR"/>
              </w:rPr>
            </w:pPr>
            <w:r w:rsidRPr="00542AB5">
              <w:rPr>
                <w:sz w:val="16"/>
                <w:szCs w:val="16"/>
                <w:lang w:val="es-CR"/>
              </w:rPr>
              <w:t>Erick Alexander Maldonado Mérida (</w:t>
            </w:r>
            <w:r w:rsidR="0010522A" w:rsidRPr="00542AB5">
              <w:rPr>
                <w:sz w:val="16"/>
                <w:szCs w:val="16"/>
                <w:lang w:val="es-CR"/>
              </w:rPr>
              <w:t>Son</w:t>
            </w:r>
            <w:r w:rsidRPr="00542AB5">
              <w:rPr>
                <w:sz w:val="16"/>
                <w:szCs w:val="16"/>
                <w:lang w:val="es-CR"/>
              </w:rPr>
              <w:t>)</w:t>
            </w:r>
          </w:p>
        </w:tc>
      </w:tr>
      <w:tr w:rsidR="00FB476A" w:rsidRPr="009F337B" w14:paraId="723A764F" w14:textId="77777777" w:rsidTr="003D3071">
        <w:tc>
          <w:tcPr>
            <w:tcW w:w="560" w:type="dxa"/>
            <w:vMerge/>
            <w:vAlign w:val="center"/>
          </w:tcPr>
          <w:p w14:paraId="3EB9D227" w14:textId="77777777" w:rsidR="00FB476A" w:rsidRPr="00542AB5" w:rsidRDefault="00FB476A" w:rsidP="003D3071">
            <w:pPr>
              <w:jc w:val="center"/>
              <w:rPr>
                <w:sz w:val="16"/>
                <w:szCs w:val="16"/>
                <w:lang w:val="es-CR"/>
              </w:rPr>
            </w:pPr>
          </w:p>
        </w:tc>
        <w:tc>
          <w:tcPr>
            <w:tcW w:w="3092" w:type="dxa"/>
            <w:vMerge/>
            <w:vAlign w:val="center"/>
          </w:tcPr>
          <w:p w14:paraId="79C00179" w14:textId="77777777" w:rsidR="00FB476A" w:rsidRPr="00542AB5" w:rsidRDefault="00FB476A" w:rsidP="00F23970">
            <w:pPr>
              <w:jc w:val="left"/>
              <w:rPr>
                <w:sz w:val="16"/>
                <w:szCs w:val="16"/>
                <w:lang w:val="es-CR"/>
              </w:rPr>
            </w:pPr>
          </w:p>
        </w:tc>
        <w:tc>
          <w:tcPr>
            <w:tcW w:w="567" w:type="dxa"/>
            <w:vAlign w:val="center"/>
          </w:tcPr>
          <w:p w14:paraId="560580F5" w14:textId="588A2406" w:rsidR="00FB476A" w:rsidRPr="009F337B" w:rsidRDefault="0009273C" w:rsidP="003D3071">
            <w:pPr>
              <w:jc w:val="center"/>
              <w:rPr>
                <w:sz w:val="16"/>
                <w:szCs w:val="16"/>
                <w:lang w:val="en-US"/>
              </w:rPr>
            </w:pPr>
            <w:r w:rsidRPr="009F337B">
              <w:rPr>
                <w:sz w:val="16"/>
                <w:szCs w:val="16"/>
                <w:lang w:val="en-US"/>
              </w:rPr>
              <w:t>4</w:t>
            </w:r>
            <w:r w:rsidR="005C4A7F" w:rsidRPr="009F337B">
              <w:rPr>
                <w:sz w:val="16"/>
                <w:szCs w:val="16"/>
                <w:lang w:val="en-US"/>
              </w:rPr>
              <w:t>4</w:t>
            </w:r>
          </w:p>
        </w:tc>
        <w:tc>
          <w:tcPr>
            <w:tcW w:w="4785" w:type="dxa"/>
            <w:vAlign w:val="center"/>
          </w:tcPr>
          <w:p w14:paraId="2C31168A" w14:textId="5AB3A9AD" w:rsidR="00FB476A" w:rsidRPr="00542AB5" w:rsidRDefault="00FB476A" w:rsidP="00F23970">
            <w:pPr>
              <w:tabs>
                <w:tab w:val="left" w:pos="1277"/>
              </w:tabs>
              <w:jc w:val="left"/>
              <w:rPr>
                <w:sz w:val="16"/>
                <w:szCs w:val="16"/>
                <w:lang w:val="es-CR"/>
              </w:rPr>
            </w:pPr>
            <w:r w:rsidRPr="00542AB5">
              <w:rPr>
                <w:sz w:val="16"/>
                <w:szCs w:val="16"/>
                <w:lang w:val="es-CR"/>
              </w:rPr>
              <w:t>Alejo Ranferí Maldonado Oxlaj (</w:t>
            </w:r>
            <w:r w:rsidR="0010522A" w:rsidRPr="00542AB5">
              <w:rPr>
                <w:sz w:val="16"/>
                <w:szCs w:val="16"/>
                <w:lang w:val="es-CR"/>
              </w:rPr>
              <w:t>Husband</w:t>
            </w:r>
            <w:r w:rsidRPr="00542AB5">
              <w:rPr>
                <w:sz w:val="16"/>
                <w:szCs w:val="16"/>
                <w:lang w:val="es-CR"/>
              </w:rPr>
              <w:t>)</w:t>
            </w:r>
          </w:p>
        </w:tc>
      </w:tr>
      <w:tr w:rsidR="00FB476A" w:rsidRPr="009F337B" w14:paraId="47FA8948" w14:textId="77777777" w:rsidTr="003D3071">
        <w:tc>
          <w:tcPr>
            <w:tcW w:w="560" w:type="dxa"/>
            <w:vMerge w:val="restart"/>
            <w:vAlign w:val="center"/>
          </w:tcPr>
          <w:p w14:paraId="47D9AE28" w14:textId="77777777" w:rsidR="00FB476A" w:rsidRPr="009F337B" w:rsidRDefault="00FB476A" w:rsidP="003D3071">
            <w:pPr>
              <w:jc w:val="center"/>
              <w:rPr>
                <w:sz w:val="16"/>
                <w:szCs w:val="16"/>
                <w:lang w:val="en-US"/>
              </w:rPr>
            </w:pPr>
            <w:r w:rsidRPr="009F337B">
              <w:rPr>
                <w:sz w:val="16"/>
                <w:szCs w:val="16"/>
                <w:lang w:val="en-US"/>
              </w:rPr>
              <w:t>36</w:t>
            </w:r>
          </w:p>
        </w:tc>
        <w:tc>
          <w:tcPr>
            <w:tcW w:w="3092" w:type="dxa"/>
            <w:vMerge w:val="restart"/>
            <w:vAlign w:val="center"/>
          </w:tcPr>
          <w:p w14:paraId="04FB1F4F" w14:textId="77777777" w:rsidR="00FB476A" w:rsidRPr="009F337B" w:rsidRDefault="00FB476A" w:rsidP="00F23970">
            <w:pPr>
              <w:jc w:val="left"/>
              <w:rPr>
                <w:sz w:val="16"/>
                <w:szCs w:val="16"/>
                <w:lang w:val="en-US"/>
              </w:rPr>
            </w:pPr>
            <w:r w:rsidRPr="009F337B">
              <w:rPr>
                <w:sz w:val="16"/>
                <w:szCs w:val="16"/>
                <w:lang w:val="en-US"/>
              </w:rPr>
              <w:t>Darinel López Montes de Oca</w:t>
            </w:r>
          </w:p>
        </w:tc>
        <w:tc>
          <w:tcPr>
            <w:tcW w:w="567" w:type="dxa"/>
            <w:vAlign w:val="center"/>
          </w:tcPr>
          <w:p w14:paraId="30ECC6F5" w14:textId="5984D3BC" w:rsidR="00FB476A" w:rsidRPr="009F337B" w:rsidRDefault="0009273C" w:rsidP="003D3071">
            <w:pPr>
              <w:jc w:val="center"/>
              <w:rPr>
                <w:sz w:val="16"/>
                <w:szCs w:val="16"/>
                <w:lang w:val="en-US"/>
              </w:rPr>
            </w:pPr>
            <w:r w:rsidRPr="009F337B">
              <w:rPr>
                <w:sz w:val="16"/>
                <w:szCs w:val="16"/>
                <w:lang w:val="en-US"/>
              </w:rPr>
              <w:t>4</w:t>
            </w:r>
            <w:r w:rsidR="005C4A7F" w:rsidRPr="009F337B">
              <w:rPr>
                <w:sz w:val="16"/>
                <w:szCs w:val="16"/>
                <w:lang w:val="en-US"/>
              </w:rPr>
              <w:t>5</w:t>
            </w:r>
          </w:p>
        </w:tc>
        <w:tc>
          <w:tcPr>
            <w:tcW w:w="4785" w:type="dxa"/>
            <w:vAlign w:val="center"/>
          </w:tcPr>
          <w:p w14:paraId="069973C2" w14:textId="7907B0B3" w:rsidR="00FB476A" w:rsidRPr="009F337B" w:rsidRDefault="00FB476A" w:rsidP="00F23970">
            <w:pPr>
              <w:jc w:val="left"/>
              <w:rPr>
                <w:sz w:val="16"/>
                <w:szCs w:val="16"/>
                <w:lang w:val="en-US"/>
              </w:rPr>
            </w:pPr>
            <w:r w:rsidRPr="009F337B">
              <w:rPr>
                <w:sz w:val="16"/>
                <w:szCs w:val="16"/>
                <w:lang w:val="en-US"/>
              </w:rPr>
              <w:t>Ana Castillo López (</w:t>
            </w:r>
            <w:r w:rsidR="007419BE" w:rsidRPr="009F337B">
              <w:rPr>
                <w:sz w:val="16"/>
                <w:szCs w:val="16"/>
                <w:lang w:val="en-US"/>
              </w:rPr>
              <w:t>Cousin</w:t>
            </w:r>
            <w:r w:rsidRPr="009F337B">
              <w:rPr>
                <w:sz w:val="16"/>
                <w:szCs w:val="16"/>
                <w:lang w:val="en-US"/>
              </w:rPr>
              <w:t>)</w:t>
            </w:r>
          </w:p>
        </w:tc>
      </w:tr>
      <w:tr w:rsidR="00FB476A" w:rsidRPr="009F337B" w14:paraId="6618D47A" w14:textId="77777777" w:rsidTr="003D3071">
        <w:tc>
          <w:tcPr>
            <w:tcW w:w="560" w:type="dxa"/>
            <w:vMerge/>
            <w:vAlign w:val="center"/>
          </w:tcPr>
          <w:p w14:paraId="717164A6" w14:textId="77777777" w:rsidR="00FB476A" w:rsidRPr="009F337B" w:rsidRDefault="00FB476A" w:rsidP="003D3071">
            <w:pPr>
              <w:jc w:val="center"/>
              <w:rPr>
                <w:sz w:val="16"/>
                <w:szCs w:val="16"/>
                <w:lang w:val="en-US"/>
              </w:rPr>
            </w:pPr>
          </w:p>
        </w:tc>
        <w:tc>
          <w:tcPr>
            <w:tcW w:w="3092" w:type="dxa"/>
            <w:vMerge/>
            <w:vAlign w:val="center"/>
          </w:tcPr>
          <w:p w14:paraId="262F17D0" w14:textId="77777777" w:rsidR="00FB476A" w:rsidRPr="009F337B" w:rsidRDefault="00FB476A" w:rsidP="00F23970">
            <w:pPr>
              <w:jc w:val="left"/>
              <w:rPr>
                <w:sz w:val="16"/>
                <w:szCs w:val="16"/>
                <w:lang w:val="en-US"/>
              </w:rPr>
            </w:pPr>
          </w:p>
        </w:tc>
        <w:tc>
          <w:tcPr>
            <w:tcW w:w="567" w:type="dxa"/>
            <w:vAlign w:val="center"/>
          </w:tcPr>
          <w:p w14:paraId="77B1426D" w14:textId="55A60C9E" w:rsidR="00FB476A" w:rsidRPr="009F337B" w:rsidRDefault="0009273C" w:rsidP="003D3071">
            <w:pPr>
              <w:jc w:val="center"/>
              <w:rPr>
                <w:sz w:val="16"/>
                <w:szCs w:val="16"/>
                <w:lang w:val="en-US"/>
              </w:rPr>
            </w:pPr>
            <w:r w:rsidRPr="009F337B">
              <w:rPr>
                <w:sz w:val="16"/>
                <w:szCs w:val="16"/>
                <w:lang w:val="en-US"/>
              </w:rPr>
              <w:t>4</w:t>
            </w:r>
            <w:r w:rsidR="005C4A7F" w:rsidRPr="009F337B">
              <w:rPr>
                <w:sz w:val="16"/>
                <w:szCs w:val="16"/>
                <w:lang w:val="en-US"/>
              </w:rPr>
              <w:t>6</w:t>
            </w:r>
          </w:p>
        </w:tc>
        <w:tc>
          <w:tcPr>
            <w:tcW w:w="4785" w:type="dxa"/>
            <w:vAlign w:val="center"/>
          </w:tcPr>
          <w:p w14:paraId="664E54D1" w14:textId="1771ACAD" w:rsidR="00FB476A" w:rsidRPr="009F337B" w:rsidRDefault="00FB476A" w:rsidP="00F23970">
            <w:pPr>
              <w:jc w:val="left"/>
              <w:rPr>
                <w:sz w:val="16"/>
                <w:szCs w:val="16"/>
                <w:lang w:val="en-US"/>
              </w:rPr>
            </w:pPr>
            <w:r w:rsidRPr="009F337B">
              <w:rPr>
                <w:sz w:val="16"/>
                <w:szCs w:val="16"/>
                <w:lang w:val="en-US"/>
              </w:rPr>
              <w:t>Aracely Méndez Castillo (</w:t>
            </w:r>
            <w:r w:rsidR="0010522A" w:rsidRPr="009F337B">
              <w:rPr>
                <w:sz w:val="16"/>
                <w:szCs w:val="16"/>
                <w:lang w:val="en-US"/>
              </w:rPr>
              <w:t>Niece</w:t>
            </w:r>
            <w:r w:rsidRPr="009F337B">
              <w:rPr>
                <w:sz w:val="16"/>
                <w:szCs w:val="16"/>
                <w:lang w:val="en-US"/>
              </w:rPr>
              <w:t>)</w:t>
            </w:r>
          </w:p>
        </w:tc>
      </w:tr>
      <w:tr w:rsidR="00FB476A" w:rsidRPr="009F337B" w14:paraId="523EADB0" w14:textId="77777777" w:rsidTr="003D3071">
        <w:tc>
          <w:tcPr>
            <w:tcW w:w="560" w:type="dxa"/>
            <w:vAlign w:val="center"/>
          </w:tcPr>
          <w:p w14:paraId="619C4481" w14:textId="77777777" w:rsidR="00FB476A" w:rsidRPr="009F337B" w:rsidRDefault="00FB476A" w:rsidP="003D3071">
            <w:pPr>
              <w:jc w:val="center"/>
              <w:rPr>
                <w:sz w:val="16"/>
                <w:szCs w:val="16"/>
                <w:lang w:val="en-US"/>
              </w:rPr>
            </w:pPr>
            <w:r w:rsidRPr="009F337B">
              <w:rPr>
                <w:sz w:val="16"/>
                <w:szCs w:val="16"/>
                <w:lang w:val="en-US"/>
              </w:rPr>
              <w:t>37</w:t>
            </w:r>
          </w:p>
        </w:tc>
        <w:tc>
          <w:tcPr>
            <w:tcW w:w="3092" w:type="dxa"/>
            <w:vAlign w:val="center"/>
          </w:tcPr>
          <w:p w14:paraId="42FCF031" w14:textId="4632A41F" w:rsidR="00FB476A" w:rsidRPr="009F337B" w:rsidRDefault="00FB476A" w:rsidP="00F23970">
            <w:pPr>
              <w:jc w:val="left"/>
              <w:rPr>
                <w:sz w:val="16"/>
                <w:szCs w:val="16"/>
                <w:lang w:val="en-US"/>
              </w:rPr>
            </w:pPr>
            <w:r w:rsidRPr="009F337B">
              <w:rPr>
                <w:sz w:val="16"/>
                <w:szCs w:val="16"/>
                <w:lang w:val="en-US"/>
              </w:rPr>
              <w:t>Israel Perez Charal</w:t>
            </w:r>
          </w:p>
        </w:tc>
        <w:tc>
          <w:tcPr>
            <w:tcW w:w="567" w:type="dxa"/>
            <w:vAlign w:val="center"/>
          </w:tcPr>
          <w:p w14:paraId="7C974DC8" w14:textId="77777777" w:rsidR="00FB476A" w:rsidRPr="009F337B" w:rsidRDefault="00FB476A" w:rsidP="005C4A7F">
            <w:pPr>
              <w:rPr>
                <w:sz w:val="16"/>
                <w:szCs w:val="16"/>
                <w:lang w:val="en-US"/>
              </w:rPr>
            </w:pPr>
          </w:p>
        </w:tc>
        <w:tc>
          <w:tcPr>
            <w:tcW w:w="4785" w:type="dxa"/>
            <w:vAlign w:val="center"/>
          </w:tcPr>
          <w:p w14:paraId="538FE485" w14:textId="77777777" w:rsidR="00FB476A" w:rsidRPr="009F337B" w:rsidRDefault="00FB476A" w:rsidP="00F23970">
            <w:pPr>
              <w:jc w:val="left"/>
              <w:rPr>
                <w:sz w:val="16"/>
                <w:szCs w:val="16"/>
                <w:lang w:val="en-US"/>
              </w:rPr>
            </w:pPr>
          </w:p>
        </w:tc>
      </w:tr>
      <w:tr w:rsidR="00FB476A" w:rsidRPr="009F337B" w14:paraId="74A90E37" w14:textId="77777777" w:rsidTr="003D3071">
        <w:tc>
          <w:tcPr>
            <w:tcW w:w="560" w:type="dxa"/>
            <w:vAlign w:val="center"/>
          </w:tcPr>
          <w:p w14:paraId="499A1DF1" w14:textId="77777777" w:rsidR="00FB476A" w:rsidRPr="009F337B" w:rsidRDefault="00FB476A" w:rsidP="003D3071">
            <w:pPr>
              <w:jc w:val="center"/>
              <w:rPr>
                <w:sz w:val="16"/>
                <w:szCs w:val="16"/>
                <w:lang w:val="en-US"/>
              </w:rPr>
            </w:pPr>
            <w:r w:rsidRPr="009F337B">
              <w:rPr>
                <w:sz w:val="16"/>
                <w:szCs w:val="16"/>
                <w:lang w:val="en-US"/>
              </w:rPr>
              <w:t>38</w:t>
            </w:r>
          </w:p>
        </w:tc>
        <w:tc>
          <w:tcPr>
            <w:tcW w:w="3092" w:type="dxa"/>
            <w:vAlign w:val="center"/>
          </w:tcPr>
          <w:p w14:paraId="387B7AB2" w14:textId="77777777" w:rsidR="00FB476A" w:rsidRPr="009F337B" w:rsidRDefault="00FB476A" w:rsidP="00F23970">
            <w:pPr>
              <w:jc w:val="left"/>
              <w:rPr>
                <w:sz w:val="16"/>
                <w:szCs w:val="16"/>
                <w:lang w:val="en-US"/>
              </w:rPr>
            </w:pPr>
            <w:r w:rsidRPr="009F337B">
              <w:rPr>
                <w:sz w:val="16"/>
                <w:szCs w:val="16"/>
                <w:lang w:val="en-US"/>
              </w:rPr>
              <w:t>Corina Dianeth Robledo Alvarado</w:t>
            </w:r>
          </w:p>
        </w:tc>
        <w:tc>
          <w:tcPr>
            <w:tcW w:w="567" w:type="dxa"/>
            <w:vAlign w:val="center"/>
          </w:tcPr>
          <w:p w14:paraId="741ED7D3" w14:textId="31802037" w:rsidR="00FB476A" w:rsidRPr="009F337B" w:rsidRDefault="0009273C" w:rsidP="003D3071">
            <w:pPr>
              <w:jc w:val="center"/>
              <w:rPr>
                <w:sz w:val="16"/>
                <w:szCs w:val="16"/>
                <w:lang w:val="en-US"/>
              </w:rPr>
            </w:pPr>
            <w:r w:rsidRPr="009F337B">
              <w:rPr>
                <w:sz w:val="16"/>
                <w:szCs w:val="16"/>
                <w:lang w:val="en-US"/>
              </w:rPr>
              <w:t>4</w:t>
            </w:r>
            <w:r w:rsidR="005C4A7F" w:rsidRPr="009F337B">
              <w:rPr>
                <w:sz w:val="16"/>
                <w:szCs w:val="16"/>
                <w:lang w:val="en-US"/>
              </w:rPr>
              <w:t>7</w:t>
            </w:r>
          </w:p>
        </w:tc>
        <w:tc>
          <w:tcPr>
            <w:tcW w:w="4785" w:type="dxa"/>
            <w:vAlign w:val="center"/>
          </w:tcPr>
          <w:p w14:paraId="5E4ABFB3" w14:textId="04BF97CA" w:rsidR="00FB476A" w:rsidRPr="009F337B" w:rsidRDefault="00FB476A" w:rsidP="00F23970">
            <w:pPr>
              <w:tabs>
                <w:tab w:val="left" w:pos="1277"/>
              </w:tabs>
              <w:jc w:val="left"/>
              <w:rPr>
                <w:sz w:val="16"/>
                <w:szCs w:val="16"/>
                <w:lang w:val="en-US"/>
              </w:rPr>
            </w:pPr>
            <w:r w:rsidRPr="009F337B">
              <w:rPr>
                <w:sz w:val="16"/>
                <w:szCs w:val="16"/>
                <w:lang w:val="en-US"/>
              </w:rPr>
              <w:t>L.A.L.</w:t>
            </w:r>
          </w:p>
        </w:tc>
      </w:tr>
      <w:tr w:rsidR="00FB476A" w:rsidRPr="009F337B" w14:paraId="61039AD9" w14:textId="77777777" w:rsidTr="003D3071">
        <w:tc>
          <w:tcPr>
            <w:tcW w:w="560" w:type="dxa"/>
            <w:vMerge w:val="restart"/>
            <w:vAlign w:val="center"/>
          </w:tcPr>
          <w:p w14:paraId="7FC77186" w14:textId="77777777" w:rsidR="00FB476A" w:rsidRPr="009F337B" w:rsidRDefault="00FB476A" w:rsidP="003D3071">
            <w:pPr>
              <w:jc w:val="center"/>
              <w:rPr>
                <w:sz w:val="16"/>
                <w:szCs w:val="16"/>
                <w:lang w:val="en-US"/>
              </w:rPr>
            </w:pPr>
            <w:r w:rsidRPr="009F337B">
              <w:rPr>
                <w:sz w:val="16"/>
                <w:szCs w:val="16"/>
                <w:lang w:val="en-US"/>
              </w:rPr>
              <w:t>39</w:t>
            </w:r>
          </w:p>
        </w:tc>
        <w:tc>
          <w:tcPr>
            <w:tcW w:w="3092" w:type="dxa"/>
            <w:vMerge w:val="restart"/>
            <w:vAlign w:val="center"/>
          </w:tcPr>
          <w:p w14:paraId="215B2063" w14:textId="77777777" w:rsidR="00FB476A" w:rsidRPr="009F337B" w:rsidRDefault="00FB476A" w:rsidP="00F23970">
            <w:pPr>
              <w:jc w:val="left"/>
              <w:rPr>
                <w:sz w:val="16"/>
                <w:szCs w:val="16"/>
                <w:lang w:val="en-US"/>
              </w:rPr>
            </w:pPr>
            <w:r w:rsidRPr="009F337B">
              <w:rPr>
                <w:sz w:val="16"/>
                <w:szCs w:val="16"/>
                <w:lang w:val="en-US"/>
              </w:rPr>
              <w:t>Audencio Rodas Rodríguez</w:t>
            </w:r>
          </w:p>
        </w:tc>
        <w:tc>
          <w:tcPr>
            <w:tcW w:w="567" w:type="dxa"/>
            <w:vAlign w:val="center"/>
          </w:tcPr>
          <w:p w14:paraId="3FF62F6F" w14:textId="680E69BE" w:rsidR="00FB476A" w:rsidRPr="009F337B" w:rsidRDefault="0009273C" w:rsidP="003D3071">
            <w:pPr>
              <w:jc w:val="center"/>
              <w:rPr>
                <w:sz w:val="16"/>
                <w:szCs w:val="16"/>
                <w:lang w:val="en-US"/>
              </w:rPr>
            </w:pPr>
            <w:r w:rsidRPr="009F337B">
              <w:rPr>
                <w:sz w:val="16"/>
                <w:szCs w:val="16"/>
                <w:lang w:val="en-US"/>
              </w:rPr>
              <w:t>4</w:t>
            </w:r>
            <w:r w:rsidR="005C4A7F" w:rsidRPr="009F337B">
              <w:rPr>
                <w:sz w:val="16"/>
                <w:szCs w:val="16"/>
                <w:lang w:val="en-US"/>
              </w:rPr>
              <w:t>8</w:t>
            </w:r>
          </w:p>
        </w:tc>
        <w:tc>
          <w:tcPr>
            <w:tcW w:w="4785" w:type="dxa"/>
            <w:shd w:val="clear" w:color="auto" w:fill="auto"/>
            <w:vAlign w:val="center"/>
          </w:tcPr>
          <w:p w14:paraId="62869B60" w14:textId="66E05F7A" w:rsidR="00FB476A" w:rsidRPr="009F337B" w:rsidRDefault="00FB476A" w:rsidP="00F23970">
            <w:pPr>
              <w:tabs>
                <w:tab w:val="left" w:pos="1277"/>
              </w:tabs>
              <w:jc w:val="left"/>
              <w:rPr>
                <w:sz w:val="16"/>
                <w:szCs w:val="16"/>
                <w:lang w:val="en-US"/>
              </w:rPr>
            </w:pPr>
            <w:r w:rsidRPr="009F337B">
              <w:rPr>
                <w:sz w:val="16"/>
                <w:szCs w:val="16"/>
                <w:lang w:val="en-US"/>
              </w:rPr>
              <w:t>Carmen Mérida Coronado (</w:t>
            </w:r>
            <w:r w:rsidR="0010522A" w:rsidRPr="009F337B">
              <w:rPr>
                <w:sz w:val="16"/>
                <w:szCs w:val="16"/>
                <w:lang w:val="en-US"/>
              </w:rPr>
              <w:t>Wife</w:t>
            </w:r>
            <w:r w:rsidRPr="009F337B">
              <w:rPr>
                <w:sz w:val="16"/>
                <w:szCs w:val="16"/>
                <w:lang w:val="en-US"/>
              </w:rPr>
              <w:t>)</w:t>
            </w:r>
          </w:p>
        </w:tc>
      </w:tr>
      <w:tr w:rsidR="00FB476A" w:rsidRPr="009F337B" w14:paraId="56517C86" w14:textId="77777777" w:rsidTr="003D3071">
        <w:tc>
          <w:tcPr>
            <w:tcW w:w="560" w:type="dxa"/>
            <w:vMerge/>
            <w:vAlign w:val="center"/>
          </w:tcPr>
          <w:p w14:paraId="62586307" w14:textId="77777777" w:rsidR="00FB476A" w:rsidRPr="009F337B" w:rsidRDefault="00FB476A" w:rsidP="003D3071">
            <w:pPr>
              <w:jc w:val="center"/>
              <w:rPr>
                <w:sz w:val="16"/>
                <w:szCs w:val="16"/>
                <w:lang w:val="en-US"/>
              </w:rPr>
            </w:pPr>
          </w:p>
        </w:tc>
        <w:tc>
          <w:tcPr>
            <w:tcW w:w="3092" w:type="dxa"/>
            <w:vMerge/>
            <w:vAlign w:val="center"/>
          </w:tcPr>
          <w:p w14:paraId="73DBE878" w14:textId="77777777" w:rsidR="00FB476A" w:rsidRPr="009F337B" w:rsidRDefault="00FB476A" w:rsidP="00F23970">
            <w:pPr>
              <w:jc w:val="left"/>
              <w:rPr>
                <w:sz w:val="16"/>
                <w:szCs w:val="16"/>
                <w:lang w:val="en-US"/>
              </w:rPr>
            </w:pPr>
          </w:p>
        </w:tc>
        <w:tc>
          <w:tcPr>
            <w:tcW w:w="567" w:type="dxa"/>
            <w:vAlign w:val="center"/>
          </w:tcPr>
          <w:p w14:paraId="56723722" w14:textId="4EBB4B33" w:rsidR="00FB476A" w:rsidRPr="009F337B" w:rsidRDefault="0009273C" w:rsidP="003D3071">
            <w:pPr>
              <w:jc w:val="center"/>
              <w:rPr>
                <w:sz w:val="16"/>
                <w:szCs w:val="16"/>
                <w:lang w:val="en-US"/>
              </w:rPr>
            </w:pPr>
            <w:r w:rsidRPr="009F337B">
              <w:rPr>
                <w:sz w:val="16"/>
                <w:szCs w:val="16"/>
                <w:lang w:val="en-US"/>
              </w:rPr>
              <w:t>4</w:t>
            </w:r>
            <w:r w:rsidR="005C4A7F" w:rsidRPr="009F337B">
              <w:rPr>
                <w:sz w:val="16"/>
                <w:szCs w:val="16"/>
                <w:lang w:val="en-US"/>
              </w:rPr>
              <w:t>9</w:t>
            </w:r>
          </w:p>
        </w:tc>
        <w:tc>
          <w:tcPr>
            <w:tcW w:w="4785" w:type="dxa"/>
            <w:shd w:val="clear" w:color="auto" w:fill="auto"/>
            <w:vAlign w:val="center"/>
          </w:tcPr>
          <w:p w14:paraId="76B9F0A2" w14:textId="2DA5BAB2" w:rsidR="00FB476A" w:rsidRPr="00542AB5" w:rsidRDefault="00FB476A" w:rsidP="00F23970">
            <w:pPr>
              <w:tabs>
                <w:tab w:val="left" w:pos="1277"/>
              </w:tabs>
              <w:jc w:val="left"/>
              <w:rPr>
                <w:sz w:val="16"/>
                <w:szCs w:val="16"/>
                <w:lang w:val="es-CR"/>
              </w:rPr>
            </w:pPr>
            <w:r w:rsidRPr="00542AB5">
              <w:rPr>
                <w:sz w:val="16"/>
                <w:szCs w:val="16"/>
                <w:lang w:val="es-CR"/>
              </w:rPr>
              <w:t>Aníbal Leonel Rodas Mérida (</w:t>
            </w:r>
            <w:r w:rsidR="0010522A" w:rsidRPr="00542AB5">
              <w:rPr>
                <w:sz w:val="16"/>
                <w:szCs w:val="16"/>
                <w:lang w:val="es-CR"/>
              </w:rPr>
              <w:t>Son</w:t>
            </w:r>
            <w:r w:rsidRPr="00542AB5">
              <w:rPr>
                <w:sz w:val="16"/>
                <w:szCs w:val="16"/>
                <w:lang w:val="es-CR"/>
              </w:rPr>
              <w:t>)</w:t>
            </w:r>
          </w:p>
        </w:tc>
      </w:tr>
      <w:tr w:rsidR="00FB476A" w:rsidRPr="009F337B" w14:paraId="38E28923" w14:textId="77777777" w:rsidTr="003D3071">
        <w:tc>
          <w:tcPr>
            <w:tcW w:w="560" w:type="dxa"/>
            <w:vMerge/>
            <w:vAlign w:val="center"/>
          </w:tcPr>
          <w:p w14:paraId="0F22FC52" w14:textId="77777777" w:rsidR="00FB476A" w:rsidRPr="00542AB5" w:rsidRDefault="00FB476A" w:rsidP="003D3071">
            <w:pPr>
              <w:jc w:val="center"/>
              <w:rPr>
                <w:sz w:val="16"/>
                <w:szCs w:val="16"/>
                <w:lang w:val="es-CR"/>
              </w:rPr>
            </w:pPr>
          </w:p>
        </w:tc>
        <w:tc>
          <w:tcPr>
            <w:tcW w:w="3092" w:type="dxa"/>
            <w:vMerge/>
            <w:vAlign w:val="center"/>
          </w:tcPr>
          <w:p w14:paraId="4C368EE2" w14:textId="77777777" w:rsidR="00FB476A" w:rsidRPr="00542AB5" w:rsidRDefault="00FB476A" w:rsidP="00F23970">
            <w:pPr>
              <w:jc w:val="left"/>
              <w:rPr>
                <w:sz w:val="16"/>
                <w:szCs w:val="16"/>
                <w:lang w:val="es-CR"/>
              </w:rPr>
            </w:pPr>
          </w:p>
        </w:tc>
        <w:tc>
          <w:tcPr>
            <w:tcW w:w="567" w:type="dxa"/>
            <w:vAlign w:val="center"/>
          </w:tcPr>
          <w:p w14:paraId="64145DAC" w14:textId="7BB9D60A" w:rsidR="00FB476A" w:rsidRPr="009F337B" w:rsidRDefault="005C4A7F" w:rsidP="003D3071">
            <w:pPr>
              <w:jc w:val="center"/>
              <w:rPr>
                <w:sz w:val="16"/>
                <w:szCs w:val="16"/>
                <w:lang w:val="en-US"/>
              </w:rPr>
            </w:pPr>
            <w:r w:rsidRPr="009F337B">
              <w:rPr>
                <w:sz w:val="16"/>
                <w:szCs w:val="16"/>
                <w:lang w:val="en-US"/>
              </w:rPr>
              <w:t>50</w:t>
            </w:r>
          </w:p>
        </w:tc>
        <w:tc>
          <w:tcPr>
            <w:tcW w:w="4785" w:type="dxa"/>
            <w:shd w:val="clear" w:color="auto" w:fill="auto"/>
            <w:vAlign w:val="center"/>
          </w:tcPr>
          <w:p w14:paraId="7C5A8D10" w14:textId="1ED5CA2C" w:rsidR="00FB476A" w:rsidRPr="00542AB5" w:rsidRDefault="00FB476A" w:rsidP="00F23970">
            <w:pPr>
              <w:tabs>
                <w:tab w:val="left" w:pos="1277"/>
              </w:tabs>
              <w:jc w:val="left"/>
              <w:rPr>
                <w:b/>
                <w:sz w:val="16"/>
                <w:szCs w:val="16"/>
                <w:lang w:val="es-CR"/>
              </w:rPr>
            </w:pPr>
            <w:r w:rsidRPr="00542AB5">
              <w:rPr>
                <w:sz w:val="16"/>
                <w:szCs w:val="16"/>
                <w:lang w:val="es-CR"/>
              </w:rPr>
              <w:t>Clara Verónica Rodas Mérida (</w:t>
            </w:r>
            <w:r w:rsidR="0010522A" w:rsidRPr="00542AB5">
              <w:rPr>
                <w:sz w:val="16"/>
                <w:szCs w:val="16"/>
                <w:lang w:val="es-CR"/>
              </w:rPr>
              <w:t>Daughter</w:t>
            </w:r>
            <w:r w:rsidRPr="00542AB5">
              <w:rPr>
                <w:sz w:val="16"/>
                <w:szCs w:val="16"/>
                <w:lang w:val="es-CR"/>
              </w:rPr>
              <w:t>)</w:t>
            </w:r>
          </w:p>
        </w:tc>
      </w:tr>
      <w:tr w:rsidR="00FB476A" w:rsidRPr="009F337B" w14:paraId="7EA4A264" w14:textId="77777777" w:rsidTr="003D3071">
        <w:tc>
          <w:tcPr>
            <w:tcW w:w="560" w:type="dxa"/>
            <w:vMerge/>
            <w:vAlign w:val="center"/>
          </w:tcPr>
          <w:p w14:paraId="65B3D3F6" w14:textId="77777777" w:rsidR="00FB476A" w:rsidRPr="00542AB5" w:rsidRDefault="00FB476A" w:rsidP="003D3071">
            <w:pPr>
              <w:jc w:val="center"/>
              <w:rPr>
                <w:sz w:val="16"/>
                <w:szCs w:val="16"/>
                <w:lang w:val="es-CR"/>
              </w:rPr>
            </w:pPr>
          </w:p>
        </w:tc>
        <w:tc>
          <w:tcPr>
            <w:tcW w:w="3092" w:type="dxa"/>
            <w:vMerge/>
            <w:vAlign w:val="center"/>
          </w:tcPr>
          <w:p w14:paraId="3ED772D0" w14:textId="77777777" w:rsidR="00FB476A" w:rsidRPr="00542AB5" w:rsidRDefault="00FB476A" w:rsidP="00F23970">
            <w:pPr>
              <w:jc w:val="left"/>
              <w:rPr>
                <w:sz w:val="16"/>
                <w:szCs w:val="16"/>
                <w:lang w:val="es-CR"/>
              </w:rPr>
            </w:pPr>
          </w:p>
        </w:tc>
        <w:tc>
          <w:tcPr>
            <w:tcW w:w="567" w:type="dxa"/>
            <w:vAlign w:val="center"/>
          </w:tcPr>
          <w:p w14:paraId="6A5C655C" w14:textId="00E553E0" w:rsidR="00FB476A" w:rsidRPr="009F337B" w:rsidRDefault="005C4A7F" w:rsidP="003D3071">
            <w:pPr>
              <w:jc w:val="center"/>
              <w:rPr>
                <w:sz w:val="16"/>
                <w:szCs w:val="16"/>
                <w:lang w:val="en-US"/>
              </w:rPr>
            </w:pPr>
            <w:r w:rsidRPr="009F337B">
              <w:rPr>
                <w:sz w:val="16"/>
                <w:szCs w:val="16"/>
                <w:lang w:val="en-US"/>
              </w:rPr>
              <w:t>51</w:t>
            </w:r>
          </w:p>
        </w:tc>
        <w:tc>
          <w:tcPr>
            <w:tcW w:w="4785" w:type="dxa"/>
            <w:shd w:val="clear" w:color="auto" w:fill="auto"/>
            <w:vAlign w:val="center"/>
          </w:tcPr>
          <w:p w14:paraId="75A9656B" w14:textId="154DDF58" w:rsidR="00FB476A" w:rsidRPr="00542AB5" w:rsidRDefault="00FB476A" w:rsidP="00F23970">
            <w:pPr>
              <w:tabs>
                <w:tab w:val="left" w:pos="1277"/>
              </w:tabs>
              <w:jc w:val="left"/>
              <w:rPr>
                <w:sz w:val="16"/>
                <w:szCs w:val="16"/>
                <w:lang w:val="es-CR"/>
              </w:rPr>
            </w:pPr>
            <w:r w:rsidRPr="00542AB5">
              <w:rPr>
                <w:sz w:val="16"/>
                <w:szCs w:val="16"/>
                <w:lang w:val="es-CR"/>
              </w:rPr>
              <w:t>Sonia Maribel Rodas Mérida (</w:t>
            </w:r>
            <w:r w:rsidR="0010522A" w:rsidRPr="00542AB5">
              <w:rPr>
                <w:sz w:val="16"/>
                <w:szCs w:val="16"/>
                <w:lang w:val="es-CR"/>
              </w:rPr>
              <w:t>Daughter</w:t>
            </w:r>
            <w:r w:rsidRPr="00542AB5">
              <w:rPr>
                <w:sz w:val="16"/>
                <w:szCs w:val="16"/>
                <w:lang w:val="es-CR"/>
              </w:rPr>
              <w:t>)</w:t>
            </w:r>
          </w:p>
        </w:tc>
      </w:tr>
      <w:tr w:rsidR="00FB476A" w:rsidRPr="009F337B" w14:paraId="0C1EBDBC" w14:textId="77777777" w:rsidTr="003D3071">
        <w:tc>
          <w:tcPr>
            <w:tcW w:w="560" w:type="dxa"/>
            <w:vMerge/>
            <w:vAlign w:val="center"/>
          </w:tcPr>
          <w:p w14:paraId="0CF6E585" w14:textId="77777777" w:rsidR="00FB476A" w:rsidRPr="00542AB5" w:rsidRDefault="00FB476A" w:rsidP="003D3071">
            <w:pPr>
              <w:jc w:val="center"/>
              <w:rPr>
                <w:sz w:val="16"/>
                <w:szCs w:val="16"/>
                <w:lang w:val="es-CR"/>
              </w:rPr>
            </w:pPr>
          </w:p>
        </w:tc>
        <w:tc>
          <w:tcPr>
            <w:tcW w:w="3092" w:type="dxa"/>
            <w:vMerge/>
            <w:vAlign w:val="center"/>
          </w:tcPr>
          <w:p w14:paraId="76CFD749" w14:textId="77777777" w:rsidR="00FB476A" w:rsidRPr="00542AB5" w:rsidRDefault="00FB476A" w:rsidP="00F23970">
            <w:pPr>
              <w:jc w:val="left"/>
              <w:rPr>
                <w:sz w:val="16"/>
                <w:szCs w:val="16"/>
                <w:lang w:val="es-CR"/>
              </w:rPr>
            </w:pPr>
          </w:p>
        </w:tc>
        <w:tc>
          <w:tcPr>
            <w:tcW w:w="567" w:type="dxa"/>
            <w:vAlign w:val="center"/>
          </w:tcPr>
          <w:p w14:paraId="1E82FFA9" w14:textId="476C6740" w:rsidR="00FB476A" w:rsidRPr="009F337B" w:rsidRDefault="0009273C" w:rsidP="003D3071">
            <w:pPr>
              <w:jc w:val="center"/>
              <w:rPr>
                <w:sz w:val="16"/>
                <w:szCs w:val="16"/>
                <w:lang w:val="en-US"/>
              </w:rPr>
            </w:pPr>
            <w:r w:rsidRPr="009F337B">
              <w:rPr>
                <w:sz w:val="16"/>
                <w:szCs w:val="16"/>
                <w:lang w:val="en-US"/>
              </w:rPr>
              <w:t>5</w:t>
            </w:r>
            <w:r w:rsidR="005C4A7F" w:rsidRPr="009F337B">
              <w:rPr>
                <w:sz w:val="16"/>
                <w:szCs w:val="16"/>
                <w:lang w:val="en-US"/>
              </w:rPr>
              <w:t>2</w:t>
            </w:r>
          </w:p>
        </w:tc>
        <w:tc>
          <w:tcPr>
            <w:tcW w:w="4785" w:type="dxa"/>
            <w:shd w:val="clear" w:color="auto" w:fill="auto"/>
            <w:vAlign w:val="center"/>
          </w:tcPr>
          <w:p w14:paraId="2296BEB4" w14:textId="497590B7" w:rsidR="00FB476A" w:rsidRPr="00542AB5" w:rsidRDefault="00FB476A" w:rsidP="00F23970">
            <w:pPr>
              <w:tabs>
                <w:tab w:val="left" w:pos="1277"/>
              </w:tabs>
              <w:jc w:val="left"/>
              <w:rPr>
                <w:sz w:val="16"/>
                <w:szCs w:val="16"/>
                <w:lang w:val="es-CR"/>
              </w:rPr>
            </w:pPr>
            <w:r w:rsidRPr="00542AB5">
              <w:rPr>
                <w:sz w:val="16"/>
                <w:szCs w:val="16"/>
                <w:lang w:val="es-CR"/>
              </w:rPr>
              <w:t>Braulio Adán Rodas Mérida (</w:t>
            </w:r>
            <w:r w:rsidR="0010522A" w:rsidRPr="00542AB5">
              <w:rPr>
                <w:sz w:val="16"/>
                <w:szCs w:val="16"/>
                <w:lang w:val="es-CR"/>
              </w:rPr>
              <w:t>Son</w:t>
            </w:r>
            <w:r w:rsidRPr="00542AB5">
              <w:rPr>
                <w:sz w:val="16"/>
                <w:szCs w:val="16"/>
                <w:lang w:val="es-CR"/>
              </w:rPr>
              <w:t>)</w:t>
            </w:r>
          </w:p>
        </w:tc>
      </w:tr>
      <w:tr w:rsidR="00FB476A" w:rsidRPr="009F337B" w14:paraId="13F279F7" w14:textId="77777777" w:rsidTr="003D3071">
        <w:tc>
          <w:tcPr>
            <w:tcW w:w="560" w:type="dxa"/>
            <w:vMerge/>
            <w:vAlign w:val="center"/>
          </w:tcPr>
          <w:p w14:paraId="12618D92" w14:textId="77777777" w:rsidR="00FB476A" w:rsidRPr="00542AB5" w:rsidRDefault="00FB476A" w:rsidP="003D3071">
            <w:pPr>
              <w:jc w:val="center"/>
              <w:rPr>
                <w:sz w:val="16"/>
                <w:szCs w:val="16"/>
                <w:lang w:val="es-CR"/>
              </w:rPr>
            </w:pPr>
          </w:p>
        </w:tc>
        <w:tc>
          <w:tcPr>
            <w:tcW w:w="3092" w:type="dxa"/>
            <w:vMerge/>
            <w:vAlign w:val="center"/>
          </w:tcPr>
          <w:p w14:paraId="4380DD53" w14:textId="77777777" w:rsidR="00FB476A" w:rsidRPr="00542AB5" w:rsidRDefault="00FB476A" w:rsidP="00F23970">
            <w:pPr>
              <w:jc w:val="left"/>
              <w:rPr>
                <w:sz w:val="16"/>
                <w:szCs w:val="16"/>
                <w:lang w:val="es-CR"/>
              </w:rPr>
            </w:pPr>
          </w:p>
        </w:tc>
        <w:tc>
          <w:tcPr>
            <w:tcW w:w="567" w:type="dxa"/>
            <w:vAlign w:val="center"/>
          </w:tcPr>
          <w:p w14:paraId="41B79756" w14:textId="3AA9C119" w:rsidR="00FB476A" w:rsidRPr="009F337B" w:rsidRDefault="0009273C" w:rsidP="003D3071">
            <w:pPr>
              <w:jc w:val="center"/>
              <w:rPr>
                <w:sz w:val="16"/>
                <w:szCs w:val="16"/>
                <w:lang w:val="en-US"/>
              </w:rPr>
            </w:pPr>
            <w:r w:rsidRPr="009F337B">
              <w:rPr>
                <w:sz w:val="16"/>
                <w:szCs w:val="16"/>
                <w:lang w:val="en-US"/>
              </w:rPr>
              <w:t>5</w:t>
            </w:r>
            <w:r w:rsidR="005C4A7F" w:rsidRPr="009F337B">
              <w:rPr>
                <w:sz w:val="16"/>
                <w:szCs w:val="16"/>
                <w:lang w:val="en-US"/>
              </w:rPr>
              <w:t>3</w:t>
            </w:r>
          </w:p>
        </w:tc>
        <w:tc>
          <w:tcPr>
            <w:tcW w:w="4785" w:type="dxa"/>
            <w:shd w:val="clear" w:color="auto" w:fill="auto"/>
            <w:vAlign w:val="center"/>
          </w:tcPr>
          <w:p w14:paraId="3B35A472" w14:textId="59D3EF72" w:rsidR="00FB476A" w:rsidRPr="00542AB5" w:rsidRDefault="00FB476A" w:rsidP="00F23970">
            <w:pPr>
              <w:tabs>
                <w:tab w:val="left" w:pos="1277"/>
              </w:tabs>
              <w:jc w:val="left"/>
              <w:rPr>
                <w:sz w:val="16"/>
                <w:szCs w:val="16"/>
                <w:lang w:val="es-CR"/>
              </w:rPr>
            </w:pPr>
            <w:r w:rsidRPr="00542AB5">
              <w:rPr>
                <w:sz w:val="16"/>
                <w:szCs w:val="16"/>
                <w:lang w:val="es-CR"/>
              </w:rPr>
              <w:t>Andy Alberto Rodas Mérida (</w:t>
            </w:r>
            <w:r w:rsidR="0010522A" w:rsidRPr="00542AB5">
              <w:rPr>
                <w:sz w:val="16"/>
                <w:szCs w:val="16"/>
                <w:lang w:val="es-CR"/>
              </w:rPr>
              <w:t>Son</w:t>
            </w:r>
            <w:r w:rsidRPr="00542AB5">
              <w:rPr>
                <w:sz w:val="16"/>
                <w:szCs w:val="16"/>
                <w:lang w:val="es-CR"/>
              </w:rPr>
              <w:t>)</w:t>
            </w:r>
          </w:p>
        </w:tc>
      </w:tr>
      <w:tr w:rsidR="00FB476A" w:rsidRPr="009F337B" w14:paraId="12E8CBC9" w14:textId="77777777" w:rsidTr="003D3071">
        <w:tc>
          <w:tcPr>
            <w:tcW w:w="560" w:type="dxa"/>
            <w:vMerge/>
            <w:vAlign w:val="center"/>
          </w:tcPr>
          <w:p w14:paraId="583DB652" w14:textId="77777777" w:rsidR="00FB476A" w:rsidRPr="00542AB5" w:rsidRDefault="00FB476A" w:rsidP="003D3071">
            <w:pPr>
              <w:jc w:val="center"/>
              <w:rPr>
                <w:sz w:val="16"/>
                <w:szCs w:val="16"/>
                <w:lang w:val="es-CR"/>
              </w:rPr>
            </w:pPr>
          </w:p>
        </w:tc>
        <w:tc>
          <w:tcPr>
            <w:tcW w:w="3092" w:type="dxa"/>
            <w:vMerge/>
            <w:vAlign w:val="center"/>
          </w:tcPr>
          <w:p w14:paraId="52884D77" w14:textId="77777777" w:rsidR="00FB476A" w:rsidRPr="00542AB5" w:rsidRDefault="00FB476A" w:rsidP="00F23970">
            <w:pPr>
              <w:jc w:val="left"/>
              <w:rPr>
                <w:sz w:val="16"/>
                <w:szCs w:val="16"/>
                <w:lang w:val="es-CR"/>
              </w:rPr>
            </w:pPr>
          </w:p>
        </w:tc>
        <w:tc>
          <w:tcPr>
            <w:tcW w:w="567" w:type="dxa"/>
            <w:vAlign w:val="center"/>
          </w:tcPr>
          <w:p w14:paraId="5210BABA" w14:textId="49842549" w:rsidR="00FB476A" w:rsidRPr="009F337B" w:rsidRDefault="0009273C" w:rsidP="003D3071">
            <w:pPr>
              <w:jc w:val="center"/>
              <w:rPr>
                <w:sz w:val="16"/>
                <w:szCs w:val="16"/>
                <w:lang w:val="en-US"/>
              </w:rPr>
            </w:pPr>
            <w:r w:rsidRPr="009F337B">
              <w:rPr>
                <w:sz w:val="16"/>
                <w:szCs w:val="16"/>
                <w:lang w:val="en-US"/>
              </w:rPr>
              <w:t>5</w:t>
            </w:r>
            <w:r w:rsidR="005C4A7F" w:rsidRPr="009F337B">
              <w:rPr>
                <w:sz w:val="16"/>
                <w:szCs w:val="16"/>
                <w:lang w:val="en-US"/>
              </w:rPr>
              <w:t>4</w:t>
            </w:r>
          </w:p>
        </w:tc>
        <w:tc>
          <w:tcPr>
            <w:tcW w:w="4785" w:type="dxa"/>
            <w:shd w:val="clear" w:color="auto" w:fill="auto"/>
            <w:vAlign w:val="center"/>
          </w:tcPr>
          <w:p w14:paraId="66D84C02" w14:textId="37B9F8BB" w:rsidR="00FB476A" w:rsidRPr="00542AB5" w:rsidRDefault="00FB476A" w:rsidP="00F23970">
            <w:pPr>
              <w:tabs>
                <w:tab w:val="left" w:pos="1277"/>
              </w:tabs>
              <w:jc w:val="left"/>
              <w:rPr>
                <w:sz w:val="16"/>
                <w:szCs w:val="16"/>
                <w:lang w:val="es-CR"/>
              </w:rPr>
            </w:pPr>
            <w:r w:rsidRPr="00542AB5">
              <w:rPr>
                <w:sz w:val="16"/>
                <w:szCs w:val="16"/>
                <w:lang w:val="es-CR"/>
              </w:rPr>
              <w:t>Walter Audencio Rodas Mérida (</w:t>
            </w:r>
            <w:r w:rsidR="0010522A" w:rsidRPr="00542AB5">
              <w:rPr>
                <w:sz w:val="16"/>
                <w:szCs w:val="16"/>
                <w:lang w:val="es-CR"/>
              </w:rPr>
              <w:t>Son</w:t>
            </w:r>
            <w:r w:rsidRPr="00542AB5">
              <w:rPr>
                <w:sz w:val="16"/>
                <w:szCs w:val="16"/>
                <w:lang w:val="es-CR"/>
              </w:rPr>
              <w:t>)</w:t>
            </w:r>
          </w:p>
        </w:tc>
      </w:tr>
      <w:tr w:rsidR="00FB476A" w:rsidRPr="009F337B" w14:paraId="266AC233" w14:textId="77777777" w:rsidTr="003D3071">
        <w:tc>
          <w:tcPr>
            <w:tcW w:w="560" w:type="dxa"/>
            <w:vMerge/>
            <w:vAlign w:val="center"/>
          </w:tcPr>
          <w:p w14:paraId="07DE9672" w14:textId="77777777" w:rsidR="00FB476A" w:rsidRPr="00542AB5" w:rsidRDefault="00FB476A" w:rsidP="003D3071">
            <w:pPr>
              <w:jc w:val="center"/>
              <w:rPr>
                <w:sz w:val="16"/>
                <w:szCs w:val="16"/>
                <w:lang w:val="es-CR"/>
              </w:rPr>
            </w:pPr>
          </w:p>
        </w:tc>
        <w:tc>
          <w:tcPr>
            <w:tcW w:w="3092" w:type="dxa"/>
            <w:vMerge/>
            <w:vAlign w:val="center"/>
          </w:tcPr>
          <w:p w14:paraId="013E3E47" w14:textId="77777777" w:rsidR="00FB476A" w:rsidRPr="00542AB5" w:rsidRDefault="00FB476A" w:rsidP="00F23970">
            <w:pPr>
              <w:jc w:val="left"/>
              <w:rPr>
                <w:sz w:val="16"/>
                <w:szCs w:val="16"/>
                <w:lang w:val="es-CR"/>
              </w:rPr>
            </w:pPr>
          </w:p>
        </w:tc>
        <w:tc>
          <w:tcPr>
            <w:tcW w:w="567" w:type="dxa"/>
            <w:vAlign w:val="center"/>
          </w:tcPr>
          <w:p w14:paraId="4BE7D95F" w14:textId="5C5D1AA5" w:rsidR="00FB476A" w:rsidRPr="009F337B" w:rsidRDefault="0009273C" w:rsidP="003D3071">
            <w:pPr>
              <w:jc w:val="center"/>
              <w:rPr>
                <w:sz w:val="16"/>
                <w:szCs w:val="16"/>
                <w:lang w:val="en-US"/>
              </w:rPr>
            </w:pPr>
            <w:r w:rsidRPr="009F337B">
              <w:rPr>
                <w:sz w:val="16"/>
                <w:szCs w:val="16"/>
                <w:lang w:val="en-US"/>
              </w:rPr>
              <w:t>5</w:t>
            </w:r>
            <w:r w:rsidR="005C4A7F" w:rsidRPr="009F337B">
              <w:rPr>
                <w:sz w:val="16"/>
                <w:szCs w:val="16"/>
                <w:lang w:val="en-US"/>
              </w:rPr>
              <w:t>5</w:t>
            </w:r>
          </w:p>
        </w:tc>
        <w:tc>
          <w:tcPr>
            <w:tcW w:w="4785" w:type="dxa"/>
            <w:shd w:val="clear" w:color="auto" w:fill="auto"/>
            <w:vAlign w:val="center"/>
          </w:tcPr>
          <w:p w14:paraId="188AF878" w14:textId="67B8CA26" w:rsidR="00FB476A" w:rsidRPr="00542AB5" w:rsidRDefault="00FB476A" w:rsidP="00F23970">
            <w:pPr>
              <w:tabs>
                <w:tab w:val="left" w:pos="1277"/>
              </w:tabs>
              <w:jc w:val="left"/>
              <w:rPr>
                <w:sz w:val="16"/>
                <w:szCs w:val="16"/>
                <w:lang w:val="es-CR"/>
              </w:rPr>
            </w:pPr>
            <w:r w:rsidRPr="00542AB5">
              <w:rPr>
                <w:sz w:val="16"/>
                <w:szCs w:val="16"/>
                <w:lang w:val="es-CR"/>
              </w:rPr>
              <w:t>Flor de María Rodas Mérida (</w:t>
            </w:r>
            <w:r w:rsidR="0010522A" w:rsidRPr="00542AB5">
              <w:rPr>
                <w:sz w:val="16"/>
                <w:szCs w:val="16"/>
                <w:lang w:val="es-CR"/>
              </w:rPr>
              <w:t>Daughter</w:t>
            </w:r>
            <w:r w:rsidRPr="00542AB5">
              <w:rPr>
                <w:sz w:val="16"/>
                <w:szCs w:val="16"/>
                <w:lang w:val="es-CR"/>
              </w:rPr>
              <w:t>)</w:t>
            </w:r>
          </w:p>
        </w:tc>
      </w:tr>
      <w:tr w:rsidR="00FB476A" w:rsidRPr="009F337B" w14:paraId="56AC7BC0" w14:textId="77777777" w:rsidTr="003D3071">
        <w:tc>
          <w:tcPr>
            <w:tcW w:w="560" w:type="dxa"/>
            <w:vMerge/>
            <w:vAlign w:val="center"/>
          </w:tcPr>
          <w:p w14:paraId="68A8F79D" w14:textId="77777777" w:rsidR="00FB476A" w:rsidRPr="00542AB5" w:rsidRDefault="00FB476A" w:rsidP="003D3071">
            <w:pPr>
              <w:jc w:val="center"/>
              <w:rPr>
                <w:sz w:val="16"/>
                <w:szCs w:val="16"/>
                <w:lang w:val="es-CR"/>
              </w:rPr>
            </w:pPr>
          </w:p>
        </w:tc>
        <w:tc>
          <w:tcPr>
            <w:tcW w:w="3092" w:type="dxa"/>
            <w:vMerge/>
            <w:vAlign w:val="center"/>
          </w:tcPr>
          <w:p w14:paraId="3530411D" w14:textId="77777777" w:rsidR="00FB476A" w:rsidRPr="00542AB5" w:rsidRDefault="00FB476A" w:rsidP="00F23970">
            <w:pPr>
              <w:jc w:val="left"/>
              <w:rPr>
                <w:sz w:val="16"/>
                <w:szCs w:val="16"/>
                <w:lang w:val="es-CR"/>
              </w:rPr>
            </w:pPr>
          </w:p>
        </w:tc>
        <w:tc>
          <w:tcPr>
            <w:tcW w:w="567" w:type="dxa"/>
            <w:vAlign w:val="center"/>
          </w:tcPr>
          <w:p w14:paraId="173ED1C6" w14:textId="372D2A72" w:rsidR="00FB476A" w:rsidRPr="009F337B" w:rsidRDefault="0009273C" w:rsidP="003D3071">
            <w:pPr>
              <w:jc w:val="center"/>
              <w:rPr>
                <w:sz w:val="16"/>
                <w:szCs w:val="16"/>
                <w:lang w:val="en-US"/>
              </w:rPr>
            </w:pPr>
            <w:r w:rsidRPr="009F337B">
              <w:rPr>
                <w:sz w:val="16"/>
                <w:szCs w:val="16"/>
                <w:lang w:val="en-US"/>
              </w:rPr>
              <w:t>5</w:t>
            </w:r>
            <w:r w:rsidR="005C4A7F" w:rsidRPr="009F337B">
              <w:rPr>
                <w:sz w:val="16"/>
                <w:szCs w:val="16"/>
                <w:lang w:val="en-US"/>
              </w:rPr>
              <w:t>6</w:t>
            </w:r>
          </w:p>
        </w:tc>
        <w:tc>
          <w:tcPr>
            <w:tcW w:w="4785" w:type="dxa"/>
            <w:shd w:val="clear" w:color="auto" w:fill="auto"/>
            <w:vAlign w:val="center"/>
          </w:tcPr>
          <w:p w14:paraId="60026368" w14:textId="4699CF25" w:rsidR="00FB476A" w:rsidRPr="00542AB5" w:rsidRDefault="00FB476A" w:rsidP="00F23970">
            <w:pPr>
              <w:tabs>
                <w:tab w:val="left" w:pos="1277"/>
              </w:tabs>
              <w:jc w:val="left"/>
              <w:rPr>
                <w:sz w:val="16"/>
                <w:szCs w:val="16"/>
                <w:lang w:val="es-CR"/>
              </w:rPr>
            </w:pPr>
            <w:r w:rsidRPr="00542AB5">
              <w:rPr>
                <w:sz w:val="16"/>
                <w:szCs w:val="16"/>
                <w:lang w:val="es-CR"/>
              </w:rPr>
              <w:t>María Magdalena Rodas Mérida (</w:t>
            </w:r>
            <w:r w:rsidR="0010522A" w:rsidRPr="00542AB5">
              <w:rPr>
                <w:sz w:val="16"/>
                <w:szCs w:val="16"/>
                <w:lang w:val="es-CR"/>
              </w:rPr>
              <w:t>Daughter</w:t>
            </w:r>
            <w:r w:rsidRPr="00542AB5">
              <w:rPr>
                <w:sz w:val="16"/>
                <w:szCs w:val="16"/>
                <w:lang w:val="es-CR"/>
              </w:rPr>
              <w:t>)</w:t>
            </w:r>
          </w:p>
        </w:tc>
      </w:tr>
      <w:tr w:rsidR="00FB476A" w:rsidRPr="009F337B" w14:paraId="160B6DD3" w14:textId="77777777" w:rsidTr="003D3071">
        <w:tc>
          <w:tcPr>
            <w:tcW w:w="560" w:type="dxa"/>
            <w:vMerge w:val="restart"/>
            <w:vAlign w:val="center"/>
          </w:tcPr>
          <w:p w14:paraId="32144EF7" w14:textId="77777777" w:rsidR="00FB476A" w:rsidRPr="009F337B" w:rsidRDefault="00FB476A" w:rsidP="003D3071">
            <w:pPr>
              <w:jc w:val="center"/>
              <w:rPr>
                <w:sz w:val="16"/>
                <w:szCs w:val="16"/>
                <w:lang w:val="en-US"/>
              </w:rPr>
            </w:pPr>
            <w:r w:rsidRPr="009F337B">
              <w:rPr>
                <w:sz w:val="16"/>
                <w:szCs w:val="16"/>
                <w:lang w:val="en-US"/>
              </w:rPr>
              <w:t>40</w:t>
            </w:r>
          </w:p>
        </w:tc>
        <w:tc>
          <w:tcPr>
            <w:tcW w:w="3092" w:type="dxa"/>
            <w:vMerge w:val="restart"/>
            <w:vAlign w:val="center"/>
          </w:tcPr>
          <w:p w14:paraId="502627E1" w14:textId="5232968F" w:rsidR="00FB476A" w:rsidRPr="009F337B" w:rsidRDefault="00FB476A" w:rsidP="00F23970">
            <w:pPr>
              <w:jc w:val="left"/>
              <w:rPr>
                <w:sz w:val="16"/>
                <w:szCs w:val="16"/>
                <w:lang w:val="en-US"/>
              </w:rPr>
            </w:pPr>
            <w:r w:rsidRPr="009F337B">
              <w:rPr>
                <w:sz w:val="16"/>
                <w:szCs w:val="16"/>
                <w:lang w:val="en-US"/>
              </w:rPr>
              <w:t>Zoila Marina Pérez Ruíz</w:t>
            </w:r>
          </w:p>
        </w:tc>
        <w:tc>
          <w:tcPr>
            <w:tcW w:w="567" w:type="dxa"/>
            <w:vAlign w:val="center"/>
          </w:tcPr>
          <w:p w14:paraId="62D4CDE2" w14:textId="635C0526" w:rsidR="00FB476A" w:rsidRPr="009F337B" w:rsidRDefault="0009273C" w:rsidP="003D3071">
            <w:pPr>
              <w:jc w:val="center"/>
              <w:rPr>
                <w:sz w:val="16"/>
                <w:szCs w:val="16"/>
                <w:lang w:val="en-US"/>
              </w:rPr>
            </w:pPr>
            <w:r w:rsidRPr="009F337B">
              <w:rPr>
                <w:sz w:val="16"/>
                <w:szCs w:val="16"/>
                <w:lang w:val="en-US"/>
              </w:rPr>
              <w:t>5</w:t>
            </w:r>
            <w:r w:rsidR="005C4A7F" w:rsidRPr="009F337B">
              <w:rPr>
                <w:sz w:val="16"/>
                <w:szCs w:val="16"/>
                <w:lang w:val="en-US"/>
              </w:rPr>
              <w:t>7</w:t>
            </w:r>
          </w:p>
        </w:tc>
        <w:tc>
          <w:tcPr>
            <w:tcW w:w="4785" w:type="dxa"/>
            <w:vAlign w:val="center"/>
          </w:tcPr>
          <w:p w14:paraId="18EB4D91" w14:textId="2097E8D3" w:rsidR="00FB476A" w:rsidRPr="00542AB5" w:rsidRDefault="00FB476A" w:rsidP="00CC6C64">
            <w:pPr>
              <w:jc w:val="left"/>
              <w:rPr>
                <w:sz w:val="16"/>
                <w:szCs w:val="16"/>
                <w:lang w:val="es-CR"/>
              </w:rPr>
            </w:pPr>
            <w:r w:rsidRPr="00542AB5">
              <w:rPr>
                <w:sz w:val="16"/>
                <w:szCs w:val="16"/>
                <w:lang w:val="es-CR"/>
              </w:rPr>
              <w:t>Jhony Francisco Valdéz Pérez (</w:t>
            </w:r>
            <w:r w:rsidR="0010522A" w:rsidRPr="00542AB5">
              <w:rPr>
                <w:sz w:val="16"/>
                <w:szCs w:val="16"/>
                <w:lang w:val="es-CR"/>
              </w:rPr>
              <w:t>Son</w:t>
            </w:r>
            <w:r w:rsidRPr="00542AB5">
              <w:rPr>
                <w:sz w:val="16"/>
                <w:szCs w:val="16"/>
                <w:lang w:val="es-CR"/>
              </w:rPr>
              <w:t>)</w:t>
            </w:r>
          </w:p>
        </w:tc>
      </w:tr>
      <w:tr w:rsidR="00FB476A" w:rsidRPr="00310E7A" w14:paraId="54BA5AC8" w14:textId="77777777" w:rsidTr="003D3071">
        <w:tc>
          <w:tcPr>
            <w:tcW w:w="560" w:type="dxa"/>
            <w:vMerge/>
            <w:vAlign w:val="center"/>
          </w:tcPr>
          <w:p w14:paraId="4F80E954" w14:textId="77777777" w:rsidR="00FB476A" w:rsidRPr="00542AB5" w:rsidRDefault="00FB476A" w:rsidP="003D3071">
            <w:pPr>
              <w:jc w:val="center"/>
              <w:rPr>
                <w:sz w:val="16"/>
                <w:szCs w:val="16"/>
                <w:lang w:val="es-CR"/>
              </w:rPr>
            </w:pPr>
          </w:p>
        </w:tc>
        <w:tc>
          <w:tcPr>
            <w:tcW w:w="3092" w:type="dxa"/>
            <w:vMerge/>
            <w:vAlign w:val="center"/>
          </w:tcPr>
          <w:p w14:paraId="1F8425C4" w14:textId="77777777" w:rsidR="00FB476A" w:rsidRPr="00542AB5" w:rsidRDefault="00FB476A" w:rsidP="00F23970">
            <w:pPr>
              <w:jc w:val="left"/>
              <w:rPr>
                <w:sz w:val="16"/>
                <w:szCs w:val="16"/>
                <w:lang w:val="es-CR"/>
              </w:rPr>
            </w:pPr>
          </w:p>
        </w:tc>
        <w:tc>
          <w:tcPr>
            <w:tcW w:w="567" w:type="dxa"/>
            <w:vAlign w:val="center"/>
          </w:tcPr>
          <w:p w14:paraId="2BA99969" w14:textId="64D2F9CB" w:rsidR="00FB476A" w:rsidRPr="009F337B" w:rsidRDefault="0009273C" w:rsidP="003D3071">
            <w:pPr>
              <w:jc w:val="center"/>
              <w:rPr>
                <w:sz w:val="16"/>
                <w:szCs w:val="16"/>
                <w:lang w:val="en-US"/>
              </w:rPr>
            </w:pPr>
            <w:r w:rsidRPr="009F337B">
              <w:rPr>
                <w:sz w:val="16"/>
                <w:szCs w:val="16"/>
                <w:lang w:val="en-US"/>
              </w:rPr>
              <w:t>5</w:t>
            </w:r>
            <w:r w:rsidR="005C4A7F" w:rsidRPr="009F337B">
              <w:rPr>
                <w:sz w:val="16"/>
                <w:szCs w:val="16"/>
                <w:lang w:val="en-US"/>
              </w:rPr>
              <w:t>8</w:t>
            </w:r>
          </w:p>
        </w:tc>
        <w:tc>
          <w:tcPr>
            <w:tcW w:w="4785" w:type="dxa"/>
            <w:vAlign w:val="center"/>
          </w:tcPr>
          <w:p w14:paraId="246F1661" w14:textId="1A40C97C" w:rsidR="00FB476A" w:rsidRPr="009F337B" w:rsidRDefault="00FB476A" w:rsidP="00F23970">
            <w:pPr>
              <w:jc w:val="left"/>
              <w:rPr>
                <w:sz w:val="16"/>
                <w:szCs w:val="16"/>
                <w:lang w:val="en-US"/>
              </w:rPr>
            </w:pPr>
            <w:r w:rsidRPr="009F337B">
              <w:rPr>
                <w:sz w:val="16"/>
                <w:szCs w:val="16"/>
                <w:lang w:val="en-US"/>
              </w:rPr>
              <w:t>Boni Kennedy Valdéz Pérez (</w:t>
            </w:r>
            <w:r w:rsidR="0010522A" w:rsidRPr="009F337B">
              <w:rPr>
                <w:sz w:val="16"/>
                <w:szCs w:val="16"/>
                <w:lang w:val="en-US"/>
              </w:rPr>
              <w:t>Daughter</w:t>
            </w:r>
            <w:r w:rsidRPr="009F337B">
              <w:rPr>
                <w:sz w:val="16"/>
                <w:szCs w:val="16"/>
                <w:lang w:val="en-US"/>
              </w:rPr>
              <w:t>)</w:t>
            </w:r>
          </w:p>
        </w:tc>
      </w:tr>
      <w:tr w:rsidR="00FB476A" w:rsidRPr="009F337B" w14:paraId="7B3C9073" w14:textId="77777777" w:rsidTr="003D3071">
        <w:tc>
          <w:tcPr>
            <w:tcW w:w="560" w:type="dxa"/>
            <w:vMerge/>
            <w:vAlign w:val="center"/>
          </w:tcPr>
          <w:p w14:paraId="0C3998CE" w14:textId="77777777" w:rsidR="00FB476A" w:rsidRPr="009F337B" w:rsidRDefault="00FB476A" w:rsidP="003D3071">
            <w:pPr>
              <w:jc w:val="center"/>
              <w:rPr>
                <w:sz w:val="16"/>
                <w:szCs w:val="16"/>
                <w:lang w:val="en-US"/>
              </w:rPr>
            </w:pPr>
          </w:p>
        </w:tc>
        <w:tc>
          <w:tcPr>
            <w:tcW w:w="3092" w:type="dxa"/>
            <w:vMerge/>
            <w:vAlign w:val="center"/>
          </w:tcPr>
          <w:p w14:paraId="18A7CAC4" w14:textId="77777777" w:rsidR="00FB476A" w:rsidRPr="009F337B" w:rsidRDefault="00FB476A" w:rsidP="00F23970">
            <w:pPr>
              <w:jc w:val="left"/>
              <w:rPr>
                <w:sz w:val="16"/>
                <w:szCs w:val="16"/>
                <w:lang w:val="en-US"/>
              </w:rPr>
            </w:pPr>
          </w:p>
        </w:tc>
        <w:tc>
          <w:tcPr>
            <w:tcW w:w="567" w:type="dxa"/>
            <w:vAlign w:val="center"/>
          </w:tcPr>
          <w:p w14:paraId="781A6FF5" w14:textId="1C42B3BF" w:rsidR="00FB476A" w:rsidRPr="009F337B" w:rsidRDefault="0009273C" w:rsidP="003D3071">
            <w:pPr>
              <w:jc w:val="center"/>
              <w:rPr>
                <w:sz w:val="16"/>
                <w:szCs w:val="16"/>
                <w:lang w:val="en-US"/>
              </w:rPr>
            </w:pPr>
            <w:r w:rsidRPr="009F337B">
              <w:rPr>
                <w:sz w:val="16"/>
                <w:szCs w:val="16"/>
                <w:lang w:val="en-US"/>
              </w:rPr>
              <w:t>5</w:t>
            </w:r>
            <w:r w:rsidR="005C4A7F" w:rsidRPr="009F337B">
              <w:rPr>
                <w:sz w:val="16"/>
                <w:szCs w:val="16"/>
                <w:lang w:val="en-US"/>
              </w:rPr>
              <w:t>9</w:t>
            </w:r>
          </w:p>
        </w:tc>
        <w:tc>
          <w:tcPr>
            <w:tcW w:w="4785" w:type="dxa"/>
            <w:vAlign w:val="center"/>
          </w:tcPr>
          <w:p w14:paraId="2945F108" w14:textId="04B5853B" w:rsidR="00FB476A" w:rsidRPr="00542AB5" w:rsidRDefault="00FB476A" w:rsidP="00F23970">
            <w:pPr>
              <w:jc w:val="left"/>
              <w:rPr>
                <w:sz w:val="16"/>
                <w:szCs w:val="16"/>
                <w:lang w:val="es-CR"/>
              </w:rPr>
            </w:pPr>
            <w:r w:rsidRPr="00542AB5">
              <w:rPr>
                <w:sz w:val="16"/>
                <w:szCs w:val="16"/>
                <w:lang w:val="es-CR"/>
              </w:rPr>
              <w:t>Zoila Argentina Valdéz Pérez (</w:t>
            </w:r>
            <w:r w:rsidR="0010522A" w:rsidRPr="00542AB5">
              <w:rPr>
                <w:sz w:val="16"/>
                <w:szCs w:val="16"/>
                <w:lang w:val="es-CR"/>
              </w:rPr>
              <w:t>Daughter</w:t>
            </w:r>
            <w:r w:rsidRPr="00542AB5">
              <w:rPr>
                <w:sz w:val="16"/>
                <w:szCs w:val="16"/>
                <w:lang w:val="es-CR"/>
              </w:rPr>
              <w:t>)</w:t>
            </w:r>
          </w:p>
        </w:tc>
      </w:tr>
      <w:tr w:rsidR="00FB476A" w:rsidRPr="00310E7A" w14:paraId="62A8266E" w14:textId="77777777" w:rsidTr="003D3071">
        <w:tc>
          <w:tcPr>
            <w:tcW w:w="560" w:type="dxa"/>
            <w:vMerge/>
            <w:vAlign w:val="center"/>
          </w:tcPr>
          <w:p w14:paraId="5D7E9618" w14:textId="77777777" w:rsidR="00FB476A" w:rsidRPr="00542AB5" w:rsidRDefault="00FB476A" w:rsidP="003D3071">
            <w:pPr>
              <w:jc w:val="center"/>
              <w:rPr>
                <w:sz w:val="16"/>
                <w:szCs w:val="16"/>
                <w:lang w:val="es-CR"/>
              </w:rPr>
            </w:pPr>
          </w:p>
        </w:tc>
        <w:tc>
          <w:tcPr>
            <w:tcW w:w="3092" w:type="dxa"/>
            <w:vMerge/>
            <w:vAlign w:val="center"/>
          </w:tcPr>
          <w:p w14:paraId="5C50FC65" w14:textId="77777777" w:rsidR="00FB476A" w:rsidRPr="00542AB5" w:rsidRDefault="00FB476A" w:rsidP="00F23970">
            <w:pPr>
              <w:jc w:val="left"/>
              <w:rPr>
                <w:sz w:val="16"/>
                <w:szCs w:val="16"/>
                <w:lang w:val="es-CR"/>
              </w:rPr>
            </w:pPr>
          </w:p>
        </w:tc>
        <w:tc>
          <w:tcPr>
            <w:tcW w:w="567" w:type="dxa"/>
            <w:vAlign w:val="center"/>
          </w:tcPr>
          <w:p w14:paraId="29EF9B30" w14:textId="47A7EE30" w:rsidR="00FB476A" w:rsidRPr="009F337B" w:rsidRDefault="005C4A7F" w:rsidP="003D3071">
            <w:pPr>
              <w:jc w:val="center"/>
              <w:rPr>
                <w:sz w:val="16"/>
                <w:szCs w:val="16"/>
                <w:lang w:val="en-US"/>
              </w:rPr>
            </w:pPr>
            <w:r w:rsidRPr="009F337B">
              <w:rPr>
                <w:sz w:val="16"/>
                <w:szCs w:val="16"/>
                <w:lang w:val="en-US"/>
              </w:rPr>
              <w:t>60</w:t>
            </w:r>
          </w:p>
        </w:tc>
        <w:tc>
          <w:tcPr>
            <w:tcW w:w="4785" w:type="dxa"/>
            <w:vAlign w:val="center"/>
          </w:tcPr>
          <w:p w14:paraId="68215AE0" w14:textId="68F7FB34" w:rsidR="00FB476A" w:rsidRPr="00542AB5" w:rsidRDefault="00FB476A" w:rsidP="00F23970">
            <w:pPr>
              <w:jc w:val="left"/>
              <w:rPr>
                <w:sz w:val="16"/>
                <w:szCs w:val="16"/>
                <w:lang w:val="fr-FR"/>
              </w:rPr>
            </w:pPr>
            <w:r w:rsidRPr="00542AB5">
              <w:rPr>
                <w:sz w:val="16"/>
                <w:szCs w:val="16"/>
                <w:lang w:val="fr-FR"/>
              </w:rPr>
              <w:t>Nelson Gudiel Valdéz Pérez (</w:t>
            </w:r>
            <w:r w:rsidR="0010522A" w:rsidRPr="00542AB5">
              <w:rPr>
                <w:sz w:val="16"/>
                <w:szCs w:val="16"/>
                <w:lang w:val="fr-FR"/>
              </w:rPr>
              <w:t>Son</w:t>
            </w:r>
            <w:r w:rsidRPr="00542AB5">
              <w:rPr>
                <w:sz w:val="16"/>
                <w:szCs w:val="16"/>
                <w:lang w:val="fr-FR"/>
              </w:rPr>
              <w:t>)</w:t>
            </w:r>
          </w:p>
        </w:tc>
      </w:tr>
      <w:tr w:rsidR="00FB476A" w:rsidRPr="00310E7A" w14:paraId="1FF411E4" w14:textId="77777777" w:rsidTr="003D3071">
        <w:tc>
          <w:tcPr>
            <w:tcW w:w="560" w:type="dxa"/>
            <w:vMerge/>
            <w:vAlign w:val="center"/>
          </w:tcPr>
          <w:p w14:paraId="6998B062" w14:textId="77777777" w:rsidR="00FB476A" w:rsidRPr="00542AB5" w:rsidRDefault="00FB476A" w:rsidP="003D3071">
            <w:pPr>
              <w:jc w:val="center"/>
              <w:rPr>
                <w:sz w:val="16"/>
                <w:szCs w:val="16"/>
                <w:lang w:val="fr-FR"/>
              </w:rPr>
            </w:pPr>
          </w:p>
        </w:tc>
        <w:tc>
          <w:tcPr>
            <w:tcW w:w="3092" w:type="dxa"/>
            <w:vMerge/>
            <w:vAlign w:val="center"/>
          </w:tcPr>
          <w:p w14:paraId="21B396AA" w14:textId="77777777" w:rsidR="00FB476A" w:rsidRPr="00542AB5" w:rsidRDefault="00FB476A" w:rsidP="00F23970">
            <w:pPr>
              <w:jc w:val="left"/>
              <w:rPr>
                <w:sz w:val="16"/>
                <w:szCs w:val="16"/>
                <w:lang w:val="fr-FR"/>
              </w:rPr>
            </w:pPr>
          </w:p>
        </w:tc>
        <w:tc>
          <w:tcPr>
            <w:tcW w:w="567" w:type="dxa"/>
            <w:vAlign w:val="center"/>
          </w:tcPr>
          <w:p w14:paraId="01A7C34A" w14:textId="67D2547C" w:rsidR="00FB476A" w:rsidRPr="009F337B" w:rsidRDefault="005C4A7F" w:rsidP="003D3071">
            <w:pPr>
              <w:jc w:val="center"/>
              <w:rPr>
                <w:sz w:val="16"/>
                <w:szCs w:val="16"/>
                <w:lang w:val="en-US"/>
              </w:rPr>
            </w:pPr>
            <w:r w:rsidRPr="009F337B">
              <w:rPr>
                <w:sz w:val="16"/>
                <w:szCs w:val="16"/>
                <w:lang w:val="en-US"/>
              </w:rPr>
              <w:t>61</w:t>
            </w:r>
          </w:p>
        </w:tc>
        <w:tc>
          <w:tcPr>
            <w:tcW w:w="4785" w:type="dxa"/>
            <w:vAlign w:val="center"/>
          </w:tcPr>
          <w:p w14:paraId="1BFBA4F5" w14:textId="16DEB82E" w:rsidR="00FB476A" w:rsidRPr="009F337B" w:rsidRDefault="00FB476A" w:rsidP="00F23970">
            <w:pPr>
              <w:jc w:val="left"/>
              <w:rPr>
                <w:sz w:val="16"/>
                <w:szCs w:val="16"/>
                <w:lang w:val="en-US"/>
              </w:rPr>
            </w:pPr>
            <w:r w:rsidRPr="009F337B">
              <w:rPr>
                <w:sz w:val="16"/>
                <w:szCs w:val="16"/>
                <w:lang w:val="en-US"/>
              </w:rPr>
              <w:t>Nancy Beatriz Valdéz Pérez (</w:t>
            </w:r>
            <w:r w:rsidR="0010522A" w:rsidRPr="009F337B">
              <w:rPr>
                <w:sz w:val="16"/>
                <w:szCs w:val="16"/>
                <w:lang w:val="en-US"/>
              </w:rPr>
              <w:t>Daughter</w:t>
            </w:r>
            <w:r w:rsidRPr="009F337B">
              <w:rPr>
                <w:sz w:val="16"/>
                <w:szCs w:val="16"/>
                <w:lang w:val="en-US"/>
              </w:rPr>
              <w:t>)</w:t>
            </w:r>
          </w:p>
        </w:tc>
      </w:tr>
      <w:tr w:rsidR="00FB476A" w:rsidRPr="00310E7A" w14:paraId="2775B6EB" w14:textId="77777777" w:rsidTr="003D3071">
        <w:tc>
          <w:tcPr>
            <w:tcW w:w="560" w:type="dxa"/>
            <w:vMerge/>
            <w:vAlign w:val="center"/>
          </w:tcPr>
          <w:p w14:paraId="60AE2D88" w14:textId="77777777" w:rsidR="00FB476A" w:rsidRPr="009F337B" w:rsidRDefault="00FB476A" w:rsidP="003D3071">
            <w:pPr>
              <w:jc w:val="center"/>
              <w:rPr>
                <w:sz w:val="16"/>
                <w:szCs w:val="16"/>
                <w:lang w:val="en-US"/>
              </w:rPr>
            </w:pPr>
          </w:p>
        </w:tc>
        <w:tc>
          <w:tcPr>
            <w:tcW w:w="3092" w:type="dxa"/>
            <w:vMerge/>
            <w:vAlign w:val="center"/>
          </w:tcPr>
          <w:p w14:paraId="15159F56" w14:textId="77777777" w:rsidR="00FB476A" w:rsidRPr="009F337B" w:rsidRDefault="00FB476A" w:rsidP="00F23970">
            <w:pPr>
              <w:jc w:val="left"/>
              <w:rPr>
                <w:sz w:val="16"/>
                <w:szCs w:val="16"/>
                <w:lang w:val="en-US"/>
              </w:rPr>
            </w:pPr>
          </w:p>
        </w:tc>
        <w:tc>
          <w:tcPr>
            <w:tcW w:w="567" w:type="dxa"/>
            <w:vAlign w:val="center"/>
          </w:tcPr>
          <w:p w14:paraId="798E736A" w14:textId="1E037BDB" w:rsidR="00FB476A" w:rsidRPr="009F337B" w:rsidRDefault="0009273C" w:rsidP="003D3071">
            <w:pPr>
              <w:jc w:val="center"/>
              <w:rPr>
                <w:sz w:val="16"/>
                <w:szCs w:val="16"/>
                <w:lang w:val="en-US"/>
              </w:rPr>
            </w:pPr>
            <w:r w:rsidRPr="009F337B">
              <w:rPr>
                <w:sz w:val="16"/>
                <w:szCs w:val="16"/>
                <w:lang w:val="en-US"/>
              </w:rPr>
              <w:t>6</w:t>
            </w:r>
            <w:r w:rsidR="005C4A7F" w:rsidRPr="009F337B">
              <w:rPr>
                <w:sz w:val="16"/>
                <w:szCs w:val="16"/>
                <w:lang w:val="en-US"/>
              </w:rPr>
              <w:t>2</w:t>
            </w:r>
          </w:p>
        </w:tc>
        <w:tc>
          <w:tcPr>
            <w:tcW w:w="4785" w:type="dxa"/>
            <w:vAlign w:val="center"/>
          </w:tcPr>
          <w:p w14:paraId="68EEAD28" w14:textId="04FCED2A" w:rsidR="00FB476A" w:rsidRPr="009F337B" w:rsidRDefault="00FB476A" w:rsidP="00F23970">
            <w:pPr>
              <w:jc w:val="left"/>
              <w:rPr>
                <w:sz w:val="16"/>
                <w:szCs w:val="16"/>
                <w:lang w:val="en-US"/>
              </w:rPr>
            </w:pPr>
            <w:r w:rsidRPr="009F337B">
              <w:rPr>
                <w:sz w:val="16"/>
                <w:szCs w:val="16"/>
                <w:lang w:val="en-US"/>
              </w:rPr>
              <w:t>Glendi Betsaida Valdéz Pérez (</w:t>
            </w:r>
            <w:r w:rsidR="0010522A" w:rsidRPr="009F337B">
              <w:rPr>
                <w:sz w:val="16"/>
                <w:szCs w:val="16"/>
                <w:lang w:val="en-US"/>
              </w:rPr>
              <w:t>Daughter</w:t>
            </w:r>
            <w:r w:rsidRPr="009F337B">
              <w:rPr>
                <w:sz w:val="16"/>
                <w:szCs w:val="16"/>
                <w:lang w:val="en-US"/>
              </w:rPr>
              <w:t>)</w:t>
            </w:r>
          </w:p>
        </w:tc>
      </w:tr>
      <w:tr w:rsidR="00FB476A" w:rsidRPr="00310E7A" w14:paraId="768487DA" w14:textId="77777777" w:rsidTr="003D3071">
        <w:tc>
          <w:tcPr>
            <w:tcW w:w="560" w:type="dxa"/>
            <w:vMerge/>
            <w:vAlign w:val="center"/>
          </w:tcPr>
          <w:p w14:paraId="43C4E9BB" w14:textId="77777777" w:rsidR="00FB476A" w:rsidRPr="009F337B" w:rsidRDefault="00FB476A" w:rsidP="003D3071">
            <w:pPr>
              <w:jc w:val="center"/>
              <w:rPr>
                <w:sz w:val="16"/>
                <w:szCs w:val="16"/>
                <w:lang w:val="en-US"/>
              </w:rPr>
            </w:pPr>
          </w:p>
        </w:tc>
        <w:tc>
          <w:tcPr>
            <w:tcW w:w="3092" w:type="dxa"/>
            <w:vMerge/>
            <w:vAlign w:val="center"/>
          </w:tcPr>
          <w:p w14:paraId="74478080" w14:textId="77777777" w:rsidR="00FB476A" w:rsidRPr="009F337B" w:rsidRDefault="00FB476A" w:rsidP="00F23970">
            <w:pPr>
              <w:jc w:val="left"/>
              <w:rPr>
                <w:sz w:val="16"/>
                <w:szCs w:val="16"/>
                <w:lang w:val="en-US"/>
              </w:rPr>
            </w:pPr>
          </w:p>
        </w:tc>
        <w:tc>
          <w:tcPr>
            <w:tcW w:w="567" w:type="dxa"/>
            <w:vAlign w:val="center"/>
          </w:tcPr>
          <w:p w14:paraId="761998F8" w14:textId="256CBD19" w:rsidR="00FB476A" w:rsidRPr="009F337B" w:rsidRDefault="0009273C" w:rsidP="003D3071">
            <w:pPr>
              <w:jc w:val="center"/>
              <w:rPr>
                <w:sz w:val="16"/>
                <w:szCs w:val="16"/>
                <w:lang w:val="en-US"/>
              </w:rPr>
            </w:pPr>
            <w:r w:rsidRPr="009F337B">
              <w:rPr>
                <w:sz w:val="16"/>
                <w:szCs w:val="16"/>
                <w:lang w:val="en-US"/>
              </w:rPr>
              <w:t>6</w:t>
            </w:r>
            <w:r w:rsidR="005C4A7F" w:rsidRPr="009F337B">
              <w:rPr>
                <w:sz w:val="16"/>
                <w:szCs w:val="16"/>
                <w:lang w:val="en-US"/>
              </w:rPr>
              <w:t>3</w:t>
            </w:r>
          </w:p>
        </w:tc>
        <w:tc>
          <w:tcPr>
            <w:tcW w:w="4785" w:type="dxa"/>
            <w:vAlign w:val="center"/>
          </w:tcPr>
          <w:p w14:paraId="4F0E66A4" w14:textId="3B9755DE" w:rsidR="00FB476A" w:rsidRPr="009F337B" w:rsidRDefault="00FB476A" w:rsidP="00F23970">
            <w:pPr>
              <w:jc w:val="left"/>
              <w:rPr>
                <w:sz w:val="16"/>
                <w:szCs w:val="16"/>
                <w:lang w:val="en-US"/>
              </w:rPr>
            </w:pPr>
            <w:r w:rsidRPr="009F337B">
              <w:rPr>
                <w:sz w:val="16"/>
                <w:szCs w:val="16"/>
                <w:lang w:val="en-US"/>
              </w:rPr>
              <w:t>Mildred Odalis Valdéz Pérez (</w:t>
            </w:r>
            <w:r w:rsidR="0010522A" w:rsidRPr="009F337B">
              <w:rPr>
                <w:sz w:val="16"/>
                <w:szCs w:val="16"/>
                <w:lang w:val="en-US"/>
              </w:rPr>
              <w:t>Daughter</w:t>
            </w:r>
            <w:r w:rsidRPr="009F337B">
              <w:rPr>
                <w:sz w:val="16"/>
                <w:szCs w:val="16"/>
                <w:lang w:val="en-US"/>
              </w:rPr>
              <w:t>)</w:t>
            </w:r>
          </w:p>
        </w:tc>
      </w:tr>
      <w:tr w:rsidR="00FB476A" w:rsidRPr="009F337B" w14:paraId="43F78A6A" w14:textId="77777777" w:rsidTr="003D3071">
        <w:tc>
          <w:tcPr>
            <w:tcW w:w="560" w:type="dxa"/>
            <w:vAlign w:val="center"/>
          </w:tcPr>
          <w:p w14:paraId="67D728BE" w14:textId="77777777" w:rsidR="00FB476A" w:rsidRPr="009F337B" w:rsidRDefault="00FB476A" w:rsidP="003D3071">
            <w:pPr>
              <w:jc w:val="center"/>
              <w:rPr>
                <w:sz w:val="16"/>
                <w:szCs w:val="16"/>
                <w:lang w:val="en-US"/>
              </w:rPr>
            </w:pPr>
            <w:r w:rsidRPr="009F337B">
              <w:rPr>
                <w:sz w:val="16"/>
                <w:szCs w:val="16"/>
                <w:lang w:val="en-US"/>
              </w:rPr>
              <w:t>41</w:t>
            </w:r>
          </w:p>
        </w:tc>
        <w:tc>
          <w:tcPr>
            <w:tcW w:w="3092" w:type="dxa"/>
            <w:vAlign w:val="center"/>
          </w:tcPr>
          <w:p w14:paraId="4442F89C" w14:textId="77777777" w:rsidR="00FB476A" w:rsidRPr="009F337B" w:rsidRDefault="00FB476A" w:rsidP="00F23970">
            <w:pPr>
              <w:jc w:val="left"/>
              <w:rPr>
                <w:sz w:val="16"/>
                <w:szCs w:val="16"/>
                <w:lang w:val="en-US"/>
              </w:rPr>
            </w:pPr>
            <w:r w:rsidRPr="009F337B">
              <w:rPr>
                <w:sz w:val="16"/>
                <w:szCs w:val="16"/>
                <w:lang w:val="en-US"/>
              </w:rPr>
              <w:t>Santiago Francisco Valdéz Aguilar</w:t>
            </w:r>
          </w:p>
        </w:tc>
        <w:tc>
          <w:tcPr>
            <w:tcW w:w="567" w:type="dxa"/>
            <w:vAlign w:val="center"/>
          </w:tcPr>
          <w:p w14:paraId="58484E9D" w14:textId="2E43CB4B" w:rsidR="00FB476A" w:rsidRPr="009F337B" w:rsidRDefault="00FB476A" w:rsidP="00F23970">
            <w:pPr>
              <w:jc w:val="left"/>
              <w:rPr>
                <w:sz w:val="16"/>
                <w:szCs w:val="16"/>
                <w:lang w:val="en-US"/>
              </w:rPr>
            </w:pPr>
          </w:p>
        </w:tc>
        <w:tc>
          <w:tcPr>
            <w:tcW w:w="4785" w:type="dxa"/>
            <w:vAlign w:val="center"/>
          </w:tcPr>
          <w:p w14:paraId="68FCC3FC" w14:textId="08C5FB3B" w:rsidR="00FB476A" w:rsidRPr="009F337B" w:rsidRDefault="00FB476A" w:rsidP="00F23970">
            <w:pPr>
              <w:jc w:val="left"/>
              <w:rPr>
                <w:sz w:val="16"/>
                <w:szCs w:val="16"/>
                <w:lang w:val="en-US"/>
              </w:rPr>
            </w:pPr>
          </w:p>
        </w:tc>
      </w:tr>
      <w:tr w:rsidR="00FB476A" w:rsidRPr="009F337B" w14:paraId="5AE2C674" w14:textId="77777777" w:rsidTr="003D3071">
        <w:tc>
          <w:tcPr>
            <w:tcW w:w="560" w:type="dxa"/>
            <w:vAlign w:val="center"/>
          </w:tcPr>
          <w:p w14:paraId="3DE6B1F0" w14:textId="77777777" w:rsidR="00FB476A" w:rsidRPr="009F337B" w:rsidRDefault="00FB476A" w:rsidP="003D3071">
            <w:pPr>
              <w:jc w:val="center"/>
              <w:rPr>
                <w:sz w:val="16"/>
                <w:szCs w:val="16"/>
                <w:lang w:val="en-US"/>
              </w:rPr>
            </w:pPr>
            <w:r w:rsidRPr="009F337B">
              <w:rPr>
                <w:sz w:val="16"/>
                <w:szCs w:val="16"/>
                <w:lang w:val="en-US"/>
              </w:rPr>
              <w:t>42</w:t>
            </w:r>
          </w:p>
        </w:tc>
        <w:tc>
          <w:tcPr>
            <w:tcW w:w="3092" w:type="dxa"/>
            <w:vAlign w:val="center"/>
          </w:tcPr>
          <w:p w14:paraId="564510FD" w14:textId="77777777" w:rsidR="00FB476A" w:rsidRPr="009F337B" w:rsidRDefault="00FB476A" w:rsidP="00F23970">
            <w:pPr>
              <w:jc w:val="left"/>
              <w:rPr>
                <w:sz w:val="16"/>
                <w:szCs w:val="16"/>
                <w:lang w:val="en-US"/>
              </w:rPr>
            </w:pPr>
            <w:r w:rsidRPr="009F337B">
              <w:rPr>
                <w:sz w:val="16"/>
                <w:szCs w:val="16"/>
                <w:lang w:val="en-US"/>
              </w:rPr>
              <w:t>Teresa Magdalena Ramírez Castro</w:t>
            </w:r>
          </w:p>
        </w:tc>
        <w:tc>
          <w:tcPr>
            <w:tcW w:w="567" w:type="dxa"/>
            <w:vAlign w:val="center"/>
          </w:tcPr>
          <w:p w14:paraId="32A99AB8" w14:textId="77777777" w:rsidR="00FB476A" w:rsidRPr="009F337B" w:rsidRDefault="00FB476A" w:rsidP="00F23970">
            <w:pPr>
              <w:jc w:val="left"/>
              <w:rPr>
                <w:sz w:val="16"/>
                <w:szCs w:val="16"/>
                <w:lang w:val="en-US"/>
              </w:rPr>
            </w:pPr>
          </w:p>
        </w:tc>
        <w:tc>
          <w:tcPr>
            <w:tcW w:w="4785" w:type="dxa"/>
            <w:vAlign w:val="center"/>
          </w:tcPr>
          <w:p w14:paraId="2FA15265" w14:textId="77777777" w:rsidR="00FB476A" w:rsidRPr="009F337B" w:rsidRDefault="00FB476A" w:rsidP="00F23970">
            <w:pPr>
              <w:tabs>
                <w:tab w:val="left" w:pos="1277"/>
              </w:tabs>
              <w:jc w:val="left"/>
              <w:rPr>
                <w:sz w:val="16"/>
                <w:szCs w:val="16"/>
                <w:lang w:val="en-US"/>
              </w:rPr>
            </w:pPr>
          </w:p>
        </w:tc>
      </w:tr>
      <w:tr w:rsidR="00FB476A" w:rsidRPr="009F337B" w14:paraId="3B263DE0" w14:textId="77777777" w:rsidTr="003D3071">
        <w:tc>
          <w:tcPr>
            <w:tcW w:w="560" w:type="dxa"/>
            <w:vAlign w:val="center"/>
          </w:tcPr>
          <w:p w14:paraId="48E44135" w14:textId="77777777" w:rsidR="00FB476A" w:rsidRPr="009F337B" w:rsidRDefault="00FB476A" w:rsidP="003D3071">
            <w:pPr>
              <w:jc w:val="center"/>
              <w:rPr>
                <w:sz w:val="16"/>
                <w:szCs w:val="16"/>
                <w:lang w:val="en-US"/>
              </w:rPr>
            </w:pPr>
            <w:r w:rsidRPr="009F337B">
              <w:rPr>
                <w:sz w:val="16"/>
                <w:szCs w:val="16"/>
                <w:lang w:val="en-US"/>
              </w:rPr>
              <w:t>43</w:t>
            </w:r>
          </w:p>
        </w:tc>
        <w:tc>
          <w:tcPr>
            <w:tcW w:w="3092" w:type="dxa"/>
            <w:vAlign w:val="center"/>
          </w:tcPr>
          <w:p w14:paraId="77A66BC3" w14:textId="77777777" w:rsidR="00FB476A" w:rsidRPr="009F337B" w:rsidRDefault="00FB476A" w:rsidP="00F23970">
            <w:pPr>
              <w:jc w:val="left"/>
              <w:rPr>
                <w:sz w:val="16"/>
                <w:szCs w:val="16"/>
                <w:lang w:val="en-US"/>
              </w:rPr>
            </w:pPr>
            <w:r w:rsidRPr="009F337B">
              <w:rPr>
                <w:sz w:val="16"/>
                <w:szCs w:val="16"/>
                <w:lang w:val="en-US"/>
              </w:rPr>
              <w:t>Karen Judith Samayoa Vásquez</w:t>
            </w:r>
          </w:p>
        </w:tc>
        <w:tc>
          <w:tcPr>
            <w:tcW w:w="567" w:type="dxa"/>
            <w:vAlign w:val="center"/>
          </w:tcPr>
          <w:p w14:paraId="46810C0E" w14:textId="77777777" w:rsidR="00FB476A" w:rsidRPr="009F337B" w:rsidRDefault="00FB476A" w:rsidP="00F23970">
            <w:pPr>
              <w:jc w:val="left"/>
              <w:rPr>
                <w:sz w:val="16"/>
                <w:szCs w:val="16"/>
                <w:lang w:val="en-US"/>
              </w:rPr>
            </w:pPr>
          </w:p>
        </w:tc>
        <w:tc>
          <w:tcPr>
            <w:tcW w:w="4785" w:type="dxa"/>
            <w:vAlign w:val="center"/>
          </w:tcPr>
          <w:p w14:paraId="5FB8446F" w14:textId="77777777" w:rsidR="00FB476A" w:rsidRPr="009F337B" w:rsidRDefault="00FB476A" w:rsidP="00F23970">
            <w:pPr>
              <w:jc w:val="left"/>
              <w:rPr>
                <w:sz w:val="16"/>
                <w:szCs w:val="16"/>
                <w:lang w:val="en-US"/>
              </w:rPr>
            </w:pPr>
          </w:p>
        </w:tc>
      </w:tr>
      <w:tr w:rsidR="00FB476A" w:rsidRPr="009F337B" w14:paraId="52BB37C4" w14:textId="77777777" w:rsidTr="003D3071">
        <w:tc>
          <w:tcPr>
            <w:tcW w:w="560" w:type="dxa"/>
            <w:vAlign w:val="center"/>
          </w:tcPr>
          <w:p w14:paraId="45209543" w14:textId="77777777" w:rsidR="00FB476A" w:rsidRPr="009F337B" w:rsidRDefault="00FB476A" w:rsidP="003D3071">
            <w:pPr>
              <w:jc w:val="center"/>
              <w:rPr>
                <w:sz w:val="16"/>
                <w:szCs w:val="16"/>
                <w:lang w:val="en-US"/>
              </w:rPr>
            </w:pPr>
            <w:r w:rsidRPr="009F337B">
              <w:rPr>
                <w:sz w:val="16"/>
                <w:szCs w:val="16"/>
                <w:lang w:val="en-US"/>
              </w:rPr>
              <w:t>44</w:t>
            </w:r>
          </w:p>
        </w:tc>
        <w:tc>
          <w:tcPr>
            <w:tcW w:w="3092" w:type="dxa"/>
            <w:vAlign w:val="center"/>
          </w:tcPr>
          <w:p w14:paraId="0E0B11D8" w14:textId="2CB245D4" w:rsidR="00FB476A" w:rsidRPr="009F337B" w:rsidRDefault="00FB476A" w:rsidP="00CC6C64">
            <w:pPr>
              <w:jc w:val="left"/>
              <w:rPr>
                <w:sz w:val="16"/>
                <w:szCs w:val="16"/>
                <w:lang w:val="en-US"/>
              </w:rPr>
            </w:pPr>
            <w:r w:rsidRPr="009F337B">
              <w:rPr>
                <w:sz w:val="16"/>
                <w:szCs w:val="16"/>
                <w:lang w:val="en-US"/>
              </w:rPr>
              <w:t>Francisco Sop Quiej</w:t>
            </w:r>
          </w:p>
        </w:tc>
        <w:tc>
          <w:tcPr>
            <w:tcW w:w="567" w:type="dxa"/>
            <w:vAlign w:val="center"/>
          </w:tcPr>
          <w:p w14:paraId="59B85187" w14:textId="1EADF23A" w:rsidR="00FB476A" w:rsidRPr="009F337B" w:rsidRDefault="00FB476A" w:rsidP="00F23970">
            <w:pPr>
              <w:jc w:val="left"/>
              <w:rPr>
                <w:sz w:val="16"/>
                <w:szCs w:val="16"/>
                <w:lang w:val="en-US"/>
              </w:rPr>
            </w:pPr>
          </w:p>
        </w:tc>
        <w:tc>
          <w:tcPr>
            <w:tcW w:w="4785" w:type="dxa"/>
            <w:vAlign w:val="center"/>
          </w:tcPr>
          <w:p w14:paraId="0F1C7B84" w14:textId="17D46F40" w:rsidR="00FB476A" w:rsidRPr="009F337B" w:rsidRDefault="00FB476A" w:rsidP="00F23970">
            <w:pPr>
              <w:tabs>
                <w:tab w:val="left" w:pos="1277"/>
              </w:tabs>
              <w:jc w:val="left"/>
              <w:rPr>
                <w:sz w:val="16"/>
                <w:szCs w:val="16"/>
                <w:lang w:val="en-US"/>
              </w:rPr>
            </w:pPr>
          </w:p>
        </w:tc>
      </w:tr>
      <w:tr w:rsidR="00FB476A" w:rsidRPr="009F337B" w14:paraId="1FDC1E49" w14:textId="77777777" w:rsidTr="003D3071">
        <w:tc>
          <w:tcPr>
            <w:tcW w:w="560" w:type="dxa"/>
            <w:vAlign w:val="center"/>
          </w:tcPr>
          <w:p w14:paraId="60E05DFD" w14:textId="77777777" w:rsidR="00FB476A" w:rsidRPr="009F337B" w:rsidRDefault="00FB476A" w:rsidP="003D3071">
            <w:pPr>
              <w:jc w:val="center"/>
              <w:rPr>
                <w:sz w:val="16"/>
                <w:szCs w:val="16"/>
                <w:lang w:val="en-US"/>
              </w:rPr>
            </w:pPr>
            <w:r w:rsidRPr="009F337B">
              <w:rPr>
                <w:sz w:val="16"/>
                <w:szCs w:val="16"/>
                <w:lang w:val="en-US"/>
              </w:rPr>
              <w:t>45</w:t>
            </w:r>
          </w:p>
        </w:tc>
        <w:tc>
          <w:tcPr>
            <w:tcW w:w="3092" w:type="dxa"/>
            <w:vAlign w:val="center"/>
          </w:tcPr>
          <w:p w14:paraId="1A82AB66" w14:textId="3C1CB2A8" w:rsidR="00FB476A" w:rsidRPr="009F337B" w:rsidRDefault="00FB476A" w:rsidP="00F23970">
            <w:pPr>
              <w:jc w:val="left"/>
              <w:rPr>
                <w:sz w:val="16"/>
                <w:szCs w:val="16"/>
                <w:lang w:val="en-US"/>
              </w:rPr>
            </w:pPr>
            <w:r w:rsidRPr="009F337B">
              <w:rPr>
                <w:sz w:val="16"/>
                <w:szCs w:val="16"/>
                <w:lang w:val="en-US"/>
              </w:rPr>
              <w:t>Jorge Armando Tavares Barreno</w:t>
            </w:r>
          </w:p>
        </w:tc>
        <w:tc>
          <w:tcPr>
            <w:tcW w:w="567" w:type="dxa"/>
            <w:vAlign w:val="center"/>
          </w:tcPr>
          <w:p w14:paraId="21F61E88" w14:textId="77777777" w:rsidR="00FB476A" w:rsidRPr="009F337B" w:rsidRDefault="00FB476A" w:rsidP="00F23970">
            <w:pPr>
              <w:jc w:val="left"/>
              <w:rPr>
                <w:sz w:val="16"/>
                <w:szCs w:val="16"/>
                <w:lang w:val="en-US"/>
              </w:rPr>
            </w:pPr>
          </w:p>
        </w:tc>
        <w:tc>
          <w:tcPr>
            <w:tcW w:w="4785" w:type="dxa"/>
            <w:vAlign w:val="center"/>
          </w:tcPr>
          <w:p w14:paraId="79FDFCE7" w14:textId="77777777" w:rsidR="00FB476A" w:rsidRPr="009F337B" w:rsidRDefault="00FB476A" w:rsidP="00F23970">
            <w:pPr>
              <w:tabs>
                <w:tab w:val="left" w:pos="1277"/>
              </w:tabs>
              <w:jc w:val="left"/>
              <w:rPr>
                <w:sz w:val="16"/>
                <w:szCs w:val="16"/>
                <w:lang w:val="en-US"/>
              </w:rPr>
            </w:pPr>
          </w:p>
        </w:tc>
      </w:tr>
      <w:tr w:rsidR="00FB476A" w:rsidRPr="009F337B" w14:paraId="62B343DA" w14:textId="77777777" w:rsidTr="003D3071">
        <w:tc>
          <w:tcPr>
            <w:tcW w:w="560" w:type="dxa"/>
            <w:vAlign w:val="center"/>
          </w:tcPr>
          <w:p w14:paraId="5A828D71" w14:textId="77777777" w:rsidR="00FB476A" w:rsidRPr="009F337B" w:rsidRDefault="00FB476A" w:rsidP="003D3071">
            <w:pPr>
              <w:jc w:val="center"/>
              <w:rPr>
                <w:sz w:val="16"/>
                <w:szCs w:val="16"/>
                <w:lang w:val="en-US"/>
              </w:rPr>
            </w:pPr>
            <w:r w:rsidRPr="009F337B">
              <w:rPr>
                <w:sz w:val="16"/>
                <w:szCs w:val="16"/>
                <w:lang w:val="en-US"/>
              </w:rPr>
              <w:t>46</w:t>
            </w:r>
          </w:p>
        </w:tc>
        <w:tc>
          <w:tcPr>
            <w:tcW w:w="3092" w:type="dxa"/>
            <w:vAlign w:val="center"/>
          </w:tcPr>
          <w:p w14:paraId="5D79075C" w14:textId="688E2585" w:rsidR="00FB476A" w:rsidRPr="009F337B" w:rsidRDefault="00FB476A" w:rsidP="00F23970">
            <w:pPr>
              <w:jc w:val="left"/>
              <w:rPr>
                <w:sz w:val="16"/>
                <w:szCs w:val="16"/>
                <w:lang w:val="en-US"/>
              </w:rPr>
            </w:pPr>
            <w:r w:rsidRPr="009F337B">
              <w:rPr>
                <w:sz w:val="16"/>
                <w:szCs w:val="16"/>
                <w:lang w:val="en-US"/>
              </w:rPr>
              <w:t>Miguel Lucas Vaíl</w:t>
            </w:r>
          </w:p>
        </w:tc>
        <w:tc>
          <w:tcPr>
            <w:tcW w:w="567" w:type="dxa"/>
            <w:vAlign w:val="center"/>
          </w:tcPr>
          <w:p w14:paraId="071C3010" w14:textId="77777777" w:rsidR="00FB476A" w:rsidRPr="009F337B" w:rsidRDefault="00FB476A" w:rsidP="00F23970">
            <w:pPr>
              <w:jc w:val="left"/>
              <w:rPr>
                <w:sz w:val="16"/>
                <w:szCs w:val="16"/>
                <w:lang w:val="en-US"/>
              </w:rPr>
            </w:pPr>
          </w:p>
        </w:tc>
        <w:tc>
          <w:tcPr>
            <w:tcW w:w="4785" w:type="dxa"/>
            <w:vAlign w:val="center"/>
          </w:tcPr>
          <w:p w14:paraId="5F6C8EE8" w14:textId="77777777" w:rsidR="00FB476A" w:rsidRPr="009F337B" w:rsidRDefault="00FB476A" w:rsidP="00F23970">
            <w:pPr>
              <w:tabs>
                <w:tab w:val="left" w:pos="1277"/>
              </w:tabs>
              <w:jc w:val="left"/>
              <w:rPr>
                <w:sz w:val="16"/>
                <w:szCs w:val="16"/>
                <w:lang w:val="en-US"/>
              </w:rPr>
            </w:pPr>
          </w:p>
        </w:tc>
      </w:tr>
      <w:tr w:rsidR="00FB476A" w:rsidRPr="009F337B" w14:paraId="077EDC0F" w14:textId="77777777" w:rsidTr="003D3071">
        <w:tc>
          <w:tcPr>
            <w:tcW w:w="560" w:type="dxa"/>
            <w:vAlign w:val="center"/>
          </w:tcPr>
          <w:p w14:paraId="123EFFC7" w14:textId="77777777" w:rsidR="00FB476A" w:rsidRPr="009F337B" w:rsidRDefault="00FB476A" w:rsidP="003D3071">
            <w:pPr>
              <w:jc w:val="center"/>
              <w:rPr>
                <w:sz w:val="16"/>
                <w:szCs w:val="16"/>
                <w:lang w:val="en-US"/>
              </w:rPr>
            </w:pPr>
            <w:r w:rsidRPr="009F337B">
              <w:rPr>
                <w:sz w:val="16"/>
                <w:szCs w:val="16"/>
                <w:lang w:val="en-US"/>
              </w:rPr>
              <w:t>47</w:t>
            </w:r>
          </w:p>
        </w:tc>
        <w:tc>
          <w:tcPr>
            <w:tcW w:w="3092" w:type="dxa"/>
            <w:vAlign w:val="center"/>
          </w:tcPr>
          <w:p w14:paraId="15E73941" w14:textId="77777777" w:rsidR="00FB476A" w:rsidRPr="009F337B" w:rsidRDefault="00FB476A" w:rsidP="00F23970">
            <w:pPr>
              <w:jc w:val="left"/>
              <w:rPr>
                <w:sz w:val="16"/>
                <w:szCs w:val="16"/>
                <w:lang w:val="en-US"/>
              </w:rPr>
            </w:pPr>
            <w:r w:rsidRPr="009F337B">
              <w:rPr>
                <w:sz w:val="16"/>
                <w:szCs w:val="16"/>
                <w:lang w:val="en-US"/>
              </w:rPr>
              <w:t>Santos Vásquez Oliveros</w:t>
            </w:r>
          </w:p>
        </w:tc>
        <w:tc>
          <w:tcPr>
            <w:tcW w:w="567" w:type="dxa"/>
            <w:vAlign w:val="center"/>
          </w:tcPr>
          <w:p w14:paraId="628C42C9" w14:textId="77777777" w:rsidR="00FB476A" w:rsidRPr="009F337B" w:rsidRDefault="00FB476A" w:rsidP="00F23970">
            <w:pPr>
              <w:jc w:val="left"/>
              <w:rPr>
                <w:sz w:val="16"/>
                <w:szCs w:val="16"/>
                <w:lang w:val="en-US"/>
              </w:rPr>
            </w:pPr>
          </w:p>
        </w:tc>
        <w:tc>
          <w:tcPr>
            <w:tcW w:w="4785" w:type="dxa"/>
            <w:vAlign w:val="center"/>
          </w:tcPr>
          <w:p w14:paraId="39EB007F" w14:textId="77777777" w:rsidR="00FB476A" w:rsidRPr="009F337B" w:rsidRDefault="00FB476A" w:rsidP="00F23970">
            <w:pPr>
              <w:jc w:val="left"/>
              <w:rPr>
                <w:sz w:val="16"/>
                <w:szCs w:val="16"/>
                <w:lang w:val="en-US"/>
              </w:rPr>
            </w:pPr>
          </w:p>
        </w:tc>
      </w:tr>
      <w:tr w:rsidR="00FB476A" w:rsidRPr="009F337B" w14:paraId="36241BD8" w14:textId="77777777" w:rsidTr="003D3071">
        <w:tc>
          <w:tcPr>
            <w:tcW w:w="560" w:type="dxa"/>
            <w:vAlign w:val="center"/>
          </w:tcPr>
          <w:p w14:paraId="28CCEFB6" w14:textId="77777777" w:rsidR="00FB476A" w:rsidRPr="009F337B" w:rsidRDefault="00FB476A" w:rsidP="003D3071">
            <w:pPr>
              <w:jc w:val="center"/>
              <w:rPr>
                <w:sz w:val="16"/>
                <w:szCs w:val="16"/>
                <w:lang w:val="en-US"/>
              </w:rPr>
            </w:pPr>
            <w:r w:rsidRPr="009F337B">
              <w:rPr>
                <w:sz w:val="16"/>
                <w:szCs w:val="16"/>
                <w:lang w:val="en-US"/>
              </w:rPr>
              <w:t>48</w:t>
            </w:r>
          </w:p>
        </w:tc>
        <w:tc>
          <w:tcPr>
            <w:tcW w:w="3092" w:type="dxa"/>
            <w:vAlign w:val="center"/>
          </w:tcPr>
          <w:p w14:paraId="5914DECD" w14:textId="77777777" w:rsidR="00FB476A" w:rsidRPr="009F337B" w:rsidRDefault="00FB476A" w:rsidP="00F23970">
            <w:pPr>
              <w:jc w:val="left"/>
              <w:rPr>
                <w:sz w:val="16"/>
                <w:szCs w:val="16"/>
                <w:lang w:val="en-US"/>
              </w:rPr>
            </w:pPr>
            <w:r w:rsidRPr="009F337B">
              <w:rPr>
                <w:sz w:val="16"/>
                <w:szCs w:val="16"/>
                <w:lang w:val="en-US"/>
              </w:rPr>
              <w:t>Iris Carolina Vicente Baullas</w:t>
            </w:r>
          </w:p>
        </w:tc>
        <w:tc>
          <w:tcPr>
            <w:tcW w:w="567" w:type="dxa"/>
            <w:vAlign w:val="center"/>
          </w:tcPr>
          <w:p w14:paraId="10B43578" w14:textId="77777777" w:rsidR="00FB476A" w:rsidRPr="009F337B" w:rsidRDefault="00FB476A" w:rsidP="00F23970">
            <w:pPr>
              <w:jc w:val="left"/>
              <w:rPr>
                <w:sz w:val="16"/>
                <w:szCs w:val="16"/>
                <w:lang w:val="en-US"/>
              </w:rPr>
            </w:pPr>
          </w:p>
        </w:tc>
        <w:tc>
          <w:tcPr>
            <w:tcW w:w="4785" w:type="dxa"/>
            <w:vAlign w:val="center"/>
          </w:tcPr>
          <w:p w14:paraId="6C73EBA5" w14:textId="77777777" w:rsidR="00FB476A" w:rsidRPr="009F337B" w:rsidRDefault="00FB476A" w:rsidP="00F23970">
            <w:pPr>
              <w:tabs>
                <w:tab w:val="left" w:pos="1277"/>
              </w:tabs>
              <w:jc w:val="left"/>
              <w:rPr>
                <w:sz w:val="16"/>
                <w:szCs w:val="16"/>
                <w:lang w:val="en-US"/>
              </w:rPr>
            </w:pPr>
          </w:p>
        </w:tc>
      </w:tr>
      <w:tr w:rsidR="00FB476A" w:rsidRPr="009F337B" w14:paraId="30698835" w14:textId="77777777" w:rsidTr="003D3071">
        <w:tc>
          <w:tcPr>
            <w:tcW w:w="560" w:type="dxa"/>
            <w:vAlign w:val="center"/>
          </w:tcPr>
          <w:p w14:paraId="224CED89" w14:textId="77777777" w:rsidR="00FB476A" w:rsidRPr="009F337B" w:rsidRDefault="00FB476A" w:rsidP="003D3071">
            <w:pPr>
              <w:jc w:val="center"/>
              <w:rPr>
                <w:sz w:val="16"/>
                <w:szCs w:val="16"/>
                <w:lang w:val="en-US"/>
              </w:rPr>
            </w:pPr>
            <w:r w:rsidRPr="009F337B">
              <w:rPr>
                <w:sz w:val="16"/>
                <w:szCs w:val="16"/>
                <w:lang w:val="en-US"/>
              </w:rPr>
              <w:t>49</w:t>
            </w:r>
          </w:p>
        </w:tc>
        <w:tc>
          <w:tcPr>
            <w:tcW w:w="3092" w:type="dxa"/>
            <w:vAlign w:val="center"/>
          </w:tcPr>
          <w:p w14:paraId="7C415FDB" w14:textId="77777777" w:rsidR="00FB476A" w:rsidRPr="009F337B" w:rsidRDefault="00FB476A" w:rsidP="00F23970">
            <w:pPr>
              <w:jc w:val="left"/>
              <w:rPr>
                <w:sz w:val="16"/>
                <w:szCs w:val="16"/>
                <w:lang w:val="en-US"/>
              </w:rPr>
            </w:pPr>
            <w:r w:rsidRPr="009F337B">
              <w:rPr>
                <w:sz w:val="16"/>
                <w:szCs w:val="16"/>
                <w:lang w:val="en-US"/>
              </w:rPr>
              <w:t>Sandra Lisbeth Zepeda Herrera</w:t>
            </w:r>
          </w:p>
        </w:tc>
        <w:tc>
          <w:tcPr>
            <w:tcW w:w="567" w:type="dxa"/>
            <w:vAlign w:val="center"/>
          </w:tcPr>
          <w:p w14:paraId="73075283" w14:textId="77777777" w:rsidR="00FB476A" w:rsidRPr="009F337B" w:rsidRDefault="00FB476A" w:rsidP="00F23970">
            <w:pPr>
              <w:jc w:val="left"/>
              <w:rPr>
                <w:sz w:val="16"/>
                <w:szCs w:val="16"/>
                <w:lang w:val="en-US"/>
              </w:rPr>
            </w:pPr>
          </w:p>
        </w:tc>
        <w:tc>
          <w:tcPr>
            <w:tcW w:w="4785" w:type="dxa"/>
            <w:vAlign w:val="center"/>
          </w:tcPr>
          <w:p w14:paraId="7AF55277" w14:textId="77777777" w:rsidR="00FB476A" w:rsidRPr="009F337B" w:rsidRDefault="00FB476A" w:rsidP="00F23970">
            <w:pPr>
              <w:tabs>
                <w:tab w:val="left" w:pos="1002"/>
              </w:tabs>
              <w:jc w:val="left"/>
              <w:rPr>
                <w:sz w:val="16"/>
                <w:szCs w:val="16"/>
                <w:lang w:val="en-US"/>
              </w:rPr>
            </w:pPr>
          </w:p>
        </w:tc>
      </w:tr>
    </w:tbl>
    <w:p w14:paraId="5B9B1F29" w14:textId="77777777" w:rsidR="000D2D79" w:rsidRPr="009F337B" w:rsidRDefault="000D2D79" w:rsidP="00F23970">
      <w:pPr>
        <w:jc w:val="left"/>
        <w:rPr>
          <w:lang w:val="en-US"/>
        </w:rPr>
      </w:pPr>
    </w:p>
    <w:p w14:paraId="7D7CB483" w14:textId="77777777" w:rsidR="000D2D79" w:rsidRPr="009F337B" w:rsidRDefault="000D2D79">
      <w:pPr>
        <w:spacing w:after="200" w:line="276" w:lineRule="auto"/>
        <w:jc w:val="left"/>
        <w:rPr>
          <w:rFonts w:eastAsia="Times New Roman" w:cs="Verdana"/>
          <w:b/>
          <w:bCs/>
          <w:caps/>
          <w:snapToGrid w:val="0"/>
          <w:szCs w:val="20"/>
          <w:lang w:val="en-US" w:eastAsia="es-ES"/>
        </w:rPr>
      </w:pPr>
      <w:r w:rsidRPr="009F337B">
        <w:rPr>
          <w:lang w:val="en-US"/>
        </w:rPr>
        <w:br w:type="page"/>
      </w:r>
    </w:p>
    <w:p w14:paraId="1B8FC02C" w14:textId="36300CD1" w:rsidR="009952CE" w:rsidRPr="009F337B" w:rsidRDefault="00FE0773" w:rsidP="000D2D79">
      <w:pPr>
        <w:pStyle w:val="Ttulo1"/>
        <w:rPr>
          <w:lang w:val="en-US"/>
        </w:rPr>
      </w:pPr>
      <w:bookmarkStart w:id="150" w:name="_Toc527466509"/>
      <w:r w:rsidRPr="009F337B">
        <w:rPr>
          <w:lang w:val="en-US"/>
        </w:rPr>
        <w:lastRenderedPageBreak/>
        <w:t>An</w:t>
      </w:r>
      <w:r w:rsidR="003E1304" w:rsidRPr="009F337B">
        <w:rPr>
          <w:lang w:val="en-US"/>
        </w:rPr>
        <w:t>nex</w:t>
      </w:r>
      <w:r w:rsidRPr="009F337B">
        <w:rPr>
          <w:lang w:val="en-US"/>
        </w:rPr>
        <w:t xml:space="preserve"> 3</w:t>
      </w:r>
      <w:r w:rsidR="009952CE" w:rsidRPr="009F337B">
        <w:rPr>
          <w:lang w:val="en-US"/>
        </w:rPr>
        <w:t>. Individualiza</w:t>
      </w:r>
      <w:r w:rsidR="00A636B6" w:rsidRPr="009F337B">
        <w:rPr>
          <w:lang w:val="en-US"/>
        </w:rPr>
        <w:t>TIO</w:t>
      </w:r>
      <w:r w:rsidR="003E1304" w:rsidRPr="009F337B">
        <w:rPr>
          <w:lang w:val="en-US"/>
        </w:rPr>
        <w:t>N</w:t>
      </w:r>
      <w:r w:rsidR="00A636B6" w:rsidRPr="009F337B">
        <w:rPr>
          <w:lang w:val="en-US"/>
        </w:rPr>
        <w:t xml:space="preserve"> OF THE VICTIMS </w:t>
      </w:r>
      <w:r w:rsidR="003C46A3" w:rsidRPr="009F337B">
        <w:rPr>
          <w:lang w:val="en-US"/>
        </w:rPr>
        <w:t xml:space="preserve">and </w:t>
      </w:r>
      <w:r w:rsidR="00BB0DF2" w:rsidRPr="009F337B">
        <w:rPr>
          <w:lang w:val="en-US"/>
        </w:rPr>
        <w:t>their next of kin</w:t>
      </w:r>
      <w:bookmarkEnd w:id="150"/>
    </w:p>
    <w:p w14:paraId="33D83787" w14:textId="77777777" w:rsidR="003C2AC6" w:rsidRPr="009F337B" w:rsidRDefault="003C2AC6" w:rsidP="003C2AC6">
      <w:pPr>
        <w:rPr>
          <w:lang w:val="en-US" w:eastAsia="es-ES"/>
        </w:rPr>
      </w:pPr>
    </w:p>
    <w:p w14:paraId="5C8418A7" w14:textId="6C68812B" w:rsidR="003C2AC6" w:rsidRPr="009F337B" w:rsidRDefault="003C2AC6" w:rsidP="003C2AC6">
      <w:pPr>
        <w:pStyle w:val="PrrafodeSentencia"/>
        <w:rPr>
          <w:lang w:val="en-US"/>
        </w:rPr>
      </w:pPr>
      <w:r w:rsidRPr="009F337B">
        <w:rPr>
          <w:lang w:val="en-US"/>
        </w:rPr>
        <w:t xml:space="preserve">A. Persons </w:t>
      </w:r>
      <w:r w:rsidR="0010522A" w:rsidRPr="009F337B">
        <w:rPr>
          <w:lang w:val="en-US"/>
        </w:rPr>
        <w:t>Deceased</w:t>
      </w:r>
    </w:p>
    <w:p w14:paraId="52B2B64F" w14:textId="77777777" w:rsidR="003C2AC6" w:rsidRPr="009F337B" w:rsidRDefault="003C2AC6" w:rsidP="003C2AC6">
      <w:pPr>
        <w:pStyle w:val="PrrafodeSentencia"/>
        <w:rPr>
          <w:lang w:val="en-US"/>
        </w:rPr>
      </w:pPr>
    </w:p>
    <w:p w14:paraId="2D08D97B" w14:textId="11E531F1" w:rsidR="003C2AC6" w:rsidRPr="009F337B" w:rsidRDefault="003C2AC6" w:rsidP="003C2AC6">
      <w:pPr>
        <w:pStyle w:val="PrrafodeSentencia"/>
        <w:rPr>
          <w:lang w:val="en-US"/>
        </w:rPr>
      </w:pPr>
      <w:r w:rsidRPr="009F337B">
        <w:rPr>
          <w:lang w:val="en-US"/>
        </w:rPr>
        <w:tab/>
        <w:t>A.1. Facundo Gómez Reyes</w:t>
      </w:r>
    </w:p>
    <w:p w14:paraId="478C02EC" w14:textId="77777777" w:rsidR="003C2AC6" w:rsidRPr="009F337B" w:rsidRDefault="003C2AC6" w:rsidP="003C2AC6">
      <w:pPr>
        <w:pStyle w:val="PrrafodeSentencia"/>
        <w:rPr>
          <w:lang w:val="en-US"/>
        </w:rPr>
      </w:pPr>
    </w:p>
    <w:p w14:paraId="6158FD43" w14:textId="7F70F7FF" w:rsidR="003C2AC6" w:rsidRPr="009F337B" w:rsidRDefault="003E1304" w:rsidP="00593E37">
      <w:pPr>
        <w:pStyle w:val="Estilo1"/>
        <w:numPr>
          <w:ilvl w:val="0"/>
          <w:numId w:val="5"/>
        </w:numPr>
        <w:tabs>
          <w:tab w:val="left" w:pos="709"/>
          <w:tab w:val="left" w:pos="1134"/>
        </w:tabs>
        <w:spacing w:after="0"/>
        <w:ind w:left="0" w:right="-4" w:firstLine="0"/>
        <w:rPr>
          <w:b/>
          <w:i w:val="0"/>
          <w:szCs w:val="20"/>
          <w:lang w:val="en-US"/>
        </w:rPr>
      </w:pPr>
      <w:r w:rsidRPr="009F337B">
        <w:rPr>
          <w:i w:val="0"/>
          <w:szCs w:val="20"/>
          <w:lang w:val="en-US"/>
        </w:rPr>
        <w:t>Mr.</w:t>
      </w:r>
      <w:r w:rsidR="003C2AC6" w:rsidRPr="009F337B">
        <w:rPr>
          <w:i w:val="0"/>
          <w:szCs w:val="20"/>
          <w:lang w:val="en-US"/>
        </w:rPr>
        <w:t xml:space="preserve"> Gómez Reyes </w:t>
      </w:r>
      <w:r w:rsidRPr="009F337B">
        <w:rPr>
          <w:i w:val="0"/>
          <w:szCs w:val="20"/>
          <w:lang w:val="en-US"/>
        </w:rPr>
        <w:t>was born on</w:t>
      </w:r>
      <w:r w:rsidR="003C2AC6" w:rsidRPr="009F337B">
        <w:rPr>
          <w:i w:val="0"/>
          <w:szCs w:val="20"/>
          <w:lang w:val="en-US"/>
        </w:rPr>
        <w:t xml:space="preserve"> </w:t>
      </w:r>
      <w:r w:rsidRPr="009F337B">
        <w:rPr>
          <w:i w:val="0"/>
          <w:szCs w:val="20"/>
          <w:lang w:val="en-US"/>
        </w:rPr>
        <w:t>November 27,</w:t>
      </w:r>
      <w:r w:rsidR="003C2AC6" w:rsidRPr="009F337B">
        <w:rPr>
          <w:i w:val="0"/>
          <w:szCs w:val="20"/>
          <w:lang w:val="en-US"/>
        </w:rPr>
        <w:t xml:space="preserve"> 1975. </w:t>
      </w:r>
      <w:r w:rsidRPr="009F337B">
        <w:rPr>
          <w:i w:val="0"/>
          <w:szCs w:val="20"/>
          <w:lang w:val="en-US"/>
        </w:rPr>
        <w:t xml:space="preserve">He was diagnosed with HIV in April 2002, </w:t>
      </w:r>
      <w:r w:rsidR="007F1AEB" w:rsidRPr="009F337B">
        <w:rPr>
          <w:i w:val="0"/>
          <w:szCs w:val="20"/>
          <w:lang w:val="en-US"/>
        </w:rPr>
        <w:t>through</w:t>
      </w:r>
      <w:r w:rsidR="00D870F3" w:rsidRPr="009F337B">
        <w:rPr>
          <w:i w:val="0"/>
          <w:szCs w:val="20"/>
          <w:lang w:val="en-US"/>
        </w:rPr>
        <w:t xml:space="preserve"> the</w:t>
      </w:r>
      <w:r w:rsidRPr="009F337B">
        <w:rPr>
          <w:i w:val="0"/>
          <w:szCs w:val="20"/>
          <w:lang w:val="en-US"/>
        </w:rPr>
        <w:t xml:space="preserve"> </w:t>
      </w:r>
      <w:r w:rsidR="003C2AC6" w:rsidRPr="009F337B">
        <w:rPr>
          <w:i w:val="0"/>
          <w:szCs w:val="20"/>
          <w:lang w:val="en-US"/>
        </w:rPr>
        <w:t>“</w:t>
      </w:r>
      <w:r w:rsidR="00AE674B" w:rsidRPr="009F337B">
        <w:rPr>
          <w:szCs w:val="20"/>
          <w:lang w:val="en-US"/>
        </w:rPr>
        <w:t>Proyecto Vida</w:t>
      </w:r>
      <w:r w:rsidR="003C2AC6" w:rsidRPr="009F337B">
        <w:rPr>
          <w:i w:val="0"/>
          <w:szCs w:val="20"/>
          <w:lang w:val="en-US"/>
        </w:rPr>
        <w:t xml:space="preserve">” </w:t>
      </w:r>
      <w:r w:rsidR="007F1AEB" w:rsidRPr="009F337B">
        <w:rPr>
          <w:i w:val="0"/>
          <w:szCs w:val="20"/>
          <w:lang w:val="en-US"/>
        </w:rPr>
        <w:t>of</w:t>
      </w:r>
      <w:r w:rsidR="003C2AC6" w:rsidRPr="009F337B">
        <w:rPr>
          <w:i w:val="0"/>
          <w:szCs w:val="20"/>
          <w:lang w:val="en-US"/>
        </w:rPr>
        <w:t xml:space="preserve"> </w:t>
      </w:r>
      <w:r w:rsidRPr="009F337B">
        <w:rPr>
          <w:i w:val="0"/>
          <w:szCs w:val="20"/>
          <w:lang w:val="en-US"/>
        </w:rPr>
        <w:t xml:space="preserve">the non-governmental organization </w:t>
      </w:r>
      <w:r w:rsidR="003C2AC6" w:rsidRPr="009F337B">
        <w:rPr>
          <w:i w:val="0"/>
          <w:szCs w:val="20"/>
          <w:lang w:val="en-US"/>
        </w:rPr>
        <w:t>“</w:t>
      </w:r>
      <w:r w:rsidRPr="009F337B">
        <w:rPr>
          <w:rStyle w:val="st"/>
          <w:lang w:val="en-US"/>
        </w:rPr>
        <w:t xml:space="preserve">Médecins Sans </w:t>
      </w:r>
      <w:proofErr w:type="spellStart"/>
      <w:r w:rsidRPr="009F337B">
        <w:rPr>
          <w:rStyle w:val="st"/>
          <w:lang w:val="en-US"/>
        </w:rPr>
        <w:t>Frontières</w:t>
      </w:r>
      <w:proofErr w:type="spellEnd"/>
      <w:r w:rsidRPr="009F337B">
        <w:rPr>
          <w:rStyle w:val="st"/>
          <w:lang w:val="en-US"/>
        </w:rPr>
        <w:t>/</w:t>
      </w:r>
      <w:r w:rsidRPr="009F337B">
        <w:rPr>
          <w:rStyle w:val="nfasis"/>
          <w:lang w:val="en-US"/>
        </w:rPr>
        <w:t xml:space="preserve">Doctors </w:t>
      </w:r>
      <w:r w:rsidRPr="009F337B">
        <w:rPr>
          <w:i w:val="0"/>
          <w:szCs w:val="20"/>
          <w:lang w:val="en-US"/>
        </w:rPr>
        <w:t xml:space="preserve">Without Borders </w:t>
      </w:r>
      <w:r w:rsidR="003C2AC6" w:rsidRPr="009F337B">
        <w:rPr>
          <w:i w:val="0"/>
          <w:szCs w:val="20"/>
          <w:lang w:val="en-US"/>
        </w:rPr>
        <w:t>(</w:t>
      </w:r>
      <w:r w:rsidR="00AE5F9E" w:rsidRPr="009F337B">
        <w:rPr>
          <w:i w:val="0"/>
          <w:szCs w:val="20"/>
          <w:lang w:val="en-US"/>
        </w:rPr>
        <w:t>hereinafter</w:t>
      </w:r>
      <w:r w:rsidR="003C2AC6" w:rsidRPr="009F337B">
        <w:rPr>
          <w:i w:val="0"/>
          <w:szCs w:val="20"/>
          <w:lang w:val="en-US"/>
        </w:rPr>
        <w:t xml:space="preserve"> “MSF”). </w:t>
      </w:r>
      <w:r w:rsidRPr="009F337B">
        <w:rPr>
          <w:i w:val="0"/>
          <w:szCs w:val="20"/>
          <w:lang w:val="en-US"/>
        </w:rPr>
        <w:t>He was a carpenter and did not know how to read or write. He lived in the municipality</w:t>
      </w:r>
      <w:r w:rsidR="003C2AC6" w:rsidRPr="009F337B">
        <w:rPr>
          <w:i w:val="0"/>
          <w:szCs w:val="20"/>
          <w:lang w:val="en-US"/>
        </w:rPr>
        <w:t xml:space="preserve"> </w:t>
      </w:r>
      <w:r w:rsidRPr="009F337B">
        <w:rPr>
          <w:i w:val="0"/>
          <w:szCs w:val="20"/>
          <w:lang w:val="en-US"/>
        </w:rPr>
        <w:t>of</w:t>
      </w:r>
      <w:r w:rsidR="003C2AC6" w:rsidRPr="009F337B">
        <w:rPr>
          <w:i w:val="0"/>
          <w:szCs w:val="20"/>
          <w:lang w:val="en-US"/>
        </w:rPr>
        <w:t xml:space="preserve"> Retalhuleu, </w:t>
      </w:r>
      <w:r w:rsidRPr="009F337B">
        <w:rPr>
          <w:i w:val="0"/>
          <w:szCs w:val="20"/>
          <w:lang w:val="en-US"/>
        </w:rPr>
        <w:t>department of</w:t>
      </w:r>
      <w:r w:rsidR="003C2AC6" w:rsidRPr="009F337B">
        <w:rPr>
          <w:i w:val="0"/>
          <w:szCs w:val="20"/>
          <w:lang w:val="en-US"/>
        </w:rPr>
        <w:t xml:space="preserve"> Retalhuleu, Guatemala. </w:t>
      </w:r>
      <w:r w:rsidRPr="009F337B">
        <w:rPr>
          <w:i w:val="0"/>
          <w:szCs w:val="20"/>
          <w:lang w:val="en-US"/>
        </w:rPr>
        <w:t>Mr.</w:t>
      </w:r>
      <w:r w:rsidR="003C2AC6" w:rsidRPr="009F337B">
        <w:rPr>
          <w:i w:val="0"/>
          <w:szCs w:val="20"/>
          <w:lang w:val="en-US"/>
        </w:rPr>
        <w:t xml:space="preserve"> Gómez Reyes </w:t>
      </w:r>
      <w:r w:rsidRPr="009F337B">
        <w:rPr>
          <w:i w:val="0"/>
          <w:szCs w:val="20"/>
          <w:lang w:val="en-US"/>
        </w:rPr>
        <w:t>did not have access to</w:t>
      </w:r>
      <w:r w:rsidR="003C2AC6" w:rsidRPr="009F337B">
        <w:rPr>
          <w:i w:val="0"/>
          <w:szCs w:val="20"/>
          <w:lang w:val="en-US"/>
        </w:rPr>
        <w:t xml:space="preserve"> </w:t>
      </w:r>
      <w:r w:rsidRPr="009F337B">
        <w:rPr>
          <w:i w:val="0"/>
          <w:szCs w:val="20"/>
          <w:lang w:val="en-US"/>
        </w:rPr>
        <w:t xml:space="preserve">timely </w:t>
      </w:r>
      <w:r w:rsidR="00FE1EFF" w:rsidRPr="009F337B">
        <w:rPr>
          <w:i w:val="0"/>
          <w:szCs w:val="20"/>
          <w:lang w:val="en-US"/>
        </w:rPr>
        <w:t>antiretroviral treatment</w:t>
      </w:r>
      <w:r w:rsidR="003C2AC6" w:rsidRPr="009F337B">
        <w:rPr>
          <w:i w:val="0"/>
          <w:szCs w:val="20"/>
          <w:lang w:val="en-US"/>
        </w:rPr>
        <w:t xml:space="preserve"> </w:t>
      </w:r>
      <w:r w:rsidRPr="009F337B">
        <w:rPr>
          <w:i w:val="0"/>
          <w:szCs w:val="20"/>
          <w:lang w:val="en-US"/>
        </w:rPr>
        <w:t>or to</w:t>
      </w:r>
      <w:r w:rsidR="003C2AC6" w:rsidRPr="009F337B">
        <w:rPr>
          <w:i w:val="0"/>
          <w:szCs w:val="20"/>
          <w:lang w:val="en-US"/>
        </w:rPr>
        <w:t xml:space="preserve"> </w:t>
      </w:r>
      <w:r w:rsidRPr="009F337B">
        <w:rPr>
          <w:i w:val="0"/>
          <w:szCs w:val="20"/>
          <w:lang w:val="en-US"/>
        </w:rPr>
        <w:t>CD4 counts and viral load, genotype and phenotype tests</w:t>
      </w:r>
      <w:r w:rsidR="003C2AC6" w:rsidRPr="009F337B">
        <w:rPr>
          <w:i w:val="0"/>
          <w:szCs w:val="20"/>
          <w:lang w:val="en-US"/>
        </w:rPr>
        <w:t xml:space="preserve">. </w:t>
      </w:r>
      <w:r w:rsidRPr="009F337B">
        <w:rPr>
          <w:i w:val="0"/>
          <w:szCs w:val="20"/>
          <w:lang w:val="en-US"/>
        </w:rPr>
        <w:t xml:space="preserve">As a result of his condition, he suffered </w:t>
      </w:r>
      <w:r w:rsidR="007F1AEB" w:rsidRPr="009F337B">
        <w:rPr>
          <w:bCs/>
          <w:i w:val="0"/>
          <w:lang w:val="en-US"/>
        </w:rPr>
        <w:t>multidrug-resistant</w:t>
      </w:r>
      <w:r w:rsidR="007F1AEB" w:rsidRPr="009F337B">
        <w:rPr>
          <w:lang w:val="en-US"/>
        </w:rPr>
        <w:t xml:space="preserve"> </w:t>
      </w:r>
      <w:r w:rsidRPr="009F337B">
        <w:rPr>
          <w:i w:val="0"/>
          <w:szCs w:val="20"/>
          <w:lang w:val="en-US"/>
        </w:rPr>
        <w:t>lymph node tuberculosis</w:t>
      </w:r>
      <w:r w:rsidR="003C2AC6" w:rsidRPr="009F337B">
        <w:rPr>
          <w:i w:val="0"/>
          <w:szCs w:val="20"/>
          <w:lang w:val="en-US"/>
        </w:rPr>
        <w:t xml:space="preserve">. </w:t>
      </w:r>
      <w:r w:rsidR="007F1AEB" w:rsidRPr="009F337B">
        <w:rPr>
          <w:i w:val="0"/>
          <w:szCs w:val="20"/>
          <w:lang w:val="en-US"/>
        </w:rPr>
        <w:t>His last medical appointment w</w:t>
      </w:r>
      <w:r w:rsidR="0084040D" w:rsidRPr="009F337B">
        <w:rPr>
          <w:i w:val="0"/>
          <w:szCs w:val="20"/>
          <w:lang w:val="en-US"/>
        </w:rPr>
        <w:t>a</w:t>
      </w:r>
      <w:r w:rsidR="007F1AEB" w:rsidRPr="009F337B">
        <w:rPr>
          <w:i w:val="0"/>
          <w:szCs w:val="20"/>
          <w:lang w:val="en-US"/>
        </w:rPr>
        <w:t>s</w:t>
      </w:r>
      <w:r w:rsidR="0084040D" w:rsidRPr="009F337B">
        <w:rPr>
          <w:i w:val="0"/>
          <w:szCs w:val="20"/>
          <w:lang w:val="en-US"/>
        </w:rPr>
        <w:t xml:space="preserve"> </w:t>
      </w:r>
      <w:r w:rsidR="007F1AEB" w:rsidRPr="009F337B">
        <w:rPr>
          <w:i w:val="0"/>
          <w:szCs w:val="20"/>
          <w:lang w:val="en-US"/>
        </w:rPr>
        <w:t>on February 18, 2005. He died on February 27,</w:t>
      </w:r>
      <w:r w:rsidR="003C2AC6" w:rsidRPr="009F337B">
        <w:rPr>
          <w:i w:val="0"/>
          <w:szCs w:val="20"/>
          <w:lang w:val="en-US"/>
        </w:rPr>
        <w:t xml:space="preserve"> 2003, </w:t>
      </w:r>
      <w:r w:rsidR="007F1AEB" w:rsidRPr="009F337B">
        <w:rPr>
          <w:i w:val="0"/>
          <w:szCs w:val="20"/>
          <w:lang w:val="en-US"/>
        </w:rPr>
        <w:t xml:space="preserve">due to </w:t>
      </w:r>
      <w:r w:rsidR="003C2AC6" w:rsidRPr="009F337B">
        <w:rPr>
          <w:i w:val="0"/>
          <w:szCs w:val="20"/>
          <w:lang w:val="en-US"/>
        </w:rPr>
        <w:t>tuberculosis</w:t>
      </w:r>
      <w:r w:rsidR="007F1AEB" w:rsidRPr="009F337B">
        <w:rPr>
          <w:i w:val="0"/>
          <w:szCs w:val="20"/>
          <w:lang w:val="en-US"/>
        </w:rPr>
        <w:t>.</w:t>
      </w:r>
      <w:r w:rsidR="003C2AC6" w:rsidRPr="009F337B">
        <w:rPr>
          <w:rStyle w:val="Refdenotaalpie"/>
          <w:i w:val="0"/>
          <w:lang w:val="en-US"/>
        </w:rPr>
        <w:footnoteReference w:id="260"/>
      </w:r>
    </w:p>
    <w:p w14:paraId="2DF8D1E7" w14:textId="77777777" w:rsidR="003C2AC6" w:rsidRPr="009F337B" w:rsidRDefault="003C2AC6" w:rsidP="003C2AC6">
      <w:pPr>
        <w:pStyle w:val="Estilo1"/>
        <w:tabs>
          <w:tab w:val="left" w:pos="709"/>
          <w:tab w:val="left" w:pos="1134"/>
        </w:tabs>
        <w:spacing w:after="0"/>
        <w:ind w:left="0" w:right="-4" w:firstLine="0"/>
        <w:rPr>
          <w:b/>
          <w:i w:val="0"/>
          <w:szCs w:val="20"/>
          <w:lang w:val="en-US"/>
        </w:rPr>
      </w:pPr>
    </w:p>
    <w:p w14:paraId="3D99473C" w14:textId="49B00263" w:rsidR="003C2AC6" w:rsidRPr="009F337B" w:rsidRDefault="007F1AEB" w:rsidP="00593E37">
      <w:pPr>
        <w:pStyle w:val="Estilo1"/>
        <w:numPr>
          <w:ilvl w:val="0"/>
          <w:numId w:val="5"/>
        </w:numPr>
        <w:tabs>
          <w:tab w:val="left" w:pos="709"/>
          <w:tab w:val="left" w:pos="1134"/>
        </w:tabs>
        <w:spacing w:after="0"/>
        <w:ind w:left="0" w:right="-4" w:firstLine="0"/>
        <w:rPr>
          <w:b/>
          <w:i w:val="0"/>
          <w:szCs w:val="20"/>
          <w:lang w:val="en-US"/>
        </w:rPr>
      </w:pPr>
      <w:r w:rsidRPr="009F337B">
        <w:rPr>
          <w:i w:val="0"/>
          <w:szCs w:val="20"/>
          <w:lang w:val="en-US"/>
        </w:rPr>
        <w:t xml:space="preserve">His </w:t>
      </w:r>
      <w:r w:rsidR="003B5D80" w:rsidRPr="009F337B">
        <w:rPr>
          <w:i w:val="0"/>
          <w:szCs w:val="20"/>
          <w:lang w:val="en-US"/>
        </w:rPr>
        <w:t>family unit</w:t>
      </w:r>
      <w:r w:rsidRPr="009F337B">
        <w:rPr>
          <w:i w:val="0"/>
          <w:szCs w:val="20"/>
          <w:lang w:val="en-US"/>
        </w:rPr>
        <w:t xml:space="preserve"> consisted of his</w:t>
      </w:r>
      <w:r w:rsidR="003C2AC6" w:rsidRPr="009F337B">
        <w:rPr>
          <w:i w:val="0"/>
          <w:szCs w:val="20"/>
          <w:lang w:val="en-US"/>
        </w:rPr>
        <w:t xml:space="preserve"> </w:t>
      </w:r>
      <w:r w:rsidRPr="009F337B">
        <w:rPr>
          <w:i w:val="0"/>
          <w:szCs w:val="20"/>
          <w:lang w:val="en-US"/>
        </w:rPr>
        <w:t>c</w:t>
      </w:r>
      <w:r w:rsidR="007419BE" w:rsidRPr="009F337B">
        <w:rPr>
          <w:i w:val="0"/>
          <w:szCs w:val="20"/>
          <w:lang w:val="en-US"/>
        </w:rPr>
        <w:t>ompanion</w:t>
      </w:r>
      <w:r w:rsidR="003C2AC6" w:rsidRPr="009F337B">
        <w:rPr>
          <w:i w:val="0"/>
          <w:szCs w:val="20"/>
          <w:lang w:val="en-US"/>
        </w:rPr>
        <w:t>, María Elena Morales Villafuerte (</w:t>
      </w:r>
      <w:r w:rsidRPr="009F337B">
        <w:rPr>
          <w:i w:val="0"/>
          <w:szCs w:val="20"/>
          <w:lang w:val="en-US"/>
        </w:rPr>
        <w:t>diagnosed with</w:t>
      </w:r>
      <w:r w:rsidR="003C2AC6" w:rsidRPr="009F337B">
        <w:rPr>
          <w:i w:val="0"/>
          <w:szCs w:val="20"/>
          <w:lang w:val="en-US"/>
        </w:rPr>
        <w:t xml:space="preserve"> </w:t>
      </w:r>
      <w:r w:rsidR="00CA11F6" w:rsidRPr="009F337B">
        <w:rPr>
          <w:i w:val="0"/>
          <w:szCs w:val="20"/>
          <w:lang w:val="en-US"/>
        </w:rPr>
        <w:t>HIV</w:t>
      </w:r>
      <w:r w:rsidR="003C2AC6" w:rsidRPr="009F337B">
        <w:rPr>
          <w:i w:val="0"/>
          <w:szCs w:val="20"/>
          <w:lang w:val="en-US"/>
        </w:rPr>
        <w:t>),</w:t>
      </w:r>
      <w:r w:rsidR="003C46A3" w:rsidRPr="009F337B">
        <w:rPr>
          <w:i w:val="0"/>
          <w:szCs w:val="20"/>
          <w:lang w:val="en-US"/>
        </w:rPr>
        <w:t xml:space="preserve"> and </w:t>
      </w:r>
      <w:r w:rsidRPr="009F337B">
        <w:rPr>
          <w:i w:val="0"/>
          <w:szCs w:val="20"/>
          <w:lang w:val="en-US"/>
        </w:rPr>
        <w:t>his</w:t>
      </w:r>
      <w:r w:rsidR="003C2AC6" w:rsidRPr="009F337B">
        <w:rPr>
          <w:i w:val="0"/>
          <w:szCs w:val="20"/>
          <w:lang w:val="en-US"/>
        </w:rPr>
        <w:t xml:space="preserve"> </w:t>
      </w:r>
      <w:r w:rsidR="0010522A" w:rsidRPr="009F337B">
        <w:rPr>
          <w:i w:val="0"/>
          <w:szCs w:val="20"/>
          <w:lang w:val="en-US"/>
        </w:rPr>
        <w:t>son</w:t>
      </w:r>
      <w:r w:rsidR="003C2AC6" w:rsidRPr="009F337B">
        <w:rPr>
          <w:i w:val="0"/>
          <w:szCs w:val="20"/>
          <w:lang w:val="en-US"/>
        </w:rPr>
        <w:t>s Brandon David Adalberto</w:t>
      </w:r>
      <w:r w:rsidR="003C46A3" w:rsidRPr="009F337B">
        <w:rPr>
          <w:i w:val="0"/>
          <w:szCs w:val="20"/>
          <w:lang w:val="en-US"/>
        </w:rPr>
        <w:t xml:space="preserve"> and </w:t>
      </w:r>
      <w:r w:rsidR="003C2AC6" w:rsidRPr="009F337B">
        <w:rPr>
          <w:i w:val="0"/>
          <w:szCs w:val="20"/>
          <w:lang w:val="en-US"/>
        </w:rPr>
        <w:t xml:space="preserve">Gerson Facundo, </w:t>
      </w:r>
      <w:r w:rsidR="007B07E2" w:rsidRPr="009F337B">
        <w:rPr>
          <w:i w:val="0"/>
          <w:szCs w:val="20"/>
          <w:lang w:val="en-US"/>
        </w:rPr>
        <w:t>both</w:t>
      </w:r>
      <w:r w:rsidR="003C2AC6" w:rsidRPr="009F337B">
        <w:rPr>
          <w:i w:val="0"/>
          <w:szCs w:val="20"/>
          <w:lang w:val="en-US"/>
        </w:rPr>
        <w:t xml:space="preserve"> Gómez Morales</w:t>
      </w:r>
      <w:r w:rsidRPr="009F337B">
        <w:rPr>
          <w:i w:val="0"/>
          <w:szCs w:val="20"/>
          <w:lang w:val="en-US"/>
        </w:rPr>
        <w:t>.</w:t>
      </w:r>
      <w:r w:rsidR="003C2AC6" w:rsidRPr="009F337B">
        <w:rPr>
          <w:rStyle w:val="Refdenotaalpie"/>
          <w:i w:val="0"/>
          <w:lang w:val="en-US"/>
        </w:rPr>
        <w:footnoteReference w:id="261"/>
      </w:r>
    </w:p>
    <w:p w14:paraId="3C4EAB1A" w14:textId="77777777" w:rsidR="003C2AC6" w:rsidRPr="009F337B" w:rsidRDefault="003C2AC6" w:rsidP="003C2AC6">
      <w:pPr>
        <w:pStyle w:val="PrrafodeSentencia"/>
        <w:rPr>
          <w:lang w:val="en-US"/>
        </w:rPr>
      </w:pPr>
    </w:p>
    <w:p w14:paraId="3106EA46" w14:textId="60C010D9" w:rsidR="003C2AC6" w:rsidRPr="009F337B" w:rsidRDefault="003C2AC6" w:rsidP="003C2AC6">
      <w:pPr>
        <w:pStyle w:val="PrrafodeSentencia"/>
        <w:rPr>
          <w:lang w:val="en-US"/>
        </w:rPr>
      </w:pPr>
      <w:r w:rsidRPr="009F337B">
        <w:rPr>
          <w:lang w:val="en-US"/>
        </w:rPr>
        <w:tab/>
        <w:t>A.2. Reina López Mujica</w:t>
      </w:r>
    </w:p>
    <w:p w14:paraId="7156537F" w14:textId="77777777" w:rsidR="003C2AC6" w:rsidRPr="009F337B" w:rsidRDefault="003C2AC6" w:rsidP="003C2AC6">
      <w:pPr>
        <w:pStyle w:val="PrrafodeSentencia"/>
        <w:rPr>
          <w:lang w:val="en-US"/>
        </w:rPr>
      </w:pPr>
    </w:p>
    <w:p w14:paraId="17CE27B3" w14:textId="529F9BE5" w:rsidR="003C2AC6" w:rsidRPr="009F337B" w:rsidRDefault="007F1AEB" w:rsidP="00593E37">
      <w:pPr>
        <w:pStyle w:val="Estilo1"/>
        <w:numPr>
          <w:ilvl w:val="0"/>
          <w:numId w:val="5"/>
        </w:numPr>
        <w:tabs>
          <w:tab w:val="left" w:pos="709"/>
          <w:tab w:val="left" w:pos="1134"/>
        </w:tabs>
        <w:spacing w:after="0"/>
        <w:ind w:left="0" w:right="-4" w:firstLine="0"/>
        <w:rPr>
          <w:i w:val="0"/>
          <w:szCs w:val="20"/>
          <w:lang w:val="en-US"/>
        </w:rPr>
      </w:pPr>
      <w:r w:rsidRPr="009F337B">
        <w:rPr>
          <w:i w:val="0"/>
          <w:szCs w:val="20"/>
          <w:lang w:val="en-US"/>
        </w:rPr>
        <w:t>Ms.</w:t>
      </w:r>
      <w:r w:rsidR="003C2AC6" w:rsidRPr="009F337B">
        <w:rPr>
          <w:i w:val="0"/>
          <w:szCs w:val="20"/>
          <w:lang w:val="en-US"/>
        </w:rPr>
        <w:t xml:space="preserve"> López </w:t>
      </w:r>
      <w:proofErr w:type="spellStart"/>
      <w:r w:rsidR="003C2AC6" w:rsidRPr="009F337B">
        <w:rPr>
          <w:i w:val="0"/>
          <w:szCs w:val="20"/>
          <w:lang w:val="en-US"/>
        </w:rPr>
        <w:t>Mujica</w:t>
      </w:r>
      <w:proofErr w:type="spellEnd"/>
      <w:r w:rsidR="003C2AC6" w:rsidRPr="009F337B">
        <w:rPr>
          <w:i w:val="0"/>
          <w:szCs w:val="20"/>
          <w:lang w:val="en-US"/>
        </w:rPr>
        <w:t xml:space="preserve"> </w:t>
      </w:r>
      <w:r w:rsidRPr="009F337B">
        <w:rPr>
          <w:i w:val="0"/>
          <w:szCs w:val="20"/>
          <w:lang w:val="en-US"/>
        </w:rPr>
        <w:t>was born in</w:t>
      </w:r>
      <w:r w:rsidR="003C2AC6" w:rsidRPr="009F337B">
        <w:rPr>
          <w:i w:val="0"/>
          <w:szCs w:val="20"/>
          <w:lang w:val="en-US"/>
        </w:rPr>
        <w:t xml:space="preserve"> 1962. </w:t>
      </w:r>
      <w:r w:rsidRPr="009F337B">
        <w:rPr>
          <w:i w:val="0"/>
          <w:szCs w:val="20"/>
          <w:lang w:val="en-US"/>
        </w:rPr>
        <w:t>She lived in</w:t>
      </w:r>
      <w:r w:rsidR="003C2AC6" w:rsidRPr="009F337B">
        <w:rPr>
          <w:i w:val="0"/>
          <w:szCs w:val="20"/>
          <w:lang w:val="en-US"/>
        </w:rPr>
        <w:t xml:space="preserve"> </w:t>
      </w:r>
      <w:r w:rsidR="003E1304" w:rsidRPr="009F337B">
        <w:rPr>
          <w:i w:val="0"/>
          <w:szCs w:val="20"/>
          <w:lang w:val="en-US"/>
        </w:rPr>
        <w:t>the municipality</w:t>
      </w:r>
      <w:r w:rsidR="003C2AC6" w:rsidRPr="009F337B">
        <w:rPr>
          <w:i w:val="0"/>
          <w:szCs w:val="20"/>
          <w:lang w:val="en-US"/>
        </w:rPr>
        <w:t xml:space="preserve"> </w:t>
      </w:r>
      <w:r w:rsidRPr="009F337B">
        <w:rPr>
          <w:i w:val="0"/>
          <w:szCs w:val="20"/>
          <w:lang w:val="en-US"/>
        </w:rPr>
        <w:t>of</w:t>
      </w:r>
      <w:r w:rsidR="003C2AC6" w:rsidRPr="009F337B">
        <w:rPr>
          <w:i w:val="0"/>
          <w:szCs w:val="20"/>
          <w:lang w:val="en-US"/>
        </w:rPr>
        <w:t xml:space="preserve"> </w:t>
      </w:r>
      <w:proofErr w:type="spellStart"/>
      <w:r w:rsidR="003C2AC6" w:rsidRPr="009F337B">
        <w:rPr>
          <w:i w:val="0"/>
          <w:szCs w:val="20"/>
          <w:lang w:val="en-US"/>
        </w:rPr>
        <w:t>Coatepeque</w:t>
      </w:r>
      <w:proofErr w:type="spellEnd"/>
      <w:r w:rsidR="003C2AC6" w:rsidRPr="009F337B">
        <w:rPr>
          <w:i w:val="0"/>
          <w:szCs w:val="20"/>
          <w:lang w:val="en-US"/>
        </w:rPr>
        <w:t xml:space="preserve">, </w:t>
      </w:r>
      <w:r w:rsidR="003E1304" w:rsidRPr="009F337B">
        <w:rPr>
          <w:i w:val="0"/>
          <w:szCs w:val="20"/>
          <w:lang w:val="en-US"/>
        </w:rPr>
        <w:t>department of</w:t>
      </w:r>
      <w:r w:rsidR="003C2AC6" w:rsidRPr="009F337B">
        <w:rPr>
          <w:i w:val="0"/>
          <w:szCs w:val="20"/>
          <w:lang w:val="en-US"/>
        </w:rPr>
        <w:t xml:space="preserve"> Quetzaltenango, Guatemala. </w:t>
      </w:r>
      <w:r w:rsidRPr="009F337B">
        <w:rPr>
          <w:i w:val="0"/>
          <w:szCs w:val="20"/>
          <w:lang w:val="en-US"/>
        </w:rPr>
        <w:t>She had received no schooling; she was a housewife and depended financial</w:t>
      </w:r>
      <w:r w:rsidR="00D870F3" w:rsidRPr="009F337B">
        <w:rPr>
          <w:i w:val="0"/>
          <w:szCs w:val="20"/>
          <w:lang w:val="en-US"/>
        </w:rPr>
        <w:t>ly</w:t>
      </w:r>
      <w:r w:rsidRPr="009F337B">
        <w:rPr>
          <w:i w:val="0"/>
          <w:szCs w:val="20"/>
          <w:lang w:val="en-US"/>
        </w:rPr>
        <w:t xml:space="preserve"> on her husband’s work as a laborer. She was diagnosed on April 15, 2002, in the </w:t>
      </w:r>
      <w:proofErr w:type="spellStart"/>
      <w:r w:rsidR="0084040D" w:rsidRPr="009F337B">
        <w:rPr>
          <w:i w:val="0"/>
          <w:szCs w:val="20"/>
          <w:lang w:val="en-US"/>
        </w:rPr>
        <w:t>Coatepeque</w:t>
      </w:r>
      <w:proofErr w:type="spellEnd"/>
      <w:r w:rsidR="0084040D" w:rsidRPr="009F337B">
        <w:rPr>
          <w:i w:val="0"/>
          <w:szCs w:val="20"/>
          <w:lang w:val="en-US"/>
        </w:rPr>
        <w:t xml:space="preserve"> </w:t>
      </w:r>
      <w:r w:rsidRPr="009F337B">
        <w:rPr>
          <w:i w:val="0"/>
          <w:szCs w:val="20"/>
          <w:lang w:val="en-US"/>
        </w:rPr>
        <w:t>National Hospital</w:t>
      </w:r>
      <w:r w:rsidR="003C2AC6" w:rsidRPr="009F337B">
        <w:rPr>
          <w:i w:val="0"/>
          <w:szCs w:val="20"/>
          <w:lang w:val="en-US"/>
        </w:rPr>
        <w:t xml:space="preserve">. </w:t>
      </w:r>
      <w:r w:rsidRPr="009F337B">
        <w:rPr>
          <w:i w:val="0"/>
          <w:szCs w:val="20"/>
          <w:lang w:val="en-US"/>
        </w:rPr>
        <w:t xml:space="preserve">She began to </w:t>
      </w:r>
      <w:r w:rsidR="003C2AC6" w:rsidRPr="009F337B">
        <w:rPr>
          <w:i w:val="0"/>
          <w:szCs w:val="20"/>
          <w:lang w:val="en-US"/>
        </w:rPr>
        <w:t>rec</w:t>
      </w:r>
      <w:r w:rsidRPr="009F337B">
        <w:rPr>
          <w:i w:val="0"/>
          <w:szCs w:val="20"/>
          <w:lang w:val="en-US"/>
        </w:rPr>
        <w:t>eive</w:t>
      </w:r>
      <w:r w:rsidR="003C2AC6" w:rsidRPr="009F337B">
        <w:rPr>
          <w:i w:val="0"/>
          <w:szCs w:val="20"/>
          <w:lang w:val="en-US"/>
        </w:rPr>
        <w:t xml:space="preserve"> </w:t>
      </w:r>
      <w:r w:rsidR="00FE1EFF" w:rsidRPr="009F337B">
        <w:rPr>
          <w:i w:val="0"/>
          <w:szCs w:val="20"/>
          <w:lang w:val="en-US"/>
        </w:rPr>
        <w:t>antiretroviral treatment</w:t>
      </w:r>
      <w:r w:rsidR="003C2AC6" w:rsidRPr="009F337B">
        <w:rPr>
          <w:i w:val="0"/>
          <w:szCs w:val="20"/>
          <w:lang w:val="en-US"/>
        </w:rPr>
        <w:t xml:space="preserve"> </w:t>
      </w:r>
      <w:r w:rsidRPr="009F337B">
        <w:rPr>
          <w:i w:val="0"/>
          <w:szCs w:val="20"/>
          <w:lang w:val="en-US"/>
        </w:rPr>
        <w:t>in June</w:t>
      </w:r>
      <w:r w:rsidR="003C2AC6" w:rsidRPr="009F337B">
        <w:rPr>
          <w:i w:val="0"/>
          <w:szCs w:val="20"/>
          <w:lang w:val="en-US"/>
        </w:rPr>
        <w:t xml:space="preserve"> 2003 </w:t>
      </w:r>
      <w:r w:rsidRPr="009F337B">
        <w:rPr>
          <w:i w:val="0"/>
          <w:szCs w:val="20"/>
          <w:lang w:val="en-US"/>
        </w:rPr>
        <w:t>through MSF’s</w:t>
      </w:r>
      <w:r w:rsidR="003C2AC6" w:rsidRPr="009F337B">
        <w:rPr>
          <w:i w:val="0"/>
          <w:szCs w:val="20"/>
          <w:lang w:val="en-US"/>
        </w:rPr>
        <w:t xml:space="preserve"> </w:t>
      </w:r>
      <w:r w:rsidR="00AE674B" w:rsidRPr="009F337B">
        <w:rPr>
          <w:szCs w:val="20"/>
          <w:lang w:val="en-US"/>
        </w:rPr>
        <w:t>Proyecto Vida</w:t>
      </w:r>
      <w:r w:rsidR="003C2AC6" w:rsidRPr="009F337B">
        <w:rPr>
          <w:i w:val="0"/>
          <w:szCs w:val="20"/>
          <w:lang w:val="en-US"/>
        </w:rPr>
        <w:t xml:space="preserve">. </w:t>
      </w:r>
      <w:r w:rsidRPr="009F337B">
        <w:rPr>
          <w:i w:val="0"/>
          <w:szCs w:val="20"/>
          <w:lang w:val="en-US"/>
        </w:rPr>
        <w:t xml:space="preserve">She did not undergo genotype and phenotype testing, and her health was not monitored. She suffered from tuberculosis and acute anemia. She died on November 6, </w:t>
      </w:r>
      <w:r w:rsidR="003C2AC6" w:rsidRPr="009F337B">
        <w:rPr>
          <w:i w:val="0"/>
          <w:szCs w:val="20"/>
          <w:lang w:val="en-US"/>
        </w:rPr>
        <w:t xml:space="preserve">2003, </w:t>
      </w:r>
      <w:r w:rsidRPr="009F337B">
        <w:rPr>
          <w:i w:val="0"/>
          <w:szCs w:val="20"/>
          <w:lang w:val="en-US"/>
        </w:rPr>
        <w:t>owing to</w:t>
      </w:r>
      <w:r w:rsidR="003C2AC6" w:rsidRPr="009F337B">
        <w:rPr>
          <w:i w:val="0"/>
          <w:szCs w:val="20"/>
          <w:lang w:val="en-US"/>
        </w:rPr>
        <w:t xml:space="preserve"> tuberculosis</w:t>
      </w:r>
      <w:r w:rsidR="003C46A3" w:rsidRPr="009F337B">
        <w:rPr>
          <w:i w:val="0"/>
          <w:szCs w:val="20"/>
          <w:lang w:val="en-US"/>
        </w:rPr>
        <w:t xml:space="preserve"> and </w:t>
      </w:r>
      <w:r w:rsidRPr="009F337B">
        <w:rPr>
          <w:i w:val="0"/>
          <w:szCs w:val="20"/>
          <w:lang w:val="en-US"/>
        </w:rPr>
        <w:t xml:space="preserve">acute </w:t>
      </w:r>
      <w:r w:rsidR="003C2AC6" w:rsidRPr="009F337B">
        <w:rPr>
          <w:i w:val="0"/>
          <w:szCs w:val="20"/>
          <w:lang w:val="en-US"/>
        </w:rPr>
        <w:t>anemia</w:t>
      </w:r>
      <w:r w:rsidRPr="009F337B">
        <w:rPr>
          <w:i w:val="0"/>
          <w:szCs w:val="20"/>
          <w:lang w:val="en-US"/>
        </w:rPr>
        <w:t>.</w:t>
      </w:r>
      <w:r w:rsidR="003C2AC6" w:rsidRPr="009F337B">
        <w:rPr>
          <w:rStyle w:val="Refdenotaalpie"/>
          <w:i w:val="0"/>
          <w:lang w:val="en-US"/>
        </w:rPr>
        <w:footnoteReference w:id="262"/>
      </w:r>
    </w:p>
    <w:p w14:paraId="5AD5BB8B" w14:textId="77777777" w:rsidR="003C2AC6" w:rsidRPr="009F337B" w:rsidRDefault="003C2AC6" w:rsidP="003C2AC6">
      <w:pPr>
        <w:pStyle w:val="PrrafodeSentencia"/>
        <w:rPr>
          <w:lang w:val="en-US"/>
        </w:rPr>
      </w:pPr>
    </w:p>
    <w:p w14:paraId="5488A234" w14:textId="77777777" w:rsidR="003C2AC6" w:rsidRPr="009F337B" w:rsidRDefault="003C2AC6" w:rsidP="003C2AC6">
      <w:pPr>
        <w:pStyle w:val="PrrafodeSentencia"/>
        <w:rPr>
          <w:lang w:val="en-US"/>
        </w:rPr>
      </w:pPr>
      <w:r w:rsidRPr="009F337B">
        <w:rPr>
          <w:lang w:val="en-US"/>
        </w:rPr>
        <w:tab/>
        <w:t>A.3. Ismar Ramírez Chajón</w:t>
      </w:r>
    </w:p>
    <w:p w14:paraId="18C39583" w14:textId="77777777" w:rsidR="003C2AC6" w:rsidRPr="009F337B" w:rsidRDefault="003C2AC6" w:rsidP="003C2AC6">
      <w:pPr>
        <w:pStyle w:val="PrrafodeSentencia"/>
        <w:rPr>
          <w:lang w:val="en-US"/>
        </w:rPr>
      </w:pPr>
    </w:p>
    <w:p w14:paraId="224B764B" w14:textId="164EE9EA" w:rsidR="003C2AC6" w:rsidRPr="009F337B" w:rsidRDefault="007F1AEB" w:rsidP="00593E37">
      <w:pPr>
        <w:pStyle w:val="Estilo1"/>
        <w:numPr>
          <w:ilvl w:val="0"/>
          <w:numId w:val="5"/>
        </w:numPr>
        <w:tabs>
          <w:tab w:val="left" w:pos="709"/>
          <w:tab w:val="left" w:pos="1134"/>
        </w:tabs>
        <w:spacing w:after="0"/>
        <w:ind w:left="0" w:right="-4" w:firstLine="0"/>
        <w:rPr>
          <w:i w:val="0"/>
          <w:szCs w:val="20"/>
          <w:lang w:val="en-US"/>
        </w:rPr>
      </w:pPr>
      <w:r w:rsidRPr="009F337B">
        <w:rPr>
          <w:i w:val="0"/>
          <w:szCs w:val="20"/>
          <w:lang w:val="en-US"/>
        </w:rPr>
        <w:t>Mr.</w:t>
      </w:r>
      <w:r w:rsidR="003C2AC6" w:rsidRPr="009F337B">
        <w:rPr>
          <w:i w:val="0"/>
          <w:szCs w:val="20"/>
          <w:lang w:val="en-US"/>
        </w:rPr>
        <w:t xml:space="preserve"> Ramírez </w:t>
      </w:r>
      <w:proofErr w:type="spellStart"/>
      <w:r w:rsidR="003C2AC6" w:rsidRPr="009F337B">
        <w:rPr>
          <w:i w:val="0"/>
          <w:szCs w:val="20"/>
          <w:lang w:val="en-US"/>
        </w:rPr>
        <w:t>Chajón</w:t>
      </w:r>
      <w:proofErr w:type="spellEnd"/>
      <w:r w:rsidR="003C2AC6" w:rsidRPr="009F337B">
        <w:rPr>
          <w:i w:val="0"/>
          <w:szCs w:val="20"/>
          <w:lang w:val="en-US"/>
        </w:rPr>
        <w:t xml:space="preserve"> </w:t>
      </w:r>
      <w:r w:rsidRPr="009F337B">
        <w:rPr>
          <w:i w:val="0"/>
          <w:szCs w:val="20"/>
          <w:lang w:val="en-US"/>
        </w:rPr>
        <w:t>lived in</w:t>
      </w:r>
      <w:r w:rsidR="003C2AC6" w:rsidRPr="009F337B">
        <w:rPr>
          <w:i w:val="0"/>
          <w:szCs w:val="20"/>
          <w:lang w:val="en-US"/>
        </w:rPr>
        <w:t xml:space="preserve"> </w:t>
      </w:r>
      <w:r w:rsidR="003E1304" w:rsidRPr="009F337B">
        <w:rPr>
          <w:i w:val="0"/>
          <w:szCs w:val="20"/>
          <w:lang w:val="en-US"/>
        </w:rPr>
        <w:t>the municipality</w:t>
      </w:r>
      <w:r w:rsidR="003C2AC6" w:rsidRPr="009F337B">
        <w:rPr>
          <w:i w:val="0"/>
          <w:szCs w:val="20"/>
          <w:lang w:val="en-US"/>
        </w:rPr>
        <w:t xml:space="preserve"> </w:t>
      </w:r>
      <w:r w:rsidRPr="009F337B">
        <w:rPr>
          <w:i w:val="0"/>
          <w:szCs w:val="20"/>
          <w:lang w:val="en-US"/>
        </w:rPr>
        <w:t>of</w:t>
      </w:r>
      <w:r w:rsidR="003C2AC6" w:rsidRPr="009F337B">
        <w:rPr>
          <w:i w:val="0"/>
          <w:szCs w:val="20"/>
          <w:lang w:val="en-US"/>
        </w:rPr>
        <w:t xml:space="preserve"> Villanueva, </w:t>
      </w:r>
      <w:r w:rsidR="003E1304" w:rsidRPr="009F337B">
        <w:rPr>
          <w:i w:val="0"/>
          <w:szCs w:val="20"/>
          <w:lang w:val="en-US"/>
        </w:rPr>
        <w:t>department of</w:t>
      </w:r>
      <w:r w:rsidR="003C2AC6" w:rsidRPr="009F337B">
        <w:rPr>
          <w:i w:val="0"/>
          <w:szCs w:val="20"/>
          <w:lang w:val="en-US"/>
        </w:rPr>
        <w:t xml:space="preserve"> Guatemala, Guatemala. </w:t>
      </w:r>
      <w:r w:rsidRPr="009F337B">
        <w:rPr>
          <w:i w:val="0"/>
          <w:szCs w:val="20"/>
          <w:lang w:val="en-US"/>
        </w:rPr>
        <w:t xml:space="preserve">He was diagnosed at the age of 22 in a private clinic in which he was interned because of bad health. Following his diagnosis, he received treatment in the </w:t>
      </w:r>
      <w:r w:rsidR="005E44D9" w:rsidRPr="009F337B">
        <w:rPr>
          <w:i w:val="0"/>
          <w:szCs w:val="20"/>
          <w:lang w:val="en-US"/>
        </w:rPr>
        <w:t>Guatemalan Social Security Institute</w:t>
      </w:r>
      <w:r w:rsidR="003C2AC6" w:rsidRPr="009F337B">
        <w:rPr>
          <w:i w:val="0"/>
          <w:szCs w:val="20"/>
          <w:lang w:val="en-US"/>
        </w:rPr>
        <w:t xml:space="preserve"> (</w:t>
      </w:r>
      <w:r w:rsidR="00AE5F9E" w:rsidRPr="009F337B">
        <w:rPr>
          <w:i w:val="0"/>
          <w:szCs w:val="20"/>
          <w:lang w:val="en-US"/>
        </w:rPr>
        <w:t>hereinafter</w:t>
      </w:r>
      <w:r w:rsidR="003C2AC6" w:rsidRPr="009F337B">
        <w:rPr>
          <w:i w:val="0"/>
          <w:szCs w:val="20"/>
          <w:lang w:val="en-US"/>
        </w:rPr>
        <w:t xml:space="preserve"> </w:t>
      </w:r>
      <w:r w:rsidRPr="009F337B">
        <w:rPr>
          <w:i w:val="0"/>
          <w:szCs w:val="20"/>
          <w:lang w:val="en-US"/>
        </w:rPr>
        <w:t>“</w:t>
      </w:r>
      <w:r w:rsidR="003C2AC6" w:rsidRPr="009F337B">
        <w:rPr>
          <w:i w:val="0"/>
          <w:szCs w:val="20"/>
          <w:lang w:val="en-US"/>
        </w:rPr>
        <w:t>IGSS</w:t>
      </w:r>
      <w:r w:rsidRPr="009F337B">
        <w:rPr>
          <w:i w:val="0"/>
          <w:szCs w:val="20"/>
          <w:lang w:val="en-US"/>
        </w:rPr>
        <w:t>”</w:t>
      </w:r>
      <w:r w:rsidR="003C2AC6" w:rsidRPr="009F337B">
        <w:rPr>
          <w:i w:val="0"/>
          <w:szCs w:val="20"/>
          <w:lang w:val="en-US"/>
        </w:rPr>
        <w:t xml:space="preserve">). </w:t>
      </w:r>
      <w:r w:rsidRPr="009F337B">
        <w:rPr>
          <w:i w:val="0"/>
          <w:szCs w:val="20"/>
          <w:lang w:val="en-US"/>
        </w:rPr>
        <w:t xml:space="preserve">He was transferred to the </w:t>
      </w:r>
      <w:r w:rsidR="00BB39B6" w:rsidRPr="009F337B">
        <w:rPr>
          <w:i w:val="0"/>
          <w:szCs w:val="20"/>
          <w:lang w:val="en-US"/>
        </w:rPr>
        <w:t>Roosevelt Hospital</w:t>
      </w:r>
      <w:r w:rsidR="003C2AC6" w:rsidRPr="009F337B">
        <w:rPr>
          <w:i w:val="0"/>
          <w:szCs w:val="20"/>
          <w:lang w:val="en-US"/>
        </w:rPr>
        <w:t xml:space="preserve">, </w:t>
      </w:r>
      <w:r w:rsidRPr="009F337B">
        <w:rPr>
          <w:i w:val="0"/>
          <w:szCs w:val="20"/>
          <w:lang w:val="en-US"/>
        </w:rPr>
        <w:lastRenderedPageBreak/>
        <w:t>where his medication was changed and he developed resistance to the drugs. He did not undergo phenotype and genotype testing. He suffered</w:t>
      </w:r>
      <w:r w:rsidR="00D870F3" w:rsidRPr="009F337B">
        <w:rPr>
          <w:i w:val="0"/>
          <w:szCs w:val="20"/>
          <w:lang w:val="en-US"/>
        </w:rPr>
        <w:t xml:space="preserve"> from</w:t>
      </w:r>
      <w:r w:rsidRPr="009F337B">
        <w:rPr>
          <w:i w:val="0"/>
          <w:szCs w:val="20"/>
          <w:lang w:val="en-US"/>
        </w:rPr>
        <w:t xml:space="preserve"> </w:t>
      </w:r>
      <w:r w:rsidR="003C2AC6" w:rsidRPr="009F337B">
        <w:rPr>
          <w:i w:val="0"/>
          <w:szCs w:val="20"/>
          <w:lang w:val="en-US"/>
        </w:rPr>
        <w:t>tuberculosis, herpes</w:t>
      </w:r>
      <w:r w:rsidR="003C46A3" w:rsidRPr="009F337B">
        <w:rPr>
          <w:i w:val="0"/>
          <w:szCs w:val="20"/>
          <w:lang w:val="en-US"/>
        </w:rPr>
        <w:t xml:space="preserve"> and </w:t>
      </w:r>
      <w:r w:rsidRPr="009F337B">
        <w:rPr>
          <w:i w:val="0"/>
          <w:szCs w:val="20"/>
          <w:lang w:val="en-US"/>
        </w:rPr>
        <w:t>the human papilloma virus</w:t>
      </w:r>
      <w:r w:rsidR="003C2AC6" w:rsidRPr="009F337B">
        <w:rPr>
          <w:i w:val="0"/>
          <w:szCs w:val="20"/>
          <w:lang w:val="en-US"/>
        </w:rPr>
        <w:t xml:space="preserve">. </w:t>
      </w:r>
      <w:r w:rsidRPr="009F337B">
        <w:rPr>
          <w:i w:val="0"/>
          <w:szCs w:val="20"/>
          <w:lang w:val="en-US"/>
        </w:rPr>
        <w:t xml:space="preserve">He lost his sight and </w:t>
      </w:r>
      <w:r w:rsidR="0084040D" w:rsidRPr="009F337B">
        <w:rPr>
          <w:i w:val="0"/>
          <w:szCs w:val="20"/>
          <w:lang w:val="en-US"/>
        </w:rPr>
        <w:t>developed sores. He was interned in the San José Hospice for 22 days and died there on December 5,</w:t>
      </w:r>
      <w:r w:rsidR="003C2AC6" w:rsidRPr="009F337B">
        <w:rPr>
          <w:i w:val="0"/>
          <w:szCs w:val="20"/>
          <w:lang w:val="en-US"/>
        </w:rPr>
        <w:t xml:space="preserve"> 2003</w:t>
      </w:r>
      <w:r w:rsidR="0084040D" w:rsidRPr="009F337B">
        <w:rPr>
          <w:i w:val="0"/>
          <w:szCs w:val="20"/>
          <w:lang w:val="en-US"/>
        </w:rPr>
        <w:t xml:space="preserve">, owing to cardiac arrest, mycosis, and </w:t>
      </w:r>
      <w:r w:rsidR="00CA11F6" w:rsidRPr="009F337B">
        <w:rPr>
          <w:i w:val="0"/>
          <w:szCs w:val="20"/>
          <w:lang w:val="en-US"/>
        </w:rPr>
        <w:t>AIDS</w:t>
      </w:r>
      <w:r w:rsidR="0084040D" w:rsidRPr="009F337B">
        <w:rPr>
          <w:i w:val="0"/>
          <w:szCs w:val="20"/>
          <w:lang w:val="en-US"/>
        </w:rPr>
        <w:t>.</w:t>
      </w:r>
      <w:r w:rsidR="003C2AC6" w:rsidRPr="009F337B">
        <w:rPr>
          <w:rStyle w:val="Refdenotaalpie"/>
          <w:i w:val="0"/>
          <w:lang w:val="en-US"/>
        </w:rPr>
        <w:footnoteReference w:id="263"/>
      </w:r>
    </w:p>
    <w:p w14:paraId="4405DB76" w14:textId="77777777" w:rsidR="003C2AC6" w:rsidRPr="009F337B" w:rsidRDefault="003C2AC6" w:rsidP="003C2AC6">
      <w:pPr>
        <w:pStyle w:val="Estilo1"/>
        <w:tabs>
          <w:tab w:val="left" w:pos="709"/>
          <w:tab w:val="left" w:pos="1134"/>
        </w:tabs>
        <w:spacing w:after="0"/>
        <w:ind w:left="0" w:right="-4" w:firstLine="0"/>
        <w:rPr>
          <w:i w:val="0"/>
          <w:szCs w:val="20"/>
          <w:lang w:val="en-US"/>
        </w:rPr>
      </w:pPr>
    </w:p>
    <w:p w14:paraId="2FC10AE5" w14:textId="36DCB9FF" w:rsidR="003C2AC6" w:rsidRPr="009F337B" w:rsidRDefault="003C2AC6" w:rsidP="00593E37">
      <w:pPr>
        <w:pStyle w:val="Estilo1"/>
        <w:numPr>
          <w:ilvl w:val="0"/>
          <w:numId w:val="5"/>
        </w:numPr>
        <w:tabs>
          <w:tab w:val="left" w:pos="709"/>
          <w:tab w:val="left" w:pos="1134"/>
        </w:tabs>
        <w:spacing w:after="0"/>
        <w:ind w:left="0" w:right="-4" w:firstLine="0"/>
        <w:rPr>
          <w:i w:val="0"/>
          <w:szCs w:val="20"/>
          <w:lang w:val="en-US"/>
        </w:rPr>
      </w:pPr>
      <w:proofErr w:type="spellStart"/>
      <w:r w:rsidRPr="009F337B">
        <w:rPr>
          <w:i w:val="0"/>
          <w:szCs w:val="20"/>
          <w:lang w:val="en-US"/>
        </w:rPr>
        <w:t>Ismar</w:t>
      </w:r>
      <w:proofErr w:type="spellEnd"/>
      <w:r w:rsidRPr="009F337B">
        <w:rPr>
          <w:i w:val="0"/>
          <w:szCs w:val="20"/>
          <w:lang w:val="en-US"/>
        </w:rPr>
        <w:t xml:space="preserve"> Ramírez </w:t>
      </w:r>
      <w:proofErr w:type="spellStart"/>
      <w:r w:rsidRPr="009F337B">
        <w:rPr>
          <w:i w:val="0"/>
          <w:szCs w:val="20"/>
          <w:lang w:val="en-US"/>
        </w:rPr>
        <w:t>Chajón</w:t>
      </w:r>
      <w:r w:rsidR="0084040D" w:rsidRPr="009F337B">
        <w:rPr>
          <w:i w:val="0"/>
          <w:szCs w:val="20"/>
          <w:lang w:val="en-US"/>
        </w:rPr>
        <w:t>’s</w:t>
      </w:r>
      <w:proofErr w:type="spellEnd"/>
      <w:r w:rsidR="0084040D" w:rsidRPr="009F337B">
        <w:rPr>
          <w:i w:val="0"/>
          <w:szCs w:val="20"/>
          <w:lang w:val="en-US"/>
        </w:rPr>
        <w:t xml:space="preserve"> </w:t>
      </w:r>
      <w:r w:rsidR="003B5D80" w:rsidRPr="009F337B">
        <w:rPr>
          <w:i w:val="0"/>
          <w:szCs w:val="20"/>
          <w:lang w:val="en-US"/>
        </w:rPr>
        <w:t>family unit</w:t>
      </w:r>
      <w:r w:rsidR="0084040D" w:rsidRPr="009F337B">
        <w:rPr>
          <w:i w:val="0"/>
          <w:szCs w:val="20"/>
          <w:lang w:val="en-US"/>
        </w:rPr>
        <w:t xml:space="preserve"> consisted of his</w:t>
      </w:r>
      <w:r w:rsidRPr="009F337B">
        <w:rPr>
          <w:i w:val="0"/>
          <w:szCs w:val="20"/>
          <w:lang w:val="en-US"/>
        </w:rPr>
        <w:t xml:space="preserve"> </w:t>
      </w:r>
      <w:r w:rsidR="0010522A" w:rsidRPr="009F337B">
        <w:rPr>
          <w:i w:val="0"/>
          <w:szCs w:val="20"/>
          <w:lang w:val="en-US"/>
        </w:rPr>
        <w:t>mother</w:t>
      </w:r>
      <w:r w:rsidRPr="009F337B">
        <w:rPr>
          <w:i w:val="0"/>
          <w:szCs w:val="20"/>
          <w:lang w:val="en-US"/>
        </w:rPr>
        <w:t xml:space="preserve">, María de Jesús </w:t>
      </w:r>
      <w:proofErr w:type="spellStart"/>
      <w:r w:rsidRPr="009F337B">
        <w:rPr>
          <w:i w:val="0"/>
          <w:szCs w:val="20"/>
          <w:lang w:val="en-US"/>
        </w:rPr>
        <w:t>Chajón</w:t>
      </w:r>
      <w:proofErr w:type="spellEnd"/>
      <w:r w:rsidRPr="009F337B">
        <w:rPr>
          <w:i w:val="0"/>
          <w:szCs w:val="20"/>
          <w:lang w:val="en-US"/>
        </w:rPr>
        <w:t xml:space="preserve"> de León, </w:t>
      </w:r>
      <w:r w:rsidR="0084040D" w:rsidRPr="009F337B">
        <w:rPr>
          <w:i w:val="0"/>
          <w:szCs w:val="20"/>
          <w:lang w:val="en-US"/>
        </w:rPr>
        <w:t>his</w:t>
      </w:r>
      <w:r w:rsidRPr="009F337B">
        <w:rPr>
          <w:i w:val="0"/>
          <w:szCs w:val="20"/>
          <w:lang w:val="en-US"/>
        </w:rPr>
        <w:t xml:space="preserve"> </w:t>
      </w:r>
      <w:r w:rsidR="0010522A" w:rsidRPr="009F337B">
        <w:rPr>
          <w:i w:val="0"/>
          <w:szCs w:val="20"/>
          <w:lang w:val="en-US"/>
        </w:rPr>
        <w:t>sister</w:t>
      </w:r>
      <w:r w:rsidRPr="009F337B">
        <w:rPr>
          <w:i w:val="0"/>
          <w:szCs w:val="20"/>
          <w:lang w:val="en-US"/>
        </w:rPr>
        <w:t xml:space="preserve"> Edna Yolanda Ramírez de Roche, </w:t>
      </w:r>
      <w:r w:rsidR="0084040D" w:rsidRPr="009F337B">
        <w:rPr>
          <w:i w:val="0"/>
          <w:szCs w:val="20"/>
          <w:lang w:val="en-US"/>
        </w:rPr>
        <w:t>his</w:t>
      </w:r>
      <w:r w:rsidRPr="009F337B">
        <w:rPr>
          <w:i w:val="0"/>
          <w:szCs w:val="20"/>
          <w:lang w:val="en-US"/>
        </w:rPr>
        <w:t xml:space="preserve"> </w:t>
      </w:r>
      <w:r w:rsidR="0010522A" w:rsidRPr="009F337B">
        <w:rPr>
          <w:i w:val="0"/>
          <w:szCs w:val="20"/>
          <w:lang w:val="en-US"/>
        </w:rPr>
        <w:t>brother</w:t>
      </w:r>
      <w:r w:rsidRPr="009F337B">
        <w:rPr>
          <w:i w:val="0"/>
          <w:szCs w:val="20"/>
          <w:lang w:val="en-US"/>
        </w:rPr>
        <w:t>s Carlos Fernando</w:t>
      </w:r>
      <w:r w:rsidR="003C46A3" w:rsidRPr="009F337B">
        <w:rPr>
          <w:i w:val="0"/>
          <w:szCs w:val="20"/>
          <w:lang w:val="en-US"/>
        </w:rPr>
        <w:t xml:space="preserve"> and </w:t>
      </w:r>
      <w:r w:rsidRPr="009F337B">
        <w:rPr>
          <w:i w:val="0"/>
          <w:szCs w:val="20"/>
          <w:lang w:val="en-US"/>
        </w:rPr>
        <w:t xml:space="preserve">Ariel, </w:t>
      </w:r>
      <w:r w:rsidR="007B07E2" w:rsidRPr="009F337B">
        <w:rPr>
          <w:i w:val="0"/>
          <w:szCs w:val="20"/>
          <w:lang w:val="en-US"/>
        </w:rPr>
        <w:t>both</w:t>
      </w:r>
      <w:r w:rsidRPr="009F337B">
        <w:rPr>
          <w:i w:val="0"/>
          <w:szCs w:val="20"/>
          <w:lang w:val="en-US"/>
        </w:rPr>
        <w:t xml:space="preserve"> </w:t>
      </w:r>
      <w:proofErr w:type="spellStart"/>
      <w:r w:rsidRPr="009F337B">
        <w:rPr>
          <w:i w:val="0"/>
          <w:szCs w:val="20"/>
          <w:lang w:val="en-US"/>
        </w:rPr>
        <w:t>Coc</w:t>
      </w:r>
      <w:proofErr w:type="spellEnd"/>
      <w:r w:rsidRPr="009F337B">
        <w:rPr>
          <w:i w:val="0"/>
          <w:szCs w:val="20"/>
          <w:lang w:val="en-US"/>
        </w:rPr>
        <w:t xml:space="preserve"> </w:t>
      </w:r>
      <w:proofErr w:type="spellStart"/>
      <w:r w:rsidRPr="009F337B">
        <w:rPr>
          <w:i w:val="0"/>
          <w:szCs w:val="20"/>
          <w:lang w:val="en-US"/>
        </w:rPr>
        <w:t>Chajón</w:t>
      </w:r>
      <w:proofErr w:type="spellEnd"/>
      <w:r w:rsidRPr="009F337B">
        <w:rPr>
          <w:i w:val="0"/>
          <w:szCs w:val="20"/>
          <w:lang w:val="en-US"/>
        </w:rPr>
        <w:t xml:space="preserve">, </w:t>
      </w:r>
      <w:r w:rsidR="0084040D" w:rsidRPr="009F337B">
        <w:rPr>
          <w:i w:val="0"/>
          <w:szCs w:val="20"/>
          <w:lang w:val="en-US"/>
        </w:rPr>
        <w:t>his</w:t>
      </w:r>
      <w:r w:rsidRPr="009F337B">
        <w:rPr>
          <w:i w:val="0"/>
          <w:szCs w:val="20"/>
          <w:lang w:val="en-US"/>
        </w:rPr>
        <w:t xml:space="preserve"> </w:t>
      </w:r>
      <w:r w:rsidR="0010522A" w:rsidRPr="009F337B">
        <w:rPr>
          <w:i w:val="0"/>
          <w:szCs w:val="20"/>
          <w:lang w:val="en-US"/>
        </w:rPr>
        <w:t>nephew</w:t>
      </w:r>
      <w:r w:rsidRPr="009F337B">
        <w:rPr>
          <w:i w:val="0"/>
          <w:szCs w:val="20"/>
          <w:lang w:val="en-US"/>
        </w:rPr>
        <w:t xml:space="preserve"> Abner Antonio</w:t>
      </w:r>
      <w:r w:rsidR="003C46A3" w:rsidRPr="009F337B">
        <w:rPr>
          <w:i w:val="0"/>
          <w:szCs w:val="20"/>
          <w:lang w:val="en-US"/>
        </w:rPr>
        <w:t xml:space="preserve"> and </w:t>
      </w:r>
      <w:r w:rsidR="0084040D" w:rsidRPr="009F337B">
        <w:rPr>
          <w:i w:val="0"/>
          <w:szCs w:val="20"/>
          <w:lang w:val="en-US"/>
        </w:rPr>
        <w:t>his</w:t>
      </w:r>
      <w:r w:rsidRPr="009F337B">
        <w:rPr>
          <w:i w:val="0"/>
          <w:szCs w:val="20"/>
          <w:lang w:val="en-US"/>
        </w:rPr>
        <w:t xml:space="preserve"> </w:t>
      </w:r>
      <w:r w:rsidR="0010522A" w:rsidRPr="009F337B">
        <w:rPr>
          <w:i w:val="0"/>
          <w:szCs w:val="20"/>
          <w:lang w:val="en-US"/>
        </w:rPr>
        <w:t>niece</w:t>
      </w:r>
      <w:r w:rsidRPr="009F337B">
        <w:rPr>
          <w:i w:val="0"/>
          <w:szCs w:val="20"/>
          <w:lang w:val="en-US"/>
        </w:rPr>
        <w:t xml:space="preserve"> Karla </w:t>
      </w:r>
      <w:proofErr w:type="spellStart"/>
      <w:r w:rsidRPr="009F337B">
        <w:rPr>
          <w:i w:val="0"/>
          <w:szCs w:val="20"/>
          <w:lang w:val="en-US"/>
        </w:rPr>
        <w:t>Susely</w:t>
      </w:r>
      <w:proofErr w:type="spellEnd"/>
      <w:r w:rsidRPr="009F337B">
        <w:rPr>
          <w:i w:val="0"/>
          <w:szCs w:val="20"/>
          <w:lang w:val="en-US"/>
        </w:rPr>
        <w:t xml:space="preserve">, </w:t>
      </w:r>
      <w:r w:rsidR="007B07E2" w:rsidRPr="009F337B">
        <w:rPr>
          <w:i w:val="0"/>
          <w:szCs w:val="20"/>
          <w:lang w:val="en-US"/>
        </w:rPr>
        <w:t>both</w:t>
      </w:r>
      <w:r w:rsidRPr="009F337B">
        <w:rPr>
          <w:i w:val="0"/>
          <w:szCs w:val="20"/>
          <w:lang w:val="en-US"/>
        </w:rPr>
        <w:t xml:space="preserve"> Ramírez </w:t>
      </w:r>
      <w:proofErr w:type="spellStart"/>
      <w:r w:rsidRPr="009F337B">
        <w:rPr>
          <w:i w:val="0"/>
          <w:szCs w:val="20"/>
          <w:lang w:val="en-US"/>
        </w:rPr>
        <w:t>Mejía</w:t>
      </w:r>
      <w:proofErr w:type="spellEnd"/>
      <w:r w:rsidRPr="009F337B">
        <w:rPr>
          <w:i w:val="0"/>
          <w:szCs w:val="20"/>
          <w:lang w:val="en-US"/>
        </w:rPr>
        <w:t>,</w:t>
      </w:r>
      <w:r w:rsidR="003C46A3" w:rsidRPr="009F337B">
        <w:rPr>
          <w:i w:val="0"/>
          <w:szCs w:val="20"/>
          <w:lang w:val="en-US"/>
        </w:rPr>
        <w:t xml:space="preserve"> and </w:t>
      </w:r>
      <w:r w:rsidR="0084040D" w:rsidRPr="009F337B">
        <w:rPr>
          <w:i w:val="0"/>
          <w:szCs w:val="20"/>
          <w:lang w:val="en-US"/>
        </w:rPr>
        <w:t>his partner.</w:t>
      </w:r>
      <w:r w:rsidRPr="009F337B">
        <w:rPr>
          <w:i w:val="0"/>
          <w:szCs w:val="20"/>
          <w:vertAlign w:val="superscript"/>
          <w:lang w:val="en-US"/>
        </w:rPr>
        <w:footnoteReference w:id="264"/>
      </w:r>
    </w:p>
    <w:p w14:paraId="1BCBC28B" w14:textId="77777777" w:rsidR="003C2AC6" w:rsidRPr="009F337B" w:rsidRDefault="003C2AC6" w:rsidP="003C2AC6">
      <w:pPr>
        <w:pStyle w:val="PrrafodeSentencia"/>
        <w:rPr>
          <w:lang w:val="en-US"/>
        </w:rPr>
      </w:pPr>
    </w:p>
    <w:p w14:paraId="72F30FAE" w14:textId="77777777" w:rsidR="003C2AC6" w:rsidRPr="009F337B" w:rsidRDefault="003C2AC6" w:rsidP="003C2AC6">
      <w:pPr>
        <w:pStyle w:val="PrrafodeSentencia"/>
        <w:rPr>
          <w:lang w:val="en-US"/>
        </w:rPr>
      </w:pPr>
      <w:r w:rsidRPr="009F337B">
        <w:rPr>
          <w:lang w:val="en-US"/>
        </w:rPr>
        <w:tab/>
        <w:t>A.4. Petrona López Robledo</w:t>
      </w:r>
      <w:r w:rsidRPr="009F337B">
        <w:rPr>
          <w:b w:val="0"/>
          <w:vertAlign w:val="superscript"/>
          <w:lang w:val="en-US"/>
        </w:rPr>
        <w:footnoteReference w:id="265"/>
      </w:r>
    </w:p>
    <w:p w14:paraId="71AD8776" w14:textId="77777777" w:rsidR="003C2AC6" w:rsidRPr="009F337B" w:rsidRDefault="003C2AC6" w:rsidP="003C2AC6">
      <w:pPr>
        <w:pStyle w:val="PrrafodeSentencia"/>
        <w:rPr>
          <w:lang w:val="en-US"/>
        </w:rPr>
      </w:pPr>
    </w:p>
    <w:p w14:paraId="2932A072" w14:textId="15CAF753" w:rsidR="003C2AC6" w:rsidRPr="009F337B" w:rsidRDefault="007F1AEB" w:rsidP="00593E37">
      <w:pPr>
        <w:pStyle w:val="Estilo1"/>
        <w:numPr>
          <w:ilvl w:val="0"/>
          <w:numId w:val="5"/>
        </w:numPr>
        <w:tabs>
          <w:tab w:val="left" w:pos="709"/>
          <w:tab w:val="left" w:pos="1134"/>
        </w:tabs>
        <w:spacing w:after="0"/>
        <w:ind w:left="0" w:right="-4" w:firstLine="0"/>
        <w:rPr>
          <w:i w:val="0"/>
          <w:szCs w:val="20"/>
          <w:lang w:val="en-US"/>
        </w:rPr>
      </w:pPr>
      <w:r w:rsidRPr="009F337B">
        <w:rPr>
          <w:i w:val="0"/>
          <w:szCs w:val="20"/>
          <w:lang w:val="en-US"/>
        </w:rPr>
        <w:t>Mrs.</w:t>
      </w:r>
      <w:r w:rsidR="003C2AC6" w:rsidRPr="009F337B">
        <w:rPr>
          <w:i w:val="0"/>
          <w:szCs w:val="20"/>
          <w:lang w:val="en-US"/>
        </w:rPr>
        <w:t xml:space="preserve"> López Robledo </w:t>
      </w:r>
      <w:r w:rsidR="0084040D" w:rsidRPr="009F337B">
        <w:rPr>
          <w:i w:val="0"/>
          <w:szCs w:val="20"/>
          <w:lang w:val="en-US"/>
        </w:rPr>
        <w:t>was born on March</w:t>
      </w:r>
      <w:r w:rsidR="003C2AC6" w:rsidRPr="009F337B">
        <w:rPr>
          <w:i w:val="0"/>
          <w:szCs w:val="20"/>
          <w:lang w:val="en-US"/>
        </w:rPr>
        <w:t xml:space="preserve"> 20</w:t>
      </w:r>
      <w:r w:rsidR="0084040D" w:rsidRPr="009F337B">
        <w:rPr>
          <w:i w:val="0"/>
          <w:szCs w:val="20"/>
          <w:lang w:val="en-US"/>
        </w:rPr>
        <w:t xml:space="preserve">, </w:t>
      </w:r>
      <w:r w:rsidR="003C2AC6" w:rsidRPr="009F337B">
        <w:rPr>
          <w:i w:val="0"/>
          <w:szCs w:val="20"/>
          <w:lang w:val="en-US"/>
        </w:rPr>
        <w:t xml:space="preserve">1980. </w:t>
      </w:r>
      <w:r w:rsidR="0084040D" w:rsidRPr="009F337B">
        <w:rPr>
          <w:i w:val="0"/>
          <w:szCs w:val="20"/>
          <w:lang w:val="en-US"/>
        </w:rPr>
        <w:t>She had received no schooling</w:t>
      </w:r>
      <w:r w:rsidR="003C46A3" w:rsidRPr="009F337B">
        <w:rPr>
          <w:i w:val="0"/>
          <w:szCs w:val="20"/>
          <w:lang w:val="en-US"/>
        </w:rPr>
        <w:t xml:space="preserve"> and </w:t>
      </w:r>
      <w:r w:rsidR="0084040D" w:rsidRPr="009F337B">
        <w:rPr>
          <w:i w:val="0"/>
          <w:szCs w:val="20"/>
          <w:lang w:val="en-US"/>
        </w:rPr>
        <w:t xml:space="preserve">she was a laundress. </w:t>
      </w:r>
      <w:r w:rsidRPr="009F337B">
        <w:rPr>
          <w:i w:val="0"/>
          <w:szCs w:val="20"/>
          <w:lang w:val="en-US"/>
        </w:rPr>
        <w:t>She lived in</w:t>
      </w:r>
      <w:r w:rsidR="003C2AC6" w:rsidRPr="009F337B">
        <w:rPr>
          <w:i w:val="0"/>
          <w:szCs w:val="20"/>
          <w:lang w:val="en-US"/>
        </w:rPr>
        <w:t xml:space="preserve"> </w:t>
      </w:r>
      <w:r w:rsidR="0084040D" w:rsidRPr="009F337B">
        <w:rPr>
          <w:i w:val="0"/>
          <w:szCs w:val="20"/>
          <w:lang w:val="en-US"/>
        </w:rPr>
        <w:t>the</w:t>
      </w:r>
      <w:r w:rsidR="003C2AC6" w:rsidRPr="009F337B">
        <w:rPr>
          <w:i w:val="0"/>
          <w:szCs w:val="20"/>
          <w:lang w:val="en-US"/>
        </w:rPr>
        <w:t xml:space="preserve"> </w:t>
      </w:r>
      <w:r w:rsidR="003E1304" w:rsidRPr="009F337B">
        <w:rPr>
          <w:i w:val="0"/>
          <w:szCs w:val="20"/>
          <w:lang w:val="en-US"/>
        </w:rPr>
        <w:t>department of</w:t>
      </w:r>
      <w:r w:rsidR="003C2AC6" w:rsidRPr="009F337B">
        <w:rPr>
          <w:i w:val="0"/>
          <w:szCs w:val="20"/>
          <w:lang w:val="en-US"/>
        </w:rPr>
        <w:t xml:space="preserve"> Suchitepéquez,</w:t>
      </w:r>
      <w:r w:rsidR="008E2262" w:rsidRPr="009F337B">
        <w:rPr>
          <w:i w:val="0"/>
          <w:szCs w:val="20"/>
          <w:lang w:val="en-US"/>
        </w:rPr>
        <w:t xml:space="preserve"> in Guatemala</w:t>
      </w:r>
      <w:r w:rsidR="003C2AC6" w:rsidRPr="009F337B">
        <w:rPr>
          <w:i w:val="0"/>
          <w:szCs w:val="20"/>
          <w:lang w:val="en-US"/>
        </w:rPr>
        <w:t xml:space="preserve">, </w:t>
      </w:r>
      <w:r w:rsidR="0084040D" w:rsidRPr="009F337B">
        <w:rPr>
          <w:i w:val="0"/>
          <w:szCs w:val="20"/>
          <w:lang w:val="en-US"/>
        </w:rPr>
        <w:t>with her</w:t>
      </w:r>
      <w:r w:rsidR="003C2AC6" w:rsidRPr="009F337B">
        <w:rPr>
          <w:i w:val="0"/>
          <w:szCs w:val="20"/>
          <w:lang w:val="en-US"/>
        </w:rPr>
        <w:t xml:space="preserve"> </w:t>
      </w:r>
      <w:r w:rsidR="0010522A" w:rsidRPr="009F337B">
        <w:rPr>
          <w:i w:val="0"/>
          <w:szCs w:val="20"/>
          <w:lang w:val="en-US"/>
        </w:rPr>
        <w:t>partner</w:t>
      </w:r>
      <w:r w:rsidR="003C2AC6" w:rsidRPr="009F337B">
        <w:rPr>
          <w:i w:val="0"/>
          <w:szCs w:val="20"/>
          <w:lang w:val="en-US"/>
        </w:rPr>
        <w:t xml:space="preserve">, Miguel Álvarez, </w:t>
      </w:r>
      <w:r w:rsidR="0084040D" w:rsidRPr="009F337B">
        <w:rPr>
          <w:i w:val="0"/>
          <w:szCs w:val="20"/>
          <w:lang w:val="en-US"/>
        </w:rPr>
        <w:t>who was also a person living with</w:t>
      </w:r>
      <w:r w:rsidR="003C2AC6" w:rsidRPr="009F337B">
        <w:rPr>
          <w:i w:val="0"/>
          <w:szCs w:val="20"/>
          <w:lang w:val="en-US"/>
        </w:rPr>
        <w:t xml:space="preserve"> </w:t>
      </w:r>
      <w:r w:rsidR="00CA11F6" w:rsidRPr="009F337B">
        <w:rPr>
          <w:i w:val="0"/>
          <w:szCs w:val="20"/>
          <w:lang w:val="en-US"/>
        </w:rPr>
        <w:t>HIV</w:t>
      </w:r>
      <w:r w:rsidR="003C2AC6" w:rsidRPr="009F337B">
        <w:rPr>
          <w:i w:val="0"/>
          <w:szCs w:val="20"/>
          <w:lang w:val="en-US"/>
        </w:rPr>
        <w:t xml:space="preserve">. </w:t>
      </w:r>
      <w:r w:rsidR="0084040D" w:rsidRPr="009F337B">
        <w:rPr>
          <w:i w:val="0"/>
          <w:szCs w:val="20"/>
          <w:lang w:val="en-US"/>
        </w:rPr>
        <w:t>She was diagnosed</w:t>
      </w:r>
      <w:r w:rsidR="003C2AC6" w:rsidRPr="009F337B">
        <w:rPr>
          <w:i w:val="0"/>
          <w:szCs w:val="20"/>
          <w:lang w:val="en-US"/>
        </w:rPr>
        <w:t xml:space="preserve"> </w:t>
      </w:r>
      <w:r w:rsidR="0084040D" w:rsidRPr="009F337B">
        <w:rPr>
          <w:i w:val="0"/>
          <w:szCs w:val="20"/>
          <w:lang w:val="en-US"/>
        </w:rPr>
        <w:t xml:space="preserve">on February </w:t>
      </w:r>
      <w:r w:rsidR="003C2AC6" w:rsidRPr="009F337B">
        <w:rPr>
          <w:i w:val="0"/>
          <w:szCs w:val="20"/>
          <w:lang w:val="en-US"/>
        </w:rPr>
        <w:t>26</w:t>
      </w:r>
      <w:r w:rsidR="0084040D" w:rsidRPr="009F337B">
        <w:rPr>
          <w:i w:val="0"/>
          <w:szCs w:val="20"/>
          <w:lang w:val="en-US"/>
        </w:rPr>
        <w:t xml:space="preserve">, </w:t>
      </w:r>
      <w:r w:rsidR="003C2AC6" w:rsidRPr="009F337B">
        <w:rPr>
          <w:i w:val="0"/>
          <w:szCs w:val="20"/>
          <w:lang w:val="en-US"/>
        </w:rPr>
        <w:t xml:space="preserve">2001, </w:t>
      </w:r>
      <w:r w:rsidR="0084040D" w:rsidRPr="009F337B">
        <w:rPr>
          <w:i w:val="0"/>
          <w:szCs w:val="20"/>
          <w:lang w:val="en-US"/>
        </w:rPr>
        <w:t>in the</w:t>
      </w:r>
      <w:r w:rsidR="003C2AC6" w:rsidRPr="009F337B">
        <w:rPr>
          <w:i w:val="0"/>
          <w:szCs w:val="20"/>
          <w:lang w:val="en-US"/>
        </w:rPr>
        <w:t xml:space="preserve"> </w:t>
      </w:r>
      <w:proofErr w:type="spellStart"/>
      <w:r w:rsidR="003C2AC6" w:rsidRPr="009F337B">
        <w:rPr>
          <w:i w:val="0"/>
          <w:szCs w:val="20"/>
          <w:lang w:val="en-US"/>
        </w:rPr>
        <w:t>Mazatenango</w:t>
      </w:r>
      <w:proofErr w:type="spellEnd"/>
      <w:r w:rsidR="0084040D" w:rsidRPr="009F337B">
        <w:rPr>
          <w:i w:val="0"/>
          <w:szCs w:val="20"/>
          <w:lang w:val="en-US"/>
        </w:rPr>
        <w:t xml:space="preserve"> Hospital</w:t>
      </w:r>
      <w:r w:rsidR="003C2AC6" w:rsidRPr="009F337B">
        <w:rPr>
          <w:i w:val="0"/>
          <w:szCs w:val="20"/>
          <w:lang w:val="en-US"/>
        </w:rPr>
        <w:t xml:space="preserve">. </w:t>
      </w:r>
      <w:r w:rsidR="0084040D" w:rsidRPr="009F337B">
        <w:rPr>
          <w:i w:val="0"/>
          <w:szCs w:val="20"/>
          <w:lang w:val="en-US"/>
        </w:rPr>
        <w:t xml:space="preserve">She received medical monitoring in the </w:t>
      </w:r>
      <w:r w:rsidR="003C2AC6" w:rsidRPr="009F337B">
        <w:rPr>
          <w:i w:val="0"/>
          <w:szCs w:val="20"/>
          <w:lang w:val="en-US"/>
        </w:rPr>
        <w:t>San Bernardino</w:t>
      </w:r>
      <w:r w:rsidR="0084040D" w:rsidRPr="009F337B">
        <w:rPr>
          <w:i w:val="0"/>
          <w:szCs w:val="20"/>
          <w:lang w:val="en-US"/>
        </w:rPr>
        <w:t xml:space="preserve"> Public Health Center,</w:t>
      </w:r>
      <w:r w:rsidR="003C2AC6" w:rsidRPr="009F337B">
        <w:rPr>
          <w:i w:val="0"/>
          <w:szCs w:val="20"/>
          <w:lang w:val="en-US"/>
        </w:rPr>
        <w:t xml:space="preserve"> </w:t>
      </w:r>
      <w:r w:rsidR="003E1304" w:rsidRPr="009F337B">
        <w:rPr>
          <w:i w:val="0"/>
          <w:szCs w:val="20"/>
          <w:lang w:val="en-US"/>
        </w:rPr>
        <w:t>department of</w:t>
      </w:r>
      <w:r w:rsidR="003C2AC6" w:rsidRPr="009F337B">
        <w:rPr>
          <w:i w:val="0"/>
          <w:szCs w:val="20"/>
          <w:lang w:val="en-US"/>
        </w:rPr>
        <w:t xml:space="preserve"> Suchitepéquez. </w:t>
      </w:r>
      <w:r w:rsidR="0084040D" w:rsidRPr="009F337B">
        <w:rPr>
          <w:i w:val="0"/>
          <w:szCs w:val="20"/>
          <w:lang w:val="en-US"/>
        </w:rPr>
        <w:t>However, she did not receive treatment to comb</w:t>
      </w:r>
      <w:r w:rsidR="005B7BE6" w:rsidRPr="009F337B">
        <w:rPr>
          <w:i w:val="0"/>
          <w:szCs w:val="20"/>
          <w:lang w:val="en-US"/>
        </w:rPr>
        <w:t>a</w:t>
      </w:r>
      <w:r w:rsidR="0084040D" w:rsidRPr="009F337B">
        <w:rPr>
          <w:i w:val="0"/>
          <w:szCs w:val="20"/>
          <w:lang w:val="en-US"/>
        </w:rPr>
        <w:t xml:space="preserve">t the HIV, and did not have access to </w:t>
      </w:r>
      <w:r w:rsidR="003C2AC6" w:rsidRPr="009F337B">
        <w:rPr>
          <w:i w:val="0"/>
          <w:szCs w:val="20"/>
          <w:lang w:val="en-US"/>
        </w:rPr>
        <w:t>CD4</w:t>
      </w:r>
      <w:r w:rsidR="0084040D" w:rsidRPr="009F337B">
        <w:rPr>
          <w:i w:val="0"/>
          <w:szCs w:val="20"/>
          <w:lang w:val="en-US"/>
        </w:rPr>
        <w:t xml:space="preserve"> counts and viral load testing to start </w:t>
      </w:r>
      <w:r w:rsidR="00FE1EFF" w:rsidRPr="009F337B">
        <w:rPr>
          <w:i w:val="0"/>
          <w:szCs w:val="20"/>
          <w:lang w:val="en-US"/>
        </w:rPr>
        <w:t>antiretroviral treatment</w:t>
      </w:r>
      <w:r w:rsidR="003C2AC6" w:rsidRPr="009F337B">
        <w:rPr>
          <w:i w:val="0"/>
          <w:szCs w:val="20"/>
          <w:lang w:val="en-US"/>
        </w:rPr>
        <w:t xml:space="preserve">. </w:t>
      </w:r>
      <w:r w:rsidR="0084040D" w:rsidRPr="009F337B">
        <w:rPr>
          <w:i w:val="0"/>
          <w:szCs w:val="20"/>
          <w:lang w:val="en-US"/>
        </w:rPr>
        <w:t>She began</w:t>
      </w:r>
      <w:r w:rsidR="003C2AC6" w:rsidRPr="009F337B">
        <w:rPr>
          <w:i w:val="0"/>
          <w:szCs w:val="20"/>
          <w:lang w:val="en-US"/>
        </w:rPr>
        <w:t xml:space="preserve"> </w:t>
      </w:r>
      <w:r w:rsidR="00FE1EFF" w:rsidRPr="009F337B">
        <w:rPr>
          <w:i w:val="0"/>
          <w:szCs w:val="20"/>
          <w:lang w:val="en-US"/>
        </w:rPr>
        <w:t>antiretroviral treatment</w:t>
      </w:r>
      <w:r w:rsidR="003C2AC6" w:rsidRPr="009F337B">
        <w:rPr>
          <w:i w:val="0"/>
          <w:szCs w:val="20"/>
          <w:lang w:val="en-US"/>
        </w:rPr>
        <w:t xml:space="preserve"> </w:t>
      </w:r>
      <w:r w:rsidR="0084040D" w:rsidRPr="009F337B">
        <w:rPr>
          <w:i w:val="0"/>
          <w:szCs w:val="20"/>
          <w:lang w:val="en-US"/>
        </w:rPr>
        <w:t>in mid-</w:t>
      </w:r>
      <w:r w:rsidR="003C2AC6" w:rsidRPr="009F337B">
        <w:rPr>
          <w:i w:val="0"/>
          <w:szCs w:val="20"/>
          <w:lang w:val="en-US"/>
        </w:rPr>
        <w:t xml:space="preserve">2003. </w:t>
      </w:r>
      <w:r w:rsidR="0084040D" w:rsidRPr="009F337B">
        <w:rPr>
          <w:i w:val="0"/>
          <w:szCs w:val="20"/>
          <w:lang w:val="en-US"/>
        </w:rPr>
        <w:t xml:space="preserve"> She died from pneumonia in January 2004.</w:t>
      </w:r>
      <w:r w:rsidR="003C2AC6" w:rsidRPr="009F337B">
        <w:rPr>
          <w:rStyle w:val="Refdenotaalpie"/>
          <w:i w:val="0"/>
          <w:lang w:val="en-US"/>
        </w:rPr>
        <w:footnoteReference w:id="266"/>
      </w:r>
    </w:p>
    <w:p w14:paraId="16420285" w14:textId="77777777" w:rsidR="003C2AC6" w:rsidRPr="009F337B" w:rsidRDefault="003C2AC6" w:rsidP="003C2AC6">
      <w:pPr>
        <w:pStyle w:val="Estilo1"/>
        <w:tabs>
          <w:tab w:val="left" w:pos="709"/>
          <w:tab w:val="left" w:pos="1134"/>
        </w:tabs>
        <w:spacing w:after="0"/>
        <w:ind w:left="0" w:right="-4" w:firstLine="0"/>
        <w:rPr>
          <w:i w:val="0"/>
          <w:szCs w:val="20"/>
          <w:lang w:val="en-US"/>
        </w:rPr>
      </w:pPr>
    </w:p>
    <w:p w14:paraId="7D675844" w14:textId="4D147151" w:rsidR="003C2AC6" w:rsidRPr="009F337B" w:rsidRDefault="0084040D" w:rsidP="00593E37">
      <w:pPr>
        <w:pStyle w:val="Estilo1"/>
        <w:numPr>
          <w:ilvl w:val="0"/>
          <w:numId w:val="5"/>
        </w:numPr>
        <w:tabs>
          <w:tab w:val="left" w:pos="709"/>
          <w:tab w:val="left" w:pos="1134"/>
        </w:tabs>
        <w:spacing w:after="0"/>
        <w:ind w:left="0" w:right="-4" w:firstLine="0"/>
        <w:rPr>
          <w:i w:val="0"/>
          <w:szCs w:val="20"/>
          <w:lang w:val="en-US"/>
        </w:rPr>
      </w:pPr>
      <w:r w:rsidRPr="009F337B">
        <w:rPr>
          <w:i w:val="0"/>
          <w:szCs w:val="20"/>
          <w:lang w:val="en-US"/>
        </w:rPr>
        <w:t xml:space="preserve">Her </w:t>
      </w:r>
      <w:r w:rsidR="003B5D80" w:rsidRPr="009F337B">
        <w:rPr>
          <w:i w:val="0"/>
          <w:szCs w:val="20"/>
          <w:lang w:val="en-US"/>
        </w:rPr>
        <w:t>family unit</w:t>
      </w:r>
      <w:r w:rsidRPr="009F337B">
        <w:rPr>
          <w:i w:val="0"/>
          <w:szCs w:val="20"/>
          <w:lang w:val="en-US"/>
        </w:rPr>
        <w:t xml:space="preserve"> consisted of her two </w:t>
      </w:r>
      <w:r w:rsidR="009C667C" w:rsidRPr="009F337B">
        <w:rPr>
          <w:i w:val="0"/>
          <w:szCs w:val="20"/>
          <w:lang w:val="en-US"/>
        </w:rPr>
        <w:t>young</w:t>
      </w:r>
      <w:r w:rsidRPr="009F337B">
        <w:rPr>
          <w:i w:val="0"/>
          <w:szCs w:val="20"/>
          <w:lang w:val="en-US"/>
        </w:rPr>
        <w:t xml:space="preserve"> </w:t>
      </w:r>
      <w:r w:rsidR="0010522A" w:rsidRPr="009F337B">
        <w:rPr>
          <w:i w:val="0"/>
          <w:szCs w:val="20"/>
          <w:lang w:val="en-US"/>
        </w:rPr>
        <w:t>daughter</w:t>
      </w:r>
      <w:r w:rsidR="003C2AC6" w:rsidRPr="009F337B">
        <w:rPr>
          <w:i w:val="0"/>
          <w:szCs w:val="20"/>
          <w:lang w:val="en-US"/>
        </w:rPr>
        <w:t xml:space="preserve">s </w:t>
      </w:r>
      <w:proofErr w:type="spellStart"/>
      <w:r w:rsidR="003C2AC6" w:rsidRPr="009F337B">
        <w:rPr>
          <w:i w:val="0"/>
          <w:szCs w:val="20"/>
          <w:lang w:val="en-US"/>
        </w:rPr>
        <w:t>Marelyn</w:t>
      </w:r>
      <w:proofErr w:type="spellEnd"/>
      <w:r w:rsidR="003C2AC6" w:rsidRPr="009F337B">
        <w:rPr>
          <w:i w:val="0"/>
          <w:szCs w:val="20"/>
          <w:lang w:val="en-US"/>
        </w:rPr>
        <w:t xml:space="preserve"> </w:t>
      </w:r>
      <w:proofErr w:type="spellStart"/>
      <w:r w:rsidR="003C2AC6" w:rsidRPr="009F337B">
        <w:rPr>
          <w:i w:val="0"/>
          <w:szCs w:val="20"/>
          <w:lang w:val="en-US"/>
        </w:rPr>
        <w:t>Damaisa</w:t>
      </w:r>
      <w:proofErr w:type="spellEnd"/>
      <w:r w:rsidR="003C46A3" w:rsidRPr="009F337B">
        <w:rPr>
          <w:i w:val="0"/>
          <w:szCs w:val="20"/>
          <w:lang w:val="en-US"/>
        </w:rPr>
        <w:t xml:space="preserve"> and </w:t>
      </w:r>
      <w:r w:rsidR="003C2AC6" w:rsidRPr="009F337B">
        <w:rPr>
          <w:i w:val="0"/>
          <w:szCs w:val="20"/>
          <w:lang w:val="en-US"/>
        </w:rPr>
        <w:t xml:space="preserve">Juana </w:t>
      </w:r>
      <w:proofErr w:type="spellStart"/>
      <w:r w:rsidR="003C2AC6" w:rsidRPr="009F337B">
        <w:rPr>
          <w:i w:val="0"/>
          <w:szCs w:val="20"/>
          <w:lang w:val="en-US"/>
        </w:rPr>
        <w:t>Sugeidi</w:t>
      </w:r>
      <w:proofErr w:type="spellEnd"/>
      <w:r w:rsidR="003C2AC6" w:rsidRPr="009F337B">
        <w:rPr>
          <w:i w:val="0"/>
          <w:szCs w:val="20"/>
          <w:lang w:val="en-US"/>
        </w:rPr>
        <w:t xml:space="preserve">, </w:t>
      </w:r>
      <w:r w:rsidR="007B07E2" w:rsidRPr="009F337B">
        <w:rPr>
          <w:i w:val="0"/>
          <w:szCs w:val="20"/>
          <w:lang w:val="en-US"/>
        </w:rPr>
        <w:t>both</w:t>
      </w:r>
      <w:r w:rsidR="003C2AC6" w:rsidRPr="009F337B">
        <w:rPr>
          <w:i w:val="0"/>
          <w:szCs w:val="20"/>
          <w:lang w:val="en-US"/>
        </w:rPr>
        <w:t xml:space="preserve"> </w:t>
      </w:r>
      <w:proofErr w:type="spellStart"/>
      <w:r w:rsidR="003C2AC6" w:rsidRPr="009F337B">
        <w:rPr>
          <w:i w:val="0"/>
          <w:szCs w:val="20"/>
          <w:lang w:val="en-US"/>
        </w:rPr>
        <w:t>Xum</w:t>
      </w:r>
      <w:proofErr w:type="spellEnd"/>
      <w:r w:rsidR="003C2AC6" w:rsidRPr="009F337B">
        <w:rPr>
          <w:i w:val="0"/>
          <w:szCs w:val="20"/>
          <w:lang w:val="en-US"/>
        </w:rPr>
        <w:t xml:space="preserve"> López, </w:t>
      </w:r>
      <w:r w:rsidRPr="009F337B">
        <w:rPr>
          <w:i w:val="0"/>
          <w:szCs w:val="20"/>
          <w:lang w:val="en-US"/>
        </w:rPr>
        <w:t xml:space="preserve">who were cared for by their </w:t>
      </w:r>
      <w:r w:rsidR="0010522A" w:rsidRPr="009F337B">
        <w:rPr>
          <w:i w:val="0"/>
          <w:szCs w:val="20"/>
          <w:lang w:val="en-US"/>
        </w:rPr>
        <w:t>aunt</w:t>
      </w:r>
      <w:r w:rsidR="003C2AC6" w:rsidRPr="009F337B">
        <w:rPr>
          <w:i w:val="0"/>
          <w:szCs w:val="20"/>
          <w:lang w:val="en-US"/>
        </w:rPr>
        <w:t xml:space="preserve">, Marcela </w:t>
      </w:r>
      <w:proofErr w:type="spellStart"/>
      <w:r w:rsidR="003C2AC6" w:rsidRPr="009F337B">
        <w:rPr>
          <w:i w:val="0"/>
          <w:szCs w:val="20"/>
          <w:lang w:val="en-US"/>
        </w:rPr>
        <w:t>Xum</w:t>
      </w:r>
      <w:proofErr w:type="spellEnd"/>
      <w:r w:rsidR="003C2AC6" w:rsidRPr="009F337B">
        <w:rPr>
          <w:i w:val="0"/>
          <w:szCs w:val="20"/>
          <w:lang w:val="en-US"/>
        </w:rPr>
        <w:t xml:space="preserve"> Basilio</w:t>
      </w:r>
      <w:r w:rsidRPr="009F337B">
        <w:rPr>
          <w:i w:val="0"/>
          <w:szCs w:val="20"/>
          <w:lang w:val="en-US"/>
        </w:rPr>
        <w:t>, following their mother’s death.</w:t>
      </w:r>
      <w:r w:rsidR="003C2AC6" w:rsidRPr="009F337B">
        <w:rPr>
          <w:i w:val="0"/>
          <w:szCs w:val="20"/>
          <w:vertAlign w:val="superscript"/>
          <w:lang w:val="en-US"/>
        </w:rPr>
        <w:footnoteReference w:id="267"/>
      </w:r>
    </w:p>
    <w:p w14:paraId="00B23280" w14:textId="77777777" w:rsidR="003C2AC6" w:rsidRPr="009F337B" w:rsidRDefault="003C2AC6" w:rsidP="003C2AC6">
      <w:pPr>
        <w:pStyle w:val="PrrafodeSentencia"/>
        <w:rPr>
          <w:lang w:val="en-US"/>
        </w:rPr>
      </w:pPr>
    </w:p>
    <w:p w14:paraId="4F480D79" w14:textId="77777777" w:rsidR="003C2AC6" w:rsidRPr="009F337B" w:rsidRDefault="003C2AC6" w:rsidP="003C2AC6">
      <w:pPr>
        <w:pStyle w:val="PrrafodeSentencia"/>
        <w:rPr>
          <w:lang w:val="en-US"/>
        </w:rPr>
      </w:pPr>
      <w:r w:rsidRPr="009F337B">
        <w:rPr>
          <w:lang w:val="en-US"/>
        </w:rPr>
        <w:tab/>
        <w:t>A.5. Rita Mariana Dubón Orozco</w:t>
      </w:r>
    </w:p>
    <w:p w14:paraId="1A39C4E9" w14:textId="77777777" w:rsidR="003C2AC6" w:rsidRPr="009F337B" w:rsidRDefault="003C2AC6" w:rsidP="003C2AC6">
      <w:pPr>
        <w:pStyle w:val="PrrafodeSentencia"/>
        <w:rPr>
          <w:lang w:val="en-US"/>
        </w:rPr>
      </w:pPr>
    </w:p>
    <w:p w14:paraId="3543D771" w14:textId="1D57FED4" w:rsidR="003C2AC6" w:rsidRPr="009F337B" w:rsidRDefault="007F1AEB" w:rsidP="00593E37">
      <w:pPr>
        <w:pStyle w:val="Estilo1"/>
        <w:numPr>
          <w:ilvl w:val="0"/>
          <w:numId w:val="5"/>
        </w:numPr>
        <w:tabs>
          <w:tab w:val="left" w:pos="709"/>
          <w:tab w:val="left" w:pos="1134"/>
        </w:tabs>
        <w:spacing w:after="0"/>
        <w:ind w:left="0" w:right="-4" w:firstLine="0"/>
        <w:rPr>
          <w:i w:val="0"/>
          <w:szCs w:val="20"/>
          <w:lang w:val="en-US"/>
        </w:rPr>
      </w:pPr>
      <w:r w:rsidRPr="009F337B">
        <w:rPr>
          <w:i w:val="0"/>
          <w:szCs w:val="20"/>
          <w:lang w:val="en-US"/>
        </w:rPr>
        <w:t>Ms.</w:t>
      </w:r>
      <w:r w:rsidR="003C2AC6" w:rsidRPr="009F337B">
        <w:rPr>
          <w:i w:val="0"/>
          <w:szCs w:val="20"/>
          <w:lang w:val="en-US"/>
        </w:rPr>
        <w:t xml:space="preserve"> </w:t>
      </w:r>
      <w:proofErr w:type="spellStart"/>
      <w:r w:rsidR="003C2AC6" w:rsidRPr="009F337B">
        <w:rPr>
          <w:i w:val="0"/>
          <w:szCs w:val="20"/>
          <w:lang w:val="en-US"/>
        </w:rPr>
        <w:t>Dubón</w:t>
      </w:r>
      <w:proofErr w:type="spellEnd"/>
      <w:r w:rsidR="003C2AC6" w:rsidRPr="009F337B">
        <w:rPr>
          <w:i w:val="0"/>
          <w:szCs w:val="20"/>
          <w:lang w:val="en-US"/>
        </w:rPr>
        <w:t xml:space="preserve"> Orozco </w:t>
      </w:r>
      <w:r w:rsidR="0084040D" w:rsidRPr="009F337B">
        <w:rPr>
          <w:i w:val="0"/>
          <w:szCs w:val="20"/>
          <w:lang w:val="en-US"/>
        </w:rPr>
        <w:t>was born on</w:t>
      </w:r>
      <w:r w:rsidR="003C2AC6" w:rsidRPr="009F337B">
        <w:rPr>
          <w:i w:val="0"/>
          <w:szCs w:val="20"/>
          <w:lang w:val="en-US"/>
        </w:rPr>
        <w:t xml:space="preserve"> </w:t>
      </w:r>
      <w:r w:rsidR="0084040D" w:rsidRPr="009F337B">
        <w:rPr>
          <w:i w:val="0"/>
          <w:szCs w:val="20"/>
          <w:lang w:val="en-US"/>
        </w:rPr>
        <w:t>March 29,</w:t>
      </w:r>
      <w:r w:rsidR="003C2AC6" w:rsidRPr="009F337B">
        <w:rPr>
          <w:i w:val="0"/>
          <w:szCs w:val="20"/>
          <w:lang w:val="en-US"/>
        </w:rPr>
        <w:t xml:space="preserve"> 1979. </w:t>
      </w:r>
      <w:r w:rsidR="0084040D" w:rsidRPr="009F337B">
        <w:rPr>
          <w:i w:val="0"/>
          <w:szCs w:val="20"/>
          <w:lang w:val="en-US"/>
        </w:rPr>
        <w:t xml:space="preserve">She began to receive treatment in 2002 in the </w:t>
      </w:r>
      <w:proofErr w:type="spellStart"/>
      <w:r w:rsidR="003C2AC6" w:rsidRPr="009F337B">
        <w:rPr>
          <w:i w:val="0"/>
          <w:szCs w:val="20"/>
          <w:lang w:val="en-US"/>
        </w:rPr>
        <w:t>Coatepeque</w:t>
      </w:r>
      <w:proofErr w:type="spellEnd"/>
      <w:r w:rsidR="0084040D" w:rsidRPr="009F337B">
        <w:rPr>
          <w:i w:val="0"/>
          <w:szCs w:val="20"/>
          <w:lang w:val="en-US"/>
        </w:rPr>
        <w:t xml:space="preserve"> National Hospital</w:t>
      </w:r>
      <w:r w:rsidR="003C2AC6" w:rsidRPr="009F337B">
        <w:rPr>
          <w:i w:val="0"/>
          <w:szCs w:val="20"/>
          <w:lang w:val="en-US"/>
        </w:rPr>
        <w:t xml:space="preserve">. </w:t>
      </w:r>
      <w:r w:rsidR="0084040D" w:rsidRPr="009F337B">
        <w:rPr>
          <w:i w:val="0"/>
          <w:szCs w:val="20"/>
          <w:lang w:val="en-US"/>
        </w:rPr>
        <w:t>She received</w:t>
      </w:r>
      <w:r w:rsidR="003C2AC6" w:rsidRPr="009F337B">
        <w:rPr>
          <w:i w:val="0"/>
          <w:szCs w:val="20"/>
          <w:lang w:val="en-US"/>
        </w:rPr>
        <w:t xml:space="preserve"> </w:t>
      </w:r>
      <w:r w:rsidR="00FE1EFF" w:rsidRPr="009F337B">
        <w:rPr>
          <w:i w:val="0"/>
          <w:szCs w:val="20"/>
          <w:lang w:val="en-US"/>
        </w:rPr>
        <w:t>antiretroviral treatment</w:t>
      </w:r>
      <w:r w:rsidR="003C2AC6" w:rsidRPr="009F337B">
        <w:rPr>
          <w:i w:val="0"/>
          <w:szCs w:val="20"/>
          <w:lang w:val="en-US"/>
        </w:rPr>
        <w:t xml:space="preserve"> </w:t>
      </w:r>
      <w:r w:rsidR="0084040D" w:rsidRPr="009F337B">
        <w:rPr>
          <w:i w:val="0"/>
          <w:szCs w:val="20"/>
          <w:lang w:val="en-US"/>
        </w:rPr>
        <w:t>through MS</w:t>
      </w:r>
      <w:r w:rsidR="009C667C" w:rsidRPr="009F337B">
        <w:rPr>
          <w:i w:val="0"/>
          <w:szCs w:val="20"/>
          <w:lang w:val="en-US"/>
        </w:rPr>
        <w:t>F</w:t>
      </w:r>
      <w:r w:rsidR="0084040D" w:rsidRPr="009F337B">
        <w:rPr>
          <w:i w:val="0"/>
          <w:szCs w:val="20"/>
          <w:lang w:val="en-US"/>
        </w:rPr>
        <w:t xml:space="preserve"> starting in mid-2003. She did not undergo </w:t>
      </w:r>
      <w:r w:rsidR="003C2AC6" w:rsidRPr="009F337B">
        <w:rPr>
          <w:i w:val="0"/>
          <w:szCs w:val="20"/>
          <w:lang w:val="en-US"/>
        </w:rPr>
        <w:t xml:space="preserve">CD4, </w:t>
      </w:r>
      <w:r w:rsidR="0084040D" w:rsidRPr="009F337B">
        <w:rPr>
          <w:i w:val="0"/>
          <w:szCs w:val="20"/>
          <w:lang w:val="en-US"/>
        </w:rPr>
        <w:t>viral load</w:t>
      </w:r>
      <w:r w:rsidR="003C2AC6" w:rsidRPr="009F337B">
        <w:rPr>
          <w:i w:val="0"/>
          <w:szCs w:val="20"/>
          <w:lang w:val="en-US"/>
        </w:rPr>
        <w:t xml:space="preserve">, </w:t>
      </w:r>
      <w:r w:rsidR="0084040D" w:rsidRPr="009F337B">
        <w:rPr>
          <w:i w:val="0"/>
          <w:szCs w:val="20"/>
          <w:lang w:val="en-US"/>
        </w:rPr>
        <w:t xml:space="preserve">phenotype and genotype testing which would have allowed her infections to be treated in time. She suffered from generalized </w:t>
      </w:r>
      <w:r w:rsidR="003C2AC6" w:rsidRPr="009F337B">
        <w:rPr>
          <w:i w:val="0"/>
          <w:szCs w:val="20"/>
          <w:lang w:val="en-US"/>
        </w:rPr>
        <w:t xml:space="preserve">sepsis, diabetes mellitus, </w:t>
      </w:r>
      <w:r w:rsidR="0084040D" w:rsidRPr="009F337B">
        <w:rPr>
          <w:i w:val="0"/>
          <w:szCs w:val="20"/>
          <w:lang w:val="en-US"/>
        </w:rPr>
        <w:t>arterial hypertension, chronic renal failure and pneumonia. She died on June 27,</w:t>
      </w:r>
      <w:r w:rsidR="003C2AC6" w:rsidRPr="009F337B">
        <w:rPr>
          <w:i w:val="0"/>
          <w:szCs w:val="20"/>
          <w:lang w:val="en-US"/>
        </w:rPr>
        <w:t xml:space="preserve"> 2006</w:t>
      </w:r>
      <w:r w:rsidR="0084040D" w:rsidRPr="009F337B">
        <w:rPr>
          <w:i w:val="0"/>
          <w:szCs w:val="20"/>
          <w:lang w:val="en-US"/>
        </w:rPr>
        <w:t>.</w:t>
      </w:r>
      <w:r w:rsidR="003C2AC6" w:rsidRPr="009F337B">
        <w:rPr>
          <w:rStyle w:val="Refdenotaalpie"/>
          <w:i w:val="0"/>
          <w:lang w:val="en-US"/>
        </w:rPr>
        <w:footnoteReference w:id="268"/>
      </w:r>
    </w:p>
    <w:p w14:paraId="06ACD7C1" w14:textId="77777777" w:rsidR="003C2AC6" w:rsidRPr="009F337B" w:rsidRDefault="003C2AC6" w:rsidP="003C2AC6">
      <w:pPr>
        <w:pStyle w:val="Estilo1"/>
        <w:tabs>
          <w:tab w:val="left" w:pos="709"/>
          <w:tab w:val="left" w:pos="1134"/>
        </w:tabs>
        <w:spacing w:after="0"/>
        <w:ind w:left="0" w:right="-4" w:firstLine="0"/>
        <w:rPr>
          <w:i w:val="0"/>
          <w:szCs w:val="20"/>
          <w:lang w:val="en-US"/>
        </w:rPr>
      </w:pPr>
    </w:p>
    <w:p w14:paraId="2FDDC874" w14:textId="39AB7999" w:rsidR="003C2AC6" w:rsidRPr="009F337B" w:rsidRDefault="003C2AC6" w:rsidP="00593E37">
      <w:pPr>
        <w:pStyle w:val="Estilo1"/>
        <w:numPr>
          <w:ilvl w:val="0"/>
          <w:numId w:val="5"/>
        </w:numPr>
        <w:tabs>
          <w:tab w:val="left" w:pos="709"/>
          <w:tab w:val="left" w:pos="1134"/>
        </w:tabs>
        <w:spacing w:after="0"/>
        <w:ind w:left="0" w:right="-4" w:firstLine="0"/>
        <w:rPr>
          <w:i w:val="0"/>
          <w:szCs w:val="20"/>
          <w:lang w:val="en-US"/>
        </w:rPr>
      </w:pPr>
      <w:r w:rsidRPr="009F337B">
        <w:rPr>
          <w:i w:val="0"/>
          <w:szCs w:val="20"/>
          <w:lang w:val="en-US"/>
        </w:rPr>
        <w:t>Rita Mariana</w:t>
      </w:r>
      <w:r w:rsidR="009C667C" w:rsidRPr="009F337B">
        <w:rPr>
          <w:i w:val="0"/>
          <w:szCs w:val="20"/>
          <w:lang w:val="en-US"/>
        </w:rPr>
        <w:t>’s</w:t>
      </w:r>
      <w:r w:rsidRPr="009F337B">
        <w:rPr>
          <w:i w:val="0"/>
          <w:szCs w:val="20"/>
          <w:lang w:val="en-US"/>
        </w:rPr>
        <w:t xml:space="preserve"> </w:t>
      </w:r>
      <w:r w:rsidR="0084040D" w:rsidRPr="009F337B">
        <w:rPr>
          <w:i w:val="0"/>
          <w:szCs w:val="20"/>
          <w:lang w:val="en-US"/>
        </w:rPr>
        <w:t xml:space="preserve">close circle consisted of her </w:t>
      </w:r>
      <w:r w:rsidR="0010522A" w:rsidRPr="009F337B">
        <w:rPr>
          <w:i w:val="0"/>
          <w:szCs w:val="20"/>
          <w:lang w:val="en-US"/>
        </w:rPr>
        <w:t>friend</w:t>
      </w:r>
      <w:r w:rsidRPr="009F337B">
        <w:rPr>
          <w:i w:val="0"/>
          <w:szCs w:val="20"/>
          <w:lang w:val="en-US"/>
        </w:rPr>
        <w:t xml:space="preserve">s Luz Imelda Lucas de León, Rina </w:t>
      </w:r>
      <w:proofErr w:type="spellStart"/>
      <w:r w:rsidRPr="009F337B">
        <w:rPr>
          <w:i w:val="0"/>
          <w:szCs w:val="20"/>
          <w:lang w:val="en-US"/>
        </w:rPr>
        <w:t>Haydée</w:t>
      </w:r>
      <w:proofErr w:type="spellEnd"/>
      <w:r w:rsidRPr="009F337B">
        <w:rPr>
          <w:i w:val="0"/>
          <w:szCs w:val="20"/>
          <w:lang w:val="en-US"/>
        </w:rPr>
        <w:t xml:space="preserve"> </w:t>
      </w:r>
      <w:proofErr w:type="spellStart"/>
      <w:r w:rsidRPr="009F337B">
        <w:rPr>
          <w:i w:val="0"/>
          <w:szCs w:val="20"/>
          <w:lang w:val="en-US"/>
        </w:rPr>
        <w:t>Landaverde</w:t>
      </w:r>
      <w:proofErr w:type="spellEnd"/>
      <w:r w:rsidR="003C46A3" w:rsidRPr="009F337B">
        <w:rPr>
          <w:i w:val="0"/>
          <w:szCs w:val="20"/>
          <w:lang w:val="en-US"/>
        </w:rPr>
        <w:t xml:space="preserve"> and </w:t>
      </w:r>
      <w:r w:rsidRPr="009F337B">
        <w:rPr>
          <w:i w:val="0"/>
          <w:szCs w:val="20"/>
          <w:lang w:val="en-US"/>
        </w:rPr>
        <w:t>Gladys Minerva Chávez Juárez</w:t>
      </w:r>
      <w:r w:rsidR="0084040D" w:rsidRPr="009F337B">
        <w:rPr>
          <w:i w:val="0"/>
          <w:szCs w:val="20"/>
          <w:lang w:val="en-US"/>
        </w:rPr>
        <w:t>.</w:t>
      </w:r>
      <w:r w:rsidRPr="009F337B">
        <w:rPr>
          <w:i w:val="0"/>
          <w:szCs w:val="20"/>
          <w:vertAlign w:val="superscript"/>
          <w:lang w:val="en-US"/>
        </w:rPr>
        <w:footnoteReference w:id="269"/>
      </w:r>
    </w:p>
    <w:p w14:paraId="6A5FCC9A" w14:textId="77777777" w:rsidR="003C2AC6" w:rsidRPr="009F337B" w:rsidRDefault="003C2AC6" w:rsidP="003C2AC6">
      <w:pPr>
        <w:pStyle w:val="PrrafodeSentencia"/>
        <w:rPr>
          <w:lang w:val="en-US"/>
        </w:rPr>
      </w:pPr>
    </w:p>
    <w:p w14:paraId="78390E34" w14:textId="77777777" w:rsidR="003C2AC6" w:rsidRPr="009F337B" w:rsidRDefault="003C2AC6" w:rsidP="003C2AC6">
      <w:pPr>
        <w:pStyle w:val="PrrafodeSentencia"/>
        <w:rPr>
          <w:lang w:val="en-US"/>
        </w:rPr>
      </w:pPr>
      <w:r w:rsidRPr="009F337B">
        <w:rPr>
          <w:lang w:val="en-US"/>
        </w:rPr>
        <w:tab/>
        <w:t>A.6. Luis Edwin Cruz Gramajo</w:t>
      </w:r>
    </w:p>
    <w:p w14:paraId="3FE2CE10" w14:textId="77777777" w:rsidR="003C2AC6" w:rsidRPr="009F337B" w:rsidRDefault="003C2AC6" w:rsidP="003C2AC6">
      <w:pPr>
        <w:pStyle w:val="PrrafodeSentencia"/>
        <w:rPr>
          <w:lang w:val="en-US"/>
        </w:rPr>
      </w:pPr>
    </w:p>
    <w:p w14:paraId="7B080850" w14:textId="3020E173" w:rsidR="003C2AC6" w:rsidRPr="009F337B" w:rsidRDefault="007F1AEB" w:rsidP="00593E37">
      <w:pPr>
        <w:pStyle w:val="Estilo1"/>
        <w:numPr>
          <w:ilvl w:val="0"/>
          <w:numId w:val="5"/>
        </w:numPr>
        <w:tabs>
          <w:tab w:val="left" w:pos="709"/>
          <w:tab w:val="left" w:pos="1134"/>
        </w:tabs>
        <w:spacing w:after="0"/>
        <w:ind w:left="0" w:right="-4" w:firstLine="0"/>
        <w:rPr>
          <w:i w:val="0"/>
          <w:szCs w:val="20"/>
          <w:lang w:val="en-US"/>
        </w:rPr>
      </w:pPr>
      <w:r w:rsidRPr="009F337B">
        <w:rPr>
          <w:i w:val="0"/>
          <w:szCs w:val="20"/>
          <w:lang w:val="en-US"/>
        </w:rPr>
        <w:t>Mr.</w:t>
      </w:r>
      <w:r w:rsidR="003C2AC6" w:rsidRPr="009F337B">
        <w:rPr>
          <w:i w:val="0"/>
          <w:szCs w:val="20"/>
          <w:lang w:val="en-US"/>
        </w:rPr>
        <w:t xml:space="preserve"> Cruz </w:t>
      </w:r>
      <w:proofErr w:type="spellStart"/>
      <w:r w:rsidR="003C2AC6" w:rsidRPr="009F337B">
        <w:rPr>
          <w:i w:val="0"/>
          <w:szCs w:val="20"/>
          <w:lang w:val="en-US"/>
        </w:rPr>
        <w:t>Gramajo</w:t>
      </w:r>
      <w:proofErr w:type="spellEnd"/>
      <w:r w:rsidR="003C2AC6" w:rsidRPr="009F337B">
        <w:rPr>
          <w:i w:val="0"/>
          <w:szCs w:val="20"/>
          <w:lang w:val="en-US"/>
        </w:rPr>
        <w:t xml:space="preserve"> </w:t>
      </w:r>
      <w:r w:rsidR="0084040D" w:rsidRPr="009F337B">
        <w:rPr>
          <w:i w:val="0"/>
          <w:szCs w:val="20"/>
          <w:lang w:val="en-US"/>
        </w:rPr>
        <w:t>was born on</w:t>
      </w:r>
      <w:r w:rsidR="003C2AC6" w:rsidRPr="009F337B">
        <w:rPr>
          <w:i w:val="0"/>
          <w:szCs w:val="20"/>
          <w:lang w:val="en-US"/>
        </w:rPr>
        <w:t xml:space="preserve"> </w:t>
      </w:r>
      <w:r w:rsidR="003B5D80" w:rsidRPr="009F337B">
        <w:rPr>
          <w:i w:val="0"/>
          <w:szCs w:val="20"/>
          <w:lang w:val="en-US"/>
        </w:rPr>
        <w:t>July 29,</w:t>
      </w:r>
      <w:r w:rsidR="003C2AC6" w:rsidRPr="009F337B">
        <w:rPr>
          <w:i w:val="0"/>
          <w:szCs w:val="20"/>
          <w:lang w:val="en-US"/>
        </w:rPr>
        <w:t xml:space="preserve"> 1961. </w:t>
      </w:r>
      <w:r w:rsidR="003B5D80" w:rsidRPr="009F337B">
        <w:rPr>
          <w:i w:val="0"/>
          <w:szCs w:val="20"/>
          <w:lang w:val="en-US"/>
        </w:rPr>
        <w:t>H</w:t>
      </w:r>
      <w:r w:rsidRPr="009F337B">
        <w:rPr>
          <w:i w:val="0"/>
          <w:szCs w:val="20"/>
          <w:lang w:val="en-US"/>
        </w:rPr>
        <w:t>e lived in</w:t>
      </w:r>
      <w:r w:rsidR="003C2AC6" w:rsidRPr="009F337B">
        <w:rPr>
          <w:i w:val="0"/>
          <w:szCs w:val="20"/>
          <w:lang w:val="en-US"/>
        </w:rPr>
        <w:t xml:space="preserve"> </w:t>
      </w:r>
      <w:r w:rsidR="003B5D80" w:rsidRPr="009F337B">
        <w:rPr>
          <w:i w:val="0"/>
          <w:szCs w:val="20"/>
          <w:lang w:val="en-US"/>
        </w:rPr>
        <w:t>Guatemala City</w:t>
      </w:r>
      <w:r w:rsidR="003C2AC6" w:rsidRPr="009F337B">
        <w:rPr>
          <w:i w:val="0"/>
          <w:szCs w:val="20"/>
          <w:lang w:val="en-US"/>
        </w:rPr>
        <w:t xml:space="preserve">. </w:t>
      </w:r>
      <w:r w:rsidR="003B5D80" w:rsidRPr="009F337B">
        <w:rPr>
          <w:i w:val="0"/>
          <w:szCs w:val="20"/>
          <w:lang w:val="en-US"/>
        </w:rPr>
        <w:t>He began to receive</w:t>
      </w:r>
      <w:r w:rsidR="003C2AC6" w:rsidRPr="009F337B">
        <w:rPr>
          <w:i w:val="0"/>
          <w:szCs w:val="20"/>
          <w:lang w:val="en-US"/>
        </w:rPr>
        <w:t xml:space="preserve"> </w:t>
      </w:r>
      <w:r w:rsidR="00FE1EFF" w:rsidRPr="009F337B">
        <w:rPr>
          <w:i w:val="0"/>
          <w:szCs w:val="20"/>
          <w:lang w:val="en-US"/>
        </w:rPr>
        <w:t>antiretroviral treatment</w:t>
      </w:r>
      <w:r w:rsidR="003C2AC6" w:rsidRPr="009F337B">
        <w:rPr>
          <w:i w:val="0"/>
          <w:szCs w:val="20"/>
          <w:lang w:val="en-US"/>
        </w:rPr>
        <w:t xml:space="preserve"> </w:t>
      </w:r>
      <w:r w:rsidR="003B5D80" w:rsidRPr="009F337B">
        <w:rPr>
          <w:i w:val="0"/>
          <w:szCs w:val="20"/>
          <w:lang w:val="en-US"/>
        </w:rPr>
        <w:t>in</w:t>
      </w:r>
      <w:r w:rsidR="003C2AC6" w:rsidRPr="009F337B">
        <w:rPr>
          <w:i w:val="0"/>
          <w:szCs w:val="20"/>
          <w:lang w:val="en-US"/>
        </w:rPr>
        <w:t xml:space="preserve"> 2002 </w:t>
      </w:r>
      <w:r w:rsidR="003B5D80" w:rsidRPr="009F337B">
        <w:rPr>
          <w:i w:val="0"/>
          <w:szCs w:val="20"/>
          <w:lang w:val="en-US"/>
        </w:rPr>
        <w:t>through MSF, and the treatment continued until 2004</w:t>
      </w:r>
      <w:r w:rsidR="003C2AC6" w:rsidRPr="009F337B">
        <w:rPr>
          <w:i w:val="0"/>
          <w:szCs w:val="20"/>
          <w:lang w:val="en-US"/>
        </w:rPr>
        <w:t xml:space="preserve">. </w:t>
      </w:r>
      <w:r w:rsidR="003B5D80" w:rsidRPr="009F337B">
        <w:rPr>
          <w:i w:val="0"/>
          <w:szCs w:val="20"/>
          <w:lang w:val="en-US"/>
        </w:rPr>
        <w:t>Subsequently, the</w:t>
      </w:r>
      <w:r w:rsidR="003C2AC6" w:rsidRPr="009F337B">
        <w:rPr>
          <w:i w:val="0"/>
          <w:szCs w:val="20"/>
          <w:lang w:val="en-US"/>
        </w:rPr>
        <w:t xml:space="preserve"> Marco Antonio</w:t>
      </w:r>
      <w:r w:rsidR="003B5D80" w:rsidRPr="009F337B">
        <w:rPr>
          <w:i w:val="0"/>
          <w:szCs w:val="20"/>
          <w:lang w:val="en-US"/>
        </w:rPr>
        <w:t xml:space="preserve"> Foundation provided him with treatment</w:t>
      </w:r>
      <w:r w:rsidR="003C2AC6" w:rsidRPr="009F337B">
        <w:rPr>
          <w:i w:val="0"/>
          <w:szCs w:val="20"/>
          <w:lang w:val="en-US"/>
        </w:rPr>
        <w:t xml:space="preserve">. </w:t>
      </w:r>
      <w:r w:rsidR="003B5D80" w:rsidRPr="009F337B">
        <w:rPr>
          <w:i w:val="0"/>
          <w:szCs w:val="20"/>
          <w:lang w:val="en-US"/>
        </w:rPr>
        <w:t>He d</w:t>
      </w:r>
      <w:r w:rsidR="003E1304" w:rsidRPr="009F337B">
        <w:rPr>
          <w:i w:val="0"/>
          <w:szCs w:val="20"/>
          <w:lang w:val="en-US"/>
        </w:rPr>
        <w:t>id not have access to</w:t>
      </w:r>
      <w:r w:rsidR="003C2AC6" w:rsidRPr="009F337B">
        <w:rPr>
          <w:i w:val="0"/>
          <w:szCs w:val="20"/>
          <w:lang w:val="en-US"/>
        </w:rPr>
        <w:t xml:space="preserve"> </w:t>
      </w:r>
      <w:r w:rsidR="003B5D80" w:rsidRPr="009F337B">
        <w:rPr>
          <w:i w:val="0"/>
          <w:szCs w:val="20"/>
          <w:lang w:val="en-US"/>
        </w:rPr>
        <w:t>either</w:t>
      </w:r>
      <w:r w:rsidR="003C2AC6" w:rsidRPr="009F337B">
        <w:rPr>
          <w:i w:val="0"/>
          <w:szCs w:val="20"/>
          <w:lang w:val="en-US"/>
        </w:rPr>
        <w:t xml:space="preserve"> </w:t>
      </w:r>
      <w:r w:rsidR="003B5D80" w:rsidRPr="009F337B">
        <w:rPr>
          <w:i w:val="0"/>
          <w:szCs w:val="20"/>
          <w:lang w:val="en-US"/>
        </w:rPr>
        <w:t>phenotype</w:t>
      </w:r>
      <w:r w:rsidR="003C2AC6" w:rsidRPr="009F337B">
        <w:rPr>
          <w:i w:val="0"/>
          <w:szCs w:val="20"/>
          <w:lang w:val="en-US"/>
        </w:rPr>
        <w:t xml:space="preserve"> </w:t>
      </w:r>
      <w:r w:rsidR="003B5D80" w:rsidRPr="009F337B">
        <w:rPr>
          <w:i w:val="0"/>
          <w:szCs w:val="20"/>
          <w:lang w:val="en-US"/>
        </w:rPr>
        <w:t>or</w:t>
      </w:r>
      <w:r w:rsidR="003C2AC6" w:rsidRPr="009F337B">
        <w:rPr>
          <w:i w:val="0"/>
          <w:szCs w:val="20"/>
          <w:lang w:val="en-US"/>
        </w:rPr>
        <w:t xml:space="preserve"> </w:t>
      </w:r>
      <w:r w:rsidR="003B5D80" w:rsidRPr="009F337B">
        <w:rPr>
          <w:i w:val="0"/>
          <w:szCs w:val="20"/>
          <w:lang w:val="en-US"/>
        </w:rPr>
        <w:t>genotype testing</w:t>
      </w:r>
      <w:r w:rsidR="003C2AC6" w:rsidRPr="009F337B">
        <w:rPr>
          <w:i w:val="0"/>
          <w:szCs w:val="20"/>
          <w:lang w:val="en-US"/>
        </w:rPr>
        <w:t xml:space="preserve">. </w:t>
      </w:r>
      <w:r w:rsidR="003B5D80" w:rsidRPr="009F337B">
        <w:rPr>
          <w:i w:val="0"/>
          <w:szCs w:val="20"/>
          <w:lang w:val="en-US"/>
        </w:rPr>
        <w:t>He d</w:t>
      </w:r>
      <w:r w:rsidR="00CB1D32" w:rsidRPr="009F337B">
        <w:rPr>
          <w:i w:val="0"/>
          <w:szCs w:val="20"/>
          <w:lang w:val="en-US"/>
        </w:rPr>
        <w:t>ied</w:t>
      </w:r>
      <w:r w:rsidR="003C2AC6" w:rsidRPr="009F337B">
        <w:rPr>
          <w:i w:val="0"/>
          <w:szCs w:val="20"/>
          <w:lang w:val="en-US"/>
        </w:rPr>
        <w:t xml:space="preserve"> </w:t>
      </w:r>
      <w:r w:rsidR="003B5D80" w:rsidRPr="009F337B">
        <w:rPr>
          <w:i w:val="0"/>
          <w:szCs w:val="20"/>
          <w:lang w:val="en-US"/>
        </w:rPr>
        <w:t>from</w:t>
      </w:r>
      <w:r w:rsidR="003C2AC6" w:rsidRPr="009F337B">
        <w:rPr>
          <w:i w:val="0"/>
          <w:szCs w:val="20"/>
          <w:lang w:val="en-US"/>
        </w:rPr>
        <w:t xml:space="preserve"> </w:t>
      </w:r>
      <w:r w:rsidR="003B5D80" w:rsidRPr="009F337B">
        <w:rPr>
          <w:i w:val="0"/>
          <w:szCs w:val="20"/>
          <w:lang w:val="en-US"/>
        </w:rPr>
        <w:t>respiratory arrest on January 29, 2008.</w:t>
      </w:r>
      <w:r w:rsidR="003C2AC6" w:rsidRPr="009F337B">
        <w:rPr>
          <w:rStyle w:val="Refdenotaalpie"/>
          <w:i w:val="0"/>
          <w:lang w:val="en-US"/>
        </w:rPr>
        <w:footnoteReference w:id="270"/>
      </w:r>
    </w:p>
    <w:p w14:paraId="7E33D05B" w14:textId="77777777" w:rsidR="003C2AC6" w:rsidRPr="009F337B" w:rsidRDefault="003C2AC6" w:rsidP="003C2AC6">
      <w:pPr>
        <w:pStyle w:val="Estilo1"/>
        <w:tabs>
          <w:tab w:val="left" w:pos="709"/>
          <w:tab w:val="left" w:pos="1134"/>
        </w:tabs>
        <w:spacing w:after="0"/>
        <w:ind w:left="0" w:right="-4" w:firstLine="0"/>
        <w:rPr>
          <w:i w:val="0"/>
          <w:szCs w:val="20"/>
          <w:lang w:val="en-US"/>
        </w:rPr>
      </w:pPr>
    </w:p>
    <w:p w14:paraId="24CD3775" w14:textId="12A274C8" w:rsidR="003C2AC6" w:rsidRPr="009F337B" w:rsidRDefault="003B5D80" w:rsidP="00593E37">
      <w:pPr>
        <w:pStyle w:val="Estilo1"/>
        <w:numPr>
          <w:ilvl w:val="0"/>
          <w:numId w:val="5"/>
        </w:numPr>
        <w:tabs>
          <w:tab w:val="left" w:pos="709"/>
          <w:tab w:val="left" w:pos="1134"/>
        </w:tabs>
        <w:spacing w:after="0"/>
        <w:ind w:left="0" w:right="-4" w:firstLine="0"/>
        <w:rPr>
          <w:i w:val="0"/>
          <w:szCs w:val="20"/>
          <w:lang w:val="en-US"/>
        </w:rPr>
      </w:pPr>
      <w:r w:rsidRPr="009F337B">
        <w:rPr>
          <w:i w:val="0"/>
          <w:szCs w:val="20"/>
          <w:lang w:val="en-US"/>
        </w:rPr>
        <w:t>His family unit consisted of his</w:t>
      </w:r>
      <w:r w:rsidR="003C2AC6" w:rsidRPr="009F337B">
        <w:rPr>
          <w:i w:val="0"/>
          <w:szCs w:val="20"/>
          <w:lang w:val="en-US"/>
        </w:rPr>
        <w:t xml:space="preserve"> </w:t>
      </w:r>
      <w:r w:rsidR="0010522A" w:rsidRPr="009F337B">
        <w:rPr>
          <w:i w:val="0"/>
          <w:szCs w:val="20"/>
          <w:lang w:val="en-US"/>
        </w:rPr>
        <w:t>sister</w:t>
      </w:r>
      <w:r w:rsidR="003C2AC6" w:rsidRPr="009F337B">
        <w:rPr>
          <w:i w:val="0"/>
          <w:szCs w:val="20"/>
          <w:lang w:val="en-US"/>
        </w:rPr>
        <w:t xml:space="preserve"> María del Rosario Cruz </w:t>
      </w:r>
      <w:proofErr w:type="spellStart"/>
      <w:r w:rsidR="003C2AC6" w:rsidRPr="009F337B">
        <w:rPr>
          <w:i w:val="0"/>
          <w:szCs w:val="20"/>
          <w:lang w:val="en-US"/>
        </w:rPr>
        <w:t>Gramajo</w:t>
      </w:r>
      <w:proofErr w:type="spellEnd"/>
      <w:r w:rsidR="003C46A3" w:rsidRPr="009F337B">
        <w:rPr>
          <w:i w:val="0"/>
          <w:szCs w:val="20"/>
          <w:lang w:val="en-US"/>
        </w:rPr>
        <w:t xml:space="preserve"> and </w:t>
      </w:r>
      <w:r w:rsidRPr="009F337B">
        <w:rPr>
          <w:i w:val="0"/>
          <w:szCs w:val="20"/>
          <w:lang w:val="en-US"/>
        </w:rPr>
        <w:t>his</w:t>
      </w:r>
      <w:r w:rsidR="003C2AC6" w:rsidRPr="009F337B">
        <w:rPr>
          <w:i w:val="0"/>
          <w:szCs w:val="20"/>
          <w:lang w:val="en-US"/>
        </w:rPr>
        <w:t xml:space="preserve"> </w:t>
      </w:r>
      <w:r w:rsidR="0010522A" w:rsidRPr="009F337B">
        <w:rPr>
          <w:i w:val="0"/>
          <w:szCs w:val="20"/>
          <w:lang w:val="en-US"/>
        </w:rPr>
        <w:t>nephew</w:t>
      </w:r>
      <w:r w:rsidR="003C2AC6" w:rsidRPr="009F337B">
        <w:rPr>
          <w:i w:val="0"/>
          <w:szCs w:val="20"/>
          <w:lang w:val="en-US"/>
        </w:rPr>
        <w:t xml:space="preserve"> José Andrés Cruz </w:t>
      </w:r>
      <w:proofErr w:type="spellStart"/>
      <w:r w:rsidR="003C2AC6" w:rsidRPr="009F337B">
        <w:rPr>
          <w:i w:val="0"/>
          <w:szCs w:val="20"/>
          <w:lang w:val="en-US"/>
        </w:rPr>
        <w:t>Gramajo</w:t>
      </w:r>
      <w:proofErr w:type="spellEnd"/>
      <w:r w:rsidR="003C2AC6" w:rsidRPr="009F337B">
        <w:rPr>
          <w:i w:val="0"/>
          <w:szCs w:val="20"/>
          <w:lang w:val="en-US"/>
        </w:rPr>
        <w:t xml:space="preserve">, </w:t>
      </w:r>
      <w:r w:rsidRPr="009F337B">
        <w:rPr>
          <w:i w:val="0"/>
          <w:szCs w:val="20"/>
          <w:lang w:val="en-US"/>
        </w:rPr>
        <w:t>and also his</w:t>
      </w:r>
      <w:r w:rsidR="003C2AC6" w:rsidRPr="009F337B">
        <w:rPr>
          <w:i w:val="0"/>
          <w:szCs w:val="20"/>
          <w:lang w:val="en-US"/>
        </w:rPr>
        <w:t xml:space="preserve"> </w:t>
      </w:r>
      <w:r w:rsidR="0010522A" w:rsidRPr="009F337B">
        <w:rPr>
          <w:i w:val="0"/>
          <w:szCs w:val="20"/>
          <w:lang w:val="en-US"/>
        </w:rPr>
        <w:t>brother</w:t>
      </w:r>
      <w:r w:rsidR="003C2AC6" w:rsidRPr="009F337B">
        <w:rPr>
          <w:i w:val="0"/>
          <w:szCs w:val="20"/>
          <w:lang w:val="en-US"/>
        </w:rPr>
        <w:t xml:space="preserve"> Carlos Cruz </w:t>
      </w:r>
      <w:proofErr w:type="spellStart"/>
      <w:r w:rsidR="003C2AC6" w:rsidRPr="009F337B">
        <w:rPr>
          <w:i w:val="0"/>
          <w:szCs w:val="20"/>
          <w:lang w:val="en-US"/>
        </w:rPr>
        <w:t>Gramajo</w:t>
      </w:r>
      <w:proofErr w:type="spellEnd"/>
      <w:r w:rsidRPr="009F337B">
        <w:rPr>
          <w:i w:val="0"/>
          <w:szCs w:val="20"/>
          <w:lang w:val="en-US"/>
        </w:rPr>
        <w:t>.</w:t>
      </w:r>
      <w:r w:rsidR="003C2AC6" w:rsidRPr="009F337B">
        <w:rPr>
          <w:i w:val="0"/>
          <w:szCs w:val="20"/>
          <w:vertAlign w:val="superscript"/>
          <w:lang w:val="en-US"/>
        </w:rPr>
        <w:footnoteReference w:id="271"/>
      </w:r>
    </w:p>
    <w:p w14:paraId="6FD55BD7" w14:textId="77777777" w:rsidR="003C2AC6" w:rsidRPr="009F337B" w:rsidRDefault="003C2AC6" w:rsidP="003C2AC6">
      <w:pPr>
        <w:pStyle w:val="PrrafodeSentencia"/>
        <w:rPr>
          <w:lang w:val="en-US"/>
        </w:rPr>
      </w:pPr>
    </w:p>
    <w:p w14:paraId="67314D3A" w14:textId="77777777" w:rsidR="003C2AC6" w:rsidRPr="009F337B" w:rsidRDefault="003C2AC6" w:rsidP="003C2AC6">
      <w:pPr>
        <w:pStyle w:val="PrrafodeSentencia"/>
        <w:rPr>
          <w:lang w:val="en-US"/>
        </w:rPr>
      </w:pPr>
      <w:r w:rsidRPr="009F337B">
        <w:rPr>
          <w:lang w:val="en-US"/>
        </w:rPr>
        <w:tab/>
        <w:t>A.7. María Blanca Vaíl López</w:t>
      </w:r>
    </w:p>
    <w:p w14:paraId="696C8927" w14:textId="77777777" w:rsidR="003C2AC6" w:rsidRPr="009F337B" w:rsidRDefault="003C2AC6" w:rsidP="003C2AC6">
      <w:pPr>
        <w:pStyle w:val="PrrafodeSentencia"/>
        <w:rPr>
          <w:lang w:val="en-US"/>
        </w:rPr>
      </w:pPr>
    </w:p>
    <w:p w14:paraId="03D68A44" w14:textId="6DBFCB5A" w:rsidR="003C2AC6" w:rsidRPr="009F337B" w:rsidRDefault="007F1AEB" w:rsidP="00593E37">
      <w:pPr>
        <w:pStyle w:val="Estilo1"/>
        <w:numPr>
          <w:ilvl w:val="0"/>
          <w:numId w:val="5"/>
        </w:numPr>
        <w:tabs>
          <w:tab w:val="left" w:pos="709"/>
          <w:tab w:val="left" w:pos="1134"/>
        </w:tabs>
        <w:spacing w:after="0"/>
        <w:ind w:left="0" w:right="-4" w:firstLine="0"/>
        <w:rPr>
          <w:i w:val="0"/>
          <w:szCs w:val="20"/>
          <w:lang w:val="en-US"/>
        </w:rPr>
      </w:pPr>
      <w:r w:rsidRPr="009F337B">
        <w:rPr>
          <w:i w:val="0"/>
          <w:szCs w:val="20"/>
          <w:lang w:val="en-US"/>
        </w:rPr>
        <w:t>Mrs.</w:t>
      </w:r>
      <w:r w:rsidR="003C2AC6" w:rsidRPr="009F337B">
        <w:rPr>
          <w:i w:val="0"/>
          <w:szCs w:val="20"/>
          <w:lang w:val="en-US"/>
        </w:rPr>
        <w:t xml:space="preserve"> </w:t>
      </w:r>
      <w:proofErr w:type="spellStart"/>
      <w:r w:rsidR="003C2AC6" w:rsidRPr="009F337B">
        <w:rPr>
          <w:i w:val="0"/>
          <w:szCs w:val="20"/>
          <w:lang w:val="en-US"/>
        </w:rPr>
        <w:t>Vaíl</w:t>
      </w:r>
      <w:proofErr w:type="spellEnd"/>
      <w:r w:rsidR="003C2AC6" w:rsidRPr="009F337B">
        <w:rPr>
          <w:i w:val="0"/>
          <w:szCs w:val="20"/>
          <w:lang w:val="en-US"/>
        </w:rPr>
        <w:t xml:space="preserve"> López </w:t>
      </w:r>
      <w:r w:rsidR="0084040D" w:rsidRPr="009F337B">
        <w:rPr>
          <w:i w:val="0"/>
          <w:szCs w:val="20"/>
          <w:lang w:val="en-US"/>
        </w:rPr>
        <w:t>was born on</w:t>
      </w:r>
      <w:r w:rsidR="003C2AC6" w:rsidRPr="009F337B">
        <w:rPr>
          <w:i w:val="0"/>
          <w:szCs w:val="20"/>
          <w:lang w:val="en-US"/>
        </w:rPr>
        <w:t xml:space="preserve"> </w:t>
      </w:r>
      <w:r w:rsidR="003B5D80" w:rsidRPr="009F337B">
        <w:rPr>
          <w:i w:val="0"/>
          <w:szCs w:val="20"/>
          <w:lang w:val="en-US"/>
        </w:rPr>
        <w:t>May 20,</w:t>
      </w:r>
      <w:r w:rsidR="003C2AC6" w:rsidRPr="009F337B">
        <w:rPr>
          <w:i w:val="0"/>
          <w:szCs w:val="20"/>
          <w:lang w:val="en-US"/>
        </w:rPr>
        <w:t xml:space="preserve"> 1974. </w:t>
      </w:r>
      <w:r w:rsidR="003B5D80" w:rsidRPr="009F337B">
        <w:rPr>
          <w:i w:val="0"/>
          <w:szCs w:val="20"/>
          <w:lang w:val="en-US"/>
        </w:rPr>
        <w:t>She spoke</w:t>
      </w:r>
      <w:r w:rsidR="003C2AC6" w:rsidRPr="009F337B">
        <w:rPr>
          <w:i w:val="0"/>
          <w:szCs w:val="20"/>
          <w:lang w:val="en-US"/>
        </w:rPr>
        <w:t xml:space="preserve"> </w:t>
      </w:r>
      <w:r w:rsidR="003B5D80" w:rsidRPr="009F337B">
        <w:rPr>
          <w:i w:val="0"/>
          <w:szCs w:val="20"/>
          <w:lang w:val="en-US"/>
        </w:rPr>
        <w:t>M</w:t>
      </w:r>
      <w:r w:rsidR="003C2AC6" w:rsidRPr="009F337B">
        <w:rPr>
          <w:i w:val="0"/>
          <w:szCs w:val="20"/>
          <w:lang w:val="en-US"/>
        </w:rPr>
        <w:t>am</w:t>
      </w:r>
      <w:r w:rsidR="003C46A3" w:rsidRPr="009F337B">
        <w:rPr>
          <w:i w:val="0"/>
          <w:szCs w:val="20"/>
          <w:lang w:val="en-US"/>
        </w:rPr>
        <w:t xml:space="preserve"> and </w:t>
      </w:r>
      <w:r w:rsidR="003B5D80" w:rsidRPr="009F337B">
        <w:rPr>
          <w:i w:val="0"/>
          <w:szCs w:val="20"/>
          <w:lang w:val="en-US"/>
        </w:rPr>
        <w:t xml:space="preserve">Spanish. </w:t>
      </w:r>
      <w:r w:rsidRPr="009F337B">
        <w:rPr>
          <w:i w:val="0"/>
          <w:szCs w:val="20"/>
          <w:lang w:val="en-US"/>
        </w:rPr>
        <w:t>She lived in</w:t>
      </w:r>
      <w:r w:rsidR="003C2AC6" w:rsidRPr="009F337B">
        <w:rPr>
          <w:i w:val="0"/>
          <w:szCs w:val="20"/>
          <w:lang w:val="en-US"/>
        </w:rPr>
        <w:t xml:space="preserve"> </w:t>
      </w:r>
      <w:r w:rsidR="003B5D80" w:rsidRPr="009F337B">
        <w:rPr>
          <w:i w:val="0"/>
          <w:szCs w:val="20"/>
          <w:lang w:val="en-US"/>
        </w:rPr>
        <w:t>the</w:t>
      </w:r>
      <w:r w:rsidR="003C2AC6" w:rsidRPr="009F337B">
        <w:rPr>
          <w:i w:val="0"/>
          <w:szCs w:val="20"/>
          <w:lang w:val="en-US"/>
        </w:rPr>
        <w:t xml:space="preserve"> </w:t>
      </w:r>
      <w:proofErr w:type="spellStart"/>
      <w:r w:rsidR="003C2AC6" w:rsidRPr="009F337B">
        <w:rPr>
          <w:i w:val="0"/>
          <w:szCs w:val="20"/>
          <w:lang w:val="en-US"/>
        </w:rPr>
        <w:t>Colmena</w:t>
      </w:r>
      <w:proofErr w:type="spellEnd"/>
      <w:r w:rsidR="003B5D80" w:rsidRPr="009F337B">
        <w:rPr>
          <w:i w:val="0"/>
          <w:szCs w:val="20"/>
          <w:lang w:val="en-US"/>
        </w:rPr>
        <w:t xml:space="preserve"> Sector</w:t>
      </w:r>
      <w:r w:rsidR="003C2AC6" w:rsidRPr="009F337B">
        <w:rPr>
          <w:i w:val="0"/>
          <w:szCs w:val="20"/>
          <w:lang w:val="en-US"/>
        </w:rPr>
        <w:t xml:space="preserve">, </w:t>
      </w:r>
      <w:proofErr w:type="spellStart"/>
      <w:r w:rsidR="003C2AC6" w:rsidRPr="009F337B">
        <w:rPr>
          <w:i w:val="0"/>
          <w:szCs w:val="20"/>
          <w:lang w:val="en-US"/>
        </w:rPr>
        <w:t>Sibaná</w:t>
      </w:r>
      <w:proofErr w:type="spellEnd"/>
      <w:r w:rsidR="003B5D80" w:rsidRPr="009F337B">
        <w:rPr>
          <w:i w:val="0"/>
          <w:szCs w:val="20"/>
          <w:lang w:val="en-US"/>
        </w:rPr>
        <w:t xml:space="preserve"> village</w:t>
      </w:r>
      <w:r w:rsidR="003C2AC6" w:rsidRPr="009F337B">
        <w:rPr>
          <w:i w:val="0"/>
          <w:szCs w:val="20"/>
          <w:lang w:val="en-US"/>
        </w:rPr>
        <w:t xml:space="preserve">, </w:t>
      </w:r>
      <w:r w:rsidR="003B5D80" w:rsidRPr="009F337B">
        <w:rPr>
          <w:i w:val="0"/>
          <w:szCs w:val="20"/>
          <w:lang w:val="en-US"/>
        </w:rPr>
        <w:t>in t</w:t>
      </w:r>
      <w:r w:rsidR="003E1304" w:rsidRPr="009F337B">
        <w:rPr>
          <w:i w:val="0"/>
          <w:szCs w:val="20"/>
          <w:lang w:val="en-US"/>
        </w:rPr>
        <w:t xml:space="preserve">he </w:t>
      </w:r>
      <w:r w:rsidR="00D85CA7" w:rsidRPr="009F337B">
        <w:rPr>
          <w:i w:val="0"/>
          <w:szCs w:val="20"/>
          <w:lang w:val="en-US"/>
        </w:rPr>
        <w:t>municipality of</w:t>
      </w:r>
      <w:r w:rsidR="003C2AC6" w:rsidRPr="009F337B">
        <w:rPr>
          <w:i w:val="0"/>
          <w:szCs w:val="20"/>
          <w:lang w:val="en-US"/>
        </w:rPr>
        <w:t xml:space="preserve"> El </w:t>
      </w:r>
      <w:proofErr w:type="spellStart"/>
      <w:r w:rsidR="003C2AC6" w:rsidRPr="009F337B">
        <w:rPr>
          <w:i w:val="0"/>
          <w:szCs w:val="20"/>
          <w:lang w:val="en-US"/>
        </w:rPr>
        <w:t>Asintal</w:t>
      </w:r>
      <w:proofErr w:type="spellEnd"/>
      <w:r w:rsidR="003C2AC6" w:rsidRPr="009F337B">
        <w:rPr>
          <w:i w:val="0"/>
          <w:szCs w:val="20"/>
          <w:lang w:val="en-US"/>
        </w:rPr>
        <w:t xml:space="preserve">, </w:t>
      </w:r>
      <w:r w:rsidR="003E1304" w:rsidRPr="009F337B">
        <w:rPr>
          <w:i w:val="0"/>
          <w:szCs w:val="20"/>
          <w:lang w:val="en-US"/>
        </w:rPr>
        <w:t>department of</w:t>
      </w:r>
      <w:r w:rsidR="003C2AC6" w:rsidRPr="009F337B">
        <w:rPr>
          <w:i w:val="0"/>
          <w:szCs w:val="20"/>
          <w:lang w:val="en-US"/>
        </w:rPr>
        <w:t xml:space="preserve"> Retalhuleu, Guatemala. </w:t>
      </w:r>
      <w:r w:rsidR="003B5D80" w:rsidRPr="009F337B">
        <w:rPr>
          <w:i w:val="0"/>
          <w:szCs w:val="20"/>
          <w:lang w:val="en-US"/>
        </w:rPr>
        <w:t>She was</w:t>
      </w:r>
      <w:r w:rsidR="001071B4" w:rsidRPr="009F337B">
        <w:rPr>
          <w:i w:val="0"/>
          <w:szCs w:val="20"/>
          <w:lang w:val="en-US"/>
        </w:rPr>
        <w:t xml:space="preserve"> diagnosed with HIV</w:t>
      </w:r>
      <w:r w:rsidR="003C2AC6" w:rsidRPr="009F337B">
        <w:rPr>
          <w:i w:val="0"/>
          <w:szCs w:val="20"/>
          <w:lang w:val="en-US"/>
        </w:rPr>
        <w:t xml:space="preserve"> </w:t>
      </w:r>
      <w:r w:rsidR="00BD5E94" w:rsidRPr="009F337B">
        <w:rPr>
          <w:i w:val="0"/>
          <w:szCs w:val="20"/>
          <w:lang w:val="en-US"/>
        </w:rPr>
        <w:t>on</w:t>
      </w:r>
      <w:r w:rsidR="003C2AC6" w:rsidRPr="009F337B">
        <w:rPr>
          <w:i w:val="0"/>
          <w:szCs w:val="20"/>
          <w:lang w:val="en-US"/>
        </w:rPr>
        <w:t xml:space="preserve"> </w:t>
      </w:r>
      <w:r w:rsidR="00BD5E94" w:rsidRPr="009F337B">
        <w:rPr>
          <w:i w:val="0"/>
          <w:szCs w:val="20"/>
          <w:lang w:val="en-US"/>
        </w:rPr>
        <w:t>November 20,</w:t>
      </w:r>
      <w:r w:rsidR="003C2AC6" w:rsidRPr="009F337B">
        <w:rPr>
          <w:i w:val="0"/>
          <w:szCs w:val="20"/>
          <w:lang w:val="en-US"/>
        </w:rPr>
        <w:t xml:space="preserve"> 2001, </w:t>
      </w:r>
      <w:r w:rsidR="00BD5E94" w:rsidRPr="009F337B">
        <w:rPr>
          <w:i w:val="0"/>
          <w:szCs w:val="20"/>
          <w:lang w:val="en-US"/>
        </w:rPr>
        <w:t>under MSF’s</w:t>
      </w:r>
      <w:r w:rsidR="003C2AC6" w:rsidRPr="009F337B">
        <w:rPr>
          <w:i w:val="0"/>
          <w:szCs w:val="20"/>
          <w:lang w:val="en-US"/>
        </w:rPr>
        <w:t xml:space="preserve"> </w:t>
      </w:r>
      <w:r w:rsidR="00AE674B" w:rsidRPr="009F337B">
        <w:rPr>
          <w:szCs w:val="20"/>
          <w:lang w:val="en-US"/>
        </w:rPr>
        <w:t>Proyecto Vida</w:t>
      </w:r>
      <w:r w:rsidR="003C2AC6" w:rsidRPr="009F337B">
        <w:rPr>
          <w:i w:val="0"/>
          <w:szCs w:val="20"/>
          <w:lang w:val="en-US"/>
        </w:rPr>
        <w:t xml:space="preserve">. </w:t>
      </w:r>
      <w:r w:rsidR="00BD5E94" w:rsidRPr="009F337B">
        <w:rPr>
          <w:i w:val="0"/>
          <w:szCs w:val="20"/>
          <w:lang w:val="en-US"/>
        </w:rPr>
        <w:t xml:space="preserve">This organization began to treat her in 2003 and provided her with prophylactic and nutritional support. Starting in 2004, MSF treated her in the </w:t>
      </w:r>
      <w:proofErr w:type="spellStart"/>
      <w:r w:rsidR="00BD5E94" w:rsidRPr="009F337B">
        <w:rPr>
          <w:i w:val="0"/>
          <w:szCs w:val="20"/>
          <w:lang w:val="en-US"/>
        </w:rPr>
        <w:t>Coatepeque</w:t>
      </w:r>
      <w:proofErr w:type="spellEnd"/>
      <w:r w:rsidR="00BD5E94" w:rsidRPr="009F337B">
        <w:rPr>
          <w:i w:val="0"/>
          <w:szCs w:val="20"/>
          <w:lang w:val="en-US"/>
        </w:rPr>
        <w:t xml:space="preserve"> National Hospital, where she received </w:t>
      </w:r>
      <w:r w:rsidR="00FE1EFF" w:rsidRPr="009F337B">
        <w:rPr>
          <w:i w:val="0"/>
          <w:szCs w:val="20"/>
          <w:lang w:val="en-US"/>
        </w:rPr>
        <w:t>antiretroviral treatment</w:t>
      </w:r>
      <w:r w:rsidR="003C2AC6" w:rsidRPr="009F337B">
        <w:rPr>
          <w:i w:val="0"/>
          <w:szCs w:val="20"/>
          <w:lang w:val="en-US"/>
        </w:rPr>
        <w:t xml:space="preserve">. </w:t>
      </w:r>
      <w:r w:rsidR="00BD5E94" w:rsidRPr="009F337B">
        <w:rPr>
          <w:i w:val="0"/>
          <w:szCs w:val="20"/>
          <w:lang w:val="en-US"/>
        </w:rPr>
        <w:t xml:space="preserve">She had irregular </w:t>
      </w:r>
      <w:r w:rsidR="009C667C" w:rsidRPr="009F337B">
        <w:rPr>
          <w:i w:val="0"/>
          <w:szCs w:val="20"/>
          <w:lang w:val="en-US"/>
        </w:rPr>
        <w:t>a</w:t>
      </w:r>
      <w:r w:rsidR="00BD5E94" w:rsidRPr="009F337B">
        <w:rPr>
          <w:i w:val="0"/>
          <w:szCs w:val="20"/>
          <w:lang w:val="en-US"/>
        </w:rPr>
        <w:t xml:space="preserve">ccess to CD4 </w:t>
      </w:r>
      <w:r w:rsidR="00DD7C07" w:rsidRPr="009F337B">
        <w:rPr>
          <w:i w:val="0"/>
          <w:szCs w:val="20"/>
          <w:lang w:val="en-US"/>
        </w:rPr>
        <w:t>counts</w:t>
      </w:r>
      <w:r w:rsidR="00BD5E94" w:rsidRPr="009F337B">
        <w:rPr>
          <w:i w:val="0"/>
          <w:szCs w:val="20"/>
          <w:lang w:val="en-US"/>
        </w:rPr>
        <w:t xml:space="preserve"> (4 times) and viral load tests (once). She </w:t>
      </w:r>
      <w:r w:rsidR="00CB1D32" w:rsidRPr="009F337B">
        <w:rPr>
          <w:i w:val="0"/>
          <w:szCs w:val="20"/>
          <w:lang w:val="en-US"/>
        </w:rPr>
        <w:t>suffered from</w:t>
      </w:r>
      <w:r w:rsidR="003C2AC6" w:rsidRPr="009F337B">
        <w:rPr>
          <w:i w:val="0"/>
          <w:szCs w:val="20"/>
          <w:lang w:val="en-US"/>
        </w:rPr>
        <w:t xml:space="preserve"> </w:t>
      </w:r>
      <w:r w:rsidR="00BD5E94" w:rsidRPr="009F337B">
        <w:rPr>
          <w:i w:val="0"/>
          <w:szCs w:val="20"/>
          <w:lang w:val="en-US"/>
        </w:rPr>
        <w:t xml:space="preserve">genital </w:t>
      </w:r>
      <w:r w:rsidR="003C2AC6" w:rsidRPr="009F337B">
        <w:rPr>
          <w:i w:val="0"/>
          <w:szCs w:val="20"/>
          <w:lang w:val="en-US"/>
        </w:rPr>
        <w:t>herpes, vaginal</w:t>
      </w:r>
      <w:r w:rsidR="00BD5E94" w:rsidRPr="009F337B">
        <w:rPr>
          <w:i w:val="0"/>
          <w:szCs w:val="20"/>
          <w:lang w:val="en-US"/>
        </w:rPr>
        <w:t xml:space="preserve"> candidiasis, </w:t>
      </w:r>
      <w:r w:rsidR="003C2AC6" w:rsidRPr="009F337B">
        <w:rPr>
          <w:i w:val="0"/>
          <w:szCs w:val="20"/>
          <w:lang w:val="en-US"/>
        </w:rPr>
        <w:t xml:space="preserve">dermatitis, otitis </w:t>
      </w:r>
      <w:r w:rsidR="00BD5E94" w:rsidRPr="009F337B">
        <w:rPr>
          <w:i w:val="0"/>
          <w:szCs w:val="20"/>
          <w:lang w:val="en-US"/>
        </w:rPr>
        <w:t>and</w:t>
      </w:r>
      <w:r w:rsidR="003C2AC6" w:rsidRPr="009F337B">
        <w:rPr>
          <w:i w:val="0"/>
          <w:szCs w:val="20"/>
          <w:lang w:val="en-US"/>
        </w:rPr>
        <w:t xml:space="preserve"> histoplasmosis.</w:t>
      </w:r>
      <w:r w:rsidR="003C2AC6" w:rsidRPr="009F337B">
        <w:rPr>
          <w:b/>
          <w:i w:val="0"/>
          <w:szCs w:val="20"/>
          <w:lang w:val="en-US"/>
        </w:rPr>
        <w:t xml:space="preserve"> </w:t>
      </w:r>
      <w:r w:rsidR="00BD5E94" w:rsidRPr="009F337B">
        <w:rPr>
          <w:i w:val="0"/>
          <w:szCs w:val="20"/>
          <w:lang w:val="en-US"/>
        </w:rPr>
        <w:t xml:space="preserve">She had no financial resources. She died from </w:t>
      </w:r>
      <w:r w:rsidR="00BD5E94" w:rsidRPr="009F337B">
        <w:rPr>
          <w:bCs/>
          <w:i w:val="0"/>
          <w:lang w:val="en-US"/>
        </w:rPr>
        <w:t>respiratory and cardiac arrest</w:t>
      </w:r>
      <w:r w:rsidR="00BD5E94" w:rsidRPr="009F337B">
        <w:rPr>
          <w:i w:val="0"/>
          <w:szCs w:val="20"/>
          <w:lang w:val="en-US"/>
        </w:rPr>
        <w:t xml:space="preserve"> and dehydration on </w:t>
      </w:r>
      <w:r w:rsidR="003C46A3" w:rsidRPr="009F337B">
        <w:rPr>
          <w:i w:val="0"/>
          <w:szCs w:val="20"/>
          <w:lang w:val="en-US"/>
        </w:rPr>
        <w:t xml:space="preserve">March </w:t>
      </w:r>
      <w:r w:rsidR="00BD5E94" w:rsidRPr="009F337B">
        <w:rPr>
          <w:i w:val="0"/>
          <w:szCs w:val="20"/>
          <w:lang w:val="en-US"/>
        </w:rPr>
        <w:t>2</w:t>
      </w:r>
      <w:r w:rsidR="003C46A3" w:rsidRPr="009F337B">
        <w:rPr>
          <w:i w:val="0"/>
          <w:szCs w:val="20"/>
          <w:lang w:val="en-US"/>
        </w:rPr>
        <w:t>7,</w:t>
      </w:r>
      <w:r w:rsidR="003C2AC6" w:rsidRPr="009F337B">
        <w:rPr>
          <w:i w:val="0"/>
          <w:szCs w:val="20"/>
          <w:lang w:val="en-US"/>
        </w:rPr>
        <w:t xml:space="preserve"> 2011.</w:t>
      </w:r>
      <w:r w:rsidR="003C2AC6" w:rsidRPr="009F337B">
        <w:rPr>
          <w:rStyle w:val="Refdenotaalpie"/>
          <w:i w:val="0"/>
          <w:lang w:val="en-US"/>
        </w:rPr>
        <w:footnoteReference w:id="272"/>
      </w:r>
    </w:p>
    <w:p w14:paraId="58831829" w14:textId="77777777" w:rsidR="003C2AC6" w:rsidRPr="009F337B" w:rsidRDefault="003C2AC6" w:rsidP="003C2AC6">
      <w:pPr>
        <w:pStyle w:val="Estilo1"/>
        <w:tabs>
          <w:tab w:val="left" w:pos="709"/>
          <w:tab w:val="left" w:pos="1134"/>
        </w:tabs>
        <w:spacing w:after="0"/>
        <w:ind w:left="0" w:right="-4" w:firstLine="0"/>
        <w:rPr>
          <w:i w:val="0"/>
          <w:szCs w:val="20"/>
          <w:lang w:val="en-US"/>
        </w:rPr>
      </w:pPr>
    </w:p>
    <w:p w14:paraId="3842C558" w14:textId="102A938A" w:rsidR="003C2AC6" w:rsidRPr="009F337B" w:rsidRDefault="00BD5E94" w:rsidP="00593E37">
      <w:pPr>
        <w:pStyle w:val="Estilo1"/>
        <w:numPr>
          <w:ilvl w:val="0"/>
          <w:numId w:val="5"/>
        </w:numPr>
        <w:tabs>
          <w:tab w:val="left" w:pos="709"/>
          <w:tab w:val="left" w:pos="1134"/>
        </w:tabs>
        <w:spacing w:after="0"/>
        <w:ind w:left="0" w:right="-4" w:firstLine="0"/>
        <w:rPr>
          <w:i w:val="0"/>
          <w:szCs w:val="20"/>
          <w:lang w:val="en-US"/>
        </w:rPr>
      </w:pPr>
      <w:r w:rsidRPr="009F337B">
        <w:rPr>
          <w:i w:val="0"/>
          <w:szCs w:val="20"/>
          <w:lang w:val="en-US"/>
        </w:rPr>
        <w:t>Her family unit consisted of her</w:t>
      </w:r>
      <w:r w:rsidR="003C2AC6" w:rsidRPr="009F337B">
        <w:rPr>
          <w:i w:val="0"/>
          <w:szCs w:val="20"/>
          <w:lang w:val="en-US"/>
        </w:rPr>
        <w:t xml:space="preserve"> </w:t>
      </w:r>
      <w:r w:rsidR="0010522A" w:rsidRPr="009F337B">
        <w:rPr>
          <w:i w:val="0"/>
          <w:szCs w:val="20"/>
          <w:lang w:val="en-US"/>
        </w:rPr>
        <w:t>husband</w:t>
      </w:r>
      <w:r w:rsidR="003C2AC6" w:rsidRPr="009F337B">
        <w:rPr>
          <w:i w:val="0"/>
          <w:szCs w:val="20"/>
          <w:lang w:val="en-US"/>
        </w:rPr>
        <w:t xml:space="preserve"> Javier Pérez (</w:t>
      </w:r>
      <w:r w:rsidR="0010522A" w:rsidRPr="009F337B">
        <w:rPr>
          <w:i w:val="0"/>
          <w:szCs w:val="20"/>
          <w:lang w:val="en-US"/>
        </w:rPr>
        <w:t>deceased</w:t>
      </w:r>
      <w:r w:rsidR="003C2AC6" w:rsidRPr="009F337B">
        <w:rPr>
          <w:i w:val="0"/>
          <w:szCs w:val="20"/>
          <w:lang w:val="en-US"/>
        </w:rPr>
        <w:t xml:space="preserve">), </w:t>
      </w:r>
      <w:r w:rsidRPr="009F337B">
        <w:rPr>
          <w:i w:val="0"/>
          <w:szCs w:val="20"/>
          <w:lang w:val="en-US"/>
        </w:rPr>
        <w:t>her</w:t>
      </w:r>
      <w:r w:rsidR="003C2AC6" w:rsidRPr="009F337B">
        <w:rPr>
          <w:i w:val="0"/>
          <w:szCs w:val="20"/>
          <w:lang w:val="en-US"/>
        </w:rPr>
        <w:t xml:space="preserve"> </w:t>
      </w:r>
      <w:r w:rsidR="0010522A" w:rsidRPr="009F337B">
        <w:rPr>
          <w:i w:val="0"/>
          <w:szCs w:val="20"/>
          <w:lang w:val="en-US"/>
        </w:rPr>
        <w:t>daughter</w:t>
      </w:r>
      <w:r w:rsidR="003C2AC6" w:rsidRPr="009F337B">
        <w:rPr>
          <w:i w:val="0"/>
          <w:szCs w:val="20"/>
          <w:lang w:val="en-US"/>
        </w:rPr>
        <w:t xml:space="preserve"> Lexana </w:t>
      </w:r>
      <w:proofErr w:type="spellStart"/>
      <w:r w:rsidR="003C2AC6" w:rsidRPr="009F337B">
        <w:rPr>
          <w:i w:val="0"/>
          <w:szCs w:val="20"/>
          <w:lang w:val="en-US"/>
        </w:rPr>
        <w:t>Rosbetty</w:t>
      </w:r>
      <w:proofErr w:type="spellEnd"/>
      <w:r w:rsidR="003C2AC6" w:rsidRPr="009F337B">
        <w:rPr>
          <w:i w:val="0"/>
          <w:szCs w:val="20"/>
          <w:lang w:val="en-US"/>
        </w:rPr>
        <w:t xml:space="preserve"> Pérez </w:t>
      </w:r>
      <w:proofErr w:type="spellStart"/>
      <w:r w:rsidR="003C2AC6" w:rsidRPr="009F337B">
        <w:rPr>
          <w:i w:val="0"/>
          <w:szCs w:val="20"/>
          <w:lang w:val="en-US"/>
        </w:rPr>
        <w:t>V</w:t>
      </w:r>
      <w:r w:rsidR="003619A2" w:rsidRPr="009F337B">
        <w:rPr>
          <w:i w:val="0"/>
          <w:szCs w:val="20"/>
          <w:lang w:val="en-US"/>
        </w:rPr>
        <w:t>aí</w:t>
      </w:r>
      <w:r w:rsidR="003C2AC6" w:rsidRPr="009F337B">
        <w:rPr>
          <w:i w:val="0"/>
          <w:szCs w:val="20"/>
          <w:lang w:val="en-US"/>
        </w:rPr>
        <w:t>l</w:t>
      </w:r>
      <w:proofErr w:type="spellEnd"/>
      <w:r w:rsidR="003C2AC6" w:rsidRPr="009F337B">
        <w:rPr>
          <w:i w:val="0"/>
          <w:szCs w:val="20"/>
          <w:lang w:val="en-US"/>
        </w:rPr>
        <w:t xml:space="preserve">, </w:t>
      </w:r>
      <w:r w:rsidRPr="009F337B">
        <w:rPr>
          <w:i w:val="0"/>
          <w:szCs w:val="20"/>
          <w:lang w:val="en-US"/>
        </w:rPr>
        <w:t>her</w:t>
      </w:r>
      <w:r w:rsidR="003C2AC6" w:rsidRPr="009F337B">
        <w:rPr>
          <w:i w:val="0"/>
          <w:szCs w:val="20"/>
          <w:lang w:val="en-US"/>
        </w:rPr>
        <w:t xml:space="preserve"> </w:t>
      </w:r>
      <w:r w:rsidR="0010522A" w:rsidRPr="009F337B">
        <w:rPr>
          <w:i w:val="0"/>
          <w:szCs w:val="20"/>
          <w:lang w:val="en-US"/>
        </w:rPr>
        <w:t>sister</w:t>
      </w:r>
      <w:r w:rsidR="003C2AC6" w:rsidRPr="009F337B">
        <w:rPr>
          <w:i w:val="0"/>
          <w:szCs w:val="20"/>
          <w:lang w:val="en-US"/>
        </w:rPr>
        <w:t>s Alba Azucena</w:t>
      </w:r>
      <w:r w:rsidR="003C46A3" w:rsidRPr="009F337B">
        <w:rPr>
          <w:i w:val="0"/>
          <w:szCs w:val="20"/>
          <w:lang w:val="en-US"/>
        </w:rPr>
        <w:t xml:space="preserve"> and </w:t>
      </w:r>
      <w:r w:rsidR="003C2AC6" w:rsidRPr="009F337B">
        <w:rPr>
          <w:i w:val="0"/>
          <w:szCs w:val="20"/>
          <w:lang w:val="en-US"/>
        </w:rPr>
        <w:t xml:space="preserve">América Leticia, </w:t>
      </w:r>
      <w:r w:rsidR="007B07E2" w:rsidRPr="009F337B">
        <w:rPr>
          <w:i w:val="0"/>
          <w:szCs w:val="20"/>
          <w:lang w:val="en-US"/>
        </w:rPr>
        <w:t>both</w:t>
      </w:r>
      <w:r w:rsidR="003619A2" w:rsidRPr="009F337B">
        <w:rPr>
          <w:i w:val="0"/>
          <w:szCs w:val="20"/>
          <w:lang w:val="en-US"/>
        </w:rPr>
        <w:t xml:space="preserve"> </w:t>
      </w:r>
      <w:proofErr w:type="spellStart"/>
      <w:r w:rsidR="003619A2" w:rsidRPr="009F337B">
        <w:rPr>
          <w:i w:val="0"/>
          <w:szCs w:val="20"/>
          <w:lang w:val="en-US"/>
        </w:rPr>
        <w:t>Vaí</w:t>
      </w:r>
      <w:r w:rsidR="003C2AC6" w:rsidRPr="009F337B">
        <w:rPr>
          <w:i w:val="0"/>
          <w:szCs w:val="20"/>
          <w:lang w:val="en-US"/>
        </w:rPr>
        <w:t>l</w:t>
      </w:r>
      <w:proofErr w:type="spellEnd"/>
      <w:r w:rsidR="003C2AC6" w:rsidRPr="009F337B">
        <w:rPr>
          <w:i w:val="0"/>
          <w:szCs w:val="20"/>
          <w:lang w:val="en-US"/>
        </w:rPr>
        <w:t xml:space="preserve"> Lópe</w:t>
      </w:r>
      <w:r w:rsidR="003619A2" w:rsidRPr="009F337B">
        <w:rPr>
          <w:i w:val="0"/>
          <w:szCs w:val="20"/>
          <w:lang w:val="en-US"/>
        </w:rPr>
        <w:t xml:space="preserve">z, </w:t>
      </w:r>
      <w:r w:rsidRPr="009F337B">
        <w:rPr>
          <w:i w:val="0"/>
          <w:szCs w:val="20"/>
          <w:lang w:val="en-US"/>
        </w:rPr>
        <w:t>her</w:t>
      </w:r>
      <w:r w:rsidR="003619A2" w:rsidRPr="009F337B">
        <w:rPr>
          <w:i w:val="0"/>
          <w:szCs w:val="20"/>
          <w:lang w:val="en-US"/>
        </w:rPr>
        <w:t xml:space="preserve"> </w:t>
      </w:r>
      <w:r w:rsidR="0010522A" w:rsidRPr="009F337B">
        <w:rPr>
          <w:i w:val="0"/>
          <w:szCs w:val="20"/>
          <w:lang w:val="en-US"/>
        </w:rPr>
        <w:t>brother</w:t>
      </w:r>
      <w:r w:rsidR="003619A2" w:rsidRPr="009F337B">
        <w:rPr>
          <w:i w:val="0"/>
          <w:szCs w:val="20"/>
          <w:lang w:val="en-US"/>
        </w:rPr>
        <w:t xml:space="preserve"> Marvin Antonio </w:t>
      </w:r>
      <w:proofErr w:type="spellStart"/>
      <w:r w:rsidR="003619A2" w:rsidRPr="009F337B">
        <w:rPr>
          <w:i w:val="0"/>
          <w:szCs w:val="20"/>
          <w:lang w:val="en-US"/>
        </w:rPr>
        <w:t>Vaíl</w:t>
      </w:r>
      <w:proofErr w:type="spellEnd"/>
      <w:r w:rsidR="003619A2" w:rsidRPr="009F337B">
        <w:rPr>
          <w:i w:val="0"/>
          <w:szCs w:val="20"/>
          <w:lang w:val="en-US"/>
        </w:rPr>
        <w:t xml:space="preserve"> López, </w:t>
      </w:r>
      <w:r w:rsidRPr="009F337B">
        <w:rPr>
          <w:i w:val="0"/>
          <w:szCs w:val="20"/>
          <w:lang w:val="en-US"/>
        </w:rPr>
        <w:t>her</w:t>
      </w:r>
      <w:r w:rsidR="003619A2" w:rsidRPr="009F337B">
        <w:rPr>
          <w:i w:val="0"/>
          <w:szCs w:val="20"/>
          <w:lang w:val="en-US"/>
        </w:rPr>
        <w:t xml:space="preserve"> </w:t>
      </w:r>
      <w:r w:rsidR="0010522A" w:rsidRPr="009F337B">
        <w:rPr>
          <w:i w:val="0"/>
          <w:szCs w:val="20"/>
          <w:lang w:val="en-US"/>
        </w:rPr>
        <w:t>father</w:t>
      </w:r>
      <w:r w:rsidR="003619A2" w:rsidRPr="009F337B">
        <w:rPr>
          <w:i w:val="0"/>
          <w:szCs w:val="20"/>
          <w:lang w:val="en-US"/>
        </w:rPr>
        <w:t xml:space="preserve"> Antonio </w:t>
      </w:r>
      <w:proofErr w:type="spellStart"/>
      <w:r w:rsidR="003619A2" w:rsidRPr="009F337B">
        <w:rPr>
          <w:i w:val="0"/>
          <w:szCs w:val="20"/>
          <w:lang w:val="en-US"/>
        </w:rPr>
        <w:t>Vaí</w:t>
      </w:r>
      <w:r w:rsidR="003C2AC6" w:rsidRPr="009F337B">
        <w:rPr>
          <w:i w:val="0"/>
          <w:szCs w:val="20"/>
          <w:lang w:val="en-US"/>
        </w:rPr>
        <w:t>l</w:t>
      </w:r>
      <w:proofErr w:type="spellEnd"/>
      <w:r w:rsidR="003C2AC6" w:rsidRPr="009F337B">
        <w:rPr>
          <w:i w:val="0"/>
          <w:szCs w:val="20"/>
          <w:lang w:val="en-US"/>
        </w:rPr>
        <w:t xml:space="preserve"> Molina</w:t>
      </w:r>
      <w:r w:rsidR="003C46A3" w:rsidRPr="009F337B">
        <w:rPr>
          <w:i w:val="0"/>
          <w:szCs w:val="20"/>
          <w:lang w:val="en-US"/>
        </w:rPr>
        <w:t xml:space="preserve"> and </w:t>
      </w:r>
      <w:r w:rsidRPr="009F337B">
        <w:rPr>
          <w:i w:val="0"/>
          <w:szCs w:val="20"/>
          <w:lang w:val="en-US"/>
        </w:rPr>
        <w:t>her</w:t>
      </w:r>
      <w:r w:rsidR="003C2AC6" w:rsidRPr="009F337B">
        <w:rPr>
          <w:i w:val="0"/>
          <w:szCs w:val="20"/>
          <w:lang w:val="en-US"/>
        </w:rPr>
        <w:t xml:space="preserve"> </w:t>
      </w:r>
      <w:r w:rsidR="0010522A" w:rsidRPr="009F337B">
        <w:rPr>
          <w:i w:val="0"/>
          <w:szCs w:val="20"/>
          <w:lang w:val="en-US"/>
        </w:rPr>
        <w:t>niece</w:t>
      </w:r>
      <w:r w:rsidR="003619A2" w:rsidRPr="009F337B">
        <w:rPr>
          <w:i w:val="0"/>
          <w:szCs w:val="20"/>
          <w:lang w:val="en-US"/>
        </w:rPr>
        <w:t xml:space="preserve"> </w:t>
      </w:r>
      <w:proofErr w:type="spellStart"/>
      <w:r w:rsidR="003619A2" w:rsidRPr="009F337B">
        <w:rPr>
          <w:i w:val="0"/>
          <w:szCs w:val="20"/>
          <w:lang w:val="en-US"/>
        </w:rPr>
        <w:t>Krizia</w:t>
      </w:r>
      <w:proofErr w:type="spellEnd"/>
      <w:r w:rsidR="003619A2" w:rsidRPr="009F337B">
        <w:rPr>
          <w:i w:val="0"/>
          <w:szCs w:val="20"/>
          <w:lang w:val="en-US"/>
        </w:rPr>
        <w:t xml:space="preserve"> Vanessa </w:t>
      </w:r>
      <w:proofErr w:type="spellStart"/>
      <w:r w:rsidR="003619A2" w:rsidRPr="009F337B">
        <w:rPr>
          <w:i w:val="0"/>
          <w:szCs w:val="20"/>
          <w:lang w:val="en-US"/>
        </w:rPr>
        <w:t>Vaí</w:t>
      </w:r>
      <w:r w:rsidR="003C2AC6" w:rsidRPr="009F337B">
        <w:rPr>
          <w:i w:val="0"/>
          <w:szCs w:val="20"/>
          <w:lang w:val="en-US"/>
        </w:rPr>
        <w:t>l</w:t>
      </w:r>
      <w:proofErr w:type="spellEnd"/>
      <w:r w:rsidR="003C2AC6" w:rsidRPr="009F337B">
        <w:rPr>
          <w:i w:val="0"/>
          <w:szCs w:val="20"/>
          <w:lang w:val="en-US"/>
        </w:rPr>
        <w:t xml:space="preserve"> Aguilar</w:t>
      </w:r>
      <w:r w:rsidR="003C2AC6" w:rsidRPr="009F337B">
        <w:rPr>
          <w:rStyle w:val="Refdenotaalpie"/>
          <w:i w:val="0"/>
          <w:lang w:val="en-US"/>
        </w:rPr>
        <w:footnoteReference w:id="273"/>
      </w:r>
      <w:r w:rsidR="003C2AC6" w:rsidRPr="009F337B">
        <w:rPr>
          <w:i w:val="0"/>
          <w:szCs w:val="20"/>
          <w:lang w:val="en-US"/>
        </w:rPr>
        <w:t>.</w:t>
      </w:r>
    </w:p>
    <w:p w14:paraId="7499A2BF" w14:textId="77777777" w:rsidR="003C2AC6" w:rsidRPr="009F337B" w:rsidRDefault="003C2AC6" w:rsidP="003C2AC6">
      <w:pPr>
        <w:pStyle w:val="PrrafodeSentencia"/>
        <w:rPr>
          <w:lang w:val="en-US"/>
        </w:rPr>
      </w:pPr>
    </w:p>
    <w:p w14:paraId="45057B2A" w14:textId="77777777" w:rsidR="003C2AC6" w:rsidRPr="009F337B" w:rsidRDefault="003C2AC6" w:rsidP="003C2AC6">
      <w:pPr>
        <w:pStyle w:val="PrrafodeSentencia"/>
        <w:rPr>
          <w:lang w:val="en-US"/>
        </w:rPr>
      </w:pPr>
      <w:r w:rsidRPr="009F337B">
        <w:rPr>
          <w:lang w:val="en-US"/>
        </w:rPr>
        <w:tab/>
        <w:t>A.8. Guadalupe Herminia Cayaxon García</w:t>
      </w:r>
    </w:p>
    <w:p w14:paraId="7E52C4CF" w14:textId="77777777" w:rsidR="003C2AC6" w:rsidRPr="009F337B" w:rsidRDefault="003C2AC6" w:rsidP="003C2AC6">
      <w:pPr>
        <w:pStyle w:val="PrrafodeSentencia"/>
        <w:rPr>
          <w:lang w:val="en-US"/>
        </w:rPr>
      </w:pPr>
    </w:p>
    <w:p w14:paraId="48552F23" w14:textId="603862C1" w:rsidR="003C2AC6" w:rsidRPr="009F337B" w:rsidRDefault="007F1AEB" w:rsidP="00593E37">
      <w:pPr>
        <w:pStyle w:val="Estilo1"/>
        <w:numPr>
          <w:ilvl w:val="0"/>
          <w:numId w:val="5"/>
        </w:numPr>
        <w:tabs>
          <w:tab w:val="left" w:pos="709"/>
          <w:tab w:val="left" w:pos="1134"/>
        </w:tabs>
        <w:spacing w:after="0"/>
        <w:ind w:left="0" w:right="-4" w:firstLine="0"/>
        <w:rPr>
          <w:i w:val="0"/>
          <w:szCs w:val="20"/>
          <w:lang w:val="en-US"/>
        </w:rPr>
      </w:pPr>
      <w:r w:rsidRPr="009F337B">
        <w:rPr>
          <w:i w:val="0"/>
          <w:szCs w:val="20"/>
          <w:lang w:val="en-US"/>
        </w:rPr>
        <w:lastRenderedPageBreak/>
        <w:t>Mrs.</w:t>
      </w:r>
      <w:r w:rsidR="003C2AC6" w:rsidRPr="009F337B">
        <w:rPr>
          <w:i w:val="0"/>
          <w:szCs w:val="20"/>
          <w:lang w:val="en-US"/>
        </w:rPr>
        <w:t xml:space="preserve"> </w:t>
      </w:r>
      <w:proofErr w:type="spellStart"/>
      <w:r w:rsidR="003C2AC6" w:rsidRPr="009F337B">
        <w:rPr>
          <w:i w:val="0"/>
          <w:szCs w:val="20"/>
          <w:lang w:val="en-US"/>
        </w:rPr>
        <w:t>Cayaxon</w:t>
      </w:r>
      <w:proofErr w:type="spellEnd"/>
      <w:r w:rsidR="003C2AC6" w:rsidRPr="009F337B">
        <w:rPr>
          <w:i w:val="0"/>
          <w:szCs w:val="20"/>
          <w:lang w:val="en-US"/>
        </w:rPr>
        <w:t xml:space="preserve"> García </w:t>
      </w:r>
      <w:r w:rsidR="0084040D" w:rsidRPr="009F337B">
        <w:rPr>
          <w:i w:val="0"/>
          <w:szCs w:val="20"/>
          <w:lang w:val="en-US"/>
        </w:rPr>
        <w:t>was born on</w:t>
      </w:r>
      <w:r w:rsidR="003C2AC6" w:rsidRPr="009F337B">
        <w:rPr>
          <w:i w:val="0"/>
          <w:szCs w:val="20"/>
          <w:lang w:val="en-US"/>
        </w:rPr>
        <w:t xml:space="preserve"> </w:t>
      </w:r>
      <w:r w:rsidR="00BD5E94" w:rsidRPr="009F337B">
        <w:rPr>
          <w:i w:val="0"/>
          <w:szCs w:val="20"/>
          <w:lang w:val="en-US"/>
        </w:rPr>
        <w:t>December 12,</w:t>
      </w:r>
      <w:r w:rsidR="003C2AC6" w:rsidRPr="009F337B">
        <w:rPr>
          <w:i w:val="0"/>
          <w:szCs w:val="20"/>
          <w:lang w:val="en-US"/>
        </w:rPr>
        <w:t xml:space="preserve"> 1976. </w:t>
      </w:r>
      <w:r w:rsidRPr="009F337B">
        <w:rPr>
          <w:i w:val="0"/>
          <w:szCs w:val="20"/>
          <w:lang w:val="en-US"/>
        </w:rPr>
        <w:t>She lived in</w:t>
      </w:r>
      <w:r w:rsidR="003C2AC6" w:rsidRPr="009F337B">
        <w:rPr>
          <w:i w:val="0"/>
          <w:szCs w:val="20"/>
          <w:lang w:val="en-US"/>
        </w:rPr>
        <w:t xml:space="preserve"> Retal</w:t>
      </w:r>
      <w:r w:rsidR="00F87540" w:rsidRPr="009F337B">
        <w:rPr>
          <w:i w:val="0"/>
          <w:szCs w:val="20"/>
          <w:lang w:val="en-US"/>
        </w:rPr>
        <w:t>hu</w:t>
      </w:r>
      <w:r w:rsidR="003C2AC6" w:rsidRPr="009F337B">
        <w:rPr>
          <w:i w:val="0"/>
          <w:szCs w:val="20"/>
          <w:lang w:val="en-US"/>
        </w:rPr>
        <w:t>l</w:t>
      </w:r>
      <w:r w:rsidR="00F87540" w:rsidRPr="009F337B">
        <w:rPr>
          <w:i w:val="0"/>
          <w:szCs w:val="20"/>
          <w:lang w:val="en-US"/>
        </w:rPr>
        <w:t>e</w:t>
      </w:r>
      <w:r w:rsidR="003C2AC6" w:rsidRPr="009F337B">
        <w:rPr>
          <w:i w:val="0"/>
          <w:szCs w:val="20"/>
          <w:lang w:val="en-US"/>
        </w:rPr>
        <w:t xml:space="preserve">u, Guatemala. </w:t>
      </w:r>
      <w:r w:rsidR="00BD5E94" w:rsidRPr="009F337B">
        <w:rPr>
          <w:i w:val="0"/>
          <w:szCs w:val="20"/>
          <w:lang w:val="en-US"/>
        </w:rPr>
        <w:t>Her schooling ended after she had completed third year of primary education. She was</w:t>
      </w:r>
      <w:r w:rsidR="001071B4" w:rsidRPr="009F337B">
        <w:rPr>
          <w:i w:val="0"/>
          <w:szCs w:val="20"/>
          <w:lang w:val="en-US"/>
        </w:rPr>
        <w:t xml:space="preserve"> diagnosed with HIV</w:t>
      </w:r>
      <w:r w:rsidR="003C2AC6" w:rsidRPr="009F337B">
        <w:rPr>
          <w:i w:val="0"/>
          <w:szCs w:val="20"/>
          <w:lang w:val="en-US"/>
        </w:rPr>
        <w:t xml:space="preserve"> </w:t>
      </w:r>
      <w:r w:rsidR="00BD5E94" w:rsidRPr="009F337B">
        <w:rPr>
          <w:i w:val="0"/>
          <w:szCs w:val="20"/>
          <w:lang w:val="en-US"/>
        </w:rPr>
        <w:t>i</w:t>
      </w:r>
      <w:r w:rsidR="003C2AC6" w:rsidRPr="009F337B">
        <w:rPr>
          <w:i w:val="0"/>
          <w:szCs w:val="20"/>
          <w:lang w:val="en-US"/>
        </w:rPr>
        <w:t xml:space="preserve">n 2002 </w:t>
      </w:r>
      <w:r w:rsidR="00BD5E94" w:rsidRPr="009F337B">
        <w:rPr>
          <w:i w:val="0"/>
          <w:szCs w:val="20"/>
          <w:lang w:val="en-US"/>
        </w:rPr>
        <w:t>in the</w:t>
      </w:r>
      <w:r w:rsidR="003C2AC6" w:rsidRPr="009F337B">
        <w:rPr>
          <w:i w:val="0"/>
          <w:szCs w:val="20"/>
          <w:lang w:val="en-US"/>
        </w:rPr>
        <w:t xml:space="preserve"> Retalhuleu</w:t>
      </w:r>
      <w:r w:rsidR="00BD5E94" w:rsidRPr="009F337B">
        <w:rPr>
          <w:i w:val="0"/>
          <w:szCs w:val="20"/>
          <w:lang w:val="en-US"/>
        </w:rPr>
        <w:t xml:space="preserve"> Hospital</w:t>
      </w:r>
      <w:r w:rsidR="003C2AC6" w:rsidRPr="009F337B">
        <w:rPr>
          <w:i w:val="0"/>
          <w:szCs w:val="20"/>
          <w:lang w:val="en-US"/>
        </w:rPr>
        <w:t xml:space="preserve">. </w:t>
      </w:r>
      <w:r w:rsidR="00BD5E94" w:rsidRPr="009F337B">
        <w:rPr>
          <w:i w:val="0"/>
          <w:szCs w:val="20"/>
          <w:lang w:val="en-US"/>
        </w:rPr>
        <w:t xml:space="preserve">MSF began to treat her in May 2002 in the </w:t>
      </w:r>
      <w:proofErr w:type="spellStart"/>
      <w:r w:rsidR="00BD5E94" w:rsidRPr="009F337B">
        <w:rPr>
          <w:i w:val="0"/>
          <w:szCs w:val="20"/>
          <w:lang w:val="en-US"/>
        </w:rPr>
        <w:t>Coatepeque</w:t>
      </w:r>
      <w:proofErr w:type="spellEnd"/>
      <w:r w:rsidR="00BD5E94" w:rsidRPr="009F337B">
        <w:rPr>
          <w:i w:val="0"/>
          <w:szCs w:val="20"/>
          <w:lang w:val="en-US"/>
        </w:rPr>
        <w:t xml:space="preserve"> National Hospital where she started </w:t>
      </w:r>
      <w:r w:rsidR="00FE1EFF" w:rsidRPr="009F337B">
        <w:rPr>
          <w:i w:val="0"/>
          <w:szCs w:val="20"/>
          <w:lang w:val="en-US"/>
        </w:rPr>
        <w:t>antiretroviral treatment</w:t>
      </w:r>
      <w:r w:rsidR="003C2AC6" w:rsidRPr="009F337B">
        <w:rPr>
          <w:i w:val="0"/>
          <w:szCs w:val="20"/>
          <w:lang w:val="en-US"/>
        </w:rPr>
        <w:t xml:space="preserve"> </w:t>
      </w:r>
      <w:r w:rsidR="00BD5E94" w:rsidRPr="009F337B">
        <w:rPr>
          <w:i w:val="0"/>
          <w:szCs w:val="20"/>
          <w:lang w:val="en-US"/>
        </w:rPr>
        <w:t xml:space="preserve">in November that year. She did not have regular access to CD4 </w:t>
      </w:r>
      <w:r w:rsidR="00DD7C07" w:rsidRPr="009F337B">
        <w:rPr>
          <w:i w:val="0"/>
          <w:szCs w:val="20"/>
          <w:lang w:val="en-US"/>
        </w:rPr>
        <w:t xml:space="preserve">counts </w:t>
      </w:r>
      <w:r w:rsidR="00BD5E94" w:rsidRPr="009F337B">
        <w:rPr>
          <w:i w:val="0"/>
          <w:szCs w:val="20"/>
          <w:lang w:val="en-US"/>
        </w:rPr>
        <w:t xml:space="preserve">and viral load testing, and her medication was not provided on a regular basis. The absence of the drugs resulted in resistance to the </w:t>
      </w:r>
      <w:r w:rsidR="00FE1EFF" w:rsidRPr="009F337B">
        <w:rPr>
          <w:i w:val="0"/>
          <w:szCs w:val="20"/>
          <w:lang w:val="en-US"/>
        </w:rPr>
        <w:t>antiretroviral treatment</w:t>
      </w:r>
      <w:r w:rsidR="003C2AC6" w:rsidRPr="009F337B">
        <w:rPr>
          <w:i w:val="0"/>
          <w:szCs w:val="20"/>
          <w:lang w:val="en-US"/>
        </w:rPr>
        <w:t xml:space="preserve">, </w:t>
      </w:r>
      <w:r w:rsidR="00BD5E94" w:rsidRPr="009F337B">
        <w:rPr>
          <w:i w:val="0"/>
          <w:szCs w:val="20"/>
          <w:lang w:val="en-US"/>
        </w:rPr>
        <w:t xml:space="preserve">which led to her developing several </w:t>
      </w:r>
      <w:r w:rsidR="0081563D" w:rsidRPr="009F337B">
        <w:rPr>
          <w:i w:val="0"/>
          <w:szCs w:val="20"/>
          <w:lang w:val="en-US"/>
        </w:rPr>
        <w:t>opportunistic diseases</w:t>
      </w:r>
      <w:r w:rsidR="003C2AC6" w:rsidRPr="009F337B">
        <w:rPr>
          <w:i w:val="0"/>
          <w:szCs w:val="20"/>
          <w:lang w:val="en-US"/>
        </w:rPr>
        <w:t xml:space="preserve">. </w:t>
      </w:r>
      <w:r w:rsidR="00BD5E94" w:rsidRPr="009F337B">
        <w:rPr>
          <w:i w:val="0"/>
          <w:szCs w:val="20"/>
          <w:lang w:val="en-US"/>
        </w:rPr>
        <w:t>She</w:t>
      </w:r>
      <w:r w:rsidR="00CB1D32" w:rsidRPr="009F337B">
        <w:rPr>
          <w:i w:val="0"/>
          <w:szCs w:val="20"/>
          <w:lang w:val="en-US"/>
        </w:rPr>
        <w:t xml:space="preserve"> suffered from</w:t>
      </w:r>
      <w:r w:rsidR="003C2AC6" w:rsidRPr="009F337B">
        <w:rPr>
          <w:i w:val="0"/>
          <w:szCs w:val="20"/>
          <w:lang w:val="en-US"/>
        </w:rPr>
        <w:t xml:space="preserve"> </w:t>
      </w:r>
      <w:r w:rsidR="00BD5E94" w:rsidRPr="009F337B">
        <w:rPr>
          <w:i w:val="0"/>
          <w:szCs w:val="20"/>
          <w:lang w:val="en-US"/>
        </w:rPr>
        <w:t>enlarged liver</w:t>
      </w:r>
      <w:r w:rsidR="003C2AC6" w:rsidRPr="009F337B">
        <w:rPr>
          <w:i w:val="0"/>
          <w:szCs w:val="20"/>
          <w:lang w:val="en-US"/>
        </w:rPr>
        <w:t xml:space="preserve">, herpes, </w:t>
      </w:r>
      <w:r w:rsidR="00BD5E94" w:rsidRPr="009F337B">
        <w:rPr>
          <w:i w:val="0"/>
          <w:szCs w:val="20"/>
          <w:lang w:val="en-US"/>
        </w:rPr>
        <w:t>severe sciatica</w:t>
      </w:r>
      <w:r w:rsidR="003C2AC6" w:rsidRPr="009F337B">
        <w:rPr>
          <w:i w:val="0"/>
          <w:szCs w:val="20"/>
          <w:lang w:val="en-US"/>
        </w:rPr>
        <w:t xml:space="preserve">, </w:t>
      </w:r>
      <w:r w:rsidR="00BD5E94" w:rsidRPr="009F337B">
        <w:rPr>
          <w:i w:val="0"/>
          <w:szCs w:val="20"/>
          <w:lang w:val="en-US"/>
        </w:rPr>
        <w:t>bronchial hyperresponsiveness</w:t>
      </w:r>
      <w:r w:rsidR="003C46A3" w:rsidRPr="009F337B">
        <w:rPr>
          <w:i w:val="0"/>
          <w:szCs w:val="20"/>
          <w:lang w:val="en-US"/>
        </w:rPr>
        <w:t xml:space="preserve"> and </w:t>
      </w:r>
      <w:r w:rsidR="00BD5E94" w:rsidRPr="009F337B">
        <w:rPr>
          <w:i w:val="0"/>
          <w:szCs w:val="20"/>
          <w:lang w:val="en-US"/>
        </w:rPr>
        <w:t>ph</w:t>
      </w:r>
      <w:r w:rsidR="003C2AC6" w:rsidRPr="009F337B">
        <w:rPr>
          <w:i w:val="0"/>
          <w:szCs w:val="20"/>
          <w:lang w:val="en-US"/>
        </w:rPr>
        <w:t>ar</w:t>
      </w:r>
      <w:r w:rsidR="00BD5E94" w:rsidRPr="009F337B">
        <w:rPr>
          <w:i w:val="0"/>
          <w:szCs w:val="20"/>
          <w:lang w:val="en-US"/>
        </w:rPr>
        <w:t>y</w:t>
      </w:r>
      <w:r w:rsidR="003C2AC6" w:rsidRPr="009F337B">
        <w:rPr>
          <w:i w:val="0"/>
          <w:szCs w:val="20"/>
          <w:lang w:val="en-US"/>
        </w:rPr>
        <w:t xml:space="preserve">ngitis. </w:t>
      </w:r>
      <w:r w:rsidR="00BD5E94" w:rsidRPr="009F337B">
        <w:rPr>
          <w:i w:val="0"/>
          <w:szCs w:val="20"/>
          <w:lang w:val="en-US"/>
        </w:rPr>
        <w:t>She d</w:t>
      </w:r>
      <w:r w:rsidR="00CB1D32" w:rsidRPr="009F337B">
        <w:rPr>
          <w:i w:val="0"/>
          <w:szCs w:val="20"/>
          <w:lang w:val="en-US"/>
        </w:rPr>
        <w:t>ied</w:t>
      </w:r>
      <w:r w:rsidR="003C2AC6" w:rsidRPr="009F337B">
        <w:rPr>
          <w:i w:val="0"/>
          <w:szCs w:val="20"/>
          <w:lang w:val="en-US"/>
        </w:rPr>
        <w:t xml:space="preserve"> </w:t>
      </w:r>
      <w:r w:rsidR="00BD5E94" w:rsidRPr="009F337B">
        <w:rPr>
          <w:i w:val="0"/>
          <w:szCs w:val="20"/>
          <w:lang w:val="en-US"/>
        </w:rPr>
        <w:t xml:space="preserve">on October 9, </w:t>
      </w:r>
      <w:r w:rsidR="003C2AC6" w:rsidRPr="009F337B">
        <w:rPr>
          <w:i w:val="0"/>
          <w:szCs w:val="20"/>
          <w:lang w:val="en-US"/>
        </w:rPr>
        <w:t>2012</w:t>
      </w:r>
      <w:r w:rsidR="00BD5E94" w:rsidRPr="009F337B">
        <w:rPr>
          <w:i w:val="0"/>
          <w:szCs w:val="20"/>
          <w:lang w:val="en-US"/>
        </w:rPr>
        <w:t>, from chronic</w:t>
      </w:r>
      <w:r w:rsidR="003C2AC6" w:rsidRPr="009F337B">
        <w:rPr>
          <w:i w:val="0"/>
          <w:szCs w:val="20"/>
          <w:lang w:val="en-US"/>
        </w:rPr>
        <w:t xml:space="preserve"> </w:t>
      </w:r>
      <w:r w:rsidR="00AF1AFB" w:rsidRPr="009F337B">
        <w:rPr>
          <w:i w:val="0"/>
          <w:szCs w:val="20"/>
          <w:lang w:val="en-US"/>
        </w:rPr>
        <w:t>kidney failure</w:t>
      </w:r>
      <w:r w:rsidR="003C2AC6" w:rsidRPr="009F337B">
        <w:rPr>
          <w:i w:val="0"/>
          <w:szCs w:val="20"/>
          <w:lang w:val="en-US"/>
        </w:rPr>
        <w:t>.</w:t>
      </w:r>
      <w:r w:rsidR="003C2AC6" w:rsidRPr="009F337B">
        <w:rPr>
          <w:rStyle w:val="Refdenotaalpie"/>
          <w:i w:val="0"/>
          <w:lang w:val="en-US"/>
        </w:rPr>
        <w:footnoteReference w:id="274"/>
      </w:r>
    </w:p>
    <w:p w14:paraId="06FE27D0" w14:textId="77777777" w:rsidR="003C2AC6" w:rsidRPr="009F337B" w:rsidRDefault="003C2AC6" w:rsidP="003C2AC6">
      <w:pPr>
        <w:pStyle w:val="Estilo1"/>
        <w:tabs>
          <w:tab w:val="left" w:pos="709"/>
          <w:tab w:val="left" w:pos="1134"/>
        </w:tabs>
        <w:spacing w:after="0"/>
        <w:ind w:left="0" w:right="-4" w:firstLine="0"/>
        <w:rPr>
          <w:i w:val="0"/>
          <w:szCs w:val="20"/>
          <w:lang w:val="en-US"/>
        </w:rPr>
      </w:pPr>
    </w:p>
    <w:p w14:paraId="5F49FEB9" w14:textId="6A6174A2" w:rsidR="003C2AC6" w:rsidRPr="009F337B" w:rsidRDefault="00AF1AFB" w:rsidP="00593E37">
      <w:pPr>
        <w:pStyle w:val="Estilo1"/>
        <w:numPr>
          <w:ilvl w:val="0"/>
          <w:numId w:val="5"/>
        </w:numPr>
        <w:tabs>
          <w:tab w:val="left" w:pos="709"/>
          <w:tab w:val="left" w:pos="1134"/>
        </w:tabs>
        <w:spacing w:after="0"/>
        <w:ind w:left="0" w:right="-4" w:firstLine="0"/>
        <w:rPr>
          <w:i w:val="0"/>
          <w:szCs w:val="20"/>
          <w:lang w:val="en-US"/>
        </w:rPr>
      </w:pPr>
      <w:r w:rsidRPr="009F337B">
        <w:rPr>
          <w:i w:val="0"/>
          <w:szCs w:val="20"/>
          <w:lang w:val="en-US"/>
        </w:rPr>
        <w:t xml:space="preserve">Her family unit consisted of </w:t>
      </w:r>
      <w:r w:rsidR="00DD7C07" w:rsidRPr="009F337B">
        <w:rPr>
          <w:i w:val="0"/>
          <w:szCs w:val="20"/>
          <w:lang w:val="en-US"/>
        </w:rPr>
        <w:t>her</w:t>
      </w:r>
      <w:r w:rsidR="003C2AC6" w:rsidRPr="009F337B">
        <w:rPr>
          <w:i w:val="0"/>
          <w:szCs w:val="20"/>
          <w:lang w:val="en-US"/>
        </w:rPr>
        <w:t xml:space="preserve"> </w:t>
      </w:r>
      <w:r w:rsidR="0010522A" w:rsidRPr="009F337B">
        <w:rPr>
          <w:i w:val="0"/>
          <w:szCs w:val="20"/>
          <w:lang w:val="en-US"/>
        </w:rPr>
        <w:t>partner</w:t>
      </w:r>
      <w:r w:rsidR="003C2AC6" w:rsidRPr="009F337B">
        <w:rPr>
          <w:i w:val="0"/>
          <w:szCs w:val="20"/>
          <w:lang w:val="en-US"/>
        </w:rPr>
        <w:t>, Rafael de León (</w:t>
      </w:r>
      <w:r w:rsidR="0010522A" w:rsidRPr="009F337B">
        <w:rPr>
          <w:i w:val="0"/>
          <w:szCs w:val="20"/>
          <w:lang w:val="en-US"/>
        </w:rPr>
        <w:t>deceased</w:t>
      </w:r>
      <w:r w:rsidR="003C2AC6" w:rsidRPr="009F337B">
        <w:rPr>
          <w:i w:val="0"/>
          <w:szCs w:val="20"/>
          <w:lang w:val="en-US"/>
        </w:rPr>
        <w:t xml:space="preserve">), </w:t>
      </w:r>
      <w:r w:rsidR="00DD7C07" w:rsidRPr="009F337B">
        <w:rPr>
          <w:i w:val="0"/>
          <w:szCs w:val="20"/>
          <w:lang w:val="en-US"/>
        </w:rPr>
        <w:t>her</w:t>
      </w:r>
      <w:r w:rsidR="003C2AC6" w:rsidRPr="009F337B">
        <w:rPr>
          <w:i w:val="0"/>
          <w:szCs w:val="20"/>
          <w:lang w:val="en-US"/>
        </w:rPr>
        <w:t xml:space="preserve"> </w:t>
      </w:r>
      <w:r w:rsidR="0010522A" w:rsidRPr="009F337B">
        <w:rPr>
          <w:i w:val="0"/>
          <w:szCs w:val="20"/>
          <w:lang w:val="en-US"/>
        </w:rPr>
        <w:t>daughter</w:t>
      </w:r>
      <w:r w:rsidR="003C2AC6" w:rsidRPr="009F337B">
        <w:rPr>
          <w:i w:val="0"/>
          <w:szCs w:val="20"/>
          <w:lang w:val="en-US"/>
        </w:rPr>
        <w:t>s Sandra Judith, Guadalupe</w:t>
      </w:r>
      <w:r w:rsidR="003C46A3" w:rsidRPr="009F337B">
        <w:rPr>
          <w:i w:val="0"/>
          <w:szCs w:val="20"/>
          <w:lang w:val="en-US"/>
        </w:rPr>
        <w:t xml:space="preserve"> and </w:t>
      </w:r>
      <w:proofErr w:type="spellStart"/>
      <w:r w:rsidR="003C2AC6" w:rsidRPr="009F337B">
        <w:rPr>
          <w:i w:val="0"/>
          <w:szCs w:val="20"/>
          <w:lang w:val="en-US"/>
        </w:rPr>
        <w:t>Yensi</w:t>
      </w:r>
      <w:proofErr w:type="spellEnd"/>
      <w:r w:rsidR="003C2AC6" w:rsidRPr="009F337B">
        <w:rPr>
          <w:i w:val="0"/>
          <w:szCs w:val="20"/>
          <w:lang w:val="en-US"/>
        </w:rPr>
        <w:t xml:space="preserve"> </w:t>
      </w:r>
      <w:proofErr w:type="spellStart"/>
      <w:r w:rsidR="003C2AC6" w:rsidRPr="009F337B">
        <w:rPr>
          <w:i w:val="0"/>
          <w:szCs w:val="20"/>
          <w:lang w:val="en-US"/>
        </w:rPr>
        <w:t>Nohemí</w:t>
      </w:r>
      <w:proofErr w:type="spellEnd"/>
      <w:r w:rsidR="003C2AC6" w:rsidRPr="009F337B">
        <w:rPr>
          <w:i w:val="0"/>
          <w:szCs w:val="20"/>
          <w:lang w:val="en-US"/>
        </w:rPr>
        <w:t xml:space="preserve">, </w:t>
      </w:r>
      <w:r w:rsidR="007B07E2" w:rsidRPr="009F337B">
        <w:rPr>
          <w:i w:val="0"/>
          <w:szCs w:val="20"/>
          <w:lang w:val="en-US"/>
        </w:rPr>
        <w:t>all</w:t>
      </w:r>
      <w:r w:rsidR="003C2AC6" w:rsidRPr="009F337B">
        <w:rPr>
          <w:i w:val="0"/>
          <w:szCs w:val="20"/>
          <w:lang w:val="en-US"/>
        </w:rPr>
        <w:t xml:space="preserve"> Pérez </w:t>
      </w:r>
      <w:proofErr w:type="spellStart"/>
      <w:r w:rsidR="003C2AC6" w:rsidRPr="009F337B">
        <w:rPr>
          <w:i w:val="0"/>
          <w:szCs w:val="20"/>
          <w:lang w:val="en-US"/>
        </w:rPr>
        <w:t>Cayaxon</w:t>
      </w:r>
      <w:proofErr w:type="spellEnd"/>
      <w:r w:rsidR="003C2AC6" w:rsidRPr="009F337B">
        <w:rPr>
          <w:i w:val="0"/>
          <w:szCs w:val="20"/>
          <w:lang w:val="en-US"/>
        </w:rPr>
        <w:t xml:space="preserve">; </w:t>
      </w:r>
      <w:r w:rsidR="00DD7C07" w:rsidRPr="009F337B">
        <w:rPr>
          <w:i w:val="0"/>
          <w:szCs w:val="20"/>
          <w:lang w:val="en-US"/>
        </w:rPr>
        <w:t>her</w:t>
      </w:r>
      <w:r w:rsidR="003C2AC6" w:rsidRPr="009F337B">
        <w:rPr>
          <w:i w:val="0"/>
          <w:szCs w:val="20"/>
          <w:lang w:val="en-US"/>
        </w:rPr>
        <w:t xml:space="preserve"> </w:t>
      </w:r>
      <w:r w:rsidR="0010522A" w:rsidRPr="009F337B">
        <w:rPr>
          <w:i w:val="0"/>
          <w:szCs w:val="20"/>
          <w:lang w:val="en-US"/>
        </w:rPr>
        <w:t>father</w:t>
      </w:r>
      <w:r w:rsidR="003C2AC6" w:rsidRPr="009F337B">
        <w:rPr>
          <w:i w:val="0"/>
          <w:szCs w:val="20"/>
          <w:lang w:val="en-US"/>
        </w:rPr>
        <w:t xml:space="preserve"> </w:t>
      </w:r>
      <w:proofErr w:type="spellStart"/>
      <w:r w:rsidR="003C2AC6" w:rsidRPr="009F337B">
        <w:rPr>
          <w:i w:val="0"/>
          <w:szCs w:val="20"/>
          <w:lang w:val="en-US"/>
        </w:rPr>
        <w:t>Neftalí</w:t>
      </w:r>
      <w:proofErr w:type="spellEnd"/>
      <w:r w:rsidR="003C2AC6" w:rsidRPr="009F337B">
        <w:rPr>
          <w:i w:val="0"/>
          <w:szCs w:val="20"/>
          <w:lang w:val="en-US"/>
        </w:rPr>
        <w:t xml:space="preserve"> </w:t>
      </w:r>
      <w:proofErr w:type="spellStart"/>
      <w:r w:rsidR="003C2AC6" w:rsidRPr="009F337B">
        <w:rPr>
          <w:i w:val="0"/>
          <w:szCs w:val="20"/>
          <w:lang w:val="en-US"/>
        </w:rPr>
        <w:t>Cayaxon</w:t>
      </w:r>
      <w:proofErr w:type="spellEnd"/>
      <w:r w:rsidR="003C2AC6" w:rsidRPr="009F337B">
        <w:rPr>
          <w:i w:val="0"/>
          <w:szCs w:val="20"/>
          <w:lang w:val="en-US"/>
        </w:rPr>
        <w:t xml:space="preserve"> Pérez</w:t>
      </w:r>
      <w:r w:rsidR="003C46A3" w:rsidRPr="009F337B">
        <w:rPr>
          <w:i w:val="0"/>
          <w:szCs w:val="20"/>
          <w:lang w:val="en-US"/>
        </w:rPr>
        <w:t xml:space="preserve"> and </w:t>
      </w:r>
      <w:r w:rsidR="00DD7C07" w:rsidRPr="009F337B">
        <w:rPr>
          <w:i w:val="0"/>
          <w:szCs w:val="20"/>
          <w:lang w:val="en-US"/>
        </w:rPr>
        <w:t>her</w:t>
      </w:r>
      <w:r w:rsidR="003C2AC6" w:rsidRPr="009F337B">
        <w:rPr>
          <w:i w:val="0"/>
          <w:szCs w:val="20"/>
          <w:lang w:val="en-US"/>
        </w:rPr>
        <w:t xml:space="preserve"> </w:t>
      </w:r>
      <w:r w:rsidR="0010522A" w:rsidRPr="009F337B">
        <w:rPr>
          <w:i w:val="0"/>
          <w:szCs w:val="20"/>
          <w:lang w:val="en-US"/>
        </w:rPr>
        <w:t>mother</w:t>
      </w:r>
      <w:r w:rsidR="003C2AC6" w:rsidRPr="009F337B">
        <w:rPr>
          <w:i w:val="0"/>
          <w:szCs w:val="20"/>
          <w:lang w:val="en-US"/>
        </w:rPr>
        <w:t xml:space="preserve"> Cruz García Ramos</w:t>
      </w:r>
      <w:r w:rsidR="003C2AC6" w:rsidRPr="009F337B">
        <w:rPr>
          <w:rStyle w:val="Refdenotaalpie"/>
          <w:i w:val="0"/>
          <w:lang w:val="en-US"/>
        </w:rPr>
        <w:footnoteReference w:id="275"/>
      </w:r>
      <w:r w:rsidR="003C2AC6" w:rsidRPr="009F337B">
        <w:rPr>
          <w:i w:val="0"/>
          <w:szCs w:val="20"/>
          <w:lang w:val="en-US"/>
        </w:rPr>
        <w:t>.</w:t>
      </w:r>
    </w:p>
    <w:p w14:paraId="34BDE6D5" w14:textId="77777777" w:rsidR="003C2AC6" w:rsidRPr="009F337B" w:rsidRDefault="003C2AC6" w:rsidP="003C2AC6">
      <w:pPr>
        <w:pStyle w:val="PrrafodeSentencia"/>
        <w:rPr>
          <w:lang w:val="en-US"/>
        </w:rPr>
      </w:pPr>
    </w:p>
    <w:p w14:paraId="744D5B3B" w14:textId="77777777" w:rsidR="003C2AC6" w:rsidRPr="009F337B" w:rsidRDefault="003C2AC6" w:rsidP="003C2AC6">
      <w:pPr>
        <w:pStyle w:val="PrrafodeSentencia"/>
        <w:rPr>
          <w:lang w:val="en-US"/>
        </w:rPr>
      </w:pPr>
      <w:r w:rsidRPr="009F337B">
        <w:rPr>
          <w:lang w:val="en-US"/>
        </w:rPr>
        <w:tab/>
        <w:t>A.9. José Rubén Delgado López</w:t>
      </w:r>
    </w:p>
    <w:p w14:paraId="56B1EF2D" w14:textId="77777777" w:rsidR="003C2AC6" w:rsidRPr="009F337B" w:rsidRDefault="003C2AC6" w:rsidP="003C2AC6">
      <w:pPr>
        <w:pStyle w:val="PrrafodeSentencia"/>
        <w:rPr>
          <w:lang w:val="en-US"/>
        </w:rPr>
      </w:pPr>
    </w:p>
    <w:p w14:paraId="03317E39" w14:textId="7E10D301" w:rsidR="003C2AC6" w:rsidRPr="009F337B" w:rsidRDefault="007F1AEB" w:rsidP="00593E37">
      <w:pPr>
        <w:pStyle w:val="Estilo1"/>
        <w:numPr>
          <w:ilvl w:val="0"/>
          <w:numId w:val="5"/>
        </w:numPr>
        <w:tabs>
          <w:tab w:val="left" w:pos="709"/>
          <w:tab w:val="left" w:pos="1134"/>
        </w:tabs>
        <w:spacing w:after="0"/>
        <w:ind w:left="0" w:right="-4" w:firstLine="0"/>
        <w:rPr>
          <w:i w:val="0"/>
          <w:szCs w:val="20"/>
          <w:lang w:val="en-US"/>
        </w:rPr>
      </w:pPr>
      <w:r w:rsidRPr="009F337B">
        <w:rPr>
          <w:i w:val="0"/>
          <w:szCs w:val="20"/>
          <w:lang w:val="en-US"/>
        </w:rPr>
        <w:t>Mr.</w:t>
      </w:r>
      <w:r w:rsidR="003C2AC6" w:rsidRPr="009F337B">
        <w:rPr>
          <w:i w:val="0"/>
          <w:szCs w:val="20"/>
          <w:lang w:val="en-US"/>
        </w:rPr>
        <w:t xml:space="preserve"> Delgado López </w:t>
      </w:r>
      <w:r w:rsidR="0084040D" w:rsidRPr="009F337B">
        <w:rPr>
          <w:i w:val="0"/>
          <w:szCs w:val="20"/>
          <w:lang w:val="en-US"/>
        </w:rPr>
        <w:t>was born on</w:t>
      </w:r>
      <w:r w:rsidR="003C2AC6" w:rsidRPr="009F337B">
        <w:rPr>
          <w:i w:val="0"/>
          <w:szCs w:val="20"/>
          <w:lang w:val="en-US"/>
        </w:rPr>
        <w:t xml:space="preserve"> </w:t>
      </w:r>
      <w:r w:rsidR="00815A0B" w:rsidRPr="009F337B">
        <w:rPr>
          <w:i w:val="0"/>
          <w:szCs w:val="20"/>
          <w:lang w:val="en-US"/>
        </w:rPr>
        <w:t xml:space="preserve">July </w:t>
      </w:r>
      <w:r w:rsidR="00DD7C07" w:rsidRPr="009F337B">
        <w:rPr>
          <w:i w:val="0"/>
          <w:szCs w:val="20"/>
          <w:lang w:val="en-US"/>
        </w:rPr>
        <w:t>2</w:t>
      </w:r>
      <w:r w:rsidR="00815A0B" w:rsidRPr="009F337B">
        <w:rPr>
          <w:i w:val="0"/>
          <w:szCs w:val="20"/>
          <w:lang w:val="en-US"/>
        </w:rPr>
        <w:t>1,</w:t>
      </w:r>
      <w:r w:rsidR="003C2AC6" w:rsidRPr="009F337B">
        <w:rPr>
          <w:i w:val="0"/>
          <w:szCs w:val="20"/>
          <w:lang w:val="en-US"/>
        </w:rPr>
        <w:t xml:space="preserve"> 1956, </w:t>
      </w:r>
      <w:r w:rsidR="00DD7C07" w:rsidRPr="009F337B">
        <w:rPr>
          <w:i w:val="0"/>
          <w:szCs w:val="20"/>
          <w:lang w:val="en-US"/>
        </w:rPr>
        <w:t>in the village of</w:t>
      </w:r>
      <w:r w:rsidR="003C2AC6" w:rsidRPr="009F337B">
        <w:rPr>
          <w:i w:val="0"/>
          <w:szCs w:val="20"/>
          <w:lang w:val="en-US"/>
        </w:rPr>
        <w:t xml:space="preserve"> </w:t>
      </w:r>
      <w:proofErr w:type="spellStart"/>
      <w:r w:rsidR="003C2AC6" w:rsidRPr="009F337B">
        <w:rPr>
          <w:i w:val="0"/>
          <w:szCs w:val="20"/>
          <w:lang w:val="en-US"/>
        </w:rPr>
        <w:t>Xab</w:t>
      </w:r>
      <w:proofErr w:type="spellEnd"/>
      <w:r w:rsidR="003C2AC6" w:rsidRPr="009F337B">
        <w:rPr>
          <w:i w:val="0"/>
          <w:szCs w:val="20"/>
          <w:lang w:val="en-US"/>
        </w:rPr>
        <w:t xml:space="preserve">, </w:t>
      </w:r>
      <w:r w:rsidR="00DD7C07" w:rsidRPr="009F337B">
        <w:rPr>
          <w:i w:val="0"/>
          <w:szCs w:val="20"/>
          <w:lang w:val="en-US"/>
        </w:rPr>
        <w:t>in the</w:t>
      </w:r>
      <w:r w:rsidR="003C2AC6" w:rsidRPr="009F337B">
        <w:rPr>
          <w:i w:val="0"/>
          <w:szCs w:val="20"/>
          <w:lang w:val="en-US"/>
        </w:rPr>
        <w:t xml:space="preserve"> </w:t>
      </w:r>
      <w:r w:rsidR="003E1304" w:rsidRPr="009F337B">
        <w:rPr>
          <w:i w:val="0"/>
          <w:szCs w:val="20"/>
          <w:lang w:val="en-US"/>
        </w:rPr>
        <w:t>department of</w:t>
      </w:r>
      <w:r w:rsidR="003C2AC6" w:rsidRPr="009F337B">
        <w:rPr>
          <w:i w:val="0"/>
          <w:szCs w:val="20"/>
          <w:lang w:val="en-US"/>
        </w:rPr>
        <w:t xml:space="preserve"> Retalhuleu, Guatemala. </w:t>
      </w:r>
      <w:r w:rsidR="00DD7C07" w:rsidRPr="009F337B">
        <w:rPr>
          <w:i w:val="0"/>
          <w:szCs w:val="20"/>
          <w:lang w:val="en-US"/>
        </w:rPr>
        <w:t xml:space="preserve">He carried out farming activities. He was diagnosed in 2002, in a private clinic. The same year he received treatment from MSF and, </w:t>
      </w:r>
      <w:r w:rsidR="009C667C" w:rsidRPr="009F337B">
        <w:rPr>
          <w:i w:val="0"/>
          <w:szCs w:val="20"/>
          <w:lang w:val="en-US"/>
        </w:rPr>
        <w:t>later</w:t>
      </w:r>
      <w:r w:rsidR="00DD7C07" w:rsidRPr="009F337B">
        <w:rPr>
          <w:i w:val="0"/>
          <w:szCs w:val="20"/>
          <w:lang w:val="en-US"/>
        </w:rPr>
        <w:t xml:space="preserve">, in  </w:t>
      </w:r>
      <w:r w:rsidR="00BD5E94" w:rsidRPr="009F337B">
        <w:rPr>
          <w:i w:val="0"/>
          <w:szCs w:val="20"/>
          <w:lang w:val="en-US"/>
        </w:rPr>
        <w:t xml:space="preserve">the </w:t>
      </w:r>
      <w:proofErr w:type="spellStart"/>
      <w:r w:rsidR="00BD5E94" w:rsidRPr="009F337B">
        <w:rPr>
          <w:i w:val="0"/>
          <w:szCs w:val="20"/>
          <w:lang w:val="en-US"/>
        </w:rPr>
        <w:t>Coatepeque</w:t>
      </w:r>
      <w:proofErr w:type="spellEnd"/>
      <w:r w:rsidR="00BD5E94" w:rsidRPr="009F337B">
        <w:rPr>
          <w:i w:val="0"/>
          <w:szCs w:val="20"/>
          <w:lang w:val="en-US"/>
        </w:rPr>
        <w:t xml:space="preserve"> National Hospital</w:t>
      </w:r>
      <w:r w:rsidR="003C2AC6" w:rsidRPr="009F337B">
        <w:rPr>
          <w:i w:val="0"/>
          <w:szCs w:val="20"/>
          <w:lang w:val="en-US"/>
        </w:rPr>
        <w:t xml:space="preserve">, </w:t>
      </w:r>
      <w:r w:rsidR="00DD7C07" w:rsidRPr="009F337B">
        <w:rPr>
          <w:i w:val="0"/>
          <w:szCs w:val="20"/>
          <w:lang w:val="en-US"/>
        </w:rPr>
        <w:t xml:space="preserve">and he began his </w:t>
      </w:r>
      <w:r w:rsidR="00FE1EFF" w:rsidRPr="009F337B">
        <w:rPr>
          <w:i w:val="0"/>
          <w:szCs w:val="20"/>
          <w:lang w:val="en-US"/>
        </w:rPr>
        <w:t>antiretroviral treatment</w:t>
      </w:r>
      <w:r w:rsidR="00DD7C07" w:rsidRPr="009F337B">
        <w:rPr>
          <w:i w:val="0"/>
          <w:szCs w:val="20"/>
          <w:lang w:val="en-US"/>
        </w:rPr>
        <w:t xml:space="preserve"> in 2003</w:t>
      </w:r>
      <w:r w:rsidR="003C2AC6" w:rsidRPr="009F337B">
        <w:rPr>
          <w:i w:val="0"/>
          <w:szCs w:val="20"/>
          <w:lang w:val="en-US"/>
        </w:rPr>
        <w:t xml:space="preserve">. </w:t>
      </w:r>
      <w:r w:rsidR="00DD7C07" w:rsidRPr="009F337B">
        <w:rPr>
          <w:i w:val="0"/>
          <w:szCs w:val="20"/>
          <w:lang w:val="en-US"/>
        </w:rPr>
        <w:t>He was tested intermittently for viral load (3 times) and CD4 count (6 times), without being informed of the results. In 2008, the State reported that Mr. Delgado López had a respiratory tract</w:t>
      </w:r>
      <w:r w:rsidR="003C46A3" w:rsidRPr="009F337B">
        <w:rPr>
          <w:i w:val="0"/>
          <w:szCs w:val="20"/>
          <w:lang w:val="en-US"/>
        </w:rPr>
        <w:t xml:space="preserve"> </w:t>
      </w:r>
      <w:r w:rsidR="00DD7C07" w:rsidRPr="009F337B">
        <w:rPr>
          <w:i w:val="0"/>
          <w:szCs w:val="20"/>
          <w:lang w:val="en-US"/>
        </w:rPr>
        <w:t xml:space="preserve">infection </w:t>
      </w:r>
      <w:r w:rsidR="003C46A3" w:rsidRPr="009F337B">
        <w:rPr>
          <w:i w:val="0"/>
          <w:szCs w:val="20"/>
          <w:lang w:val="en-US"/>
        </w:rPr>
        <w:t xml:space="preserve">and </w:t>
      </w:r>
      <w:r w:rsidR="00DD7C07" w:rsidRPr="009F337B">
        <w:rPr>
          <w:i w:val="0"/>
          <w:szCs w:val="20"/>
          <w:lang w:val="en-US"/>
        </w:rPr>
        <w:t xml:space="preserve">oral </w:t>
      </w:r>
      <w:r w:rsidR="003C2AC6" w:rsidRPr="009F337B">
        <w:rPr>
          <w:i w:val="0"/>
          <w:szCs w:val="20"/>
          <w:lang w:val="en-US"/>
        </w:rPr>
        <w:t xml:space="preserve">candidiasis. </w:t>
      </w:r>
      <w:r w:rsidR="00DD7C07" w:rsidRPr="009F337B">
        <w:rPr>
          <w:i w:val="0"/>
          <w:szCs w:val="20"/>
          <w:lang w:val="en-US"/>
        </w:rPr>
        <w:t xml:space="preserve">He </w:t>
      </w:r>
      <w:r w:rsidR="00CB1D32" w:rsidRPr="009F337B">
        <w:rPr>
          <w:i w:val="0"/>
          <w:szCs w:val="20"/>
          <w:lang w:val="en-US"/>
        </w:rPr>
        <w:t>suffered from</w:t>
      </w:r>
      <w:r w:rsidR="00DD7C07" w:rsidRPr="009F337B">
        <w:rPr>
          <w:i w:val="0"/>
          <w:szCs w:val="20"/>
          <w:lang w:val="en-US"/>
        </w:rPr>
        <w:t xml:space="preserve"> cutaneous</w:t>
      </w:r>
      <w:r w:rsidR="003C2AC6" w:rsidRPr="009F337B">
        <w:rPr>
          <w:i w:val="0"/>
          <w:szCs w:val="20"/>
          <w:lang w:val="en-US"/>
        </w:rPr>
        <w:t xml:space="preserve"> </w:t>
      </w:r>
      <w:r w:rsidR="00DD7C07" w:rsidRPr="009F337B">
        <w:rPr>
          <w:i w:val="0"/>
          <w:szCs w:val="20"/>
          <w:lang w:val="en-US"/>
        </w:rPr>
        <w:t>cryptococcus</w:t>
      </w:r>
      <w:r w:rsidR="003C2AC6" w:rsidRPr="009F337B">
        <w:rPr>
          <w:i w:val="0"/>
          <w:szCs w:val="20"/>
          <w:lang w:val="en-US"/>
        </w:rPr>
        <w:t xml:space="preserve">, </w:t>
      </w:r>
      <w:r w:rsidR="00DD7C07" w:rsidRPr="009F337B">
        <w:rPr>
          <w:i w:val="0"/>
          <w:szCs w:val="20"/>
          <w:lang w:val="en-US"/>
        </w:rPr>
        <w:t>sarcoidosis</w:t>
      </w:r>
      <w:r w:rsidR="003C2AC6" w:rsidRPr="009F337B">
        <w:rPr>
          <w:i w:val="0"/>
          <w:szCs w:val="20"/>
          <w:lang w:val="en-US"/>
        </w:rPr>
        <w:t xml:space="preserve">, </w:t>
      </w:r>
      <w:r w:rsidR="00DD7C07" w:rsidRPr="009F337B">
        <w:rPr>
          <w:i w:val="0"/>
          <w:szCs w:val="20"/>
          <w:lang w:val="en-US"/>
        </w:rPr>
        <w:t xml:space="preserve">eye </w:t>
      </w:r>
      <w:r w:rsidR="003C2AC6" w:rsidRPr="009F337B">
        <w:rPr>
          <w:i w:val="0"/>
          <w:szCs w:val="20"/>
          <w:lang w:val="en-US"/>
        </w:rPr>
        <w:t xml:space="preserve">trauma, </w:t>
      </w:r>
      <w:proofErr w:type="spellStart"/>
      <w:r w:rsidR="00DD7C07" w:rsidRPr="009F337B">
        <w:rPr>
          <w:i w:val="0"/>
          <w:szCs w:val="20"/>
          <w:lang w:val="en-US"/>
        </w:rPr>
        <w:t>papular</w:t>
      </w:r>
      <w:proofErr w:type="spellEnd"/>
      <w:r w:rsidR="00DD7C07" w:rsidRPr="009F337B">
        <w:rPr>
          <w:i w:val="0"/>
          <w:szCs w:val="20"/>
          <w:lang w:val="en-US"/>
        </w:rPr>
        <w:t xml:space="preserve"> pruritic eruptions</w:t>
      </w:r>
      <w:r w:rsidR="003C2AC6" w:rsidRPr="009F337B">
        <w:rPr>
          <w:i w:val="0"/>
          <w:szCs w:val="20"/>
          <w:lang w:val="en-US"/>
        </w:rPr>
        <w:t xml:space="preserve">, herpes, </w:t>
      </w:r>
      <w:r w:rsidR="00DD7C07" w:rsidRPr="009F337B">
        <w:rPr>
          <w:i w:val="0"/>
          <w:szCs w:val="20"/>
          <w:lang w:val="en-US"/>
        </w:rPr>
        <w:t>second-degree malnutrition</w:t>
      </w:r>
      <w:r w:rsidR="003C2AC6" w:rsidRPr="009F337B">
        <w:rPr>
          <w:i w:val="0"/>
          <w:szCs w:val="20"/>
          <w:lang w:val="en-US"/>
        </w:rPr>
        <w:t xml:space="preserve">, </w:t>
      </w:r>
      <w:r w:rsidR="005623C8" w:rsidRPr="009F337B">
        <w:rPr>
          <w:i w:val="0"/>
          <w:szCs w:val="20"/>
          <w:lang w:val="en-US"/>
        </w:rPr>
        <w:t>lipo</w:t>
      </w:r>
      <w:r w:rsidR="00327D89" w:rsidRPr="009F337B">
        <w:rPr>
          <w:i w:val="0"/>
          <w:szCs w:val="20"/>
          <w:lang w:val="en-US"/>
        </w:rPr>
        <w:t>mas</w:t>
      </w:r>
      <w:r w:rsidR="003C2AC6" w:rsidRPr="009F337B">
        <w:rPr>
          <w:i w:val="0"/>
          <w:szCs w:val="20"/>
          <w:lang w:val="en-US"/>
        </w:rPr>
        <w:t xml:space="preserve">, </w:t>
      </w:r>
      <w:r w:rsidR="00BB39B6" w:rsidRPr="009F337B">
        <w:rPr>
          <w:i w:val="0"/>
          <w:szCs w:val="20"/>
          <w:lang w:val="en-US"/>
        </w:rPr>
        <w:t>diarrhea</w:t>
      </w:r>
      <w:r w:rsidR="003C2AC6" w:rsidRPr="009F337B">
        <w:rPr>
          <w:i w:val="0"/>
          <w:szCs w:val="20"/>
          <w:lang w:val="en-US"/>
        </w:rPr>
        <w:t xml:space="preserve">, </w:t>
      </w:r>
      <w:r w:rsidR="00BB39B6" w:rsidRPr="009F337B">
        <w:rPr>
          <w:i w:val="0"/>
          <w:szCs w:val="20"/>
          <w:lang w:val="en-US"/>
        </w:rPr>
        <w:t>dizziness</w:t>
      </w:r>
      <w:r w:rsidR="003C2AC6" w:rsidRPr="009F337B">
        <w:rPr>
          <w:i w:val="0"/>
          <w:szCs w:val="20"/>
          <w:lang w:val="en-US"/>
        </w:rPr>
        <w:t>, otitis</w:t>
      </w:r>
      <w:r w:rsidR="003C46A3" w:rsidRPr="009F337B">
        <w:rPr>
          <w:i w:val="0"/>
          <w:szCs w:val="20"/>
          <w:lang w:val="en-US"/>
        </w:rPr>
        <w:t xml:space="preserve"> and </w:t>
      </w:r>
      <w:proofErr w:type="spellStart"/>
      <w:r w:rsidR="006E2DCF" w:rsidRPr="009F337B">
        <w:rPr>
          <w:i w:val="0"/>
          <w:szCs w:val="20"/>
          <w:lang w:val="en-US"/>
        </w:rPr>
        <w:t>cephalea</w:t>
      </w:r>
      <w:proofErr w:type="spellEnd"/>
      <w:r w:rsidR="003C2AC6" w:rsidRPr="009F337B">
        <w:rPr>
          <w:i w:val="0"/>
          <w:szCs w:val="20"/>
          <w:lang w:val="en-US"/>
        </w:rPr>
        <w:t xml:space="preserve">. </w:t>
      </w:r>
      <w:r w:rsidR="00BB39B6" w:rsidRPr="009F337B">
        <w:rPr>
          <w:i w:val="0"/>
          <w:szCs w:val="20"/>
          <w:lang w:val="en-US"/>
        </w:rPr>
        <w:t xml:space="preserve">He was tested for resistance to the </w:t>
      </w:r>
      <w:r w:rsidR="00AC2165" w:rsidRPr="009F337B">
        <w:rPr>
          <w:i w:val="0"/>
          <w:szCs w:val="20"/>
          <w:lang w:val="en-US"/>
        </w:rPr>
        <w:t>antiretroviral drugs</w:t>
      </w:r>
      <w:r w:rsidR="003C2AC6" w:rsidRPr="009F337B">
        <w:rPr>
          <w:i w:val="0"/>
          <w:szCs w:val="20"/>
          <w:lang w:val="en-US"/>
        </w:rPr>
        <w:t xml:space="preserve"> </w:t>
      </w:r>
      <w:r w:rsidR="00BB39B6" w:rsidRPr="009F337B">
        <w:rPr>
          <w:i w:val="0"/>
          <w:szCs w:val="20"/>
          <w:lang w:val="en-US"/>
        </w:rPr>
        <w:t>and this showed therapeutic failure due to resistance to</w:t>
      </w:r>
      <w:r w:rsidR="003C2AC6" w:rsidRPr="009F337B">
        <w:rPr>
          <w:i w:val="0"/>
          <w:szCs w:val="20"/>
          <w:lang w:val="en-US"/>
        </w:rPr>
        <w:t xml:space="preserve"> lamivudin</w:t>
      </w:r>
      <w:r w:rsidR="00BB39B6" w:rsidRPr="009F337B">
        <w:rPr>
          <w:i w:val="0"/>
          <w:szCs w:val="20"/>
          <w:lang w:val="en-US"/>
        </w:rPr>
        <w:t>e</w:t>
      </w:r>
      <w:r w:rsidR="003C2AC6" w:rsidRPr="009F337B">
        <w:rPr>
          <w:i w:val="0"/>
          <w:szCs w:val="20"/>
          <w:lang w:val="en-US"/>
        </w:rPr>
        <w:t>, efavirenz</w:t>
      </w:r>
      <w:r w:rsidR="003C46A3" w:rsidRPr="009F337B">
        <w:rPr>
          <w:i w:val="0"/>
          <w:szCs w:val="20"/>
          <w:lang w:val="en-US"/>
        </w:rPr>
        <w:t xml:space="preserve"> and </w:t>
      </w:r>
      <w:r w:rsidR="003C2AC6" w:rsidRPr="009F337B">
        <w:rPr>
          <w:i w:val="0"/>
          <w:szCs w:val="20"/>
          <w:lang w:val="en-US"/>
        </w:rPr>
        <w:t>nevirapin</w:t>
      </w:r>
      <w:r w:rsidR="00BB39B6" w:rsidRPr="009F337B">
        <w:rPr>
          <w:i w:val="0"/>
          <w:szCs w:val="20"/>
          <w:lang w:val="en-US"/>
        </w:rPr>
        <w:t>e</w:t>
      </w:r>
      <w:r w:rsidR="003C2AC6" w:rsidRPr="009F337B">
        <w:rPr>
          <w:i w:val="0"/>
          <w:szCs w:val="20"/>
          <w:lang w:val="en-US"/>
        </w:rPr>
        <w:t xml:space="preserve">. </w:t>
      </w:r>
      <w:r w:rsidR="00BB39B6" w:rsidRPr="009F337B">
        <w:rPr>
          <w:i w:val="0"/>
          <w:szCs w:val="20"/>
          <w:lang w:val="en-US"/>
        </w:rPr>
        <w:t xml:space="preserve">Due to his illness, he was unable to work and he died on May 14, </w:t>
      </w:r>
      <w:r w:rsidR="003C2AC6" w:rsidRPr="009F337B">
        <w:rPr>
          <w:i w:val="0"/>
          <w:szCs w:val="20"/>
          <w:lang w:val="en-US"/>
        </w:rPr>
        <w:t xml:space="preserve">2010. </w:t>
      </w:r>
      <w:r w:rsidR="00BB39B6" w:rsidRPr="009F337B">
        <w:rPr>
          <w:i w:val="0"/>
          <w:szCs w:val="20"/>
          <w:lang w:val="en-US"/>
        </w:rPr>
        <w:t>For 15 days before he died, he had been in an acute condition, unable to eat or urinate and with vomits.</w:t>
      </w:r>
      <w:r w:rsidR="003C2AC6" w:rsidRPr="009F337B">
        <w:rPr>
          <w:rStyle w:val="Refdenotaalpie"/>
          <w:i w:val="0"/>
          <w:lang w:val="en-US"/>
        </w:rPr>
        <w:footnoteReference w:id="276"/>
      </w:r>
    </w:p>
    <w:p w14:paraId="1CC40143" w14:textId="77777777" w:rsidR="003C2AC6" w:rsidRPr="009F337B" w:rsidRDefault="003C2AC6" w:rsidP="003C2AC6">
      <w:pPr>
        <w:pStyle w:val="Estilo1"/>
        <w:tabs>
          <w:tab w:val="left" w:pos="709"/>
          <w:tab w:val="left" w:pos="1134"/>
        </w:tabs>
        <w:spacing w:after="0"/>
        <w:ind w:left="0" w:right="-4" w:firstLine="0"/>
        <w:rPr>
          <w:i w:val="0"/>
          <w:szCs w:val="20"/>
          <w:lang w:val="en-US"/>
        </w:rPr>
      </w:pPr>
    </w:p>
    <w:p w14:paraId="267135CB" w14:textId="38BB6D8B" w:rsidR="003C2AC6" w:rsidRPr="009F337B" w:rsidRDefault="00AF1AFB" w:rsidP="00593E37">
      <w:pPr>
        <w:pStyle w:val="Estilo1"/>
        <w:numPr>
          <w:ilvl w:val="0"/>
          <w:numId w:val="5"/>
        </w:numPr>
        <w:tabs>
          <w:tab w:val="left" w:pos="709"/>
          <w:tab w:val="left" w:pos="1134"/>
        </w:tabs>
        <w:spacing w:after="0"/>
        <w:ind w:left="0" w:right="-4" w:firstLine="0"/>
        <w:rPr>
          <w:i w:val="0"/>
          <w:szCs w:val="20"/>
          <w:lang w:val="en-US"/>
        </w:rPr>
      </w:pPr>
      <w:r w:rsidRPr="009F337B">
        <w:rPr>
          <w:i w:val="0"/>
          <w:szCs w:val="20"/>
          <w:lang w:val="en-US"/>
        </w:rPr>
        <w:t>H</w:t>
      </w:r>
      <w:r w:rsidR="00BB39B6" w:rsidRPr="009F337B">
        <w:rPr>
          <w:i w:val="0"/>
          <w:szCs w:val="20"/>
          <w:lang w:val="en-US"/>
        </w:rPr>
        <w:t>is</w:t>
      </w:r>
      <w:r w:rsidRPr="009F337B">
        <w:rPr>
          <w:i w:val="0"/>
          <w:szCs w:val="20"/>
          <w:lang w:val="en-US"/>
        </w:rPr>
        <w:t xml:space="preserve"> family unit consisted of </w:t>
      </w:r>
      <w:r w:rsidR="00BB39B6" w:rsidRPr="009F337B">
        <w:rPr>
          <w:i w:val="0"/>
          <w:szCs w:val="20"/>
          <w:lang w:val="en-US"/>
        </w:rPr>
        <w:t>his</w:t>
      </w:r>
      <w:r w:rsidR="003C2AC6" w:rsidRPr="009F337B">
        <w:rPr>
          <w:i w:val="0"/>
          <w:szCs w:val="20"/>
          <w:lang w:val="en-US"/>
        </w:rPr>
        <w:t xml:space="preserve"> </w:t>
      </w:r>
      <w:r w:rsidR="0010522A" w:rsidRPr="009F337B">
        <w:rPr>
          <w:i w:val="0"/>
          <w:szCs w:val="20"/>
          <w:lang w:val="en-US"/>
        </w:rPr>
        <w:t>brother</w:t>
      </w:r>
      <w:r w:rsidR="003C2AC6" w:rsidRPr="009F337B">
        <w:rPr>
          <w:i w:val="0"/>
          <w:szCs w:val="20"/>
          <w:lang w:val="en-US"/>
        </w:rPr>
        <w:t xml:space="preserve"> Antonio Miranda Méndez, </w:t>
      </w:r>
      <w:r w:rsidR="00BB39B6" w:rsidRPr="009F337B">
        <w:rPr>
          <w:i w:val="0"/>
          <w:szCs w:val="20"/>
          <w:lang w:val="en-US"/>
        </w:rPr>
        <w:t>his sister-in-law</w:t>
      </w:r>
      <w:r w:rsidR="003C2AC6" w:rsidRPr="009F337B">
        <w:rPr>
          <w:i w:val="0"/>
          <w:szCs w:val="20"/>
          <w:lang w:val="en-US"/>
        </w:rPr>
        <w:t xml:space="preserve"> Magdalena López de Miranda, </w:t>
      </w:r>
      <w:r w:rsidR="00BB39B6" w:rsidRPr="009F337B">
        <w:rPr>
          <w:i w:val="0"/>
          <w:szCs w:val="20"/>
          <w:lang w:val="en-US"/>
        </w:rPr>
        <w:t>his</w:t>
      </w:r>
      <w:r w:rsidR="003C2AC6" w:rsidRPr="009F337B">
        <w:rPr>
          <w:i w:val="0"/>
          <w:szCs w:val="20"/>
          <w:lang w:val="en-US"/>
        </w:rPr>
        <w:t xml:space="preserve"> </w:t>
      </w:r>
      <w:r w:rsidR="0010522A" w:rsidRPr="009F337B">
        <w:rPr>
          <w:i w:val="0"/>
          <w:szCs w:val="20"/>
          <w:lang w:val="en-US"/>
        </w:rPr>
        <w:t>son</w:t>
      </w:r>
      <w:r w:rsidR="003C2AC6" w:rsidRPr="009F337B">
        <w:rPr>
          <w:i w:val="0"/>
          <w:szCs w:val="20"/>
          <w:lang w:val="en-US"/>
        </w:rPr>
        <w:t>s Héctor</w:t>
      </w:r>
      <w:r w:rsidR="003C46A3" w:rsidRPr="009F337B">
        <w:rPr>
          <w:i w:val="0"/>
          <w:szCs w:val="20"/>
          <w:lang w:val="en-US"/>
        </w:rPr>
        <w:t xml:space="preserve"> and </w:t>
      </w:r>
      <w:r w:rsidR="003C2AC6" w:rsidRPr="009F337B">
        <w:rPr>
          <w:i w:val="0"/>
          <w:szCs w:val="20"/>
          <w:lang w:val="en-US"/>
        </w:rPr>
        <w:t xml:space="preserve">Francisco, </w:t>
      </w:r>
      <w:r w:rsidR="007B07E2" w:rsidRPr="009F337B">
        <w:rPr>
          <w:i w:val="0"/>
          <w:szCs w:val="20"/>
          <w:lang w:val="en-US"/>
        </w:rPr>
        <w:t>both</w:t>
      </w:r>
      <w:r w:rsidR="003C2AC6" w:rsidRPr="009F337B">
        <w:rPr>
          <w:i w:val="0"/>
          <w:szCs w:val="20"/>
          <w:lang w:val="en-US"/>
        </w:rPr>
        <w:t xml:space="preserve"> Delgado Pérez, </w:t>
      </w:r>
      <w:r w:rsidR="00BB39B6" w:rsidRPr="009F337B">
        <w:rPr>
          <w:i w:val="0"/>
          <w:szCs w:val="20"/>
          <w:lang w:val="en-US"/>
        </w:rPr>
        <w:t>and his</w:t>
      </w:r>
      <w:r w:rsidR="003C2AC6" w:rsidRPr="009F337B">
        <w:rPr>
          <w:i w:val="0"/>
          <w:szCs w:val="20"/>
          <w:lang w:val="en-US"/>
        </w:rPr>
        <w:t xml:space="preserve"> </w:t>
      </w:r>
      <w:r w:rsidR="0010522A" w:rsidRPr="009F337B">
        <w:rPr>
          <w:i w:val="0"/>
          <w:szCs w:val="20"/>
          <w:lang w:val="en-US"/>
        </w:rPr>
        <w:t>niece</w:t>
      </w:r>
      <w:r w:rsidR="003C2AC6" w:rsidRPr="009F337B">
        <w:rPr>
          <w:i w:val="0"/>
          <w:szCs w:val="20"/>
          <w:lang w:val="en-US"/>
        </w:rPr>
        <w:t xml:space="preserve"> Lidia </w:t>
      </w:r>
      <w:proofErr w:type="spellStart"/>
      <w:r w:rsidR="003C2AC6" w:rsidRPr="009F337B">
        <w:rPr>
          <w:i w:val="0"/>
          <w:szCs w:val="20"/>
          <w:lang w:val="en-US"/>
        </w:rPr>
        <w:t>Mirtala</w:t>
      </w:r>
      <w:proofErr w:type="spellEnd"/>
      <w:r w:rsidR="003C2AC6" w:rsidRPr="009F337B">
        <w:rPr>
          <w:i w:val="0"/>
          <w:szCs w:val="20"/>
          <w:lang w:val="en-US"/>
        </w:rPr>
        <w:t xml:space="preserve"> Miranda López</w:t>
      </w:r>
      <w:r w:rsidR="00BB39B6" w:rsidRPr="009F337B">
        <w:rPr>
          <w:i w:val="0"/>
          <w:szCs w:val="20"/>
          <w:lang w:val="en-US"/>
        </w:rPr>
        <w:t>.</w:t>
      </w:r>
      <w:r w:rsidR="003C2AC6" w:rsidRPr="009F337B">
        <w:rPr>
          <w:rStyle w:val="Refdenotaalpie"/>
          <w:i w:val="0"/>
          <w:lang w:val="en-US"/>
        </w:rPr>
        <w:footnoteReference w:id="277"/>
      </w:r>
    </w:p>
    <w:p w14:paraId="60297E0B" w14:textId="77777777" w:rsidR="003C2AC6" w:rsidRPr="009F337B" w:rsidRDefault="003C2AC6" w:rsidP="003C2AC6">
      <w:pPr>
        <w:pStyle w:val="PrrafodeSentencia"/>
        <w:rPr>
          <w:lang w:val="en-US"/>
        </w:rPr>
      </w:pPr>
    </w:p>
    <w:p w14:paraId="32D548E9" w14:textId="77777777" w:rsidR="003C2AC6" w:rsidRPr="009F337B" w:rsidRDefault="003C2AC6" w:rsidP="003C2AC6">
      <w:pPr>
        <w:pStyle w:val="PrrafodeSentencia"/>
        <w:rPr>
          <w:lang w:val="en-US"/>
        </w:rPr>
      </w:pPr>
      <w:r w:rsidRPr="009F337B">
        <w:rPr>
          <w:lang w:val="en-US"/>
        </w:rPr>
        <w:tab/>
        <w:t>A.10. Elsa Miriam Estrada Ruíz</w:t>
      </w:r>
    </w:p>
    <w:p w14:paraId="3B5ACF1D" w14:textId="77777777" w:rsidR="003C2AC6" w:rsidRPr="009F337B" w:rsidRDefault="003C2AC6" w:rsidP="003C2AC6">
      <w:pPr>
        <w:pStyle w:val="PrrafodeSentencia"/>
        <w:rPr>
          <w:lang w:val="en-US"/>
        </w:rPr>
      </w:pPr>
    </w:p>
    <w:p w14:paraId="25C8556B" w14:textId="7849E596" w:rsidR="003C2AC6" w:rsidRPr="009F337B" w:rsidRDefault="007F1AEB" w:rsidP="00593E37">
      <w:pPr>
        <w:pStyle w:val="Estilo1"/>
        <w:numPr>
          <w:ilvl w:val="0"/>
          <w:numId w:val="5"/>
        </w:numPr>
        <w:tabs>
          <w:tab w:val="left" w:pos="709"/>
          <w:tab w:val="left" w:pos="1134"/>
        </w:tabs>
        <w:spacing w:after="0"/>
        <w:ind w:left="0" w:right="-4" w:firstLine="0"/>
        <w:rPr>
          <w:i w:val="0"/>
          <w:szCs w:val="20"/>
          <w:lang w:val="en-US"/>
        </w:rPr>
      </w:pPr>
      <w:r w:rsidRPr="009F337B">
        <w:rPr>
          <w:i w:val="0"/>
          <w:szCs w:val="20"/>
          <w:lang w:val="en-US"/>
        </w:rPr>
        <w:lastRenderedPageBreak/>
        <w:t>Mrs.</w:t>
      </w:r>
      <w:r w:rsidR="003C2AC6" w:rsidRPr="009F337B">
        <w:rPr>
          <w:i w:val="0"/>
          <w:szCs w:val="20"/>
          <w:lang w:val="en-US"/>
        </w:rPr>
        <w:t xml:space="preserve"> Estrada </w:t>
      </w:r>
      <w:proofErr w:type="spellStart"/>
      <w:r w:rsidR="003C2AC6" w:rsidRPr="009F337B">
        <w:rPr>
          <w:i w:val="0"/>
          <w:szCs w:val="20"/>
          <w:lang w:val="en-US"/>
        </w:rPr>
        <w:t>Ruíz</w:t>
      </w:r>
      <w:proofErr w:type="spellEnd"/>
      <w:r w:rsidR="003C2AC6" w:rsidRPr="009F337B">
        <w:rPr>
          <w:i w:val="0"/>
          <w:szCs w:val="20"/>
          <w:lang w:val="en-US"/>
        </w:rPr>
        <w:t xml:space="preserve"> </w:t>
      </w:r>
      <w:r w:rsidR="0084040D" w:rsidRPr="009F337B">
        <w:rPr>
          <w:i w:val="0"/>
          <w:szCs w:val="20"/>
          <w:lang w:val="en-US"/>
        </w:rPr>
        <w:t>was born on</w:t>
      </w:r>
      <w:r w:rsidR="003C2AC6" w:rsidRPr="009F337B">
        <w:rPr>
          <w:i w:val="0"/>
          <w:szCs w:val="20"/>
          <w:lang w:val="en-US"/>
        </w:rPr>
        <w:t xml:space="preserve"> </w:t>
      </w:r>
      <w:r w:rsidR="00BB39B6" w:rsidRPr="009F337B">
        <w:rPr>
          <w:i w:val="0"/>
          <w:szCs w:val="20"/>
          <w:lang w:val="en-US"/>
        </w:rPr>
        <w:t>March 2,</w:t>
      </w:r>
      <w:r w:rsidR="003C2AC6" w:rsidRPr="009F337B">
        <w:rPr>
          <w:i w:val="0"/>
          <w:szCs w:val="20"/>
          <w:lang w:val="en-US"/>
        </w:rPr>
        <w:t xml:space="preserve"> 1948</w:t>
      </w:r>
      <w:r w:rsidR="00BB39B6" w:rsidRPr="009F337B">
        <w:rPr>
          <w:i w:val="0"/>
          <w:szCs w:val="20"/>
          <w:lang w:val="en-US"/>
        </w:rPr>
        <w:t xml:space="preserve">. Her schooling ended after she had completed third year of primary education and she was a housewife. She was </w:t>
      </w:r>
      <w:r w:rsidR="001071B4" w:rsidRPr="009F337B">
        <w:rPr>
          <w:i w:val="0"/>
          <w:szCs w:val="20"/>
          <w:lang w:val="en-US"/>
        </w:rPr>
        <w:t>diagnosed with HIV</w:t>
      </w:r>
      <w:r w:rsidR="003C2AC6" w:rsidRPr="009F337B">
        <w:rPr>
          <w:i w:val="0"/>
          <w:szCs w:val="20"/>
          <w:lang w:val="en-US"/>
        </w:rPr>
        <w:t xml:space="preserve"> </w:t>
      </w:r>
      <w:r w:rsidR="00BB39B6" w:rsidRPr="009F337B">
        <w:rPr>
          <w:i w:val="0"/>
          <w:szCs w:val="20"/>
          <w:lang w:val="en-US"/>
        </w:rPr>
        <w:t>in</w:t>
      </w:r>
      <w:r w:rsidR="003C2AC6" w:rsidRPr="009F337B">
        <w:rPr>
          <w:i w:val="0"/>
          <w:szCs w:val="20"/>
          <w:lang w:val="en-US"/>
        </w:rPr>
        <w:t xml:space="preserve"> 2001. MSF </w:t>
      </w:r>
      <w:r w:rsidR="00BB39B6" w:rsidRPr="009F337B">
        <w:rPr>
          <w:i w:val="0"/>
          <w:szCs w:val="20"/>
          <w:lang w:val="en-US"/>
        </w:rPr>
        <w:t>treated her in</w:t>
      </w:r>
      <w:r w:rsidR="003C2AC6" w:rsidRPr="009F337B">
        <w:rPr>
          <w:i w:val="0"/>
          <w:szCs w:val="20"/>
          <w:lang w:val="en-US"/>
        </w:rPr>
        <w:t xml:space="preserve"> 2001 </w:t>
      </w:r>
      <w:r w:rsidR="00BB39B6" w:rsidRPr="009F337B">
        <w:rPr>
          <w:i w:val="0"/>
          <w:szCs w:val="20"/>
          <w:lang w:val="en-US"/>
        </w:rPr>
        <w:t>but she did not start</w:t>
      </w:r>
      <w:r w:rsidR="003C2AC6" w:rsidRPr="009F337B">
        <w:rPr>
          <w:i w:val="0"/>
          <w:szCs w:val="20"/>
          <w:lang w:val="en-US"/>
        </w:rPr>
        <w:t xml:space="preserve"> </w:t>
      </w:r>
      <w:r w:rsidR="00FE1EFF" w:rsidRPr="009F337B">
        <w:rPr>
          <w:i w:val="0"/>
          <w:szCs w:val="20"/>
          <w:lang w:val="en-US"/>
        </w:rPr>
        <w:t>antiretroviral treatment</w:t>
      </w:r>
      <w:r w:rsidR="003C2AC6" w:rsidRPr="009F337B">
        <w:rPr>
          <w:i w:val="0"/>
          <w:szCs w:val="20"/>
          <w:lang w:val="en-US"/>
        </w:rPr>
        <w:t xml:space="preserve"> </w:t>
      </w:r>
      <w:r w:rsidR="00BB39B6" w:rsidRPr="009F337B">
        <w:rPr>
          <w:i w:val="0"/>
          <w:szCs w:val="20"/>
          <w:lang w:val="en-US"/>
        </w:rPr>
        <w:t>until</w:t>
      </w:r>
      <w:r w:rsidR="003C2AC6" w:rsidRPr="009F337B">
        <w:rPr>
          <w:i w:val="0"/>
          <w:szCs w:val="20"/>
          <w:lang w:val="en-US"/>
        </w:rPr>
        <w:t xml:space="preserve"> 2006. </w:t>
      </w:r>
      <w:r w:rsidR="00BB39B6" w:rsidRPr="009F337B">
        <w:rPr>
          <w:i w:val="0"/>
          <w:szCs w:val="20"/>
          <w:lang w:val="en-US"/>
        </w:rPr>
        <w:t>She did not undergo CD4 counts or viral load testing. She</w:t>
      </w:r>
      <w:r w:rsidR="00CB1D32" w:rsidRPr="009F337B">
        <w:rPr>
          <w:i w:val="0"/>
          <w:szCs w:val="20"/>
          <w:lang w:val="en-US"/>
        </w:rPr>
        <w:t xml:space="preserve"> suffered </w:t>
      </w:r>
      <w:r w:rsidR="005F3D50" w:rsidRPr="009F337B">
        <w:rPr>
          <w:i w:val="0"/>
          <w:szCs w:val="20"/>
          <w:lang w:val="en-US"/>
        </w:rPr>
        <w:t>from</w:t>
      </w:r>
      <w:r w:rsidR="00BB39B6" w:rsidRPr="009F337B">
        <w:rPr>
          <w:i w:val="0"/>
          <w:szCs w:val="20"/>
          <w:lang w:val="en-US"/>
        </w:rPr>
        <w:t xml:space="preserve"> </w:t>
      </w:r>
      <w:r w:rsidR="00B23B9B" w:rsidRPr="009F337B">
        <w:rPr>
          <w:i w:val="0"/>
          <w:szCs w:val="20"/>
          <w:lang w:val="en-US"/>
        </w:rPr>
        <w:t>oral candidiasis</w:t>
      </w:r>
      <w:r w:rsidR="003C2AC6" w:rsidRPr="009F337B">
        <w:rPr>
          <w:i w:val="0"/>
          <w:szCs w:val="20"/>
          <w:lang w:val="en-US"/>
        </w:rPr>
        <w:t>, herpes zoster</w:t>
      </w:r>
      <w:r w:rsidR="003C46A3" w:rsidRPr="009F337B">
        <w:rPr>
          <w:i w:val="0"/>
          <w:szCs w:val="20"/>
          <w:lang w:val="en-US"/>
        </w:rPr>
        <w:t xml:space="preserve"> and </w:t>
      </w:r>
      <w:r w:rsidR="00BB39B6" w:rsidRPr="009F337B">
        <w:rPr>
          <w:i w:val="0"/>
          <w:szCs w:val="20"/>
          <w:lang w:val="en-US"/>
        </w:rPr>
        <w:t>neuropathy</w:t>
      </w:r>
      <w:r w:rsidR="003C2AC6" w:rsidRPr="009F337B">
        <w:rPr>
          <w:i w:val="0"/>
          <w:szCs w:val="20"/>
          <w:lang w:val="en-US"/>
        </w:rPr>
        <w:t xml:space="preserve">. </w:t>
      </w:r>
      <w:r w:rsidR="00BB39B6" w:rsidRPr="009F337B">
        <w:rPr>
          <w:i w:val="0"/>
          <w:szCs w:val="20"/>
          <w:lang w:val="en-US"/>
        </w:rPr>
        <w:t>She was registered at</w:t>
      </w:r>
      <w:r w:rsidR="003C2AC6" w:rsidRPr="009F337B">
        <w:rPr>
          <w:i w:val="0"/>
          <w:szCs w:val="20"/>
          <w:lang w:val="en-US"/>
        </w:rPr>
        <w:t xml:space="preserve"> </w:t>
      </w:r>
      <w:r w:rsidR="00BD5E94" w:rsidRPr="009F337B">
        <w:rPr>
          <w:i w:val="0"/>
          <w:szCs w:val="20"/>
          <w:lang w:val="en-US"/>
        </w:rPr>
        <w:t xml:space="preserve">the </w:t>
      </w:r>
      <w:proofErr w:type="spellStart"/>
      <w:r w:rsidR="00BD5E94" w:rsidRPr="009F337B">
        <w:rPr>
          <w:i w:val="0"/>
          <w:szCs w:val="20"/>
          <w:lang w:val="en-US"/>
        </w:rPr>
        <w:t>Coatepeque</w:t>
      </w:r>
      <w:proofErr w:type="spellEnd"/>
      <w:r w:rsidR="00BD5E94" w:rsidRPr="009F337B">
        <w:rPr>
          <w:i w:val="0"/>
          <w:szCs w:val="20"/>
          <w:lang w:val="en-US"/>
        </w:rPr>
        <w:t xml:space="preserve"> National Hospital</w:t>
      </w:r>
      <w:r w:rsidR="00BB39B6" w:rsidRPr="009F337B">
        <w:rPr>
          <w:i w:val="0"/>
          <w:szCs w:val="20"/>
          <w:lang w:val="en-US"/>
        </w:rPr>
        <w:t xml:space="preserve"> and d</w:t>
      </w:r>
      <w:r w:rsidR="00CB1D32" w:rsidRPr="009F337B">
        <w:rPr>
          <w:i w:val="0"/>
          <w:szCs w:val="20"/>
          <w:lang w:val="en-US"/>
        </w:rPr>
        <w:t>ied</w:t>
      </w:r>
      <w:r w:rsidR="003C2AC6" w:rsidRPr="009F337B">
        <w:rPr>
          <w:i w:val="0"/>
          <w:szCs w:val="20"/>
          <w:lang w:val="en-US"/>
        </w:rPr>
        <w:t xml:space="preserve"> </w:t>
      </w:r>
      <w:r w:rsidR="00BB39B6" w:rsidRPr="009F337B">
        <w:rPr>
          <w:i w:val="0"/>
          <w:szCs w:val="20"/>
          <w:lang w:val="en-US"/>
        </w:rPr>
        <w:t>there from a common illness on July 26, 2016.</w:t>
      </w:r>
      <w:r w:rsidR="003C2AC6" w:rsidRPr="009F337B">
        <w:rPr>
          <w:rStyle w:val="Refdenotaalpie"/>
          <w:i w:val="0"/>
          <w:lang w:val="en-US"/>
        </w:rPr>
        <w:footnoteReference w:id="278"/>
      </w:r>
    </w:p>
    <w:p w14:paraId="1181A119" w14:textId="77777777" w:rsidR="003C2AC6" w:rsidRPr="009F337B" w:rsidRDefault="003C2AC6" w:rsidP="003C2AC6">
      <w:pPr>
        <w:pStyle w:val="Estilo1"/>
        <w:tabs>
          <w:tab w:val="left" w:pos="709"/>
          <w:tab w:val="left" w:pos="1134"/>
        </w:tabs>
        <w:spacing w:after="0"/>
        <w:ind w:left="0" w:right="-4" w:firstLine="0"/>
        <w:rPr>
          <w:i w:val="0"/>
          <w:szCs w:val="20"/>
          <w:lang w:val="en-US"/>
        </w:rPr>
      </w:pPr>
    </w:p>
    <w:p w14:paraId="350DEA8A" w14:textId="14A74FB9" w:rsidR="003C2AC6" w:rsidRPr="009F337B" w:rsidRDefault="003B5D80" w:rsidP="00593E37">
      <w:pPr>
        <w:pStyle w:val="Estilo1"/>
        <w:numPr>
          <w:ilvl w:val="0"/>
          <w:numId w:val="5"/>
        </w:numPr>
        <w:tabs>
          <w:tab w:val="left" w:pos="709"/>
          <w:tab w:val="left" w:pos="1134"/>
        </w:tabs>
        <w:spacing w:after="0"/>
        <w:ind w:left="0" w:right="-4" w:firstLine="0"/>
        <w:rPr>
          <w:i w:val="0"/>
          <w:szCs w:val="20"/>
          <w:lang w:val="en-US"/>
        </w:rPr>
      </w:pPr>
      <w:r w:rsidRPr="009F337B">
        <w:rPr>
          <w:i w:val="0"/>
          <w:szCs w:val="20"/>
          <w:lang w:val="en-US"/>
        </w:rPr>
        <w:t>H</w:t>
      </w:r>
      <w:r w:rsidR="00BB39B6" w:rsidRPr="009F337B">
        <w:rPr>
          <w:i w:val="0"/>
          <w:szCs w:val="20"/>
          <w:lang w:val="en-US"/>
        </w:rPr>
        <w:t>er</w:t>
      </w:r>
      <w:r w:rsidRPr="009F337B">
        <w:rPr>
          <w:i w:val="0"/>
          <w:szCs w:val="20"/>
          <w:lang w:val="en-US"/>
        </w:rPr>
        <w:t xml:space="preserve"> family unit consisted of h</w:t>
      </w:r>
      <w:r w:rsidR="00BB39B6" w:rsidRPr="009F337B">
        <w:rPr>
          <w:i w:val="0"/>
          <w:szCs w:val="20"/>
          <w:lang w:val="en-US"/>
        </w:rPr>
        <w:t>er husband</w:t>
      </w:r>
      <w:r w:rsidR="003C2AC6" w:rsidRPr="009F337B">
        <w:rPr>
          <w:i w:val="0"/>
          <w:szCs w:val="20"/>
          <w:lang w:val="en-US"/>
        </w:rPr>
        <w:t xml:space="preserve"> José Luis Hernández (</w:t>
      </w:r>
      <w:r w:rsidR="0010522A" w:rsidRPr="009F337B">
        <w:rPr>
          <w:i w:val="0"/>
          <w:szCs w:val="20"/>
          <w:lang w:val="en-US"/>
        </w:rPr>
        <w:t>deceased</w:t>
      </w:r>
      <w:r w:rsidR="003C2AC6" w:rsidRPr="009F337B">
        <w:rPr>
          <w:i w:val="0"/>
          <w:szCs w:val="20"/>
          <w:lang w:val="en-US"/>
        </w:rPr>
        <w:t xml:space="preserve">), </w:t>
      </w:r>
      <w:r w:rsidR="00BB39B6" w:rsidRPr="009F337B">
        <w:rPr>
          <w:i w:val="0"/>
          <w:szCs w:val="20"/>
          <w:lang w:val="en-US"/>
        </w:rPr>
        <w:t>her</w:t>
      </w:r>
      <w:r w:rsidR="003C2AC6" w:rsidRPr="009F337B">
        <w:rPr>
          <w:i w:val="0"/>
          <w:szCs w:val="20"/>
          <w:lang w:val="en-US"/>
        </w:rPr>
        <w:t xml:space="preserve"> </w:t>
      </w:r>
      <w:r w:rsidR="0010522A" w:rsidRPr="009F337B">
        <w:rPr>
          <w:i w:val="0"/>
          <w:szCs w:val="20"/>
          <w:lang w:val="en-US"/>
        </w:rPr>
        <w:t>mother</w:t>
      </w:r>
      <w:r w:rsidR="003C2AC6" w:rsidRPr="009F337B">
        <w:rPr>
          <w:i w:val="0"/>
          <w:szCs w:val="20"/>
          <w:lang w:val="en-US"/>
        </w:rPr>
        <w:t xml:space="preserve"> María Herlinda </w:t>
      </w:r>
      <w:proofErr w:type="spellStart"/>
      <w:r w:rsidR="003C2AC6" w:rsidRPr="009F337B">
        <w:rPr>
          <w:i w:val="0"/>
          <w:szCs w:val="20"/>
          <w:lang w:val="en-US"/>
        </w:rPr>
        <w:t>Ruíz</w:t>
      </w:r>
      <w:proofErr w:type="spellEnd"/>
      <w:r w:rsidR="003C2AC6" w:rsidRPr="009F337B">
        <w:rPr>
          <w:i w:val="0"/>
          <w:szCs w:val="20"/>
          <w:lang w:val="en-US"/>
        </w:rPr>
        <w:t xml:space="preserve">, </w:t>
      </w:r>
      <w:r w:rsidR="00BB39B6" w:rsidRPr="009F337B">
        <w:rPr>
          <w:i w:val="0"/>
          <w:szCs w:val="20"/>
          <w:lang w:val="en-US"/>
        </w:rPr>
        <w:t>her</w:t>
      </w:r>
      <w:r w:rsidR="003C2AC6" w:rsidRPr="009F337B">
        <w:rPr>
          <w:i w:val="0"/>
          <w:szCs w:val="20"/>
          <w:lang w:val="en-US"/>
        </w:rPr>
        <w:t xml:space="preserve"> </w:t>
      </w:r>
      <w:r w:rsidR="0010522A" w:rsidRPr="009F337B">
        <w:rPr>
          <w:i w:val="0"/>
          <w:szCs w:val="20"/>
          <w:lang w:val="en-US"/>
        </w:rPr>
        <w:t>son</w:t>
      </w:r>
      <w:r w:rsidR="003C2AC6" w:rsidRPr="009F337B">
        <w:rPr>
          <w:i w:val="0"/>
          <w:szCs w:val="20"/>
          <w:lang w:val="en-US"/>
        </w:rPr>
        <w:t xml:space="preserve">s José Luis Alberto, </w:t>
      </w:r>
      <w:proofErr w:type="spellStart"/>
      <w:r w:rsidR="003C2AC6" w:rsidRPr="009F337B">
        <w:rPr>
          <w:i w:val="0"/>
          <w:szCs w:val="20"/>
          <w:lang w:val="en-US"/>
        </w:rPr>
        <w:t>Estuardo</w:t>
      </w:r>
      <w:proofErr w:type="spellEnd"/>
      <w:r w:rsidR="003C2AC6" w:rsidRPr="009F337B">
        <w:rPr>
          <w:i w:val="0"/>
          <w:szCs w:val="20"/>
          <w:lang w:val="en-US"/>
        </w:rPr>
        <w:t xml:space="preserve"> Edison</w:t>
      </w:r>
      <w:r w:rsidR="003C46A3" w:rsidRPr="009F337B">
        <w:rPr>
          <w:i w:val="0"/>
          <w:szCs w:val="20"/>
          <w:lang w:val="en-US"/>
        </w:rPr>
        <w:t xml:space="preserve"> and </w:t>
      </w:r>
      <w:proofErr w:type="spellStart"/>
      <w:r w:rsidR="003C2AC6" w:rsidRPr="009F337B">
        <w:rPr>
          <w:i w:val="0"/>
          <w:szCs w:val="20"/>
          <w:lang w:val="en-US"/>
        </w:rPr>
        <w:t>Osma</w:t>
      </w:r>
      <w:proofErr w:type="spellEnd"/>
      <w:r w:rsidR="003C2AC6" w:rsidRPr="009F337B">
        <w:rPr>
          <w:i w:val="0"/>
          <w:szCs w:val="20"/>
          <w:lang w:val="en-US"/>
        </w:rPr>
        <w:t xml:space="preserve"> Vinicio, </w:t>
      </w:r>
      <w:r w:rsidR="007B07E2" w:rsidRPr="009F337B">
        <w:rPr>
          <w:i w:val="0"/>
          <w:szCs w:val="20"/>
          <w:lang w:val="en-US"/>
        </w:rPr>
        <w:t>all</w:t>
      </w:r>
      <w:r w:rsidR="003C2AC6" w:rsidRPr="009F337B">
        <w:rPr>
          <w:i w:val="0"/>
          <w:szCs w:val="20"/>
          <w:lang w:val="en-US"/>
        </w:rPr>
        <w:t xml:space="preserve"> Hernández Estrada,</w:t>
      </w:r>
      <w:r w:rsidR="003C46A3" w:rsidRPr="009F337B">
        <w:rPr>
          <w:i w:val="0"/>
          <w:szCs w:val="20"/>
          <w:lang w:val="en-US"/>
        </w:rPr>
        <w:t xml:space="preserve"> and </w:t>
      </w:r>
      <w:r w:rsidR="00BB39B6" w:rsidRPr="009F337B">
        <w:rPr>
          <w:i w:val="0"/>
          <w:szCs w:val="20"/>
          <w:lang w:val="en-US"/>
        </w:rPr>
        <w:t>her</w:t>
      </w:r>
      <w:r w:rsidR="003C2AC6" w:rsidRPr="009F337B">
        <w:rPr>
          <w:i w:val="0"/>
          <w:szCs w:val="20"/>
          <w:lang w:val="en-US"/>
        </w:rPr>
        <w:t xml:space="preserve"> </w:t>
      </w:r>
      <w:r w:rsidR="0010522A" w:rsidRPr="009F337B">
        <w:rPr>
          <w:i w:val="0"/>
          <w:szCs w:val="20"/>
          <w:lang w:val="en-US"/>
        </w:rPr>
        <w:t>sister</w:t>
      </w:r>
      <w:r w:rsidR="003C2AC6" w:rsidRPr="009F337B">
        <w:rPr>
          <w:i w:val="0"/>
          <w:szCs w:val="20"/>
          <w:lang w:val="en-US"/>
        </w:rPr>
        <w:t>s, Karen Herlinda</w:t>
      </w:r>
      <w:r w:rsidR="003C46A3" w:rsidRPr="009F337B">
        <w:rPr>
          <w:i w:val="0"/>
          <w:szCs w:val="20"/>
          <w:lang w:val="en-US"/>
        </w:rPr>
        <w:t xml:space="preserve"> and </w:t>
      </w:r>
      <w:r w:rsidR="003C2AC6" w:rsidRPr="009F337B">
        <w:rPr>
          <w:i w:val="0"/>
          <w:szCs w:val="20"/>
          <w:lang w:val="en-US"/>
        </w:rPr>
        <w:t xml:space="preserve">Miriam Lisbeth, </w:t>
      </w:r>
      <w:r w:rsidR="007B07E2" w:rsidRPr="009F337B">
        <w:rPr>
          <w:i w:val="0"/>
          <w:szCs w:val="20"/>
          <w:lang w:val="en-US"/>
        </w:rPr>
        <w:t>both</w:t>
      </w:r>
      <w:r w:rsidR="003C2AC6" w:rsidRPr="009F337B">
        <w:rPr>
          <w:i w:val="0"/>
          <w:szCs w:val="20"/>
          <w:lang w:val="en-US"/>
        </w:rPr>
        <w:t xml:space="preserve"> Hernández Estrada</w:t>
      </w:r>
      <w:r w:rsidR="005F3D50" w:rsidRPr="009F337B">
        <w:rPr>
          <w:i w:val="0"/>
          <w:szCs w:val="20"/>
          <w:lang w:val="en-US"/>
        </w:rPr>
        <w:t>.</w:t>
      </w:r>
      <w:r w:rsidR="003C2AC6" w:rsidRPr="009F337B">
        <w:rPr>
          <w:rStyle w:val="Refdenotaalpie"/>
          <w:i w:val="0"/>
          <w:lang w:val="en-US"/>
        </w:rPr>
        <w:footnoteReference w:id="279"/>
      </w:r>
    </w:p>
    <w:p w14:paraId="71EB7B48" w14:textId="77777777" w:rsidR="003C2AC6" w:rsidRPr="009F337B" w:rsidRDefault="003C2AC6" w:rsidP="003C2AC6">
      <w:pPr>
        <w:pStyle w:val="PrrafodeSentencia"/>
        <w:rPr>
          <w:lang w:val="en-US"/>
        </w:rPr>
      </w:pPr>
    </w:p>
    <w:p w14:paraId="71E58079" w14:textId="77777777" w:rsidR="003C2AC6" w:rsidRPr="009F337B" w:rsidRDefault="003C2AC6" w:rsidP="003C2AC6">
      <w:pPr>
        <w:pStyle w:val="PrrafodeSentencia"/>
        <w:rPr>
          <w:lang w:val="en-US"/>
        </w:rPr>
      </w:pPr>
      <w:r w:rsidRPr="009F337B">
        <w:rPr>
          <w:lang w:val="en-US"/>
        </w:rPr>
        <w:tab/>
        <w:t>A.11. Alberto Quiché Cuxeva</w:t>
      </w:r>
    </w:p>
    <w:p w14:paraId="0C7EA3D0" w14:textId="77777777" w:rsidR="003C2AC6" w:rsidRPr="009F337B" w:rsidRDefault="003C2AC6" w:rsidP="003C2AC6">
      <w:pPr>
        <w:pStyle w:val="PrrafodeSentencia"/>
        <w:rPr>
          <w:lang w:val="en-US"/>
        </w:rPr>
      </w:pPr>
    </w:p>
    <w:p w14:paraId="715F0DCB" w14:textId="04E7F4FB" w:rsidR="003C2AC6" w:rsidRPr="009F337B" w:rsidRDefault="007F1AEB" w:rsidP="00593E37">
      <w:pPr>
        <w:pStyle w:val="Estilo1"/>
        <w:numPr>
          <w:ilvl w:val="0"/>
          <w:numId w:val="5"/>
        </w:numPr>
        <w:tabs>
          <w:tab w:val="left" w:pos="709"/>
          <w:tab w:val="left" w:pos="1134"/>
        </w:tabs>
        <w:spacing w:after="0"/>
        <w:ind w:left="0" w:right="-4" w:firstLine="0"/>
        <w:rPr>
          <w:i w:val="0"/>
          <w:szCs w:val="20"/>
          <w:lang w:val="en-US"/>
        </w:rPr>
      </w:pPr>
      <w:r w:rsidRPr="009F337B">
        <w:rPr>
          <w:i w:val="0"/>
          <w:szCs w:val="20"/>
          <w:lang w:val="en-US"/>
        </w:rPr>
        <w:t>Mr.</w:t>
      </w:r>
      <w:r w:rsidR="003C2AC6" w:rsidRPr="009F337B">
        <w:rPr>
          <w:i w:val="0"/>
          <w:szCs w:val="20"/>
          <w:lang w:val="en-US"/>
        </w:rPr>
        <w:t xml:space="preserve"> Quiché </w:t>
      </w:r>
      <w:proofErr w:type="spellStart"/>
      <w:r w:rsidR="003C2AC6" w:rsidRPr="009F337B">
        <w:rPr>
          <w:i w:val="0"/>
          <w:szCs w:val="20"/>
          <w:lang w:val="en-US"/>
        </w:rPr>
        <w:t>Cuxeva</w:t>
      </w:r>
      <w:proofErr w:type="spellEnd"/>
      <w:r w:rsidR="003C2AC6" w:rsidRPr="009F337B">
        <w:rPr>
          <w:i w:val="0"/>
          <w:szCs w:val="20"/>
          <w:lang w:val="en-US"/>
        </w:rPr>
        <w:t xml:space="preserve"> </w:t>
      </w:r>
      <w:r w:rsidRPr="009F337B">
        <w:rPr>
          <w:i w:val="0"/>
          <w:szCs w:val="20"/>
          <w:lang w:val="en-US"/>
        </w:rPr>
        <w:t>lived in</w:t>
      </w:r>
      <w:r w:rsidR="003C2AC6" w:rsidRPr="009F337B">
        <w:rPr>
          <w:i w:val="0"/>
          <w:szCs w:val="20"/>
          <w:lang w:val="en-US"/>
        </w:rPr>
        <w:t xml:space="preserve"> </w:t>
      </w:r>
      <w:r w:rsidR="003E1304" w:rsidRPr="009F337B">
        <w:rPr>
          <w:i w:val="0"/>
          <w:szCs w:val="20"/>
          <w:lang w:val="en-US"/>
        </w:rPr>
        <w:t xml:space="preserve">the </w:t>
      </w:r>
      <w:r w:rsidR="00D85CA7" w:rsidRPr="009F337B">
        <w:rPr>
          <w:i w:val="0"/>
          <w:szCs w:val="20"/>
          <w:lang w:val="en-US"/>
        </w:rPr>
        <w:t>municipality of</w:t>
      </w:r>
      <w:r w:rsidR="003C2AC6" w:rsidRPr="009F337B">
        <w:rPr>
          <w:i w:val="0"/>
          <w:szCs w:val="20"/>
          <w:lang w:val="en-US"/>
        </w:rPr>
        <w:t xml:space="preserve"> Retalhuleu, </w:t>
      </w:r>
      <w:r w:rsidR="003E1304" w:rsidRPr="009F337B">
        <w:rPr>
          <w:i w:val="0"/>
          <w:szCs w:val="20"/>
          <w:lang w:val="en-US"/>
        </w:rPr>
        <w:t>department of</w:t>
      </w:r>
      <w:r w:rsidR="003C2AC6" w:rsidRPr="009F337B">
        <w:rPr>
          <w:i w:val="0"/>
          <w:szCs w:val="20"/>
          <w:lang w:val="en-US"/>
        </w:rPr>
        <w:t xml:space="preserve"> Retalhuleu, Guatemala. </w:t>
      </w:r>
      <w:r w:rsidR="00BB39B6" w:rsidRPr="009F337B">
        <w:rPr>
          <w:i w:val="0"/>
          <w:szCs w:val="20"/>
          <w:lang w:val="en-US"/>
        </w:rPr>
        <w:t>He was monitored by the Roosevelt Hospital</w:t>
      </w:r>
      <w:r w:rsidR="003C2AC6" w:rsidRPr="009F337B">
        <w:rPr>
          <w:i w:val="0"/>
          <w:szCs w:val="20"/>
          <w:lang w:val="en-US"/>
        </w:rPr>
        <w:t xml:space="preserve">. </w:t>
      </w:r>
      <w:r w:rsidRPr="009F337B">
        <w:rPr>
          <w:i w:val="0"/>
          <w:szCs w:val="20"/>
          <w:lang w:val="en-US"/>
        </w:rPr>
        <w:t>Mr.</w:t>
      </w:r>
      <w:r w:rsidR="003C2AC6" w:rsidRPr="009F337B">
        <w:rPr>
          <w:i w:val="0"/>
          <w:szCs w:val="20"/>
          <w:lang w:val="en-US"/>
        </w:rPr>
        <w:t xml:space="preserve"> Quiché </w:t>
      </w:r>
      <w:r w:rsidR="003E1304" w:rsidRPr="009F337B">
        <w:rPr>
          <w:i w:val="0"/>
          <w:szCs w:val="20"/>
          <w:lang w:val="en-US"/>
        </w:rPr>
        <w:t>did not have access to</w:t>
      </w:r>
      <w:r w:rsidR="003C2AC6" w:rsidRPr="009F337B">
        <w:rPr>
          <w:i w:val="0"/>
          <w:szCs w:val="20"/>
          <w:lang w:val="en-US"/>
        </w:rPr>
        <w:t xml:space="preserve"> CD4</w:t>
      </w:r>
      <w:r w:rsidR="00BB39B6" w:rsidRPr="009F337B">
        <w:rPr>
          <w:i w:val="0"/>
          <w:szCs w:val="20"/>
          <w:lang w:val="en-US"/>
        </w:rPr>
        <w:t xml:space="preserve"> counts or viral load testing that would have determin</w:t>
      </w:r>
      <w:r w:rsidR="005F3D50" w:rsidRPr="009F337B">
        <w:rPr>
          <w:i w:val="0"/>
          <w:szCs w:val="20"/>
          <w:lang w:val="en-US"/>
        </w:rPr>
        <w:t>ed</w:t>
      </w:r>
      <w:r w:rsidR="00BB39B6" w:rsidRPr="009F337B">
        <w:rPr>
          <w:i w:val="0"/>
          <w:szCs w:val="20"/>
          <w:lang w:val="en-US"/>
        </w:rPr>
        <w:t xml:space="preserve"> whether the treatment he received was appropriate. He d</w:t>
      </w:r>
      <w:r w:rsidR="00CB1D32" w:rsidRPr="009F337B">
        <w:rPr>
          <w:i w:val="0"/>
          <w:szCs w:val="20"/>
          <w:lang w:val="en-US"/>
        </w:rPr>
        <w:t>ied</w:t>
      </w:r>
      <w:r w:rsidR="003C2AC6" w:rsidRPr="009F337B">
        <w:rPr>
          <w:i w:val="0"/>
          <w:szCs w:val="20"/>
          <w:lang w:val="en-US"/>
        </w:rPr>
        <w:t xml:space="preserve"> </w:t>
      </w:r>
      <w:r w:rsidR="00BB39B6" w:rsidRPr="009F337B">
        <w:rPr>
          <w:i w:val="0"/>
          <w:szCs w:val="20"/>
          <w:lang w:val="en-US"/>
        </w:rPr>
        <w:t>from pneumonia on January 4,</w:t>
      </w:r>
      <w:r w:rsidR="003C2AC6" w:rsidRPr="009F337B">
        <w:rPr>
          <w:i w:val="0"/>
          <w:szCs w:val="20"/>
          <w:lang w:val="en-US"/>
        </w:rPr>
        <w:t xml:space="preserve"> 2001.</w:t>
      </w:r>
      <w:r w:rsidR="003C2AC6" w:rsidRPr="009F337B">
        <w:rPr>
          <w:rStyle w:val="Refdenotaalpie"/>
          <w:i w:val="0"/>
          <w:lang w:val="en-US"/>
        </w:rPr>
        <w:footnoteReference w:id="280"/>
      </w:r>
    </w:p>
    <w:p w14:paraId="66A11D87" w14:textId="77777777" w:rsidR="003C2AC6" w:rsidRPr="009F337B" w:rsidRDefault="003C2AC6" w:rsidP="003C2AC6">
      <w:pPr>
        <w:pStyle w:val="Estilo1"/>
        <w:tabs>
          <w:tab w:val="left" w:pos="709"/>
          <w:tab w:val="left" w:pos="1134"/>
        </w:tabs>
        <w:spacing w:after="0"/>
        <w:ind w:left="0" w:right="-4" w:firstLine="0"/>
        <w:rPr>
          <w:i w:val="0"/>
          <w:szCs w:val="20"/>
          <w:lang w:val="en-US"/>
        </w:rPr>
      </w:pPr>
    </w:p>
    <w:p w14:paraId="4DF6BCC0" w14:textId="33D1F7F5" w:rsidR="003C2AC6" w:rsidRPr="009F337B" w:rsidRDefault="003C2AC6" w:rsidP="00593E37">
      <w:pPr>
        <w:pStyle w:val="Estilo1"/>
        <w:numPr>
          <w:ilvl w:val="0"/>
          <w:numId w:val="5"/>
        </w:numPr>
        <w:tabs>
          <w:tab w:val="left" w:pos="709"/>
          <w:tab w:val="left" w:pos="1134"/>
        </w:tabs>
        <w:spacing w:after="0"/>
        <w:ind w:left="0" w:right="-4" w:firstLine="0"/>
        <w:rPr>
          <w:i w:val="0"/>
          <w:szCs w:val="20"/>
          <w:lang w:val="en-US"/>
        </w:rPr>
      </w:pPr>
      <w:r w:rsidRPr="009F337B">
        <w:rPr>
          <w:i w:val="0"/>
          <w:szCs w:val="20"/>
          <w:lang w:val="en-US"/>
        </w:rPr>
        <w:t xml:space="preserve">Alberto Quiché </w:t>
      </w:r>
      <w:proofErr w:type="spellStart"/>
      <w:r w:rsidRPr="009F337B">
        <w:rPr>
          <w:i w:val="0"/>
          <w:szCs w:val="20"/>
          <w:lang w:val="en-US"/>
        </w:rPr>
        <w:t>Cuxeva</w:t>
      </w:r>
      <w:r w:rsidR="00BB39B6" w:rsidRPr="009F337B">
        <w:rPr>
          <w:i w:val="0"/>
          <w:szCs w:val="20"/>
          <w:lang w:val="en-US"/>
        </w:rPr>
        <w:t>’s</w:t>
      </w:r>
      <w:proofErr w:type="spellEnd"/>
      <w:r w:rsidR="00BB39B6" w:rsidRPr="009F337B">
        <w:rPr>
          <w:i w:val="0"/>
          <w:szCs w:val="20"/>
          <w:lang w:val="en-US"/>
        </w:rPr>
        <w:t xml:space="preserve"> family unit consisted of</w:t>
      </w:r>
      <w:r w:rsidRPr="009F337B">
        <w:rPr>
          <w:i w:val="0"/>
          <w:szCs w:val="20"/>
          <w:lang w:val="en-US"/>
        </w:rPr>
        <w:t xml:space="preserve"> </w:t>
      </w:r>
      <w:r w:rsidR="00BB39B6" w:rsidRPr="009F337B">
        <w:rPr>
          <w:i w:val="0"/>
          <w:szCs w:val="20"/>
          <w:lang w:val="en-US"/>
        </w:rPr>
        <w:t>his</w:t>
      </w:r>
      <w:r w:rsidRPr="009F337B">
        <w:rPr>
          <w:i w:val="0"/>
          <w:szCs w:val="20"/>
          <w:lang w:val="en-US"/>
        </w:rPr>
        <w:t xml:space="preserve"> </w:t>
      </w:r>
      <w:r w:rsidR="0010522A" w:rsidRPr="009F337B">
        <w:rPr>
          <w:i w:val="0"/>
          <w:szCs w:val="20"/>
          <w:lang w:val="en-US"/>
        </w:rPr>
        <w:t>daughter</w:t>
      </w:r>
      <w:r w:rsidRPr="009F337B">
        <w:rPr>
          <w:i w:val="0"/>
          <w:szCs w:val="20"/>
          <w:lang w:val="en-US"/>
        </w:rPr>
        <w:t xml:space="preserve"> Marisela Quiché </w:t>
      </w:r>
      <w:proofErr w:type="spellStart"/>
      <w:r w:rsidRPr="009F337B">
        <w:rPr>
          <w:i w:val="0"/>
          <w:szCs w:val="20"/>
          <w:lang w:val="en-US"/>
        </w:rPr>
        <w:t>Gualip</w:t>
      </w:r>
      <w:proofErr w:type="spellEnd"/>
      <w:r w:rsidRPr="009F337B">
        <w:rPr>
          <w:i w:val="0"/>
          <w:szCs w:val="20"/>
          <w:lang w:val="en-US"/>
        </w:rPr>
        <w:t xml:space="preserve">, </w:t>
      </w:r>
      <w:r w:rsidR="00BB39B6" w:rsidRPr="009F337B">
        <w:rPr>
          <w:i w:val="0"/>
          <w:szCs w:val="20"/>
          <w:lang w:val="en-US"/>
        </w:rPr>
        <w:t>his</w:t>
      </w:r>
      <w:r w:rsidRPr="009F337B">
        <w:rPr>
          <w:i w:val="0"/>
          <w:szCs w:val="20"/>
          <w:lang w:val="en-US"/>
        </w:rPr>
        <w:t xml:space="preserve"> </w:t>
      </w:r>
      <w:r w:rsidR="0010522A" w:rsidRPr="009F337B">
        <w:rPr>
          <w:i w:val="0"/>
          <w:szCs w:val="20"/>
          <w:lang w:val="en-US"/>
        </w:rPr>
        <w:t>father</w:t>
      </w:r>
      <w:r w:rsidRPr="009F337B">
        <w:rPr>
          <w:i w:val="0"/>
          <w:szCs w:val="20"/>
          <w:lang w:val="en-US"/>
        </w:rPr>
        <w:t xml:space="preserve"> Víctor Quiché Ramírez, </w:t>
      </w:r>
      <w:r w:rsidR="00BB39B6" w:rsidRPr="009F337B">
        <w:rPr>
          <w:i w:val="0"/>
          <w:szCs w:val="20"/>
          <w:lang w:val="en-US"/>
        </w:rPr>
        <w:t>his</w:t>
      </w:r>
      <w:r w:rsidRPr="009F337B">
        <w:rPr>
          <w:i w:val="0"/>
          <w:szCs w:val="20"/>
          <w:lang w:val="en-US"/>
        </w:rPr>
        <w:t xml:space="preserve"> </w:t>
      </w:r>
      <w:r w:rsidR="0010522A" w:rsidRPr="009F337B">
        <w:rPr>
          <w:i w:val="0"/>
          <w:szCs w:val="20"/>
          <w:lang w:val="en-US"/>
        </w:rPr>
        <w:t>mother</w:t>
      </w:r>
      <w:r w:rsidRPr="009F337B">
        <w:rPr>
          <w:i w:val="0"/>
          <w:szCs w:val="20"/>
          <w:lang w:val="en-US"/>
        </w:rPr>
        <w:t xml:space="preserve"> Manuela </w:t>
      </w:r>
      <w:proofErr w:type="spellStart"/>
      <w:r w:rsidRPr="009F337B">
        <w:rPr>
          <w:i w:val="0"/>
          <w:szCs w:val="20"/>
          <w:lang w:val="en-US"/>
        </w:rPr>
        <w:t>Cuxeva</w:t>
      </w:r>
      <w:proofErr w:type="spellEnd"/>
      <w:r w:rsidRPr="009F337B">
        <w:rPr>
          <w:i w:val="0"/>
          <w:szCs w:val="20"/>
          <w:lang w:val="en-US"/>
        </w:rPr>
        <w:t xml:space="preserve"> García</w:t>
      </w:r>
      <w:r w:rsidR="003C46A3" w:rsidRPr="009F337B">
        <w:rPr>
          <w:i w:val="0"/>
          <w:szCs w:val="20"/>
          <w:lang w:val="en-US"/>
        </w:rPr>
        <w:t xml:space="preserve"> and </w:t>
      </w:r>
      <w:r w:rsidR="00BB39B6" w:rsidRPr="009F337B">
        <w:rPr>
          <w:i w:val="0"/>
          <w:szCs w:val="20"/>
          <w:lang w:val="en-US"/>
        </w:rPr>
        <w:t>his</w:t>
      </w:r>
      <w:r w:rsidRPr="009F337B">
        <w:rPr>
          <w:i w:val="0"/>
          <w:szCs w:val="20"/>
          <w:lang w:val="en-US"/>
        </w:rPr>
        <w:t xml:space="preserve"> </w:t>
      </w:r>
      <w:r w:rsidR="0010522A" w:rsidRPr="009F337B">
        <w:rPr>
          <w:i w:val="0"/>
          <w:szCs w:val="20"/>
          <w:lang w:val="en-US"/>
        </w:rPr>
        <w:t>sister</w:t>
      </w:r>
      <w:r w:rsidRPr="009F337B">
        <w:rPr>
          <w:i w:val="0"/>
          <w:szCs w:val="20"/>
          <w:lang w:val="en-US"/>
        </w:rPr>
        <w:t xml:space="preserve">, Lucía Quiché </w:t>
      </w:r>
      <w:proofErr w:type="spellStart"/>
      <w:r w:rsidRPr="009F337B">
        <w:rPr>
          <w:i w:val="0"/>
          <w:szCs w:val="20"/>
          <w:lang w:val="en-US"/>
        </w:rPr>
        <w:t>Cuxeva</w:t>
      </w:r>
      <w:proofErr w:type="spellEnd"/>
      <w:r w:rsidR="00BB39B6" w:rsidRPr="009F337B">
        <w:rPr>
          <w:i w:val="0"/>
          <w:szCs w:val="20"/>
          <w:lang w:val="en-US"/>
        </w:rPr>
        <w:t>.</w:t>
      </w:r>
      <w:r w:rsidRPr="009F337B">
        <w:rPr>
          <w:rStyle w:val="Refdenotaalpie"/>
          <w:i w:val="0"/>
          <w:lang w:val="en-US"/>
        </w:rPr>
        <w:footnoteReference w:id="281"/>
      </w:r>
    </w:p>
    <w:p w14:paraId="0DB4037F" w14:textId="77777777" w:rsidR="003C2AC6" w:rsidRPr="009F337B" w:rsidRDefault="003C2AC6" w:rsidP="003C2AC6">
      <w:pPr>
        <w:pStyle w:val="PrrafodeSentencia"/>
        <w:rPr>
          <w:lang w:val="en-US"/>
        </w:rPr>
      </w:pPr>
    </w:p>
    <w:p w14:paraId="4DF6C846" w14:textId="77777777" w:rsidR="003C2AC6" w:rsidRPr="009F337B" w:rsidRDefault="003C2AC6" w:rsidP="003C2AC6">
      <w:pPr>
        <w:pStyle w:val="PrrafodeSentencia"/>
        <w:rPr>
          <w:lang w:val="en-US"/>
        </w:rPr>
      </w:pPr>
      <w:r w:rsidRPr="009F337B">
        <w:rPr>
          <w:lang w:val="en-US"/>
        </w:rPr>
        <w:tab/>
        <w:t>A.12. Silvia Mirtala Alvarez Villatoro</w:t>
      </w:r>
    </w:p>
    <w:p w14:paraId="0F6DF48F" w14:textId="77777777" w:rsidR="003C2AC6" w:rsidRPr="009F337B" w:rsidRDefault="003C2AC6" w:rsidP="003C2AC6">
      <w:pPr>
        <w:pStyle w:val="PrrafodeSentencia"/>
        <w:rPr>
          <w:lang w:val="en-US"/>
        </w:rPr>
      </w:pPr>
    </w:p>
    <w:p w14:paraId="084BBE3C" w14:textId="66D6DBFB" w:rsidR="003C2AC6" w:rsidRPr="009F337B" w:rsidRDefault="007F1AEB" w:rsidP="00593E37">
      <w:pPr>
        <w:pStyle w:val="Estilo1"/>
        <w:numPr>
          <w:ilvl w:val="0"/>
          <w:numId w:val="5"/>
        </w:numPr>
        <w:tabs>
          <w:tab w:val="left" w:pos="709"/>
          <w:tab w:val="left" w:pos="1134"/>
        </w:tabs>
        <w:spacing w:after="0"/>
        <w:ind w:left="0" w:right="-4" w:firstLine="0"/>
        <w:rPr>
          <w:i w:val="0"/>
          <w:szCs w:val="20"/>
          <w:lang w:val="en-US"/>
        </w:rPr>
      </w:pPr>
      <w:r w:rsidRPr="009F337B">
        <w:rPr>
          <w:i w:val="0"/>
          <w:szCs w:val="20"/>
          <w:lang w:val="en-US"/>
        </w:rPr>
        <w:t>Mrs.</w:t>
      </w:r>
      <w:r w:rsidR="003C2AC6" w:rsidRPr="009F337B">
        <w:rPr>
          <w:i w:val="0"/>
          <w:szCs w:val="20"/>
          <w:lang w:val="en-US"/>
        </w:rPr>
        <w:t xml:space="preserve"> Alvarez </w:t>
      </w:r>
      <w:proofErr w:type="spellStart"/>
      <w:r w:rsidR="003C2AC6" w:rsidRPr="009F337B">
        <w:rPr>
          <w:i w:val="0"/>
          <w:szCs w:val="20"/>
          <w:lang w:val="en-US"/>
        </w:rPr>
        <w:t>Villatoro</w:t>
      </w:r>
      <w:proofErr w:type="spellEnd"/>
      <w:r w:rsidR="003C2AC6" w:rsidRPr="009F337B">
        <w:rPr>
          <w:i w:val="0"/>
          <w:szCs w:val="20"/>
          <w:lang w:val="en-US"/>
        </w:rPr>
        <w:t xml:space="preserve"> </w:t>
      </w:r>
      <w:r w:rsidR="00BB39B6" w:rsidRPr="009F337B">
        <w:rPr>
          <w:i w:val="0"/>
          <w:szCs w:val="20"/>
          <w:lang w:val="en-US"/>
        </w:rPr>
        <w:t xml:space="preserve">was born in </w:t>
      </w:r>
      <w:r w:rsidR="00805FE9" w:rsidRPr="009F337B">
        <w:rPr>
          <w:i w:val="0"/>
          <w:szCs w:val="20"/>
          <w:lang w:val="en-US"/>
        </w:rPr>
        <w:t xml:space="preserve">the </w:t>
      </w:r>
      <w:r w:rsidR="00D85CA7" w:rsidRPr="009F337B">
        <w:rPr>
          <w:i w:val="0"/>
          <w:szCs w:val="20"/>
          <w:lang w:val="en-US"/>
        </w:rPr>
        <w:t>municipality of</w:t>
      </w:r>
      <w:r w:rsidR="003C2AC6" w:rsidRPr="009F337B">
        <w:rPr>
          <w:i w:val="0"/>
          <w:szCs w:val="20"/>
          <w:lang w:val="en-US"/>
        </w:rPr>
        <w:t xml:space="preserve"> Guatemala, </w:t>
      </w:r>
      <w:r w:rsidR="003E1304" w:rsidRPr="009F337B">
        <w:rPr>
          <w:i w:val="0"/>
          <w:szCs w:val="20"/>
          <w:lang w:val="en-US"/>
        </w:rPr>
        <w:t>department of</w:t>
      </w:r>
      <w:r w:rsidR="003C2AC6" w:rsidRPr="009F337B">
        <w:rPr>
          <w:i w:val="0"/>
          <w:szCs w:val="20"/>
          <w:lang w:val="en-US"/>
        </w:rPr>
        <w:t xml:space="preserve"> Guatemala, Guatemala</w:t>
      </w:r>
      <w:r w:rsidR="00BB39B6" w:rsidRPr="009F337B">
        <w:rPr>
          <w:i w:val="0"/>
          <w:szCs w:val="20"/>
          <w:lang w:val="en-US"/>
        </w:rPr>
        <w:t xml:space="preserve">, </w:t>
      </w:r>
      <w:r w:rsidR="0084040D" w:rsidRPr="009F337B">
        <w:rPr>
          <w:i w:val="0"/>
          <w:szCs w:val="20"/>
          <w:lang w:val="en-US"/>
        </w:rPr>
        <w:t>on</w:t>
      </w:r>
      <w:r w:rsidR="003C2AC6" w:rsidRPr="009F337B">
        <w:rPr>
          <w:i w:val="0"/>
          <w:szCs w:val="20"/>
          <w:lang w:val="en-US"/>
        </w:rPr>
        <w:t xml:space="preserve"> </w:t>
      </w:r>
      <w:r w:rsidR="00292057" w:rsidRPr="009F337B">
        <w:rPr>
          <w:i w:val="0"/>
          <w:szCs w:val="20"/>
          <w:lang w:val="en-US"/>
        </w:rPr>
        <w:t>October 13,</w:t>
      </w:r>
      <w:r w:rsidR="003C2AC6" w:rsidRPr="009F337B">
        <w:rPr>
          <w:i w:val="0"/>
          <w:szCs w:val="20"/>
          <w:lang w:val="en-US"/>
        </w:rPr>
        <w:t xml:space="preserve"> 1978. </w:t>
      </w:r>
      <w:r w:rsidR="00BB39B6" w:rsidRPr="009F337B">
        <w:rPr>
          <w:i w:val="0"/>
          <w:szCs w:val="20"/>
          <w:lang w:val="en-US"/>
        </w:rPr>
        <w:t>She w</w:t>
      </w:r>
      <w:r w:rsidR="001071B4" w:rsidRPr="009F337B">
        <w:rPr>
          <w:i w:val="0"/>
          <w:szCs w:val="20"/>
          <w:lang w:val="en-US"/>
        </w:rPr>
        <w:t>as diagnosed with HIV</w:t>
      </w:r>
      <w:r w:rsidR="003C2AC6" w:rsidRPr="009F337B">
        <w:rPr>
          <w:i w:val="0"/>
          <w:szCs w:val="20"/>
          <w:lang w:val="en-US"/>
        </w:rPr>
        <w:t xml:space="preserve"> </w:t>
      </w:r>
      <w:r w:rsidR="00BB39B6" w:rsidRPr="009F337B">
        <w:rPr>
          <w:i w:val="0"/>
          <w:szCs w:val="20"/>
          <w:lang w:val="en-US"/>
        </w:rPr>
        <w:t>i</w:t>
      </w:r>
      <w:r w:rsidR="003C2AC6" w:rsidRPr="009F337B">
        <w:rPr>
          <w:i w:val="0"/>
          <w:szCs w:val="20"/>
          <w:lang w:val="en-US"/>
        </w:rPr>
        <w:t xml:space="preserve">n </w:t>
      </w:r>
      <w:r w:rsidR="005F3D50" w:rsidRPr="009F337B">
        <w:rPr>
          <w:i w:val="0"/>
          <w:szCs w:val="20"/>
          <w:lang w:val="en-US"/>
        </w:rPr>
        <w:t>2002</w:t>
      </w:r>
      <w:r w:rsidR="003C2AC6" w:rsidRPr="009F337B">
        <w:rPr>
          <w:i w:val="0"/>
          <w:szCs w:val="20"/>
          <w:lang w:val="en-US"/>
        </w:rPr>
        <w:t xml:space="preserve">, </w:t>
      </w:r>
      <w:r w:rsidR="00BB39B6" w:rsidRPr="009F337B">
        <w:rPr>
          <w:i w:val="0"/>
          <w:szCs w:val="20"/>
          <w:lang w:val="en-US"/>
        </w:rPr>
        <w:t xml:space="preserve">in the Psychiatric Department of the </w:t>
      </w:r>
      <w:r w:rsidR="003C2AC6" w:rsidRPr="009F337B">
        <w:rPr>
          <w:i w:val="0"/>
          <w:szCs w:val="20"/>
          <w:lang w:val="en-US"/>
        </w:rPr>
        <w:t xml:space="preserve">IGGS </w:t>
      </w:r>
      <w:r w:rsidR="00BB39B6" w:rsidRPr="009F337B">
        <w:rPr>
          <w:i w:val="0"/>
          <w:szCs w:val="20"/>
          <w:lang w:val="en-US"/>
        </w:rPr>
        <w:t xml:space="preserve">and, that year, began irregular </w:t>
      </w:r>
      <w:r w:rsidR="00FE1EFF" w:rsidRPr="009F337B">
        <w:rPr>
          <w:i w:val="0"/>
          <w:szCs w:val="20"/>
          <w:lang w:val="en-US"/>
        </w:rPr>
        <w:t>antiretroviral treatment</w:t>
      </w:r>
      <w:r w:rsidR="003C2AC6" w:rsidRPr="009F337B">
        <w:rPr>
          <w:i w:val="0"/>
          <w:szCs w:val="20"/>
          <w:lang w:val="en-US"/>
        </w:rPr>
        <w:t xml:space="preserve">. </w:t>
      </w:r>
      <w:r w:rsidR="00BB39B6" w:rsidRPr="009F337B">
        <w:rPr>
          <w:i w:val="0"/>
          <w:szCs w:val="20"/>
          <w:lang w:val="en-US"/>
        </w:rPr>
        <w:t xml:space="preserve">She underwent CD4 counts and viral load testing irregularly. She </w:t>
      </w:r>
      <w:r w:rsidR="00CB1D32" w:rsidRPr="009F337B">
        <w:rPr>
          <w:i w:val="0"/>
          <w:szCs w:val="20"/>
          <w:lang w:val="en-US"/>
        </w:rPr>
        <w:t>suffered from</w:t>
      </w:r>
      <w:r w:rsidR="003C2AC6" w:rsidRPr="009F337B">
        <w:rPr>
          <w:i w:val="0"/>
          <w:szCs w:val="20"/>
          <w:lang w:val="en-US"/>
        </w:rPr>
        <w:t xml:space="preserve"> </w:t>
      </w:r>
      <w:r w:rsidR="007654A7" w:rsidRPr="009F337B">
        <w:rPr>
          <w:i w:val="0"/>
          <w:szCs w:val="20"/>
          <w:lang w:val="en-US"/>
        </w:rPr>
        <w:t>fungus infections. She did not receive either psychological or nutritional support</w:t>
      </w:r>
      <w:r w:rsidR="005F3D50" w:rsidRPr="009F337B">
        <w:rPr>
          <w:i w:val="0"/>
          <w:szCs w:val="20"/>
          <w:lang w:val="en-US"/>
        </w:rPr>
        <w:t>; s</w:t>
      </w:r>
      <w:r w:rsidR="007654A7" w:rsidRPr="009F337B">
        <w:rPr>
          <w:i w:val="0"/>
          <w:szCs w:val="20"/>
          <w:lang w:val="en-US"/>
        </w:rPr>
        <w:t>he merely received talks on the recommended use of condoms from a</w:t>
      </w:r>
      <w:r w:rsidR="005F3D50" w:rsidRPr="009F337B">
        <w:rPr>
          <w:i w:val="0"/>
          <w:szCs w:val="20"/>
          <w:lang w:val="en-US"/>
        </w:rPr>
        <w:t>n</w:t>
      </w:r>
      <w:r w:rsidR="007654A7" w:rsidRPr="009F337B">
        <w:rPr>
          <w:i w:val="0"/>
          <w:szCs w:val="20"/>
          <w:lang w:val="en-US"/>
        </w:rPr>
        <w:t xml:space="preserve"> NGO. Before her diagnosis, she worked in a printing shop, but was dismissed owing to her health status. The journey to the hospital took her 75 minutes</w:t>
      </w:r>
      <w:r w:rsidR="003C2AC6" w:rsidRPr="009F337B">
        <w:rPr>
          <w:i w:val="0"/>
          <w:szCs w:val="20"/>
          <w:lang w:val="en-US"/>
        </w:rPr>
        <w:t xml:space="preserve">. </w:t>
      </w:r>
      <w:r w:rsidR="007654A7" w:rsidRPr="009F337B">
        <w:rPr>
          <w:i w:val="0"/>
          <w:szCs w:val="20"/>
          <w:lang w:val="en-US"/>
        </w:rPr>
        <w:t>She d</w:t>
      </w:r>
      <w:r w:rsidR="00CB1D32" w:rsidRPr="009F337B">
        <w:rPr>
          <w:i w:val="0"/>
          <w:szCs w:val="20"/>
          <w:lang w:val="en-US"/>
        </w:rPr>
        <w:t>ied</w:t>
      </w:r>
      <w:r w:rsidR="003C2AC6" w:rsidRPr="009F337B">
        <w:rPr>
          <w:i w:val="0"/>
          <w:szCs w:val="20"/>
          <w:lang w:val="en-US"/>
        </w:rPr>
        <w:t xml:space="preserve"> </w:t>
      </w:r>
      <w:r w:rsidR="007654A7" w:rsidRPr="009F337B">
        <w:rPr>
          <w:i w:val="0"/>
          <w:szCs w:val="20"/>
          <w:lang w:val="en-US"/>
        </w:rPr>
        <w:t>on March 13,</w:t>
      </w:r>
      <w:r w:rsidR="003C2AC6" w:rsidRPr="009F337B">
        <w:rPr>
          <w:i w:val="0"/>
          <w:szCs w:val="20"/>
          <w:lang w:val="en-US"/>
        </w:rPr>
        <w:t xml:space="preserve"> 2016</w:t>
      </w:r>
      <w:r w:rsidR="007654A7" w:rsidRPr="009F337B">
        <w:rPr>
          <w:i w:val="0"/>
          <w:szCs w:val="20"/>
          <w:lang w:val="en-US"/>
        </w:rPr>
        <w:t>, from</w:t>
      </w:r>
      <w:r w:rsidR="003C2AC6" w:rsidRPr="009F337B">
        <w:rPr>
          <w:i w:val="0"/>
          <w:szCs w:val="20"/>
          <w:lang w:val="en-US"/>
        </w:rPr>
        <w:t xml:space="preserve"> </w:t>
      </w:r>
      <w:r w:rsidR="007654A7" w:rsidRPr="009F337B">
        <w:rPr>
          <w:i w:val="0"/>
          <w:szCs w:val="20"/>
          <w:lang w:val="en-US"/>
        </w:rPr>
        <w:t>bacterial meningitis</w:t>
      </w:r>
      <w:r w:rsidR="003C46A3" w:rsidRPr="009F337B">
        <w:rPr>
          <w:i w:val="0"/>
          <w:szCs w:val="20"/>
          <w:lang w:val="en-US"/>
        </w:rPr>
        <w:t xml:space="preserve"> and </w:t>
      </w:r>
      <w:r w:rsidR="007654A7" w:rsidRPr="009F337B">
        <w:rPr>
          <w:i w:val="0"/>
          <w:szCs w:val="20"/>
          <w:lang w:val="en-US"/>
        </w:rPr>
        <w:t>drug resistance.</w:t>
      </w:r>
      <w:r w:rsidR="003C2AC6" w:rsidRPr="009F337B">
        <w:rPr>
          <w:rStyle w:val="Refdenotaalpie"/>
          <w:i w:val="0"/>
          <w:lang w:val="en-US"/>
        </w:rPr>
        <w:footnoteReference w:id="282"/>
      </w:r>
    </w:p>
    <w:p w14:paraId="5CCDC4AF" w14:textId="77777777" w:rsidR="003C2AC6" w:rsidRPr="009F337B" w:rsidRDefault="003C2AC6" w:rsidP="003C2AC6">
      <w:pPr>
        <w:pStyle w:val="Estilo1"/>
        <w:tabs>
          <w:tab w:val="left" w:pos="709"/>
          <w:tab w:val="left" w:pos="1134"/>
        </w:tabs>
        <w:spacing w:after="0"/>
        <w:ind w:left="0" w:right="-4" w:firstLine="0"/>
        <w:rPr>
          <w:i w:val="0"/>
          <w:szCs w:val="20"/>
          <w:lang w:val="en-US"/>
        </w:rPr>
      </w:pPr>
    </w:p>
    <w:p w14:paraId="5CFF52F3" w14:textId="68659D4C" w:rsidR="003C2AC6" w:rsidRPr="009F337B" w:rsidRDefault="00AF1AFB" w:rsidP="00593E37">
      <w:pPr>
        <w:pStyle w:val="Estilo1"/>
        <w:numPr>
          <w:ilvl w:val="0"/>
          <w:numId w:val="5"/>
        </w:numPr>
        <w:tabs>
          <w:tab w:val="left" w:pos="709"/>
          <w:tab w:val="left" w:pos="1134"/>
        </w:tabs>
        <w:spacing w:after="0"/>
        <w:ind w:left="0" w:right="-4" w:firstLine="0"/>
        <w:rPr>
          <w:i w:val="0"/>
          <w:szCs w:val="20"/>
          <w:lang w:val="en-US"/>
        </w:rPr>
      </w:pPr>
      <w:r w:rsidRPr="009F337B">
        <w:rPr>
          <w:i w:val="0"/>
          <w:szCs w:val="20"/>
          <w:lang w:val="en-US"/>
        </w:rPr>
        <w:t xml:space="preserve">Her family unit consisted of </w:t>
      </w:r>
      <w:r w:rsidR="007654A7" w:rsidRPr="009F337B">
        <w:rPr>
          <w:i w:val="0"/>
          <w:szCs w:val="20"/>
          <w:lang w:val="en-US"/>
        </w:rPr>
        <w:t>her</w:t>
      </w:r>
      <w:r w:rsidR="003C2AC6" w:rsidRPr="009F337B">
        <w:rPr>
          <w:i w:val="0"/>
          <w:szCs w:val="20"/>
          <w:lang w:val="en-US"/>
        </w:rPr>
        <w:t xml:space="preserve"> </w:t>
      </w:r>
      <w:r w:rsidR="0010522A" w:rsidRPr="009F337B">
        <w:rPr>
          <w:i w:val="0"/>
          <w:szCs w:val="20"/>
          <w:lang w:val="en-US"/>
        </w:rPr>
        <w:t>partner</w:t>
      </w:r>
      <w:r w:rsidR="003C2AC6" w:rsidRPr="009F337B">
        <w:rPr>
          <w:i w:val="0"/>
          <w:szCs w:val="20"/>
          <w:lang w:val="en-US"/>
        </w:rPr>
        <w:t xml:space="preserve"> Mayra </w:t>
      </w:r>
      <w:proofErr w:type="spellStart"/>
      <w:r w:rsidR="003C2AC6" w:rsidRPr="009F337B">
        <w:rPr>
          <w:i w:val="0"/>
          <w:szCs w:val="20"/>
          <w:lang w:val="en-US"/>
        </w:rPr>
        <w:t>Aidee</w:t>
      </w:r>
      <w:proofErr w:type="spellEnd"/>
      <w:r w:rsidR="003C2AC6" w:rsidRPr="009F337B">
        <w:rPr>
          <w:i w:val="0"/>
          <w:szCs w:val="20"/>
          <w:lang w:val="en-US"/>
        </w:rPr>
        <w:t xml:space="preserve"> </w:t>
      </w:r>
      <w:proofErr w:type="spellStart"/>
      <w:r w:rsidR="003C2AC6" w:rsidRPr="009F337B">
        <w:rPr>
          <w:i w:val="0"/>
          <w:szCs w:val="20"/>
          <w:lang w:val="en-US"/>
        </w:rPr>
        <w:t>Mejía</w:t>
      </w:r>
      <w:proofErr w:type="spellEnd"/>
      <w:r w:rsidR="003C2AC6" w:rsidRPr="009F337B">
        <w:rPr>
          <w:i w:val="0"/>
          <w:szCs w:val="20"/>
          <w:lang w:val="en-US"/>
        </w:rPr>
        <w:t xml:space="preserve"> Martínez, </w:t>
      </w:r>
      <w:r w:rsidR="007654A7" w:rsidRPr="009F337B">
        <w:rPr>
          <w:i w:val="0"/>
          <w:szCs w:val="20"/>
          <w:lang w:val="en-US"/>
        </w:rPr>
        <w:t>her</w:t>
      </w:r>
      <w:r w:rsidR="003C2AC6" w:rsidRPr="009F337B">
        <w:rPr>
          <w:i w:val="0"/>
          <w:szCs w:val="20"/>
          <w:lang w:val="en-US"/>
        </w:rPr>
        <w:t xml:space="preserve"> </w:t>
      </w:r>
      <w:r w:rsidR="0010522A" w:rsidRPr="009F337B">
        <w:rPr>
          <w:i w:val="0"/>
          <w:szCs w:val="20"/>
          <w:lang w:val="en-US"/>
        </w:rPr>
        <w:t>daughter</w:t>
      </w:r>
      <w:r w:rsidR="003C2AC6" w:rsidRPr="009F337B">
        <w:rPr>
          <w:i w:val="0"/>
          <w:szCs w:val="20"/>
          <w:lang w:val="en-US"/>
        </w:rPr>
        <w:t xml:space="preserve"> María José </w:t>
      </w:r>
      <w:proofErr w:type="spellStart"/>
      <w:r w:rsidR="003C2AC6" w:rsidRPr="009F337B">
        <w:rPr>
          <w:i w:val="0"/>
          <w:szCs w:val="20"/>
          <w:lang w:val="en-US"/>
        </w:rPr>
        <w:t>Mejía</w:t>
      </w:r>
      <w:proofErr w:type="spellEnd"/>
      <w:r w:rsidR="003C2AC6" w:rsidRPr="009F337B">
        <w:rPr>
          <w:i w:val="0"/>
          <w:szCs w:val="20"/>
          <w:lang w:val="en-US"/>
        </w:rPr>
        <w:t xml:space="preserve"> Martínez</w:t>
      </w:r>
      <w:r w:rsidR="003C46A3" w:rsidRPr="009F337B">
        <w:rPr>
          <w:i w:val="0"/>
          <w:szCs w:val="20"/>
          <w:lang w:val="en-US"/>
        </w:rPr>
        <w:t xml:space="preserve"> and </w:t>
      </w:r>
      <w:r w:rsidR="007654A7" w:rsidRPr="009F337B">
        <w:rPr>
          <w:i w:val="0"/>
          <w:szCs w:val="20"/>
          <w:lang w:val="en-US"/>
        </w:rPr>
        <w:t>her</w:t>
      </w:r>
      <w:r w:rsidR="003C2AC6" w:rsidRPr="009F337B">
        <w:rPr>
          <w:i w:val="0"/>
          <w:szCs w:val="20"/>
          <w:lang w:val="en-US"/>
        </w:rPr>
        <w:t xml:space="preserve"> </w:t>
      </w:r>
      <w:r w:rsidR="0010522A" w:rsidRPr="009F337B">
        <w:rPr>
          <w:i w:val="0"/>
          <w:szCs w:val="20"/>
          <w:lang w:val="en-US"/>
        </w:rPr>
        <w:t>son</w:t>
      </w:r>
      <w:r w:rsidR="003C2AC6" w:rsidRPr="009F337B">
        <w:rPr>
          <w:i w:val="0"/>
          <w:szCs w:val="20"/>
          <w:lang w:val="en-US"/>
        </w:rPr>
        <w:t xml:space="preserve"> </w:t>
      </w:r>
      <w:proofErr w:type="spellStart"/>
      <w:r w:rsidR="003C2AC6" w:rsidRPr="009F337B">
        <w:rPr>
          <w:i w:val="0"/>
          <w:szCs w:val="20"/>
          <w:lang w:val="en-US"/>
        </w:rPr>
        <w:t>Layonel</w:t>
      </w:r>
      <w:proofErr w:type="spellEnd"/>
      <w:r w:rsidR="003C2AC6" w:rsidRPr="009F337B">
        <w:rPr>
          <w:i w:val="0"/>
          <w:szCs w:val="20"/>
          <w:lang w:val="en-US"/>
        </w:rPr>
        <w:t xml:space="preserve"> </w:t>
      </w:r>
      <w:proofErr w:type="spellStart"/>
      <w:r w:rsidR="003C2AC6" w:rsidRPr="009F337B">
        <w:rPr>
          <w:i w:val="0"/>
          <w:szCs w:val="20"/>
          <w:lang w:val="en-US"/>
        </w:rPr>
        <w:t>Ismar</w:t>
      </w:r>
      <w:proofErr w:type="spellEnd"/>
      <w:r w:rsidR="003C2AC6" w:rsidRPr="009F337B">
        <w:rPr>
          <w:i w:val="0"/>
          <w:szCs w:val="20"/>
          <w:lang w:val="en-US"/>
        </w:rPr>
        <w:t xml:space="preserve"> </w:t>
      </w:r>
      <w:proofErr w:type="spellStart"/>
      <w:r w:rsidR="003C2AC6" w:rsidRPr="009F337B">
        <w:rPr>
          <w:i w:val="0"/>
          <w:szCs w:val="20"/>
          <w:lang w:val="en-US"/>
        </w:rPr>
        <w:t>Josué</w:t>
      </w:r>
      <w:proofErr w:type="spellEnd"/>
      <w:r w:rsidR="003C2AC6" w:rsidRPr="009F337B">
        <w:rPr>
          <w:i w:val="0"/>
          <w:szCs w:val="20"/>
          <w:lang w:val="en-US"/>
        </w:rPr>
        <w:t xml:space="preserve"> </w:t>
      </w:r>
      <w:proofErr w:type="spellStart"/>
      <w:r w:rsidR="003C2AC6" w:rsidRPr="009F337B">
        <w:rPr>
          <w:i w:val="0"/>
          <w:szCs w:val="20"/>
          <w:lang w:val="en-US"/>
        </w:rPr>
        <w:t>Mejía</w:t>
      </w:r>
      <w:proofErr w:type="spellEnd"/>
      <w:r w:rsidR="003C2AC6" w:rsidRPr="009F337B">
        <w:rPr>
          <w:i w:val="0"/>
          <w:szCs w:val="20"/>
          <w:lang w:val="en-US"/>
        </w:rPr>
        <w:t xml:space="preserve"> Martínez, </w:t>
      </w:r>
      <w:r w:rsidR="007654A7" w:rsidRPr="009F337B">
        <w:rPr>
          <w:i w:val="0"/>
          <w:szCs w:val="20"/>
          <w:lang w:val="en-US"/>
        </w:rPr>
        <w:t>her</w:t>
      </w:r>
      <w:r w:rsidR="003C2AC6" w:rsidRPr="009F337B">
        <w:rPr>
          <w:i w:val="0"/>
          <w:szCs w:val="20"/>
          <w:lang w:val="en-US"/>
        </w:rPr>
        <w:t xml:space="preserve"> </w:t>
      </w:r>
      <w:r w:rsidR="0010522A" w:rsidRPr="009F337B">
        <w:rPr>
          <w:i w:val="0"/>
          <w:szCs w:val="20"/>
          <w:lang w:val="en-US"/>
        </w:rPr>
        <w:t>sister</w:t>
      </w:r>
      <w:r w:rsidR="003C2AC6" w:rsidRPr="009F337B">
        <w:rPr>
          <w:i w:val="0"/>
          <w:szCs w:val="20"/>
          <w:lang w:val="en-US"/>
        </w:rPr>
        <w:t xml:space="preserve"> </w:t>
      </w:r>
      <w:proofErr w:type="spellStart"/>
      <w:r w:rsidR="003C2AC6" w:rsidRPr="009F337B">
        <w:rPr>
          <w:i w:val="0"/>
          <w:szCs w:val="20"/>
          <w:lang w:val="en-US"/>
        </w:rPr>
        <w:t>Lilián</w:t>
      </w:r>
      <w:proofErr w:type="spellEnd"/>
      <w:r w:rsidR="003C2AC6" w:rsidRPr="009F337B">
        <w:rPr>
          <w:i w:val="0"/>
          <w:szCs w:val="20"/>
          <w:lang w:val="en-US"/>
        </w:rPr>
        <w:t xml:space="preserve"> </w:t>
      </w:r>
      <w:proofErr w:type="spellStart"/>
      <w:r w:rsidR="003C2AC6" w:rsidRPr="009F337B">
        <w:rPr>
          <w:i w:val="0"/>
          <w:szCs w:val="20"/>
          <w:lang w:val="en-US"/>
        </w:rPr>
        <w:lastRenderedPageBreak/>
        <w:t>Janethe</w:t>
      </w:r>
      <w:proofErr w:type="spellEnd"/>
      <w:r w:rsidR="003C2AC6" w:rsidRPr="009F337B">
        <w:rPr>
          <w:i w:val="0"/>
          <w:szCs w:val="20"/>
          <w:lang w:val="en-US"/>
        </w:rPr>
        <w:t xml:space="preserve"> Alvarez </w:t>
      </w:r>
      <w:proofErr w:type="spellStart"/>
      <w:r w:rsidR="003C2AC6" w:rsidRPr="009F337B">
        <w:rPr>
          <w:i w:val="0"/>
          <w:szCs w:val="20"/>
          <w:lang w:val="en-US"/>
        </w:rPr>
        <w:t>Villatoro</w:t>
      </w:r>
      <w:proofErr w:type="spellEnd"/>
      <w:r w:rsidR="003C2AC6" w:rsidRPr="009F337B">
        <w:rPr>
          <w:i w:val="0"/>
          <w:szCs w:val="20"/>
          <w:lang w:val="en-US"/>
        </w:rPr>
        <w:t xml:space="preserve">, </w:t>
      </w:r>
      <w:r w:rsidR="007654A7" w:rsidRPr="009F337B">
        <w:rPr>
          <w:i w:val="0"/>
          <w:szCs w:val="20"/>
          <w:lang w:val="en-US"/>
        </w:rPr>
        <w:t>her</w:t>
      </w:r>
      <w:r w:rsidR="003C2AC6" w:rsidRPr="009F337B">
        <w:rPr>
          <w:i w:val="0"/>
          <w:szCs w:val="20"/>
          <w:lang w:val="en-US"/>
        </w:rPr>
        <w:t xml:space="preserve"> </w:t>
      </w:r>
      <w:r w:rsidR="0010522A" w:rsidRPr="009F337B">
        <w:rPr>
          <w:i w:val="0"/>
          <w:szCs w:val="20"/>
          <w:lang w:val="en-US"/>
        </w:rPr>
        <w:t>father</w:t>
      </w:r>
      <w:r w:rsidR="003C2AC6" w:rsidRPr="009F337B">
        <w:rPr>
          <w:i w:val="0"/>
          <w:szCs w:val="20"/>
          <w:lang w:val="en-US"/>
        </w:rPr>
        <w:t xml:space="preserve"> Víctor Manuel Alvarez </w:t>
      </w:r>
      <w:proofErr w:type="spellStart"/>
      <w:r w:rsidR="003C2AC6" w:rsidRPr="009F337B">
        <w:rPr>
          <w:i w:val="0"/>
          <w:szCs w:val="20"/>
          <w:lang w:val="en-US"/>
        </w:rPr>
        <w:t>Alvisures</w:t>
      </w:r>
      <w:proofErr w:type="spellEnd"/>
      <w:r w:rsidR="003C2AC6" w:rsidRPr="009F337B">
        <w:rPr>
          <w:i w:val="0"/>
          <w:szCs w:val="20"/>
          <w:lang w:val="en-US"/>
        </w:rPr>
        <w:t>,</w:t>
      </w:r>
      <w:r w:rsidR="003C46A3" w:rsidRPr="009F337B">
        <w:rPr>
          <w:i w:val="0"/>
          <w:szCs w:val="20"/>
          <w:lang w:val="en-US"/>
        </w:rPr>
        <w:t xml:space="preserve"> and </w:t>
      </w:r>
      <w:r w:rsidR="007654A7" w:rsidRPr="009F337B">
        <w:rPr>
          <w:i w:val="0"/>
          <w:szCs w:val="20"/>
          <w:lang w:val="en-US"/>
        </w:rPr>
        <w:t>her</w:t>
      </w:r>
      <w:r w:rsidR="003C2AC6" w:rsidRPr="009F337B">
        <w:rPr>
          <w:i w:val="0"/>
          <w:szCs w:val="20"/>
          <w:lang w:val="en-US"/>
        </w:rPr>
        <w:t xml:space="preserve"> </w:t>
      </w:r>
      <w:r w:rsidR="0010522A" w:rsidRPr="009F337B">
        <w:rPr>
          <w:i w:val="0"/>
          <w:szCs w:val="20"/>
          <w:lang w:val="en-US"/>
        </w:rPr>
        <w:t>mother</w:t>
      </w:r>
      <w:r w:rsidR="003C2AC6" w:rsidRPr="009F337B">
        <w:rPr>
          <w:i w:val="0"/>
          <w:szCs w:val="20"/>
          <w:lang w:val="en-US"/>
        </w:rPr>
        <w:t xml:space="preserve"> </w:t>
      </w:r>
      <w:proofErr w:type="spellStart"/>
      <w:r w:rsidR="003C2AC6" w:rsidRPr="009F337B">
        <w:rPr>
          <w:i w:val="0"/>
          <w:szCs w:val="20"/>
          <w:lang w:val="en-US"/>
        </w:rPr>
        <w:t>Nibia</w:t>
      </w:r>
      <w:proofErr w:type="spellEnd"/>
      <w:r w:rsidR="003C2AC6" w:rsidRPr="009F337B">
        <w:rPr>
          <w:i w:val="0"/>
          <w:szCs w:val="20"/>
          <w:lang w:val="en-US"/>
        </w:rPr>
        <w:t xml:space="preserve"> Matilde </w:t>
      </w:r>
      <w:proofErr w:type="spellStart"/>
      <w:r w:rsidR="003C2AC6" w:rsidRPr="009F337B">
        <w:rPr>
          <w:i w:val="0"/>
          <w:szCs w:val="20"/>
          <w:lang w:val="en-US"/>
        </w:rPr>
        <w:t>Villatoro</w:t>
      </w:r>
      <w:proofErr w:type="spellEnd"/>
      <w:r w:rsidR="003C2AC6" w:rsidRPr="009F337B">
        <w:rPr>
          <w:i w:val="0"/>
          <w:szCs w:val="20"/>
          <w:lang w:val="en-US"/>
        </w:rPr>
        <w:t xml:space="preserve"> Galicia de Alvarez (</w:t>
      </w:r>
      <w:r w:rsidR="0010522A" w:rsidRPr="009F337B">
        <w:rPr>
          <w:i w:val="0"/>
          <w:szCs w:val="20"/>
          <w:lang w:val="en-US"/>
        </w:rPr>
        <w:t>deceased</w:t>
      </w:r>
      <w:r w:rsidR="003C2AC6" w:rsidRPr="009F337B">
        <w:rPr>
          <w:i w:val="0"/>
          <w:szCs w:val="20"/>
          <w:lang w:val="en-US"/>
        </w:rPr>
        <w:t>)</w:t>
      </w:r>
      <w:r w:rsidR="007654A7" w:rsidRPr="009F337B">
        <w:rPr>
          <w:i w:val="0"/>
          <w:szCs w:val="20"/>
          <w:lang w:val="en-US"/>
        </w:rPr>
        <w:t>.</w:t>
      </w:r>
      <w:r w:rsidR="003C2AC6" w:rsidRPr="009F337B">
        <w:rPr>
          <w:rStyle w:val="Refdenotaalpie"/>
          <w:i w:val="0"/>
          <w:lang w:val="en-US"/>
        </w:rPr>
        <w:footnoteReference w:id="283"/>
      </w:r>
    </w:p>
    <w:p w14:paraId="4A1E2B43" w14:textId="77777777" w:rsidR="003C2AC6" w:rsidRPr="009F337B" w:rsidRDefault="003C2AC6" w:rsidP="003C2AC6">
      <w:pPr>
        <w:pStyle w:val="PrrafodeSentencia"/>
        <w:rPr>
          <w:lang w:val="en-US"/>
        </w:rPr>
      </w:pPr>
    </w:p>
    <w:p w14:paraId="026E9444" w14:textId="77777777" w:rsidR="003C2AC6" w:rsidRPr="009F337B" w:rsidRDefault="003C2AC6" w:rsidP="003C2AC6">
      <w:pPr>
        <w:pStyle w:val="PrrafodeSentencia"/>
        <w:rPr>
          <w:lang w:val="en-US"/>
        </w:rPr>
      </w:pPr>
      <w:r w:rsidRPr="009F337B">
        <w:rPr>
          <w:lang w:val="en-US"/>
        </w:rPr>
        <w:tab/>
        <w:t>A.13. Juana Aguilar</w:t>
      </w:r>
    </w:p>
    <w:p w14:paraId="673AAFE5" w14:textId="77777777" w:rsidR="003C2AC6" w:rsidRPr="009F337B" w:rsidRDefault="003C2AC6" w:rsidP="003C2AC6">
      <w:pPr>
        <w:pStyle w:val="PrrafodeSentencia"/>
        <w:rPr>
          <w:lang w:val="en-US"/>
        </w:rPr>
      </w:pPr>
    </w:p>
    <w:p w14:paraId="517AD110" w14:textId="45FB4F5E" w:rsidR="003C2AC6" w:rsidRPr="009F337B" w:rsidRDefault="007F1AEB" w:rsidP="00593E37">
      <w:pPr>
        <w:pStyle w:val="Estilo1"/>
        <w:numPr>
          <w:ilvl w:val="0"/>
          <w:numId w:val="5"/>
        </w:numPr>
        <w:tabs>
          <w:tab w:val="left" w:pos="709"/>
          <w:tab w:val="left" w:pos="1134"/>
        </w:tabs>
        <w:spacing w:after="0"/>
        <w:ind w:left="0" w:right="-4" w:firstLine="0"/>
        <w:rPr>
          <w:i w:val="0"/>
          <w:szCs w:val="20"/>
          <w:lang w:val="en-US"/>
        </w:rPr>
      </w:pPr>
      <w:r w:rsidRPr="009F337B">
        <w:rPr>
          <w:i w:val="0"/>
          <w:szCs w:val="20"/>
          <w:lang w:val="en-US"/>
        </w:rPr>
        <w:t>Mrs.</w:t>
      </w:r>
      <w:r w:rsidR="003C2AC6" w:rsidRPr="009F337B">
        <w:rPr>
          <w:i w:val="0"/>
          <w:szCs w:val="20"/>
          <w:lang w:val="en-US"/>
        </w:rPr>
        <w:t xml:space="preserve"> Aguilar </w:t>
      </w:r>
      <w:r w:rsidR="00B23B9B" w:rsidRPr="009F337B">
        <w:rPr>
          <w:i w:val="0"/>
          <w:szCs w:val="20"/>
          <w:lang w:val="en-US"/>
        </w:rPr>
        <w:t>was born in</w:t>
      </w:r>
      <w:r w:rsidR="00805FE9" w:rsidRPr="009F337B">
        <w:rPr>
          <w:i w:val="0"/>
          <w:szCs w:val="20"/>
          <w:lang w:val="en-US"/>
        </w:rPr>
        <w:t xml:space="preserve"> the </w:t>
      </w:r>
      <w:r w:rsidR="00D85CA7" w:rsidRPr="009F337B">
        <w:rPr>
          <w:i w:val="0"/>
          <w:szCs w:val="20"/>
          <w:lang w:val="en-US"/>
        </w:rPr>
        <w:t>municipality of</w:t>
      </w:r>
      <w:r w:rsidR="003C2AC6" w:rsidRPr="009F337B">
        <w:rPr>
          <w:i w:val="0"/>
          <w:szCs w:val="20"/>
          <w:lang w:val="en-US"/>
        </w:rPr>
        <w:t xml:space="preserve"> </w:t>
      </w:r>
      <w:proofErr w:type="spellStart"/>
      <w:r w:rsidR="003C2AC6" w:rsidRPr="009F337B">
        <w:rPr>
          <w:i w:val="0"/>
          <w:szCs w:val="20"/>
          <w:lang w:val="en-US"/>
        </w:rPr>
        <w:t>Génova</w:t>
      </w:r>
      <w:proofErr w:type="spellEnd"/>
      <w:r w:rsidR="003C2AC6" w:rsidRPr="009F337B">
        <w:rPr>
          <w:i w:val="0"/>
          <w:szCs w:val="20"/>
          <w:lang w:val="en-US"/>
        </w:rPr>
        <w:t xml:space="preserve">, </w:t>
      </w:r>
      <w:r w:rsidR="003E1304" w:rsidRPr="009F337B">
        <w:rPr>
          <w:i w:val="0"/>
          <w:szCs w:val="20"/>
          <w:lang w:val="en-US"/>
        </w:rPr>
        <w:t>department of</w:t>
      </w:r>
      <w:r w:rsidR="003C2AC6" w:rsidRPr="009F337B">
        <w:rPr>
          <w:i w:val="0"/>
          <w:szCs w:val="20"/>
          <w:lang w:val="en-US"/>
        </w:rPr>
        <w:t xml:space="preserve"> Quetzaltenango, Guatemala</w:t>
      </w:r>
      <w:r w:rsidR="00B23B9B" w:rsidRPr="009F337B">
        <w:rPr>
          <w:i w:val="0"/>
          <w:szCs w:val="20"/>
          <w:lang w:val="en-US"/>
        </w:rPr>
        <w:t xml:space="preserve">, </w:t>
      </w:r>
      <w:r w:rsidR="0084040D" w:rsidRPr="009F337B">
        <w:rPr>
          <w:i w:val="0"/>
          <w:szCs w:val="20"/>
          <w:lang w:val="en-US"/>
        </w:rPr>
        <w:t>on</w:t>
      </w:r>
      <w:r w:rsidR="003C2AC6" w:rsidRPr="009F337B">
        <w:rPr>
          <w:i w:val="0"/>
          <w:szCs w:val="20"/>
          <w:lang w:val="en-US"/>
        </w:rPr>
        <w:t xml:space="preserve"> </w:t>
      </w:r>
      <w:r w:rsidR="00B23B9B" w:rsidRPr="009F337B">
        <w:rPr>
          <w:i w:val="0"/>
          <w:szCs w:val="20"/>
          <w:lang w:val="en-US"/>
        </w:rPr>
        <w:t xml:space="preserve">July </w:t>
      </w:r>
      <w:r w:rsidR="00B23B9B" w:rsidRPr="009F337B">
        <w:rPr>
          <w:i w:val="0"/>
          <w:szCs w:val="20"/>
          <w:lang w:val="en-US"/>
        </w:rPr>
        <w:tab/>
        <w:t>13,</w:t>
      </w:r>
      <w:r w:rsidR="003C2AC6" w:rsidRPr="009F337B">
        <w:rPr>
          <w:i w:val="0"/>
          <w:szCs w:val="20"/>
          <w:lang w:val="en-US"/>
        </w:rPr>
        <w:t xml:space="preserve"> 1967. </w:t>
      </w:r>
      <w:r w:rsidRPr="009F337B">
        <w:rPr>
          <w:i w:val="0"/>
          <w:szCs w:val="20"/>
          <w:lang w:val="en-US"/>
        </w:rPr>
        <w:t>She lived in</w:t>
      </w:r>
      <w:r w:rsidR="003C2AC6" w:rsidRPr="009F337B">
        <w:rPr>
          <w:i w:val="0"/>
          <w:szCs w:val="20"/>
          <w:lang w:val="en-US"/>
        </w:rPr>
        <w:t xml:space="preserve"> </w:t>
      </w:r>
      <w:proofErr w:type="spellStart"/>
      <w:r w:rsidR="003C2AC6" w:rsidRPr="009F337B">
        <w:rPr>
          <w:i w:val="0"/>
          <w:szCs w:val="20"/>
          <w:lang w:val="en-US"/>
        </w:rPr>
        <w:t>Caserío</w:t>
      </w:r>
      <w:proofErr w:type="spellEnd"/>
      <w:r w:rsidR="003C2AC6" w:rsidRPr="009F337B">
        <w:rPr>
          <w:i w:val="0"/>
          <w:szCs w:val="20"/>
          <w:lang w:val="en-US"/>
        </w:rPr>
        <w:t xml:space="preserve"> Guadalupe, </w:t>
      </w:r>
      <w:proofErr w:type="spellStart"/>
      <w:r w:rsidR="003C2AC6" w:rsidRPr="009F337B">
        <w:rPr>
          <w:i w:val="0"/>
          <w:szCs w:val="20"/>
          <w:lang w:val="en-US"/>
        </w:rPr>
        <w:t>Génova</w:t>
      </w:r>
      <w:proofErr w:type="spellEnd"/>
      <w:r w:rsidR="003C2AC6" w:rsidRPr="009F337B">
        <w:rPr>
          <w:i w:val="0"/>
          <w:szCs w:val="20"/>
          <w:lang w:val="en-US"/>
        </w:rPr>
        <w:t xml:space="preserve">, Costa Cuca, Guatemala. </w:t>
      </w:r>
      <w:r w:rsidR="00B23B9B" w:rsidRPr="009F337B">
        <w:rPr>
          <w:i w:val="0"/>
          <w:szCs w:val="20"/>
          <w:lang w:val="en-US"/>
        </w:rPr>
        <w:t>She w</w:t>
      </w:r>
      <w:r w:rsidR="001071B4" w:rsidRPr="009F337B">
        <w:rPr>
          <w:i w:val="0"/>
          <w:szCs w:val="20"/>
          <w:lang w:val="en-US"/>
        </w:rPr>
        <w:t>as diagnosed with HIV</w:t>
      </w:r>
      <w:r w:rsidR="003C2AC6" w:rsidRPr="009F337B">
        <w:rPr>
          <w:i w:val="0"/>
          <w:szCs w:val="20"/>
          <w:lang w:val="en-US"/>
        </w:rPr>
        <w:t xml:space="preserve"> </w:t>
      </w:r>
      <w:r w:rsidR="00B23B9B" w:rsidRPr="009F337B">
        <w:rPr>
          <w:i w:val="0"/>
          <w:szCs w:val="20"/>
          <w:lang w:val="en-US"/>
        </w:rPr>
        <w:t>on January 18,</w:t>
      </w:r>
      <w:r w:rsidR="003C2AC6" w:rsidRPr="009F337B">
        <w:rPr>
          <w:i w:val="0"/>
          <w:szCs w:val="20"/>
          <w:lang w:val="en-US"/>
        </w:rPr>
        <w:t xml:space="preserve"> 2000, </w:t>
      </w:r>
      <w:r w:rsidR="00B23B9B" w:rsidRPr="009F337B">
        <w:rPr>
          <w:i w:val="0"/>
          <w:szCs w:val="20"/>
          <w:lang w:val="en-US"/>
        </w:rPr>
        <w:t>in the Guadalupe Red Cross Health Center</w:t>
      </w:r>
      <w:r w:rsidR="003C2AC6" w:rsidRPr="009F337B">
        <w:rPr>
          <w:i w:val="0"/>
          <w:szCs w:val="20"/>
          <w:lang w:val="en-US"/>
        </w:rPr>
        <w:t xml:space="preserve">. </w:t>
      </w:r>
      <w:r w:rsidR="00B23B9B" w:rsidRPr="009F337B">
        <w:rPr>
          <w:i w:val="0"/>
          <w:szCs w:val="20"/>
          <w:lang w:val="en-US"/>
        </w:rPr>
        <w:t>In March</w:t>
      </w:r>
      <w:r w:rsidR="003C2AC6" w:rsidRPr="009F337B">
        <w:rPr>
          <w:i w:val="0"/>
          <w:szCs w:val="20"/>
          <w:lang w:val="en-US"/>
        </w:rPr>
        <w:t xml:space="preserve"> 2002</w:t>
      </w:r>
      <w:r w:rsidR="00B23B9B" w:rsidRPr="009F337B">
        <w:rPr>
          <w:i w:val="0"/>
          <w:szCs w:val="20"/>
          <w:lang w:val="en-US"/>
        </w:rPr>
        <w:t xml:space="preserve"> she began to receive</w:t>
      </w:r>
      <w:r w:rsidR="003C2AC6" w:rsidRPr="009F337B">
        <w:rPr>
          <w:i w:val="0"/>
          <w:szCs w:val="20"/>
          <w:lang w:val="en-US"/>
        </w:rPr>
        <w:t xml:space="preserve"> </w:t>
      </w:r>
      <w:r w:rsidR="00B23B9B" w:rsidRPr="009F337B">
        <w:rPr>
          <w:i w:val="0"/>
          <w:szCs w:val="20"/>
          <w:lang w:val="en-US"/>
        </w:rPr>
        <w:t xml:space="preserve">support from </w:t>
      </w:r>
      <w:r w:rsidR="003C2AC6" w:rsidRPr="009F337B">
        <w:rPr>
          <w:i w:val="0"/>
          <w:szCs w:val="20"/>
          <w:lang w:val="en-US"/>
        </w:rPr>
        <w:t xml:space="preserve">MSF. </w:t>
      </w:r>
      <w:r w:rsidR="00B23B9B" w:rsidRPr="009F337B">
        <w:rPr>
          <w:i w:val="0"/>
          <w:szCs w:val="20"/>
          <w:lang w:val="en-US"/>
        </w:rPr>
        <w:t>She began her</w:t>
      </w:r>
      <w:r w:rsidR="003C2AC6" w:rsidRPr="009F337B">
        <w:rPr>
          <w:i w:val="0"/>
          <w:szCs w:val="20"/>
          <w:lang w:val="en-US"/>
        </w:rPr>
        <w:t xml:space="preserve"> </w:t>
      </w:r>
      <w:r w:rsidR="00FE1EFF" w:rsidRPr="009F337B">
        <w:rPr>
          <w:i w:val="0"/>
          <w:szCs w:val="20"/>
          <w:lang w:val="en-US"/>
        </w:rPr>
        <w:t>antiretroviral treatment</w:t>
      </w:r>
      <w:r w:rsidR="003C2AC6" w:rsidRPr="009F337B">
        <w:rPr>
          <w:i w:val="0"/>
          <w:szCs w:val="20"/>
          <w:lang w:val="en-US"/>
        </w:rPr>
        <w:t xml:space="preserve"> </w:t>
      </w:r>
      <w:r w:rsidR="00B23B9B" w:rsidRPr="009F337B">
        <w:rPr>
          <w:i w:val="0"/>
          <w:szCs w:val="20"/>
          <w:lang w:val="en-US"/>
        </w:rPr>
        <w:t>in November</w:t>
      </w:r>
      <w:r w:rsidR="003C2AC6" w:rsidRPr="009F337B">
        <w:rPr>
          <w:i w:val="0"/>
          <w:szCs w:val="20"/>
          <w:lang w:val="en-US"/>
        </w:rPr>
        <w:t xml:space="preserve"> 2005. </w:t>
      </w:r>
      <w:r w:rsidR="00B23B9B" w:rsidRPr="009F337B">
        <w:rPr>
          <w:i w:val="0"/>
          <w:szCs w:val="20"/>
          <w:lang w:val="en-US"/>
        </w:rPr>
        <w:t>She</w:t>
      </w:r>
      <w:r w:rsidR="00CB1D32" w:rsidRPr="009F337B">
        <w:rPr>
          <w:i w:val="0"/>
          <w:szCs w:val="20"/>
          <w:lang w:val="en-US"/>
        </w:rPr>
        <w:t xml:space="preserve"> suffered from</w:t>
      </w:r>
      <w:r w:rsidR="003C2AC6" w:rsidRPr="009F337B">
        <w:rPr>
          <w:i w:val="0"/>
          <w:szCs w:val="20"/>
          <w:lang w:val="en-US"/>
        </w:rPr>
        <w:t xml:space="preserve"> herpes zoster, </w:t>
      </w:r>
      <w:r w:rsidR="00B23B9B" w:rsidRPr="009F337B">
        <w:rPr>
          <w:i w:val="0"/>
          <w:szCs w:val="20"/>
          <w:lang w:val="en-US"/>
        </w:rPr>
        <w:t xml:space="preserve">recurrent infection of the </w:t>
      </w:r>
      <w:r w:rsidR="00DD7C07" w:rsidRPr="009F337B">
        <w:rPr>
          <w:i w:val="0"/>
          <w:szCs w:val="20"/>
          <w:lang w:val="en-US"/>
        </w:rPr>
        <w:t>respiratory tract</w:t>
      </w:r>
      <w:r w:rsidR="003C2AC6" w:rsidRPr="009F337B">
        <w:rPr>
          <w:i w:val="0"/>
          <w:szCs w:val="20"/>
          <w:lang w:val="en-US"/>
        </w:rPr>
        <w:t xml:space="preserve">, </w:t>
      </w:r>
      <w:r w:rsidR="00B23B9B" w:rsidRPr="009F337B">
        <w:rPr>
          <w:i w:val="0"/>
          <w:szCs w:val="20"/>
          <w:lang w:val="en-US"/>
        </w:rPr>
        <w:t>viral tonsillitis</w:t>
      </w:r>
      <w:r w:rsidR="003C2AC6" w:rsidRPr="009F337B">
        <w:rPr>
          <w:i w:val="0"/>
          <w:szCs w:val="20"/>
          <w:lang w:val="en-US"/>
        </w:rPr>
        <w:t xml:space="preserve">, </w:t>
      </w:r>
      <w:r w:rsidR="00B23B9B" w:rsidRPr="009F337B">
        <w:rPr>
          <w:i w:val="0"/>
          <w:szCs w:val="20"/>
          <w:lang w:val="en-US"/>
        </w:rPr>
        <w:t xml:space="preserve">severe infections and </w:t>
      </w:r>
      <w:r w:rsidR="00DD7C07" w:rsidRPr="009F337B">
        <w:rPr>
          <w:i w:val="0"/>
          <w:szCs w:val="20"/>
          <w:lang w:val="en-US"/>
        </w:rPr>
        <w:t>sarcoidosis</w:t>
      </w:r>
      <w:r w:rsidR="003C2AC6" w:rsidRPr="009F337B">
        <w:rPr>
          <w:i w:val="0"/>
          <w:szCs w:val="20"/>
          <w:lang w:val="en-US"/>
        </w:rPr>
        <w:t xml:space="preserve">. </w:t>
      </w:r>
      <w:r w:rsidR="00B23B9B" w:rsidRPr="009F337B">
        <w:rPr>
          <w:i w:val="0"/>
          <w:szCs w:val="20"/>
          <w:lang w:val="en-US"/>
        </w:rPr>
        <w:t xml:space="preserve">Her last appointment was on April 30, </w:t>
      </w:r>
      <w:r w:rsidR="003C2AC6" w:rsidRPr="009F337B">
        <w:rPr>
          <w:i w:val="0"/>
          <w:szCs w:val="20"/>
          <w:lang w:val="en-US"/>
        </w:rPr>
        <w:t xml:space="preserve">2014. </w:t>
      </w:r>
      <w:r w:rsidR="00B23B9B" w:rsidRPr="009F337B">
        <w:rPr>
          <w:i w:val="0"/>
          <w:szCs w:val="20"/>
          <w:lang w:val="en-US"/>
        </w:rPr>
        <w:t xml:space="preserve">According to information provided by Dr. </w:t>
      </w:r>
      <w:r w:rsidR="003C2AC6" w:rsidRPr="009F337B">
        <w:rPr>
          <w:i w:val="0"/>
          <w:szCs w:val="20"/>
          <w:lang w:val="en-US"/>
        </w:rPr>
        <w:t xml:space="preserve">Calderón, </w:t>
      </w:r>
      <w:r w:rsidRPr="009F337B">
        <w:rPr>
          <w:i w:val="0"/>
          <w:szCs w:val="20"/>
          <w:lang w:val="en-US"/>
        </w:rPr>
        <w:t>Mrs.</w:t>
      </w:r>
      <w:r w:rsidR="003C2AC6" w:rsidRPr="009F337B">
        <w:rPr>
          <w:i w:val="0"/>
          <w:szCs w:val="20"/>
          <w:lang w:val="en-US"/>
        </w:rPr>
        <w:t xml:space="preserve"> Aguilar </w:t>
      </w:r>
      <w:r w:rsidR="00B23B9B" w:rsidRPr="009F337B">
        <w:rPr>
          <w:i w:val="0"/>
          <w:szCs w:val="20"/>
          <w:lang w:val="en-US"/>
        </w:rPr>
        <w:t>is</w:t>
      </w:r>
      <w:r w:rsidR="003C2AC6" w:rsidRPr="009F337B">
        <w:rPr>
          <w:i w:val="0"/>
          <w:szCs w:val="20"/>
          <w:lang w:val="en-US"/>
        </w:rPr>
        <w:t xml:space="preserve"> </w:t>
      </w:r>
      <w:r w:rsidR="00CB1D32" w:rsidRPr="009F337B">
        <w:rPr>
          <w:i w:val="0"/>
          <w:szCs w:val="20"/>
          <w:lang w:val="en-US"/>
        </w:rPr>
        <w:t>d</w:t>
      </w:r>
      <w:r w:rsidR="00B23B9B" w:rsidRPr="009F337B">
        <w:rPr>
          <w:i w:val="0"/>
          <w:szCs w:val="20"/>
          <w:lang w:val="en-US"/>
        </w:rPr>
        <w:t>eceas</w:t>
      </w:r>
      <w:r w:rsidR="00CB1D32" w:rsidRPr="009F337B">
        <w:rPr>
          <w:i w:val="0"/>
          <w:szCs w:val="20"/>
          <w:lang w:val="en-US"/>
        </w:rPr>
        <w:t>ed</w:t>
      </w:r>
      <w:r w:rsidR="003C2AC6" w:rsidRPr="009F337B">
        <w:rPr>
          <w:i w:val="0"/>
          <w:szCs w:val="20"/>
          <w:lang w:val="en-US"/>
        </w:rPr>
        <w:t xml:space="preserve">. </w:t>
      </w:r>
      <w:r w:rsidR="00B23B9B" w:rsidRPr="009F337B">
        <w:rPr>
          <w:i w:val="0"/>
          <w:szCs w:val="20"/>
          <w:lang w:val="en-US"/>
        </w:rPr>
        <w:t xml:space="preserve">However, owing to a lack of communication with her </w:t>
      </w:r>
      <w:r w:rsidR="00BB0DF2" w:rsidRPr="009F337B">
        <w:rPr>
          <w:i w:val="0"/>
          <w:szCs w:val="20"/>
          <w:lang w:val="en-US"/>
        </w:rPr>
        <w:t>next of kin</w:t>
      </w:r>
      <w:r w:rsidR="00B23B9B" w:rsidRPr="009F337B">
        <w:rPr>
          <w:i w:val="0"/>
          <w:szCs w:val="20"/>
          <w:lang w:val="en-US"/>
        </w:rPr>
        <w:t>, the precise details of her death are unknown</w:t>
      </w:r>
      <w:r w:rsidR="003C2AC6" w:rsidRPr="009F337B">
        <w:rPr>
          <w:i w:val="0"/>
          <w:szCs w:val="20"/>
          <w:lang w:val="en-US"/>
        </w:rPr>
        <w:t>.</w:t>
      </w:r>
      <w:r w:rsidR="003C2AC6" w:rsidRPr="009F337B">
        <w:rPr>
          <w:rStyle w:val="Refdenotaalpie"/>
          <w:i w:val="0"/>
          <w:lang w:val="en-US"/>
        </w:rPr>
        <w:footnoteReference w:id="284"/>
      </w:r>
    </w:p>
    <w:p w14:paraId="6FB340BB" w14:textId="77777777" w:rsidR="003C2AC6" w:rsidRPr="009F337B" w:rsidRDefault="003C2AC6" w:rsidP="003C2AC6">
      <w:pPr>
        <w:pStyle w:val="Estilo1"/>
        <w:tabs>
          <w:tab w:val="left" w:pos="709"/>
          <w:tab w:val="left" w:pos="1134"/>
        </w:tabs>
        <w:spacing w:after="0"/>
        <w:ind w:left="0" w:right="-4" w:firstLine="0"/>
        <w:rPr>
          <w:i w:val="0"/>
          <w:szCs w:val="20"/>
          <w:lang w:val="en-US"/>
        </w:rPr>
      </w:pPr>
    </w:p>
    <w:p w14:paraId="4AC731AE" w14:textId="0224C7AC" w:rsidR="003C2AC6" w:rsidRPr="009F337B" w:rsidRDefault="00AF1AFB" w:rsidP="00593E37">
      <w:pPr>
        <w:pStyle w:val="Estilo1"/>
        <w:numPr>
          <w:ilvl w:val="0"/>
          <w:numId w:val="5"/>
        </w:numPr>
        <w:tabs>
          <w:tab w:val="left" w:pos="709"/>
          <w:tab w:val="left" w:pos="1134"/>
        </w:tabs>
        <w:spacing w:after="0"/>
        <w:ind w:left="0" w:right="-4" w:firstLine="0"/>
        <w:rPr>
          <w:i w:val="0"/>
          <w:szCs w:val="20"/>
          <w:lang w:val="en-US"/>
        </w:rPr>
      </w:pPr>
      <w:r w:rsidRPr="009F337B">
        <w:rPr>
          <w:i w:val="0"/>
          <w:szCs w:val="20"/>
          <w:lang w:val="en-US"/>
        </w:rPr>
        <w:t xml:space="preserve">Her family unit consisted of </w:t>
      </w:r>
      <w:r w:rsidR="00B23B9B" w:rsidRPr="009F337B">
        <w:rPr>
          <w:i w:val="0"/>
          <w:szCs w:val="20"/>
          <w:lang w:val="en-US"/>
        </w:rPr>
        <w:t>her</w:t>
      </w:r>
      <w:r w:rsidR="003C2AC6" w:rsidRPr="009F337B">
        <w:rPr>
          <w:i w:val="0"/>
          <w:szCs w:val="20"/>
          <w:lang w:val="en-US"/>
        </w:rPr>
        <w:t xml:space="preserve"> </w:t>
      </w:r>
      <w:r w:rsidR="0010522A" w:rsidRPr="009F337B">
        <w:rPr>
          <w:i w:val="0"/>
          <w:szCs w:val="20"/>
          <w:lang w:val="en-US"/>
        </w:rPr>
        <w:t>partner</w:t>
      </w:r>
      <w:r w:rsidR="003C2AC6" w:rsidRPr="009F337B">
        <w:rPr>
          <w:i w:val="0"/>
          <w:szCs w:val="20"/>
          <w:lang w:val="en-US"/>
        </w:rPr>
        <w:t xml:space="preserve"> Felipe de Jesús Hernández (</w:t>
      </w:r>
      <w:r w:rsidR="0010522A" w:rsidRPr="009F337B">
        <w:rPr>
          <w:i w:val="0"/>
          <w:szCs w:val="20"/>
          <w:lang w:val="en-US"/>
        </w:rPr>
        <w:t>deceased</w:t>
      </w:r>
      <w:r w:rsidR="003C2AC6" w:rsidRPr="009F337B">
        <w:rPr>
          <w:i w:val="0"/>
          <w:szCs w:val="20"/>
          <w:lang w:val="en-US"/>
        </w:rPr>
        <w:t xml:space="preserve">), </w:t>
      </w:r>
      <w:r w:rsidR="00B23B9B" w:rsidRPr="009F337B">
        <w:rPr>
          <w:i w:val="0"/>
          <w:szCs w:val="20"/>
          <w:lang w:val="en-US"/>
        </w:rPr>
        <w:t>her</w:t>
      </w:r>
      <w:r w:rsidR="003C2AC6" w:rsidRPr="009F337B">
        <w:rPr>
          <w:i w:val="0"/>
          <w:szCs w:val="20"/>
          <w:lang w:val="en-US"/>
        </w:rPr>
        <w:t xml:space="preserve"> </w:t>
      </w:r>
      <w:r w:rsidR="0010522A" w:rsidRPr="009F337B">
        <w:rPr>
          <w:i w:val="0"/>
          <w:szCs w:val="20"/>
          <w:lang w:val="en-US"/>
        </w:rPr>
        <w:t>daughter</w:t>
      </w:r>
      <w:r w:rsidR="003C2AC6" w:rsidRPr="009F337B">
        <w:rPr>
          <w:i w:val="0"/>
          <w:szCs w:val="20"/>
          <w:lang w:val="en-US"/>
        </w:rPr>
        <w:t xml:space="preserve"> Jessenia Carolina</w:t>
      </w:r>
      <w:r w:rsidR="003C46A3" w:rsidRPr="009F337B">
        <w:rPr>
          <w:i w:val="0"/>
          <w:szCs w:val="20"/>
          <w:lang w:val="en-US"/>
        </w:rPr>
        <w:t xml:space="preserve"> and </w:t>
      </w:r>
      <w:r w:rsidR="00B23B9B" w:rsidRPr="009F337B">
        <w:rPr>
          <w:i w:val="0"/>
          <w:szCs w:val="20"/>
          <w:lang w:val="en-US"/>
        </w:rPr>
        <w:t>her</w:t>
      </w:r>
      <w:r w:rsidR="003C2AC6" w:rsidRPr="009F337B">
        <w:rPr>
          <w:i w:val="0"/>
          <w:szCs w:val="20"/>
          <w:lang w:val="en-US"/>
        </w:rPr>
        <w:t xml:space="preserve"> </w:t>
      </w:r>
      <w:r w:rsidR="0010522A" w:rsidRPr="009F337B">
        <w:rPr>
          <w:i w:val="0"/>
          <w:szCs w:val="20"/>
          <w:lang w:val="en-US"/>
        </w:rPr>
        <w:t>son</w:t>
      </w:r>
      <w:r w:rsidR="003C2AC6" w:rsidRPr="009F337B">
        <w:rPr>
          <w:i w:val="0"/>
          <w:szCs w:val="20"/>
          <w:lang w:val="en-US"/>
        </w:rPr>
        <w:t>s Julio César</w:t>
      </w:r>
      <w:r w:rsidR="003C46A3" w:rsidRPr="009F337B">
        <w:rPr>
          <w:i w:val="0"/>
          <w:szCs w:val="20"/>
          <w:lang w:val="en-US"/>
        </w:rPr>
        <w:t xml:space="preserve"> and </w:t>
      </w:r>
      <w:r w:rsidR="003C2AC6" w:rsidRPr="009F337B">
        <w:rPr>
          <w:i w:val="0"/>
          <w:szCs w:val="20"/>
          <w:lang w:val="en-US"/>
        </w:rPr>
        <w:t xml:space="preserve">Felipe Guillermo, </w:t>
      </w:r>
      <w:r w:rsidR="007B07E2" w:rsidRPr="009F337B">
        <w:rPr>
          <w:i w:val="0"/>
          <w:szCs w:val="20"/>
          <w:lang w:val="en-US"/>
        </w:rPr>
        <w:t>all</w:t>
      </w:r>
      <w:r w:rsidR="003C2AC6" w:rsidRPr="009F337B">
        <w:rPr>
          <w:i w:val="0"/>
          <w:szCs w:val="20"/>
          <w:lang w:val="en-US"/>
        </w:rPr>
        <w:t xml:space="preserve"> Guzmán Aguilar, </w:t>
      </w:r>
      <w:r w:rsidR="00B23B9B" w:rsidRPr="009F337B">
        <w:rPr>
          <w:i w:val="0"/>
          <w:szCs w:val="20"/>
          <w:lang w:val="en-US"/>
        </w:rPr>
        <w:t>her</w:t>
      </w:r>
      <w:r w:rsidR="003C2AC6" w:rsidRPr="009F337B">
        <w:rPr>
          <w:i w:val="0"/>
          <w:szCs w:val="20"/>
          <w:lang w:val="en-US"/>
        </w:rPr>
        <w:t xml:space="preserve"> </w:t>
      </w:r>
      <w:r w:rsidR="0010522A" w:rsidRPr="009F337B">
        <w:rPr>
          <w:i w:val="0"/>
          <w:szCs w:val="20"/>
          <w:lang w:val="en-US"/>
        </w:rPr>
        <w:t>father</w:t>
      </w:r>
      <w:r w:rsidR="003C2AC6" w:rsidRPr="009F337B">
        <w:rPr>
          <w:i w:val="0"/>
          <w:szCs w:val="20"/>
          <w:lang w:val="en-US"/>
        </w:rPr>
        <w:t xml:space="preserve"> Julián Cabrera Aguilar,</w:t>
      </w:r>
      <w:r w:rsidR="003C46A3" w:rsidRPr="009F337B">
        <w:rPr>
          <w:i w:val="0"/>
          <w:szCs w:val="20"/>
          <w:lang w:val="en-US"/>
        </w:rPr>
        <w:t xml:space="preserve"> and </w:t>
      </w:r>
      <w:r w:rsidR="00B23B9B" w:rsidRPr="009F337B">
        <w:rPr>
          <w:i w:val="0"/>
          <w:szCs w:val="20"/>
          <w:lang w:val="en-US"/>
        </w:rPr>
        <w:t>her</w:t>
      </w:r>
      <w:r w:rsidR="003C2AC6" w:rsidRPr="009F337B">
        <w:rPr>
          <w:i w:val="0"/>
          <w:szCs w:val="20"/>
          <w:lang w:val="en-US"/>
        </w:rPr>
        <w:t xml:space="preserve"> </w:t>
      </w:r>
      <w:r w:rsidR="0010522A" w:rsidRPr="009F337B">
        <w:rPr>
          <w:i w:val="0"/>
          <w:szCs w:val="20"/>
          <w:lang w:val="en-US"/>
        </w:rPr>
        <w:t>grandson</w:t>
      </w:r>
      <w:r w:rsidR="003C2AC6" w:rsidRPr="009F337B">
        <w:rPr>
          <w:i w:val="0"/>
          <w:szCs w:val="20"/>
          <w:lang w:val="en-US"/>
        </w:rPr>
        <w:t xml:space="preserve">s Gerber </w:t>
      </w:r>
      <w:proofErr w:type="spellStart"/>
      <w:r w:rsidR="003C2AC6" w:rsidRPr="009F337B">
        <w:rPr>
          <w:i w:val="0"/>
          <w:szCs w:val="20"/>
          <w:lang w:val="en-US"/>
        </w:rPr>
        <w:t>Gudiel</w:t>
      </w:r>
      <w:proofErr w:type="spellEnd"/>
      <w:r w:rsidR="003C2AC6" w:rsidRPr="009F337B">
        <w:rPr>
          <w:i w:val="0"/>
          <w:szCs w:val="20"/>
          <w:lang w:val="en-US"/>
        </w:rPr>
        <w:t xml:space="preserve"> Guzmán Aguilar</w:t>
      </w:r>
      <w:r w:rsidR="003C46A3" w:rsidRPr="009F337B">
        <w:rPr>
          <w:i w:val="0"/>
          <w:szCs w:val="20"/>
          <w:lang w:val="en-US"/>
        </w:rPr>
        <w:t xml:space="preserve"> and </w:t>
      </w:r>
      <w:r w:rsidR="003C2AC6" w:rsidRPr="009F337B">
        <w:rPr>
          <w:i w:val="0"/>
          <w:szCs w:val="20"/>
          <w:lang w:val="en-US"/>
        </w:rPr>
        <w:t>Andi Enrique Sales Guzmán</w:t>
      </w:r>
      <w:r w:rsidR="00B23B9B" w:rsidRPr="009F337B">
        <w:rPr>
          <w:i w:val="0"/>
          <w:szCs w:val="20"/>
          <w:lang w:val="en-US"/>
        </w:rPr>
        <w:t>.</w:t>
      </w:r>
      <w:r w:rsidR="003C2AC6" w:rsidRPr="009F337B">
        <w:rPr>
          <w:rStyle w:val="Refdenotaalpie"/>
          <w:i w:val="0"/>
          <w:lang w:val="en-US"/>
        </w:rPr>
        <w:footnoteReference w:id="285"/>
      </w:r>
    </w:p>
    <w:p w14:paraId="56C9C1B1" w14:textId="77777777" w:rsidR="003C2AC6" w:rsidRPr="009F337B" w:rsidRDefault="003C2AC6" w:rsidP="003C2AC6">
      <w:pPr>
        <w:pStyle w:val="PrrafodeSentencia"/>
        <w:rPr>
          <w:lang w:val="en-US"/>
        </w:rPr>
      </w:pPr>
    </w:p>
    <w:p w14:paraId="15188935" w14:textId="77777777" w:rsidR="003C2AC6" w:rsidRPr="009F337B" w:rsidRDefault="003C2AC6" w:rsidP="003C2AC6">
      <w:pPr>
        <w:pStyle w:val="PrrafodeSentencia"/>
        <w:rPr>
          <w:lang w:val="en-US"/>
        </w:rPr>
      </w:pPr>
      <w:r w:rsidRPr="009F337B">
        <w:rPr>
          <w:lang w:val="en-US"/>
        </w:rPr>
        <w:tab/>
        <w:t>A.14. Melvin Yovani Ajtun Escobar</w:t>
      </w:r>
    </w:p>
    <w:p w14:paraId="69546AED" w14:textId="77777777" w:rsidR="003C2AC6" w:rsidRPr="009F337B" w:rsidRDefault="003C2AC6" w:rsidP="003C2AC6">
      <w:pPr>
        <w:pStyle w:val="PrrafodeSentencia"/>
        <w:rPr>
          <w:lang w:val="en-US"/>
        </w:rPr>
      </w:pPr>
    </w:p>
    <w:p w14:paraId="6696FA89" w14:textId="28818DC0" w:rsidR="003C2AC6" w:rsidRPr="009F337B" w:rsidRDefault="007F1AEB" w:rsidP="00593E37">
      <w:pPr>
        <w:pStyle w:val="Estilo1"/>
        <w:numPr>
          <w:ilvl w:val="0"/>
          <w:numId w:val="5"/>
        </w:numPr>
        <w:tabs>
          <w:tab w:val="left" w:pos="709"/>
          <w:tab w:val="left" w:pos="1134"/>
        </w:tabs>
        <w:spacing w:after="0"/>
        <w:ind w:left="0" w:right="-4" w:firstLine="0"/>
        <w:rPr>
          <w:i w:val="0"/>
          <w:szCs w:val="20"/>
          <w:lang w:val="en-US"/>
        </w:rPr>
      </w:pPr>
      <w:r w:rsidRPr="009F337B">
        <w:rPr>
          <w:i w:val="0"/>
          <w:szCs w:val="20"/>
          <w:lang w:val="en-US"/>
        </w:rPr>
        <w:t>Mr.</w:t>
      </w:r>
      <w:r w:rsidR="003C2AC6" w:rsidRPr="009F337B">
        <w:rPr>
          <w:i w:val="0"/>
          <w:szCs w:val="20"/>
          <w:lang w:val="en-US"/>
        </w:rPr>
        <w:t xml:space="preserve"> </w:t>
      </w:r>
      <w:proofErr w:type="spellStart"/>
      <w:r w:rsidR="003C2AC6" w:rsidRPr="009F337B">
        <w:rPr>
          <w:i w:val="0"/>
          <w:szCs w:val="20"/>
          <w:lang w:val="en-US"/>
        </w:rPr>
        <w:t>Ajtun</w:t>
      </w:r>
      <w:proofErr w:type="spellEnd"/>
      <w:r w:rsidR="003C2AC6" w:rsidRPr="009F337B">
        <w:rPr>
          <w:i w:val="0"/>
          <w:szCs w:val="20"/>
          <w:lang w:val="en-US"/>
        </w:rPr>
        <w:t xml:space="preserve"> Escobar </w:t>
      </w:r>
      <w:r w:rsidR="0084040D" w:rsidRPr="009F337B">
        <w:rPr>
          <w:i w:val="0"/>
          <w:szCs w:val="20"/>
          <w:lang w:val="en-US"/>
        </w:rPr>
        <w:t>was born on</w:t>
      </w:r>
      <w:r w:rsidR="003C2AC6" w:rsidRPr="009F337B">
        <w:rPr>
          <w:i w:val="0"/>
          <w:szCs w:val="20"/>
          <w:lang w:val="en-US"/>
        </w:rPr>
        <w:t xml:space="preserve"> </w:t>
      </w:r>
      <w:r w:rsidR="00815A0B" w:rsidRPr="009F337B">
        <w:rPr>
          <w:i w:val="0"/>
          <w:szCs w:val="20"/>
          <w:lang w:val="en-US"/>
        </w:rPr>
        <w:t xml:space="preserve">July </w:t>
      </w:r>
      <w:r w:rsidR="00B23B9B" w:rsidRPr="009F337B">
        <w:rPr>
          <w:i w:val="0"/>
          <w:szCs w:val="20"/>
          <w:lang w:val="en-US"/>
        </w:rPr>
        <w:t>3</w:t>
      </w:r>
      <w:r w:rsidR="00815A0B" w:rsidRPr="009F337B">
        <w:rPr>
          <w:i w:val="0"/>
          <w:szCs w:val="20"/>
          <w:lang w:val="en-US"/>
        </w:rPr>
        <w:t>1,</w:t>
      </w:r>
      <w:r w:rsidR="003C2AC6" w:rsidRPr="009F337B">
        <w:rPr>
          <w:i w:val="0"/>
          <w:szCs w:val="20"/>
          <w:lang w:val="en-US"/>
        </w:rPr>
        <w:t xml:space="preserve"> 1981. </w:t>
      </w:r>
      <w:r w:rsidRPr="009F337B">
        <w:rPr>
          <w:i w:val="0"/>
          <w:szCs w:val="20"/>
          <w:lang w:val="en-US"/>
        </w:rPr>
        <w:t>He was diagnose</w:t>
      </w:r>
      <w:r w:rsidR="00B23B9B" w:rsidRPr="009F337B">
        <w:rPr>
          <w:i w:val="0"/>
          <w:szCs w:val="20"/>
          <w:lang w:val="en-US"/>
        </w:rPr>
        <w:t>d</w:t>
      </w:r>
      <w:r w:rsidR="003C2AC6" w:rsidRPr="009F337B">
        <w:rPr>
          <w:i w:val="0"/>
          <w:szCs w:val="20"/>
          <w:lang w:val="en-US"/>
        </w:rPr>
        <w:t xml:space="preserve"> </w:t>
      </w:r>
      <w:r w:rsidR="00B23B9B" w:rsidRPr="009F337B">
        <w:rPr>
          <w:i w:val="0"/>
          <w:szCs w:val="20"/>
          <w:lang w:val="en-US"/>
        </w:rPr>
        <w:t>in the</w:t>
      </w:r>
      <w:r w:rsidR="003C2AC6" w:rsidRPr="009F337B">
        <w:rPr>
          <w:i w:val="0"/>
          <w:szCs w:val="20"/>
          <w:lang w:val="en-US"/>
        </w:rPr>
        <w:t xml:space="preserve"> </w:t>
      </w:r>
      <w:proofErr w:type="spellStart"/>
      <w:r w:rsidR="003C2AC6" w:rsidRPr="009F337B">
        <w:rPr>
          <w:i w:val="0"/>
          <w:szCs w:val="20"/>
          <w:lang w:val="en-US"/>
        </w:rPr>
        <w:t>Retalhieu</w:t>
      </w:r>
      <w:proofErr w:type="spellEnd"/>
      <w:r w:rsidR="005F3D50" w:rsidRPr="009F337B">
        <w:rPr>
          <w:i w:val="0"/>
          <w:szCs w:val="20"/>
          <w:lang w:val="en-US"/>
        </w:rPr>
        <w:t xml:space="preserve"> Hospital</w:t>
      </w:r>
      <w:r w:rsidR="00B23B9B" w:rsidRPr="009F337B">
        <w:rPr>
          <w:i w:val="0"/>
          <w:szCs w:val="20"/>
          <w:lang w:val="en-US"/>
        </w:rPr>
        <w:t xml:space="preserve"> in 2001</w:t>
      </w:r>
      <w:r w:rsidR="003C2AC6" w:rsidRPr="009F337B">
        <w:rPr>
          <w:i w:val="0"/>
          <w:szCs w:val="20"/>
          <w:lang w:val="en-US"/>
        </w:rPr>
        <w:t xml:space="preserve">. </w:t>
      </w:r>
      <w:r w:rsidR="00B23B9B" w:rsidRPr="009F337B">
        <w:rPr>
          <w:i w:val="0"/>
          <w:szCs w:val="20"/>
          <w:lang w:val="en-US"/>
        </w:rPr>
        <w:t>He began treatment in 2004, through MSF. H</w:t>
      </w:r>
      <w:r w:rsidR="005F3D50" w:rsidRPr="009F337B">
        <w:rPr>
          <w:i w:val="0"/>
          <w:szCs w:val="20"/>
          <w:lang w:val="en-US"/>
        </w:rPr>
        <w:t>e</w:t>
      </w:r>
      <w:r w:rsidR="00B23B9B" w:rsidRPr="009F337B">
        <w:rPr>
          <w:i w:val="0"/>
          <w:szCs w:val="20"/>
          <w:lang w:val="en-US"/>
        </w:rPr>
        <w:t xml:space="preserve"> did not undergo regular CD4 counts and viral load testing. He </w:t>
      </w:r>
      <w:r w:rsidR="00CB1D32" w:rsidRPr="009F337B">
        <w:rPr>
          <w:i w:val="0"/>
          <w:szCs w:val="20"/>
          <w:lang w:val="en-US"/>
        </w:rPr>
        <w:t>suffered from</w:t>
      </w:r>
      <w:r w:rsidR="003C2AC6" w:rsidRPr="009F337B">
        <w:rPr>
          <w:i w:val="0"/>
          <w:szCs w:val="20"/>
          <w:lang w:val="en-US"/>
        </w:rPr>
        <w:t xml:space="preserve"> dermatom</w:t>
      </w:r>
      <w:r w:rsidR="00B23B9B" w:rsidRPr="009F337B">
        <w:rPr>
          <w:i w:val="0"/>
          <w:szCs w:val="20"/>
          <w:lang w:val="en-US"/>
        </w:rPr>
        <w:t>y</w:t>
      </w:r>
      <w:r w:rsidR="003C2AC6" w:rsidRPr="009F337B">
        <w:rPr>
          <w:i w:val="0"/>
          <w:szCs w:val="20"/>
          <w:lang w:val="en-US"/>
        </w:rPr>
        <w:t xml:space="preserve">cosis, </w:t>
      </w:r>
      <w:r w:rsidR="00B23B9B" w:rsidRPr="009F337B">
        <w:rPr>
          <w:i w:val="0"/>
          <w:szCs w:val="20"/>
          <w:lang w:val="en-US"/>
        </w:rPr>
        <w:t>constant fever for more than a month,</w:t>
      </w:r>
      <w:r w:rsidR="003C2AC6" w:rsidRPr="009F337B">
        <w:rPr>
          <w:i w:val="0"/>
          <w:szCs w:val="20"/>
          <w:lang w:val="en-US"/>
        </w:rPr>
        <w:t xml:space="preserve"> </w:t>
      </w:r>
      <w:r w:rsidR="00B23B9B" w:rsidRPr="009F337B">
        <w:rPr>
          <w:i w:val="0"/>
          <w:szCs w:val="20"/>
          <w:lang w:val="en-US"/>
        </w:rPr>
        <w:t>fungal skin infections, atypical p</w:t>
      </w:r>
      <w:r w:rsidR="003C2AC6" w:rsidRPr="009F337B">
        <w:rPr>
          <w:i w:val="0"/>
          <w:szCs w:val="20"/>
          <w:lang w:val="en-US"/>
        </w:rPr>
        <w:t>neumon</w:t>
      </w:r>
      <w:r w:rsidR="00B23B9B" w:rsidRPr="009F337B">
        <w:rPr>
          <w:i w:val="0"/>
          <w:szCs w:val="20"/>
          <w:lang w:val="en-US"/>
        </w:rPr>
        <w:t>i</w:t>
      </w:r>
      <w:r w:rsidR="003C2AC6" w:rsidRPr="009F337B">
        <w:rPr>
          <w:i w:val="0"/>
          <w:szCs w:val="20"/>
          <w:lang w:val="en-US"/>
        </w:rPr>
        <w:t xml:space="preserve">a, </w:t>
      </w:r>
      <w:r w:rsidR="00B23B9B" w:rsidRPr="009F337B">
        <w:rPr>
          <w:i w:val="0"/>
          <w:szCs w:val="20"/>
          <w:lang w:val="en-US"/>
        </w:rPr>
        <w:t>oral candidiasis</w:t>
      </w:r>
      <w:r w:rsidR="003C2AC6" w:rsidRPr="009F337B">
        <w:rPr>
          <w:i w:val="0"/>
          <w:szCs w:val="20"/>
          <w:lang w:val="en-US"/>
        </w:rPr>
        <w:t xml:space="preserve">, </w:t>
      </w:r>
      <w:r w:rsidR="00B23B9B" w:rsidRPr="009F337B">
        <w:rPr>
          <w:i w:val="0"/>
          <w:szCs w:val="20"/>
          <w:lang w:val="en-US"/>
        </w:rPr>
        <w:t>pharyngitis</w:t>
      </w:r>
      <w:r w:rsidR="003C2AC6" w:rsidRPr="009F337B">
        <w:rPr>
          <w:i w:val="0"/>
          <w:szCs w:val="20"/>
          <w:lang w:val="en-US"/>
        </w:rPr>
        <w:t xml:space="preserve">, </w:t>
      </w:r>
      <w:r w:rsidR="00B23B9B" w:rsidRPr="009F337B">
        <w:rPr>
          <w:i w:val="0"/>
          <w:szCs w:val="20"/>
          <w:lang w:val="en-US"/>
        </w:rPr>
        <w:t>oral papillomatosis</w:t>
      </w:r>
      <w:r w:rsidR="003C46A3" w:rsidRPr="009F337B">
        <w:rPr>
          <w:i w:val="0"/>
          <w:szCs w:val="20"/>
          <w:lang w:val="en-US"/>
        </w:rPr>
        <w:t xml:space="preserve"> and </w:t>
      </w:r>
      <w:r w:rsidR="00B23B9B" w:rsidRPr="009F337B">
        <w:rPr>
          <w:i w:val="0"/>
          <w:szCs w:val="20"/>
          <w:lang w:val="en-US"/>
        </w:rPr>
        <w:t>oral hairy leukoplakia</w:t>
      </w:r>
      <w:r w:rsidR="003C2AC6" w:rsidRPr="009F337B">
        <w:rPr>
          <w:i w:val="0"/>
          <w:szCs w:val="20"/>
          <w:lang w:val="en-US"/>
        </w:rPr>
        <w:t xml:space="preserve">. </w:t>
      </w:r>
      <w:r w:rsidR="00B23B9B" w:rsidRPr="009F337B">
        <w:rPr>
          <w:i w:val="0"/>
          <w:szCs w:val="20"/>
          <w:lang w:val="en-US"/>
        </w:rPr>
        <w:t xml:space="preserve">He did not have the financial resources to acquire medicines. Before his diagnosis he worked in a </w:t>
      </w:r>
      <w:r w:rsidR="008841F6" w:rsidRPr="009F337B">
        <w:rPr>
          <w:i w:val="0"/>
          <w:szCs w:val="20"/>
          <w:lang w:val="en-US"/>
        </w:rPr>
        <w:t xml:space="preserve">welding workshop. In 2006, he attended Clinic No. 12 of the </w:t>
      </w:r>
      <w:proofErr w:type="spellStart"/>
      <w:r w:rsidR="00BD5E94" w:rsidRPr="009F337B">
        <w:rPr>
          <w:i w:val="0"/>
          <w:szCs w:val="20"/>
          <w:lang w:val="en-US"/>
        </w:rPr>
        <w:t>Coatepeque</w:t>
      </w:r>
      <w:proofErr w:type="spellEnd"/>
      <w:r w:rsidR="00BD5E94" w:rsidRPr="009F337B">
        <w:rPr>
          <w:i w:val="0"/>
          <w:szCs w:val="20"/>
          <w:lang w:val="en-US"/>
        </w:rPr>
        <w:t xml:space="preserve"> National Hospital</w:t>
      </w:r>
      <w:r w:rsidR="003C2AC6" w:rsidRPr="009F337B">
        <w:rPr>
          <w:i w:val="0"/>
          <w:szCs w:val="20"/>
          <w:lang w:val="en-US"/>
        </w:rPr>
        <w:t xml:space="preserve">, </w:t>
      </w:r>
      <w:r w:rsidR="008841F6" w:rsidRPr="009F337B">
        <w:rPr>
          <w:i w:val="0"/>
          <w:szCs w:val="20"/>
          <w:lang w:val="en-US"/>
        </w:rPr>
        <w:t xml:space="preserve">where he also received </w:t>
      </w:r>
      <w:r w:rsidR="00AC2165" w:rsidRPr="009F337B">
        <w:rPr>
          <w:i w:val="0"/>
          <w:szCs w:val="20"/>
          <w:lang w:val="en-US"/>
        </w:rPr>
        <w:t>antiretroviral drugs</w:t>
      </w:r>
      <w:r w:rsidR="003C2AC6" w:rsidRPr="009F337B">
        <w:rPr>
          <w:i w:val="0"/>
          <w:szCs w:val="20"/>
          <w:lang w:val="en-US"/>
        </w:rPr>
        <w:t xml:space="preserve">. </w:t>
      </w:r>
      <w:r w:rsidR="008841F6" w:rsidRPr="009F337B">
        <w:rPr>
          <w:i w:val="0"/>
          <w:szCs w:val="20"/>
          <w:lang w:val="en-US"/>
        </w:rPr>
        <w:t>He attended talks on the use of the condom and the prevention of reinfection. He d</w:t>
      </w:r>
      <w:r w:rsidR="00CB1D32" w:rsidRPr="009F337B">
        <w:rPr>
          <w:i w:val="0"/>
          <w:szCs w:val="20"/>
          <w:lang w:val="en-US"/>
        </w:rPr>
        <w:t>ied</w:t>
      </w:r>
      <w:r w:rsidR="003C2AC6" w:rsidRPr="009F337B">
        <w:rPr>
          <w:i w:val="0"/>
          <w:szCs w:val="20"/>
          <w:lang w:val="en-US"/>
        </w:rPr>
        <w:t xml:space="preserve"> </w:t>
      </w:r>
      <w:r w:rsidR="008841F6" w:rsidRPr="009F337B">
        <w:rPr>
          <w:i w:val="0"/>
          <w:szCs w:val="20"/>
          <w:lang w:val="en-US"/>
        </w:rPr>
        <w:t>on June 17,</w:t>
      </w:r>
      <w:r w:rsidR="003C2AC6" w:rsidRPr="009F337B">
        <w:rPr>
          <w:i w:val="0"/>
          <w:szCs w:val="20"/>
          <w:lang w:val="en-US"/>
        </w:rPr>
        <w:t xml:space="preserve"> 2016, </w:t>
      </w:r>
      <w:r w:rsidR="008841F6" w:rsidRPr="009F337B">
        <w:rPr>
          <w:i w:val="0"/>
          <w:szCs w:val="20"/>
          <w:lang w:val="en-US"/>
        </w:rPr>
        <w:t>from causes unrelated to</w:t>
      </w:r>
      <w:r w:rsidR="003C2AC6" w:rsidRPr="009F337B">
        <w:rPr>
          <w:i w:val="0"/>
          <w:szCs w:val="20"/>
          <w:lang w:val="en-US"/>
        </w:rPr>
        <w:t xml:space="preserve"> </w:t>
      </w:r>
      <w:r w:rsidR="00CA11F6" w:rsidRPr="009F337B">
        <w:rPr>
          <w:i w:val="0"/>
          <w:szCs w:val="20"/>
          <w:lang w:val="en-US"/>
        </w:rPr>
        <w:t>HIV</w:t>
      </w:r>
      <w:r w:rsidR="003C2AC6" w:rsidRPr="009F337B">
        <w:rPr>
          <w:i w:val="0"/>
          <w:szCs w:val="20"/>
          <w:lang w:val="en-US"/>
        </w:rPr>
        <w:t>.</w:t>
      </w:r>
      <w:r w:rsidR="003C2AC6" w:rsidRPr="009F337B">
        <w:rPr>
          <w:rStyle w:val="Refdenotaalpie"/>
          <w:i w:val="0"/>
          <w:lang w:val="en-US"/>
        </w:rPr>
        <w:footnoteReference w:id="286"/>
      </w:r>
    </w:p>
    <w:p w14:paraId="49163DF3" w14:textId="77777777" w:rsidR="003C2AC6" w:rsidRPr="009F337B" w:rsidRDefault="003C2AC6" w:rsidP="003C2AC6">
      <w:pPr>
        <w:pStyle w:val="Estilo1"/>
        <w:tabs>
          <w:tab w:val="left" w:pos="709"/>
          <w:tab w:val="left" w:pos="1134"/>
        </w:tabs>
        <w:spacing w:after="0"/>
        <w:ind w:left="0" w:right="-4" w:firstLine="0"/>
        <w:rPr>
          <w:i w:val="0"/>
          <w:szCs w:val="20"/>
          <w:lang w:val="en-US"/>
        </w:rPr>
      </w:pPr>
    </w:p>
    <w:p w14:paraId="7553677E" w14:textId="6C511EF7" w:rsidR="003C2AC6" w:rsidRPr="009F337B" w:rsidRDefault="00AF1AFB" w:rsidP="00593E37">
      <w:pPr>
        <w:pStyle w:val="Estilo1"/>
        <w:numPr>
          <w:ilvl w:val="0"/>
          <w:numId w:val="5"/>
        </w:numPr>
        <w:tabs>
          <w:tab w:val="left" w:pos="709"/>
          <w:tab w:val="left" w:pos="1134"/>
        </w:tabs>
        <w:spacing w:after="0"/>
        <w:ind w:left="0" w:right="-4" w:firstLine="0"/>
        <w:rPr>
          <w:i w:val="0"/>
          <w:szCs w:val="20"/>
          <w:lang w:val="en-US"/>
        </w:rPr>
      </w:pPr>
      <w:r w:rsidRPr="009F337B">
        <w:rPr>
          <w:i w:val="0"/>
          <w:szCs w:val="20"/>
          <w:lang w:val="en-US"/>
        </w:rPr>
        <w:t>H</w:t>
      </w:r>
      <w:r w:rsidR="008841F6" w:rsidRPr="009F337B">
        <w:rPr>
          <w:i w:val="0"/>
          <w:szCs w:val="20"/>
          <w:lang w:val="en-US"/>
        </w:rPr>
        <w:t>is</w:t>
      </w:r>
      <w:r w:rsidRPr="009F337B">
        <w:rPr>
          <w:i w:val="0"/>
          <w:szCs w:val="20"/>
          <w:lang w:val="en-US"/>
        </w:rPr>
        <w:t xml:space="preserve"> family unit consisted of</w:t>
      </w:r>
      <w:r w:rsidR="008841F6" w:rsidRPr="009F337B">
        <w:rPr>
          <w:i w:val="0"/>
          <w:szCs w:val="20"/>
          <w:lang w:val="en-US"/>
        </w:rPr>
        <w:t xml:space="preserve"> his</w:t>
      </w:r>
      <w:r w:rsidR="003C2AC6" w:rsidRPr="009F337B">
        <w:rPr>
          <w:i w:val="0"/>
          <w:szCs w:val="20"/>
          <w:lang w:val="en-US"/>
        </w:rPr>
        <w:t xml:space="preserve"> </w:t>
      </w:r>
      <w:r w:rsidR="0010522A" w:rsidRPr="009F337B">
        <w:rPr>
          <w:i w:val="0"/>
          <w:szCs w:val="20"/>
          <w:lang w:val="en-US"/>
        </w:rPr>
        <w:t>wife</w:t>
      </w:r>
      <w:r w:rsidR="003C2AC6" w:rsidRPr="009F337B">
        <w:rPr>
          <w:i w:val="0"/>
          <w:szCs w:val="20"/>
          <w:lang w:val="en-US"/>
        </w:rPr>
        <w:t xml:space="preserve"> Heidy Mariela Lucas González, </w:t>
      </w:r>
      <w:r w:rsidR="008841F6" w:rsidRPr="009F337B">
        <w:rPr>
          <w:i w:val="0"/>
          <w:szCs w:val="20"/>
          <w:lang w:val="en-US"/>
        </w:rPr>
        <w:t>his</w:t>
      </w:r>
      <w:r w:rsidR="003C2AC6" w:rsidRPr="009F337B">
        <w:rPr>
          <w:i w:val="0"/>
          <w:szCs w:val="20"/>
          <w:lang w:val="en-US"/>
        </w:rPr>
        <w:t xml:space="preserve"> </w:t>
      </w:r>
      <w:r w:rsidR="0010522A" w:rsidRPr="009F337B">
        <w:rPr>
          <w:i w:val="0"/>
          <w:szCs w:val="20"/>
          <w:lang w:val="en-US"/>
        </w:rPr>
        <w:t>son</w:t>
      </w:r>
      <w:r w:rsidR="003C2AC6" w:rsidRPr="009F337B">
        <w:rPr>
          <w:i w:val="0"/>
          <w:szCs w:val="20"/>
          <w:lang w:val="en-US"/>
        </w:rPr>
        <w:t xml:space="preserve">s Elías Emmanuel </w:t>
      </w:r>
      <w:proofErr w:type="spellStart"/>
      <w:r w:rsidR="003C2AC6" w:rsidRPr="009F337B">
        <w:rPr>
          <w:i w:val="0"/>
          <w:szCs w:val="20"/>
          <w:lang w:val="en-US"/>
        </w:rPr>
        <w:t>Ajtun</w:t>
      </w:r>
      <w:proofErr w:type="spellEnd"/>
      <w:r w:rsidR="003C2AC6" w:rsidRPr="009F337B">
        <w:rPr>
          <w:i w:val="0"/>
          <w:szCs w:val="20"/>
          <w:lang w:val="en-US"/>
        </w:rPr>
        <w:t xml:space="preserve"> Lucas</w:t>
      </w:r>
      <w:r w:rsidR="003C46A3" w:rsidRPr="009F337B">
        <w:rPr>
          <w:i w:val="0"/>
          <w:szCs w:val="20"/>
          <w:lang w:val="en-US"/>
        </w:rPr>
        <w:t xml:space="preserve"> and </w:t>
      </w:r>
      <w:r w:rsidR="003C2AC6" w:rsidRPr="009F337B">
        <w:rPr>
          <w:i w:val="0"/>
          <w:szCs w:val="20"/>
          <w:lang w:val="en-US"/>
        </w:rPr>
        <w:t xml:space="preserve">Marvin </w:t>
      </w:r>
      <w:proofErr w:type="spellStart"/>
      <w:r w:rsidR="003C2AC6" w:rsidRPr="009F337B">
        <w:rPr>
          <w:i w:val="0"/>
          <w:szCs w:val="20"/>
          <w:lang w:val="en-US"/>
        </w:rPr>
        <w:t>Josué</w:t>
      </w:r>
      <w:proofErr w:type="spellEnd"/>
      <w:r w:rsidR="003C2AC6" w:rsidRPr="009F337B">
        <w:rPr>
          <w:i w:val="0"/>
          <w:szCs w:val="20"/>
          <w:lang w:val="en-US"/>
        </w:rPr>
        <w:t xml:space="preserve"> Lucas González (</w:t>
      </w:r>
      <w:r w:rsidR="0010522A" w:rsidRPr="009F337B">
        <w:rPr>
          <w:i w:val="0"/>
          <w:szCs w:val="20"/>
          <w:lang w:val="en-US"/>
        </w:rPr>
        <w:t>deceased</w:t>
      </w:r>
      <w:r w:rsidR="003C2AC6" w:rsidRPr="009F337B">
        <w:rPr>
          <w:i w:val="0"/>
          <w:szCs w:val="20"/>
          <w:lang w:val="en-US"/>
        </w:rPr>
        <w:t>)</w:t>
      </w:r>
      <w:r w:rsidR="003C46A3" w:rsidRPr="009F337B">
        <w:rPr>
          <w:i w:val="0"/>
          <w:szCs w:val="20"/>
          <w:lang w:val="en-US"/>
        </w:rPr>
        <w:t xml:space="preserve"> and </w:t>
      </w:r>
      <w:r w:rsidR="008841F6" w:rsidRPr="009F337B">
        <w:rPr>
          <w:i w:val="0"/>
          <w:szCs w:val="20"/>
          <w:lang w:val="en-US"/>
        </w:rPr>
        <w:t>his</w:t>
      </w:r>
      <w:r w:rsidR="003C2AC6" w:rsidRPr="009F337B">
        <w:rPr>
          <w:i w:val="0"/>
          <w:szCs w:val="20"/>
          <w:lang w:val="en-US"/>
        </w:rPr>
        <w:t xml:space="preserve"> </w:t>
      </w:r>
      <w:r w:rsidR="0010522A" w:rsidRPr="009F337B">
        <w:rPr>
          <w:i w:val="0"/>
          <w:szCs w:val="20"/>
          <w:lang w:val="en-US"/>
        </w:rPr>
        <w:t>mother</w:t>
      </w:r>
      <w:r w:rsidR="003C2AC6" w:rsidRPr="009F337B">
        <w:rPr>
          <w:i w:val="0"/>
          <w:szCs w:val="20"/>
          <w:lang w:val="en-US"/>
        </w:rPr>
        <w:t xml:space="preserve"> Bertha Luz Escobar</w:t>
      </w:r>
      <w:r w:rsidR="008841F6" w:rsidRPr="009F337B">
        <w:rPr>
          <w:i w:val="0"/>
          <w:szCs w:val="20"/>
          <w:lang w:val="en-US"/>
        </w:rPr>
        <w:t>.</w:t>
      </w:r>
      <w:r w:rsidR="003C2AC6" w:rsidRPr="009F337B">
        <w:rPr>
          <w:rStyle w:val="Refdenotaalpie"/>
          <w:i w:val="0"/>
          <w:lang w:val="en-US"/>
        </w:rPr>
        <w:footnoteReference w:id="287"/>
      </w:r>
    </w:p>
    <w:p w14:paraId="1BB65346" w14:textId="77777777" w:rsidR="003C2AC6" w:rsidRPr="009F337B" w:rsidRDefault="003C2AC6" w:rsidP="003C2AC6">
      <w:pPr>
        <w:pStyle w:val="PrrafodeSentencia"/>
        <w:rPr>
          <w:lang w:val="en-US"/>
        </w:rPr>
      </w:pPr>
    </w:p>
    <w:p w14:paraId="3CA559B4" w14:textId="77777777" w:rsidR="003C2AC6" w:rsidRPr="009F337B" w:rsidRDefault="003C2AC6" w:rsidP="003C2AC6">
      <w:pPr>
        <w:pStyle w:val="PrrafodeSentencia"/>
        <w:rPr>
          <w:lang w:val="en-US"/>
        </w:rPr>
      </w:pPr>
      <w:r w:rsidRPr="009F337B">
        <w:rPr>
          <w:lang w:val="en-US"/>
        </w:rPr>
        <w:tab/>
        <w:t>A.15. José Cupertino Ramírez</w:t>
      </w:r>
    </w:p>
    <w:p w14:paraId="2E6F2DDA" w14:textId="77777777" w:rsidR="003C2AC6" w:rsidRPr="009F337B" w:rsidRDefault="003C2AC6" w:rsidP="003C2AC6">
      <w:pPr>
        <w:pStyle w:val="PrrafodeSentencia"/>
        <w:rPr>
          <w:lang w:val="en-US"/>
        </w:rPr>
      </w:pPr>
    </w:p>
    <w:p w14:paraId="7A3EC767" w14:textId="1C58B51F" w:rsidR="003C2AC6" w:rsidRPr="009F337B" w:rsidRDefault="007F1AEB" w:rsidP="00593E37">
      <w:pPr>
        <w:pStyle w:val="Estilo1"/>
        <w:numPr>
          <w:ilvl w:val="0"/>
          <w:numId w:val="5"/>
        </w:numPr>
        <w:tabs>
          <w:tab w:val="left" w:pos="709"/>
          <w:tab w:val="left" w:pos="1134"/>
        </w:tabs>
        <w:spacing w:after="0"/>
        <w:ind w:left="0" w:right="-4" w:firstLine="0"/>
        <w:rPr>
          <w:i w:val="0"/>
          <w:szCs w:val="20"/>
          <w:lang w:val="en-US"/>
        </w:rPr>
      </w:pPr>
      <w:r w:rsidRPr="009F337B">
        <w:rPr>
          <w:i w:val="0"/>
          <w:szCs w:val="20"/>
          <w:lang w:val="en-US"/>
        </w:rPr>
        <w:t>Mr.</w:t>
      </w:r>
      <w:r w:rsidR="003C2AC6" w:rsidRPr="009F337B">
        <w:rPr>
          <w:i w:val="0"/>
          <w:szCs w:val="20"/>
          <w:lang w:val="en-US"/>
        </w:rPr>
        <w:t xml:space="preserve"> Cupertino Ramírez </w:t>
      </w:r>
      <w:r w:rsidR="0084040D" w:rsidRPr="009F337B">
        <w:rPr>
          <w:i w:val="0"/>
          <w:szCs w:val="20"/>
          <w:lang w:val="en-US"/>
        </w:rPr>
        <w:t>was born on</w:t>
      </w:r>
      <w:r w:rsidR="003C2AC6" w:rsidRPr="009F337B">
        <w:rPr>
          <w:i w:val="0"/>
          <w:szCs w:val="20"/>
          <w:lang w:val="en-US"/>
        </w:rPr>
        <w:t xml:space="preserve"> </w:t>
      </w:r>
      <w:r w:rsidR="008841F6" w:rsidRPr="009F337B">
        <w:rPr>
          <w:i w:val="0"/>
          <w:szCs w:val="20"/>
          <w:lang w:val="en-US"/>
        </w:rPr>
        <w:t>April 6,</w:t>
      </w:r>
      <w:r w:rsidR="003C2AC6" w:rsidRPr="009F337B">
        <w:rPr>
          <w:i w:val="0"/>
          <w:szCs w:val="20"/>
          <w:lang w:val="en-US"/>
        </w:rPr>
        <w:t xml:space="preserve"> 1970</w:t>
      </w:r>
      <w:r w:rsidR="008841F6" w:rsidRPr="009F337B">
        <w:rPr>
          <w:i w:val="0"/>
          <w:szCs w:val="20"/>
          <w:lang w:val="en-US"/>
        </w:rPr>
        <w:t>,</w:t>
      </w:r>
      <w:r w:rsidR="003C2AC6" w:rsidRPr="009F337B">
        <w:rPr>
          <w:i w:val="0"/>
          <w:szCs w:val="20"/>
          <w:lang w:val="en-US"/>
        </w:rPr>
        <w:t xml:space="preserve"> </w:t>
      </w:r>
      <w:r w:rsidR="008841F6" w:rsidRPr="009F337B">
        <w:rPr>
          <w:i w:val="0"/>
          <w:szCs w:val="20"/>
          <w:lang w:val="en-US"/>
        </w:rPr>
        <w:t>i</w:t>
      </w:r>
      <w:r w:rsidR="003C2AC6" w:rsidRPr="009F337B">
        <w:rPr>
          <w:i w:val="0"/>
          <w:szCs w:val="20"/>
          <w:lang w:val="en-US"/>
        </w:rPr>
        <w:t xml:space="preserve">n </w:t>
      </w:r>
      <w:proofErr w:type="spellStart"/>
      <w:r w:rsidR="003C2AC6" w:rsidRPr="009F337B">
        <w:rPr>
          <w:i w:val="0"/>
          <w:szCs w:val="20"/>
          <w:lang w:val="en-US"/>
        </w:rPr>
        <w:t>Suchitepequez</w:t>
      </w:r>
      <w:proofErr w:type="spellEnd"/>
      <w:r w:rsidR="003C2AC6" w:rsidRPr="009F337B">
        <w:rPr>
          <w:i w:val="0"/>
          <w:szCs w:val="20"/>
          <w:lang w:val="en-US"/>
        </w:rPr>
        <w:t xml:space="preserve">, Guatemala. </w:t>
      </w:r>
      <w:r w:rsidR="008841F6" w:rsidRPr="009F337B">
        <w:rPr>
          <w:i w:val="0"/>
          <w:szCs w:val="20"/>
          <w:lang w:val="en-US"/>
        </w:rPr>
        <w:t>H</w:t>
      </w:r>
      <w:r w:rsidRPr="009F337B">
        <w:rPr>
          <w:i w:val="0"/>
          <w:szCs w:val="20"/>
          <w:lang w:val="en-US"/>
        </w:rPr>
        <w:t xml:space="preserve">e lived </w:t>
      </w:r>
      <w:r w:rsidR="008841F6" w:rsidRPr="009F337B">
        <w:rPr>
          <w:i w:val="0"/>
          <w:szCs w:val="20"/>
          <w:lang w:val="en-US"/>
        </w:rPr>
        <w:t>the</w:t>
      </w:r>
      <w:r w:rsidR="003C2AC6" w:rsidRPr="009F337B">
        <w:rPr>
          <w:i w:val="0"/>
          <w:szCs w:val="20"/>
          <w:lang w:val="en-US"/>
        </w:rPr>
        <w:t xml:space="preserve"> Buena Vista</w:t>
      </w:r>
      <w:r w:rsidR="008841F6" w:rsidRPr="009F337B">
        <w:rPr>
          <w:i w:val="0"/>
          <w:szCs w:val="20"/>
          <w:lang w:val="en-US"/>
        </w:rPr>
        <w:t xml:space="preserve"> Sector</w:t>
      </w:r>
      <w:r w:rsidR="003C2AC6" w:rsidRPr="009F337B">
        <w:rPr>
          <w:i w:val="0"/>
          <w:szCs w:val="20"/>
          <w:lang w:val="en-US"/>
        </w:rPr>
        <w:t xml:space="preserve">. </w:t>
      </w:r>
      <w:r w:rsidR="008841F6" w:rsidRPr="009F337B">
        <w:rPr>
          <w:i w:val="0"/>
          <w:szCs w:val="20"/>
          <w:lang w:val="en-US"/>
        </w:rPr>
        <w:t xml:space="preserve">He was a farmer and did not know how to read and write. </w:t>
      </w:r>
      <w:r w:rsidRPr="009F337B">
        <w:rPr>
          <w:i w:val="0"/>
          <w:szCs w:val="20"/>
          <w:lang w:val="en-US"/>
        </w:rPr>
        <w:t>He was diagnose</w:t>
      </w:r>
      <w:r w:rsidR="008841F6" w:rsidRPr="009F337B">
        <w:rPr>
          <w:i w:val="0"/>
          <w:szCs w:val="20"/>
          <w:lang w:val="en-US"/>
        </w:rPr>
        <w:t>d</w:t>
      </w:r>
      <w:r w:rsidR="003C2AC6" w:rsidRPr="009F337B">
        <w:rPr>
          <w:i w:val="0"/>
          <w:szCs w:val="20"/>
          <w:lang w:val="en-US"/>
        </w:rPr>
        <w:t xml:space="preserve"> </w:t>
      </w:r>
      <w:r w:rsidR="008841F6" w:rsidRPr="009F337B">
        <w:rPr>
          <w:i w:val="0"/>
          <w:szCs w:val="20"/>
          <w:lang w:val="en-US"/>
        </w:rPr>
        <w:t>in the</w:t>
      </w:r>
      <w:r w:rsidR="003C2AC6" w:rsidRPr="009F337B">
        <w:rPr>
          <w:i w:val="0"/>
          <w:szCs w:val="20"/>
          <w:lang w:val="en-US"/>
        </w:rPr>
        <w:t xml:space="preserve"> </w:t>
      </w:r>
      <w:proofErr w:type="spellStart"/>
      <w:r w:rsidR="003C2AC6" w:rsidRPr="009F337B">
        <w:rPr>
          <w:i w:val="0"/>
          <w:szCs w:val="20"/>
          <w:lang w:val="en-US"/>
        </w:rPr>
        <w:t>Mazatenango</w:t>
      </w:r>
      <w:proofErr w:type="spellEnd"/>
      <w:r w:rsidR="008841F6" w:rsidRPr="009F337B">
        <w:rPr>
          <w:i w:val="0"/>
          <w:szCs w:val="20"/>
          <w:lang w:val="en-US"/>
        </w:rPr>
        <w:t xml:space="preserve"> Hospital in 2003</w:t>
      </w:r>
      <w:r w:rsidR="003C2AC6" w:rsidRPr="009F337B">
        <w:rPr>
          <w:i w:val="0"/>
          <w:szCs w:val="20"/>
          <w:lang w:val="en-US"/>
        </w:rPr>
        <w:t xml:space="preserve">. </w:t>
      </w:r>
      <w:r w:rsidR="008841F6" w:rsidRPr="009F337B">
        <w:rPr>
          <w:i w:val="0"/>
          <w:szCs w:val="20"/>
          <w:lang w:val="en-US"/>
        </w:rPr>
        <w:t xml:space="preserve">He was registered with the </w:t>
      </w:r>
      <w:proofErr w:type="spellStart"/>
      <w:r w:rsidR="003C2AC6" w:rsidRPr="009F337B">
        <w:rPr>
          <w:i w:val="0"/>
          <w:szCs w:val="20"/>
          <w:lang w:val="en-US"/>
        </w:rPr>
        <w:t>Coatepeque</w:t>
      </w:r>
      <w:proofErr w:type="spellEnd"/>
      <w:r w:rsidR="008841F6" w:rsidRPr="009F337B">
        <w:rPr>
          <w:i w:val="0"/>
          <w:szCs w:val="20"/>
          <w:lang w:val="en-US"/>
        </w:rPr>
        <w:t xml:space="preserve"> National Hospital</w:t>
      </w:r>
      <w:r w:rsidR="003C2AC6" w:rsidRPr="009F337B">
        <w:rPr>
          <w:i w:val="0"/>
          <w:szCs w:val="20"/>
          <w:lang w:val="en-US"/>
        </w:rPr>
        <w:t xml:space="preserve">, </w:t>
      </w:r>
      <w:r w:rsidR="008841F6" w:rsidRPr="009F337B">
        <w:rPr>
          <w:i w:val="0"/>
          <w:szCs w:val="20"/>
          <w:lang w:val="en-US"/>
        </w:rPr>
        <w:t xml:space="preserve">with the MSF project, under which he began to receive </w:t>
      </w:r>
      <w:r w:rsidR="00FE1EFF" w:rsidRPr="009F337B">
        <w:rPr>
          <w:i w:val="0"/>
          <w:szCs w:val="20"/>
          <w:lang w:val="en-US"/>
        </w:rPr>
        <w:t>antiretroviral treatment</w:t>
      </w:r>
      <w:r w:rsidR="003C2AC6" w:rsidRPr="009F337B">
        <w:rPr>
          <w:i w:val="0"/>
          <w:szCs w:val="20"/>
          <w:lang w:val="en-US"/>
        </w:rPr>
        <w:t xml:space="preserve"> </w:t>
      </w:r>
      <w:r w:rsidR="008841F6" w:rsidRPr="009F337B">
        <w:rPr>
          <w:i w:val="0"/>
          <w:szCs w:val="20"/>
          <w:lang w:val="en-US"/>
        </w:rPr>
        <w:t>on June 9,</w:t>
      </w:r>
      <w:r w:rsidR="003C2AC6" w:rsidRPr="009F337B">
        <w:rPr>
          <w:i w:val="0"/>
          <w:szCs w:val="20"/>
          <w:lang w:val="en-US"/>
        </w:rPr>
        <w:t xml:space="preserve"> 2004. </w:t>
      </w:r>
      <w:r w:rsidR="008841F6" w:rsidRPr="009F337B">
        <w:rPr>
          <w:i w:val="0"/>
          <w:szCs w:val="20"/>
          <w:lang w:val="en-US"/>
        </w:rPr>
        <w:t>He</w:t>
      </w:r>
      <w:r w:rsidR="00CB1D32" w:rsidRPr="009F337B">
        <w:rPr>
          <w:i w:val="0"/>
          <w:szCs w:val="20"/>
          <w:lang w:val="en-US"/>
        </w:rPr>
        <w:t xml:space="preserve"> suffered from</w:t>
      </w:r>
      <w:r w:rsidR="003C2AC6" w:rsidRPr="009F337B">
        <w:rPr>
          <w:i w:val="0"/>
          <w:szCs w:val="20"/>
          <w:lang w:val="en-US"/>
        </w:rPr>
        <w:t xml:space="preserve"> anorexia, </w:t>
      </w:r>
      <w:r w:rsidR="00B23B9B" w:rsidRPr="009F337B">
        <w:rPr>
          <w:i w:val="0"/>
          <w:szCs w:val="20"/>
          <w:lang w:val="en-US"/>
        </w:rPr>
        <w:t>pharyngitis</w:t>
      </w:r>
      <w:r w:rsidR="003C2AC6" w:rsidRPr="009F337B">
        <w:rPr>
          <w:i w:val="0"/>
          <w:szCs w:val="20"/>
          <w:lang w:val="en-US"/>
        </w:rPr>
        <w:t>, m</w:t>
      </w:r>
      <w:r w:rsidR="008841F6" w:rsidRPr="009F337B">
        <w:rPr>
          <w:i w:val="0"/>
          <w:szCs w:val="20"/>
          <w:lang w:val="en-US"/>
        </w:rPr>
        <w:t>y</w:t>
      </w:r>
      <w:r w:rsidR="003C2AC6" w:rsidRPr="009F337B">
        <w:rPr>
          <w:i w:val="0"/>
          <w:szCs w:val="20"/>
          <w:lang w:val="en-US"/>
        </w:rPr>
        <w:t xml:space="preserve">cosis, </w:t>
      </w:r>
      <w:r w:rsidR="008841F6" w:rsidRPr="009F337B">
        <w:rPr>
          <w:i w:val="0"/>
          <w:szCs w:val="20"/>
          <w:lang w:val="en-US"/>
        </w:rPr>
        <w:t>syphilis</w:t>
      </w:r>
      <w:r w:rsidR="003C46A3" w:rsidRPr="009F337B">
        <w:rPr>
          <w:i w:val="0"/>
          <w:szCs w:val="20"/>
          <w:lang w:val="en-US"/>
        </w:rPr>
        <w:t xml:space="preserve"> and </w:t>
      </w:r>
      <w:r w:rsidR="008841F6" w:rsidRPr="009F337B">
        <w:rPr>
          <w:i w:val="0"/>
          <w:szCs w:val="20"/>
          <w:lang w:val="en-US"/>
        </w:rPr>
        <w:t xml:space="preserve">genital </w:t>
      </w:r>
      <w:r w:rsidR="003C2AC6" w:rsidRPr="009F337B">
        <w:rPr>
          <w:i w:val="0"/>
          <w:szCs w:val="20"/>
          <w:lang w:val="en-US"/>
        </w:rPr>
        <w:t xml:space="preserve">herpes. </w:t>
      </w:r>
      <w:r w:rsidR="008841F6" w:rsidRPr="009F337B">
        <w:rPr>
          <w:i w:val="0"/>
          <w:szCs w:val="20"/>
          <w:lang w:val="en-US"/>
        </w:rPr>
        <w:t>He did not undergo</w:t>
      </w:r>
      <w:r w:rsidR="003C2AC6" w:rsidRPr="009F337B">
        <w:rPr>
          <w:i w:val="0"/>
          <w:szCs w:val="20"/>
          <w:lang w:val="en-US"/>
        </w:rPr>
        <w:t xml:space="preserve"> CD4</w:t>
      </w:r>
      <w:r w:rsidR="008841F6" w:rsidRPr="009F337B">
        <w:rPr>
          <w:i w:val="0"/>
          <w:szCs w:val="20"/>
          <w:lang w:val="en-US"/>
        </w:rPr>
        <w:t xml:space="preserve"> counts regularly and he was not tested for viral load. His partner left him owing to his illness</w:t>
      </w:r>
      <w:r w:rsidR="00517071" w:rsidRPr="009F337B">
        <w:rPr>
          <w:i w:val="0"/>
          <w:szCs w:val="20"/>
          <w:lang w:val="en-US"/>
        </w:rPr>
        <w:t>;</w:t>
      </w:r>
      <w:r w:rsidR="008841F6" w:rsidRPr="009F337B">
        <w:rPr>
          <w:i w:val="0"/>
          <w:szCs w:val="20"/>
          <w:lang w:val="en-US"/>
        </w:rPr>
        <w:t xml:space="preserve"> his four children also left him, and </w:t>
      </w:r>
      <w:r w:rsidR="00517071" w:rsidRPr="009F337B">
        <w:rPr>
          <w:i w:val="0"/>
          <w:szCs w:val="20"/>
          <w:lang w:val="en-US"/>
        </w:rPr>
        <w:t xml:space="preserve">when he went out </w:t>
      </w:r>
      <w:r w:rsidR="008841F6" w:rsidRPr="009F337B">
        <w:rPr>
          <w:i w:val="0"/>
          <w:szCs w:val="20"/>
          <w:lang w:val="en-US"/>
        </w:rPr>
        <w:t>people</w:t>
      </w:r>
      <w:r w:rsidR="00517071" w:rsidRPr="009F337B">
        <w:rPr>
          <w:i w:val="0"/>
          <w:szCs w:val="20"/>
          <w:lang w:val="en-US"/>
        </w:rPr>
        <w:t xml:space="preserve"> on the street</w:t>
      </w:r>
      <w:r w:rsidR="008841F6" w:rsidRPr="009F337B">
        <w:rPr>
          <w:i w:val="0"/>
          <w:szCs w:val="20"/>
          <w:lang w:val="en-US"/>
        </w:rPr>
        <w:t xml:space="preserve"> called him</w:t>
      </w:r>
      <w:r w:rsidR="003C2AC6" w:rsidRPr="009F337B">
        <w:rPr>
          <w:i w:val="0"/>
          <w:szCs w:val="20"/>
          <w:lang w:val="en-US"/>
        </w:rPr>
        <w:t xml:space="preserve"> “</w:t>
      </w:r>
      <w:proofErr w:type="spellStart"/>
      <w:r w:rsidR="003C2AC6" w:rsidRPr="009F337B">
        <w:rPr>
          <w:szCs w:val="20"/>
          <w:lang w:val="en-US"/>
        </w:rPr>
        <w:t>sidoso</w:t>
      </w:r>
      <w:proofErr w:type="spellEnd"/>
      <w:r w:rsidR="003C2AC6" w:rsidRPr="009F337B">
        <w:rPr>
          <w:i w:val="0"/>
          <w:szCs w:val="20"/>
          <w:lang w:val="en-US"/>
        </w:rPr>
        <w:t>”</w:t>
      </w:r>
      <w:r w:rsidR="008841F6" w:rsidRPr="009F337B">
        <w:rPr>
          <w:i w:val="0"/>
          <w:szCs w:val="20"/>
          <w:lang w:val="en-US"/>
        </w:rPr>
        <w:t xml:space="preserve"> [Note: SIDA is the Spanish for HIV]</w:t>
      </w:r>
      <w:r w:rsidR="003C2AC6" w:rsidRPr="009F337B">
        <w:rPr>
          <w:i w:val="0"/>
          <w:szCs w:val="20"/>
          <w:lang w:val="en-US"/>
        </w:rPr>
        <w:t xml:space="preserve">. </w:t>
      </w:r>
      <w:r w:rsidR="008841F6" w:rsidRPr="009F337B">
        <w:rPr>
          <w:i w:val="0"/>
          <w:szCs w:val="20"/>
          <w:lang w:val="en-US"/>
        </w:rPr>
        <w:t>He d</w:t>
      </w:r>
      <w:r w:rsidR="00CB1D32" w:rsidRPr="009F337B">
        <w:rPr>
          <w:i w:val="0"/>
          <w:szCs w:val="20"/>
          <w:lang w:val="en-US"/>
        </w:rPr>
        <w:t>ied</w:t>
      </w:r>
      <w:r w:rsidR="003C2AC6" w:rsidRPr="009F337B">
        <w:rPr>
          <w:i w:val="0"/>
          <w:szCs w:val="20"/>
          <w:lang w:val="en-US"/>
        </w:rPr>
        <w:t xml:space="preserve"> </w:t>
      </w:r>
      <w:r w:rsidR="008841F6" w:rsidRPr="009F337B">
        <w:rPr>
          <w:i w:val="0"/>
          <w:szCs w:val="20"/>
          <w:lang w:val="en-US"/>
        </w:rPr>
        <w:t>of asphyxiation due to drowning on January 8,</w:t>
      </w:r>
      <w:r w:rsidR="003C2AC6" w:rsidRPr="009F337B">
        <w:rPr>
          <w:i w:val="0"/>
          <w:szCs w:val="20"/>
          <w:lang w:val="en-US"/>
        </w:rPr>
        <w:t xml:space="preserve"> 2013</w:t>
      </w:r>
      <w:r w:rsidR="008841F6" w:rsidRPr="009F337B">
        <w:rPr>
          <w:i w:val="0"/>
          <w:szCs w:val="20"/>
          <w:lang w:val="en-US"/>
        </w:rPr>
        <w:t>.</w:t>
      </w:r>
      <w:r w:rsidR="003C2AC6" w:rsidRPr="009F337B">
        <w:rPr>
          <w:rStyle w:val="Refdenotaalpie"/>
          <w:i w:val="0"/>
          <w:lang w:val="en-US"/>
        </w:rPr>
        <w:footnoteReference w:id="288"/>
      </w:r>
    </w:p>
    <w:p w14:paraId="5574B7FF" w14:textId="77777777" w:rsidR="003C2AC6" w:rsidRPr="009F337B" w:rsidRDefault="003C2AC6" w:rsidP="003C2AC6">
      <w:pPr>
        <w:pStyle w:val="Estilo1"/>
        <w:tabs>
          <w:tab w:val="left" w:pos="709"/>
          <w:tab w:val="left" w:pos="1134"/>
        </w:tabs>
        <w:spacing w:after="0"/>
        <w:ind w:left="0" w:right="-4" w:firstLine="0"/>
        <w:rPr>
          <w:i w:val="0"/>
          <w:szCs w:val="20"/>
          <w:lang w:val="en-US"/>
        </w:rPr>
      </w:pPr>
    </w:p>
    <w:p w14:paraId="79C39BF5" w14:textId="31F51EE1" w:rsidR="003C2AC6" w:rsidRPr="009F337B" w:rsidRDefault="00AF1AFB" w:rsidP="00593E37">
      <w:pPr>
        <w:pStyle w:val="Estilo1"/>
        <w:numPr>
          <w:ilvl w:val="0"/>
          <w:numId w:val="5"/>
        </w:numPr>
        <w:tabs>
          <w:tab w:val="left" w:pos="709"/>
          <w:tab w:val="left" w:pos="1134"/>
        </w:tabs>
        <w:spacing w:after="0"/>
        <w:ind w:left="0" w:right="-4" w:firstLine="0"/>
        <w:rPr>
          <w:i w:val="0"/>
          <w:szCs w:val="20"/>
          <w:lang w:val="en-US"/>
        </w:rPr>
      </w:pPr>
      <w:r w:rsidRPr="009F337B">
        <w:rPr>
          <w:i w:val="0"/>
          <w:szCs w:val="20"/>
          <w:lang w:val="en-US"/>
        </w:rPr>
        <w:t>H</w:t>
      </w:r>
      <w:r w:rsidR="008841F6" w:rsidRPr="009F337B">
        <w:rPr>
          <w:i w:val="0"/>
          <w:szCs w:val="20"/>
          <w:lang w:val="en-US"/>
        </w:rPr>
        <w:t>is</w:t>
      </w:r>
      <w:r w:rsidRPr="009F337B">
        <w:rPr>
          <w:i w:val="0"/>
          <w:szCs w:val="20"/>
          <w:lang w:val="en-US"/>
        </w:rPr>
        <w:t xml:space="preserve"> family unit consisted of </w:t>
      </w:r>
      <w:r w:rsidR="008841F6" w:rsidRPr="009F337B">
        <w:rPr>
          <w:i w:val="0"/>
          <w:szCs w:val="20"/>
          <w:lang w:val="en-US"/>
        </w:rPr>
        <w:t>his cousins</w:t>
      </w:r>
      <w:r w:rsidR="003C2AC6" w:rsidRPr="009F337B">
        <w:rPr>
          <w:i w:val="0"/>
          <w:szCs w:val="20"/>
          <w:lang w:val="en-US"/>
        </w:rPr>
        <w:t xml:space="preserve"> Victoria Ramírez Ramos</w:t>
      </w:r>
      <w:r w:rsidR="008841F6" w:rsidRPr="009F337B">
        <w:rPr>
          <w:i w:val="0"/>
          <w:szCs w:val="20"/>
          <w:lang w:val="en-US"/>
        </w:rPr>
        <w:t xml:space="preserve"> and </w:t>
      </w:r>
      <w:proofErr w:type="spellStart"/>
      <w:r w:rsidR="003C2AC6" w:rsidRPr="009F337B">
        <w:rPr>
          <w:i w:val="0"/>
          <w:szCs w:val="20"/>
          <w:lang w:val="en-US"/>
        </w:rPr>
        <w:t>Valvino</w:t>
      </w:r>
      <w:proofErr w:type="spellEnd"/>
      <w:r w:rsidR="003C2AC6" w:rsidRPr="009F337B">
        <w:rPr>
          <w:i w:val="0"/>
          <w:szCs w:val="20"/>
          <w:lang w:val="en-US"/>
        </w:rPr>
        <w:t xml:space="preserve"> Ramírez </w:t>
      </w:r>
      <w:proofErr w:type="spellStart"/>
      <w:r w:rsidR="003C2AC6" w:rsidRPr="009F337B">
        <w:rPr>
          <w:i w:val="0"/>
          <w:szCs w:val="20"/>
          <w:lang w:val="en-US"/>
        </w:rPr>
        <w:t>Sabat</w:t>
      </w:r>
      <w:proofErr w:type="spellEnd"/>
      <w:r w:rsidR="003C46A3" w:rsidRPr="009F337B">
        <w:rPr>
          <w:i w:val="0"/>
          <w:szCs w:val="20"/>
          <w:lang w:val="en-US"/>
        </w:rPr>
        <w:t xml:space="preserve"> and </w:t>
      </w:r>
      <w:r w:rsidR="008841F6" w:rsidRPr="009F337B">
        <w:rPr>
          <w:i w:val="0"/>
          <w:szCs w:val="20"/>
          <w:lang w:val="en-US"/>
        </w:rPr>
        <w:t>his uncle</w:t>
      </w:r>
      <w:r w:rsidR="003C2AC6" w:rsidRPr="009F337B">
        <w:rPr>
          <w:i w:val="0"/>
          <w:szCs w:val="20"/>
          <w:lang w:val="en-US"/>
        </w:rPr>
        <w:t xml:space="preserve"> </w:t>
      </w:r>
      <w:proofErr w:type="spellStart"/>
      <w:r w:rsidR="003C2AC6" w:rsidRPr="009F337B">
        <w:rPr>
          <w:i w:val="0"/>
          <w:szCs w:val="20"/>
          <w:lang w:val="en-US"/>
        </w:rPr>
        <w:t>Valvino</w:t>
      </w:r>
      <w:proofErr w:type="spellEnd"/>
      <w:r w:rsidR="003C2AC6" w:rsidRPr="009F337B">
        <w:rPr>
          <w:i w:val="0"/>
          <w:szCs w:val="20"/>
          <w:lang w:val="en-US"/>
        </w:rPr>
        <w:t xml:space="preserve"> Ramírez Ramos</w:t>
      </w:r>
      <w:r w:rsidR="008841F6" w:rsidRPr="009F337B">
        <w:rPr>
          <w:i w:val="0"/>
          <w:szCs w:val="20"/>
          <w:lang w:val="en-US"/>
        </w:rPr>
        <w:t>.</w:t>
      </w:r>
      <w:r w:rsidR="003C2AC6" w:rsidRPr="009F337B">
        <w:rPr>
          <w:rStyle w:val="Refdenotaalpie"/>
          <w:i w:val="0"/>
          <w:lang w:val="en-US"/>
        </w:rPr>
        <w:footnoteReference w:id="289"/>
      </w:r>
    </w:p>
    <w:p w14:paraId="6042FC8A" w14:textId="77777777" w:rsidR="003C2AC6" w:rsidRPr="009F337B" w:rsidRDefault="003C2AC6" w:rsidP="003C2AC6">
      <w:pPr>
        <w:pStyle w:val="PrrafodeSentencia"/>
        <w:rPr>
          <w:lang w:val="en-US"/>
        </w:rPr>
      </w:pPr>
    </w:p>
    <w:p w14:paraId="04DF219D" w14:textId="206C998F" w:rsidR="003C2AC6" w:rsidRPr="009F337B" w:rsidRDefault="003C2AC6" w:rsidP="003C2AC6">
      <w:pPr>
        <w:pStyle w:val="PrrafodeSentencia"/>
        <w:rPr>
          <w:lang w:val="en-US"/>
        </w:rPr>
      </w:pPr>
      <w:r w:rsidRPr="009F337B">
        <w:rPr>
          <w:lang w:val="en-US"/>
        </w:rPr>
        <w:t xml:space="preserve">B. </w:t>
      </w:r>
      <w:r w:rsidR="003C46A3" w:rsidRPr="009F337B">
        <w:rPr>
          <w:lang w:val="en-US"/>
        </w:rPr>
        <w:t>Presumed victims</w:t>
      </w:r>
      <w:r w:rsidRPr="009F337B">
        <w:rPr>
          <w:lang w:val="en-US"/>
        </w:rPr>
        <w:t xml:space="preserve"> </w:t>
      </w:r>
      <w:r w:rsidR="008841F6" w:rsidRPr="009F337B">
        <w:rPr>
          <w:lang w:val="en-US"/>
        </w:rPr>
        <w:t>who are alive</w:t>
      </w:r>
    </w:p>
    <w:p w14:paraId="7F193197" w14:textId="77777777" w:rsidR="003C2AC6" w:rsidRPr="009F337B" w:rsidRDefault="003C2AC6" w:rsidP="003C2AC6">
      <w:pPr>
        <w:pStyle w:val="PrrafodeSentencia"/>
        <w:rPr>
          <w:lang w:val="en-US"/>
        </w:rPr>
      </w:pPr>
    </w:p>
    <w:p w14:paraId="0490587B" w14:textId="77777777" w:rsidR="003C2AC6" w:rsidRPr="009F337B" w:rsidRDefault="003C2AC6" w:rsidP="003C2AC6">
      <w:pPr>
        <w:pStyle w:val="PrrafodeSentencia"/>
        <w:rPr>
          <w:lang w:val="en-US"/>
        </w:rPr>
      </w:pPr>
      <w:r w:rsidRPr="009F337B">
        <w:rPr>
          <w:lang w:val="en-US"/>
        </w:rPr>
        <w:tab/>
        <w:t>B.1. Sebastián Emilio Dueñas</w:t>
      </w:r>
    </w:p>
    <w:p w14:paraId="309F2C71" w14:textId="1242F52D" w:rsidR="003C2AC6" w:rsidRPr="009F337B" w:rsidRDefault="007F1AEB" w:rsidP="00593E37">
      <w:pPr>
        <w:pStyle w:val="Estilo1"/>
        <w:numPr>
          <w:ilvl w:val="0"/>
          <w:numId w:val="5"/>
        </w:numPr>
        <w:tabs>
          <w:tab w:val="left" w:pos="709"/>
          <w:tab w:val="left" w:pos="1134"/>
        </w:tabs>
        <w:spacing w:before="240" w:after="0"/>
        <w:ind w:left="0" w:right="-4" w:firstLine="0"/>
        <w:rPr>
          <w:i w:val="0"/>
          <w:szCs w:val="20"/>
          <w:lang w:val="en-US"/>
        </w:rPr>
      </w:pPr>
      <w:r w:rsidRPr="009F337B">
        <w:rPr>
          <w:i w:val="0"/>
          <w:szCs w:val="20"/>
          <w:lang w:val="en-US"/>
        </w:rPr>
        <w:t>Mr.</w:t>
      </w:r>
      <w:r w:rsidR="003C2AC6" w:rsidRPr="009F337B">
        <w:rPr>
          <w:i w:val="0"/>
          <w:szCs w:val="20"/>
          <w:lang w:val="en-US"/>
        </w:rPr>
        <w:t xml:space="preserve"> </w:t>
      </w:r>
      <w:proofErr w:type="spellStart"/>
      <w:r w:rsidR="003C2AC6" w:rsidRPr="009F337B">
        <w:rPr>
          <w:i w:val="0"/>
          <w:szCs w:val="20"/>
          <w:lang w:val="en-US"/>
        </w:rPr>
        <w:t>Dueñas</w:t>
      </w:r>
      <w:proofErr w:type="spellEnd"/>
      <w:r w:rsidR="003C2AC6" w:rsidRPr="009F337B">
        <w:rPr>
          <w:i w:val="0"/>
          <w:szCs w:val="20"/>
          <w:lang w:val="en-US"/>
        </w:rPr>
        <w:t xml:space="preserve"> </w:t>
      </w:r>
      <w:r w:rsidR="00A758A5" w:rsidRPr="009F337B">
        <w:rPr>
          <w:i w:val="0"/>
          <w:szCs w:val="20"/>
          <w:lang w:val="en-US"/>
        </w:rPr>
        <w:t>was born in</w:t>
      </w:r>
      <w:r w:rsidR="00805FE9" w:rsidRPr="009F337B">
        <w:rPr>
          <w:i w:val="0"/>
          <w:szCs w:val="20"/>
          <w:lang w:val="en-US"/>
        </w:rPr>
        <w:t xml:space="preserve"> the </w:t>
      </w:r>
      <w:r w:rsidR="00D85CA7" w:rsidRPr="009F337B">
        <w:rPr>
          <w:i w:val="0"/>
          <w:szCs w:val="20"/>
          <w:lang w:val="en-US"/>
        </w:rPr>
        <w:t>municipality of</w:t>
      </w:r>
      <w:r w:rsidR="003C2AC6" w:rsidRPr="009F337B">
        <w:rPr>
          <w:i w:val="0"/>
          <w:szCs w:val="20"/>
          <w:lang w:val="en-US"/>
        </w:rPr>
        <w:t xml:space="preserve"> </w:t>
      </w:r>
      <w:r w:rsidR="00F87540" w:rsidRPr="009F337B">
        <w:rPr>
          <w:i w:val="0"/>
          <w:szCs w:val="20"/>
          <w:lang w:val="en-US"/>
        </w:rPr>
        <w:t>Retalhuleu</w:t>
      </w:r>
      <w:r w:rsidR="003C2AC6" w:rsidRPr="009F337B">
        <w:rPr>
          <w:i w:val="0"/>
          <w:szCs w:val="20"/>
          <w:lang w:val="en-US"/>
        </w:rPr>
        <w:t xml:space="preserve">, </w:t>
      </w:r>
      <w:r w:rsidR="003E1304" w:rsidRPr="009F337B">
        <w:rPr>
          <w:i w:val="0"/>
          <w:szCs w:val="20"/>
          <w:lang w:val="en-US"/>
        </w:rPr>
        <w:t>department of</w:t>
      </w:r>
      <w:r w:rsidR="003C2AC6" w:rsidRPr="009F337B">
        <w:rPr>
          <w:i w:val="0"/>
          <w:szCs w:val="20"/>
          <w:lang w:val="en-US"/>
        </w:rPr>
        <w:t xml:space="preserve"> Retalhuleu, Guatemala</w:t>
      </w:r>
      <w:r w:rsidR="00A758A5" w:rsidRPr="009F337B">
        <w:rPr>
          <w:i w:val="0"/>
          <w:szCs w:val="20"/>
          <w:lang w:val="en-US"/>
        </w:rPr>
        <w:t xml:space="preserve">, </w:t>
      </w:r>
      <w:r w:rsidR="0084040D" w:rsidRPr="009F337B">
        <w:rPr>
          <w:i w:val="0"/>
          <w:szCs w:val="20"/>
          <w:lang w:val="en-US"/>
        </w:rPr>
        <w:t>on</w:t>
      </w:r>
      <w:r w:rsidR="003C2AC6" w:rsidRPr="009F337B">
        <w:rPr>
          <w:i w:val="0"/>
          <w:szCs w:val="20"/>
          <w:lang w:val="en-US"/>
        </w:rPr>
        <w:t xml:space="preserve"> </w:t>
      </w:r>
      <w:r w:rsidR="00A758A5" w:rsidRPr="009F337B">
        <w:rPr>
          <w:i w:val="0"/>
          <w:szCs w:val="20"/>
          <w:lang w:val="en-US"/>
        </w:rPr>
        <w:t>January 18,</w:t>
      </w:r>
      <w:r w:rsidR="003C2AC6" w:rsidRPr="009F337B">
        <w:rPr>
          <w:i w:val="0"/>
          <w:szCs w:val="20"/>
          <w:lang w:val="en-US"/>
        </w:rPr>
        <w:t xml:space="preserve"> 1955. </w:t>
      </w:r>
      <w:r w:rsidR="00A758A5" w:rsidRPr="009F337B">
        <w:rPr>
          <w:i w:val="0"/>
          <w:szCs w:val="20"/>
          <w:lang w:val="en-US"/>
        </w:rPr>
        <w:t>He l</w:t>
      </w:r>
      <w:r w:rsidR="00D85CA7" w:rsidRPr="009F337B">
        <w:rPr>
          <w:i w:val="0"/>
          <w:szCs w:val="20"/>
          <w:lang w:val="en-US"/>
        </w:rPr>
        <w:t>ives in</w:t>
      </w:r>
      <w:r w:rsidR="003C2AC6" w:rsidRPr="009F337B">
        <w:rPr>
          <w:i w:val="0"/>
          <w:szCs w:val="20"/>
          <w:lang w:val="en-US"/>
        </w:rPr>
        <w:t xml:space="preserve"> </w:t>
      </w:r>
      <w:r w:rsidR="00A758A5" w:rsidRPr="009F337B">
        <w:rPr>
          <w:i w:val="0"/>
          <w:szCs w:val="20"/>
          <w:lang w:val="en-US"/>
        </w:rPr>
        <w:t>the village of</w:t>
      </w:r>
      <w:r w:rsidR="003C2AC6" w:rsidRPr="009F337B">
        <w:rPr>
          <w:i w:val="0"/>
          <w:szCs w:val="20"/>
          <w:lang w:val="en-US"/>
        </w:rPr>
        <w:t xml:space="preserve"> </w:t>
      </w:r>
      <w:proofErr w:type="spellStart"/>
      <w:r w:rsidR="003C2AC6" w:rsidRPr="009F337B">
        <w:rPr>
          <w:i w:val="0"/>
          <w:szCs w:val="20"/>
          <w:lang w:val="en-US"/>
        </w:rPr>
        <w:t>Xab</w:t>
      </w:r>
      <w:proofErr w:type="spellEnd"/>
      <w:r w:rsidR="003C2AC6" w:rsidRPr="009F337B">
        <w:rPr>
          <w:i w:val="0"/>
          <w:szCs w:val="20"/>
          <w:lang w:val="en-US"/>
        </w:rPr>
        <w:t xml:space="preserve"> del </w:t>
      </w:r>
      <w:proofErr w:type="spellStart"/>
      <w:r w:rsidR="003C2AC6" w:rsidRPr="009F337B">
        <w:rPr>
          <w:i w:val="0"/>
          <w:szCs w:val="20"/>
          <w:lang w:val="en-US"/>
        </w:rPr>
        <w:t>Asintal</w:t>
      </w:r>
      <w:proofErr w:type="spellEnd"/>
      <w:r w:rsidR="003C2AC6" w:rsidRPr="009F337B">
        <w:rPr>
          <w:i w:val="0"/>
          <w:szCs w:val="20"/>
          <w:lang w:val="en-US"/>
        </w:rPr>
        <w:t xml:space="preserve">, Retalhuleu. </w:t>
      </w:r>
      <w:r w:rsidR="00A758A5" w:rsidRPr="009F337B">
        <w:rPr>
          <w:i w:val="0"/>
          <w:szCs w:val="20"/>
          <w:lang w:val="en-US"/>
        </w:rPr>
        <w:t>H</w:t>
      </w:r>
      <w:r w:rsidR="00863581" w:rsidRPr="009F337B">
        <w:rPr>
          <w:i w:val="0"/>
          <w:szCs w:val="20"/>
          <w:lang w:val="en-US"/>
        </w:rPr>
        <w:t>is</w:t>
      </w:r>
      <w:r w:rsidR="00A758A5" w:rsidRPr="009F337B">
        <w:rPr>
          <w:i w:val="0"/>
          <w:szCs w:val="20"/>
          <w:lang w:val="en-US"/>
        </w:rPr>
        <w:t xml:space="preserve"> schooling ended after third year of primary education</w:t>
      </w:r>
      <w:r w:rsidR="003C2AC6" w:rsidRPr="009F337B">
        <w:rPr>
          <w:i w:val="0"/>
          <w:szCs w:val="20"/>
          <w:lang w:val="en-US"/>
        </w:rPr>
        <w:t xml:space="preserve">. </w:t>
      </w:r>
      <w:r w:rsidRPr="009F337B">
        <w:rPr>
          <w:i w:val="0"/>
          <w:szCs w:val="20"/>
          <w:lang w:val="en-US"/>
        </w:rPr>
        <w:t>He was diagnose</w:t>
      </w:r>
      <w:r w:rsidR="00A758A5" w:rsidRPr="009F337B">
        <w:rPr>
          <w:i w:val="0"/>
          <w:szCs w:val="20"/>
          <w:lang w:val="en-US"/>
        </w:rPr>
        <w:t>d</w:t>
      </w:r>
      <w:r w:rsidR="003C2AC6" w:rsidRPr="009F337B">
        <w:rPr>
          <w:i w:val="0"/>
          <w:szCs w:val="20"/>
          <w:lang w:val="en-US"/>
        </w:rPr>
        <w:t xml:space="preserve"> </w:t>
      </w:r>
      <w:r w:rsidR="00A758A5" w:rsidRPr="009F337B">
        <w:rPr>
          <w:i w:val="0"/>
          <w:szCs w:val="20"/>
          <w:lang w:val="en-US"/>
        </w:rPr>
        <w:t>with</w:t>
      </w:r>
      <w:r w:rsidR="003C2AC6" w:rsidRPr="009F337B">
        <w:rPr>
          <w:i w:val="0"/>
          <w:szCs w:val="20"/>
          <w:lang w:val="en-US"/>
        </w:rPr>
        <w:t xml:space="preserve"> </w:t>
      </w:r>
      <w:r w:rsidR="00CA11F6" w:rsidRPr="009F337B">
        <w:rPr>
          <w:i w:val="0"/>
          <w:szCs w:val="20"/>
          <w:lang w:val="en-US"/>
        </w:rPr>
        <w:t>HIV</w:t>
      </w:r>
      <w:r w:rsidR="003C2AC6" w:rsidRPr="009F337B">
        <w:rPr>
          <w:i w:val="0"/>
          <w:szCs w:val="20"/>
          <w:lang w:val="en-US"/>
        </w:rPr>
        <w:t xml:space="preserve"> </w:t>
      </w:r>
      <w:r w:rsidR="00A758A5" w:rsidRPr="009F337B">
        <w:rPr>
          <w:i w:val="0"/>
          <w:szCs w:val="20"/>
          <w:lang w:val="en-US"/>
        </w:rPr>
        <w:t>in</w:t>
      </w:r>
      <w:r w:rsidR="003C2AC6" w:rsidRPr="009F337B">
        <w:rPr>
          <w:i w:val="0"/>
          <w:szCs w:val="20"/>
          <w:lang w:val="en-US"/>
        </w:rPr>
        <w:t xml:space="preserve"> 2002 </w:t>
      </w:r>
      <w:r w:rsidR="00A758A5" w:rsidRPr="009F337B">
        <w:rPr>
          <w:i w:val="0"/>
          <w:szCs w:val="20"/>
          <w:lang w:val="en-US"/>
        </w:rPr>
        <w:t xml:space="preserve">by a private laboratory. Before his diagnosis he was a farmer and now he is a tradesman. He began his </w:t>
      </w:r>
      <w:r w:rsidR="00FE1EFF" w:rsidRPr="009F337B">
        <w:rPr>
          <w:i w:val="0"/>
          <w:szCs w:val="20"/>
          <w:lang w:val="en-US"/>
        </w:rPr>
        <w:t>antiretroviral treatment</w:t>
      </w:r>
      <w:r w:rsidR="003C2AC6" w:rsidRPr="009F337B">
        <w:rPr>
          <w:i w:val="0"/>
          <w:szCs w:val="20"/>
          <w:lang w:val="en-US"/>
        </w:rPr>
        <w:t xml:space="preserve"> </w:t>
      </w:r>
      <w:r w:rsidR="00A758A5" w:rsidRPr="009F337B">
        <w:rPr>
          <w:i w:val="0"/>
          <w:szCs w:val="20"/>
          <w:lang w:val="en-US"/>
        </w:rPr>
        <w:t xml:space="preserve">with MSF’s </w:t>
      </w:r>
      <w:r w:rsidR="00AE674B" w:rsidRPr="009F337B">
        <w:rPr>
          <w:szCs w:val="20"/>
          <w:lang w:val="en-US"/>
        </w:rPr>
        <w:t>Proyecto Vida</w:t>
      </w:r>
      <w:r w:rsidR="003C2AC6" w:rsidRPr="009F337B">
        <w:rPr>
          <w:i w:val="0"/>
          <w:szCs w:val="20"/>
          <w:lang w:val="en-US"/>
        </w:rPr>
        <w:t xml:space="preserve"> </w:t>
      </w:r>
      <w:r w:rsidR="00A758A5" w:rsidRPr="009F337B">
        <w:rPr>
          <w:i w:val="0"/>
          <w:szCs w:val="20"/>
          <w:lang w:val="en-US"/>
        </w:rPr>
        <w:t>on December 12,</w:t>
      </w:r>
      <w:r w:rsidR="003C2AC6" w:rsidRPr="009F337B">
        <w:rPr>
          <w:i w:val="0"/>
          <w:szCs w:val="20"/>
          <w:lang w:val="en-US"/>
        </w:rPr>
        <w:t xml:space="preserve"> 2002. </w:t>
      </w:r>
      <w:r w:rsidR="00A758A5" w:rsidRPr="009F337B">
        <w:rPr>
          <w:i w:val="0"/>
          <w:szCs w:val="20"/>
          <w:lang w:val="en-US"/>
        </w:rPr>
        <w:t xml:space="preserve">Subsequently, he was transferred to Clinic No. 12 of the </w:t>
      </w:r>
      <w:proofErr w:type="spellStart"/>
      <w:r w:rsidR="003B5D80" w:rsidRPr="009F337B">
        <w:rPr>
          <w:i w:val="0"/>
          <w:szCs w:val="20"/>
          <w:lang w:val="en-US"/>
        </w:rPr>
        <w:t>Coatepeque</w:t>
      </w:r>
      <w:proofErr w:type="spellEnd"/>
      <w:r w:rsidR="003B5D80" w:rsidRPr="009F337B">
        <w:rPr>
          <w:i w:val="0"/>
          <w:szCs w:val="20"/>
          <w:lang w:val="en-US"/>
        </w:rPr>
        <w:t xml:space="preserve"> Hospital</w:t>
      </w:r>
      <w:r w:rsidR="003C2AC6" w:rsidRPr="009F337B">
        <w:rPr>
          <w:i w:val="0"/>
          <w:szCs w:val="20"/>
          <w:lang w:val="en-US"/>
        </w:rPr>
        <w:t xml:space="preserve">. </w:t>
      </w:r>
      <w:r w:rsidR="00A758A5" w:rsidRPr="009F337B">
        <w:rPr>
          <w:i w:val="0"/>
          <w:szCs w:val="20"/>
          <w:lang w:val="en-US"/>
        </w:rPr>
        <w:t xml:space="preserve">He has not had regular </w:t>
      </w:r>
      <w:r w:rsidR="00517071" w:rsidRPr="009F337B">
        <w:rPr>
          <w:i w:val="0"/>
          <w:szCs w:val="20"/>
          <w:lang w:val="en-US"/>
        </w:rPr>
        <w:t>a</w:t>
      </w:r>
      <w:r w:rsidR="00A758A5" w:rsidRPr="009F337B">
        <w:rPr>
          <w:i w:val="0"/>
          <w:szCs w:val="20"/>
          <w:lang w:val="en-US"/>
        </w:rPr>
        <w:t xml:space="preserve">ccess to CD4 counts, viral load tests or treatment for </w:t>
      </w:r>
      <w:r w:rsidR="0081563D" w:rsidRPr="009F337B">
        <w:rPr>
          <w:i w:val="0"/>
          <w:szCs w:val="20"/>
          <w:lang w:val="en-US"/>
        </w:rPr>
        <w:t>opportunistic diseases</w:t>
      </w:r>
      <w:r w:rsidR="003C2AC6" w:rsidRPr="009F337B">
        <w:rPr>
          <w:i w:val="0"/>
          <w:szCs w:val="20"/>
          <w:lang w:val="en-US"/>
        </w:rPr>
        <w:t xml:space="preserve">, </w:t>
      </w:r>
      <w:r w:rsidR="00A758A5" w:rsidRPr="009F337B">
        <w:rPr>
          <w:i w:val="0"/>
          <w:szCs w:val="20"/>
          <w:lang w:val="en-US"/>
        </w:rPr>
        <w:t>which is revealed by his oral fungal infection. He has suffered</w:t>
      </w:r>
      <w:r w:rsidR="00863581" w:rsidRPr="009F337B">
        <w:rPr>
          <w:i w:val="0"/>
          <w:szCs w:val="20"/>
          <w:lang w:val="en-US"/>
        </w:rPr>
        <w:t xml:space="preserve"> from</w:t>
      </w:r>
      <w:r w:rsidR="00A758A5" w:rsidRPr="009F337B">
        <w:rPr>
          <w:i w:val="0"/>
          <w:szCs w:val="20"/>
          <w:lang w:val="en-US"/>
        </w:rPr>
        <w:t xml:space="preserve"> recurrent </w:t>
      </w:r>
      <w:r w:rsidR="00B23B9B" w:rsidRPr="009F337B">
        <w:rPr>
          <w:i w:val="0"/>
          <w:szCs w:val="20"/>
          <w:lang w:val="en-US"/>
        </w:rPr>
        <w:t>oral candidiasis</w:t>
      </w:r>
      <w:r w:rsidR="003C2AC6" w:rsidRPr="009F337B">
        <w:rPr>
          <w:i w:val="0"/>
          <w:szCs w:val="20"/>
          <w:lang w:val="en-US"/>
        </w:rPr>
        <w:t xml:space="preserve">, </w:t>
      </w:r>
      <w:r w:rsidR="0043742A" w:rsidRPr="009F337B">
        <w:rPr>
          <w:i w:val="0"/>
          <w:szCs w:val="20"/>
          <w:lang w:val="en-US"/>
        </w:rPr>
        <w:t>upper respiratory infection</w:t>
      </w:r>
      <w:r w:rsidR="003C46A3" w:rsidRPr="009F337B">
        <w:rPr>
          <w:i w:val="0"/>
          <w:szCs w:val="20"/>
          <w:lang w:val="en-US"/>
        </w:rPr>
        <w:t xml:space="preserve"> and </w:t>
      </w:r>
      <w:r w:rsidR="00BB39B6" w:rsidRPr="009F337B">
        <w:rPr>
          <w:i w:val="0"/>
          <w:szCs w:val="20"/>
          <w:lang w:val="en-US"/>
        </w:rPr>
        <w:t>diarrhea</w:t>
      </w:r>
      <w:r w:rsidR="0043742A" w:rsidRPr="009F337B">
        <w:rPr>
          <w:i w:val="0"/>
          <w:szCs w:val="20"/>
          <w:lang w:val="en-US"/>
        </w:rPr>
        <w:t>.</w:t>
      </w:r>
      <w:r w:rsidR="003C2AC6" w:rsidRPr="009F337B">
        <w:rPr>
          <w:rStyle w:val="Refdenotaalpie"/>
          <w:i w:val="0"/>
          <w:lang w:val="en-US"/>
        </w:rPr>
        <w:footnoteReference w:id="290"/>
      </w:r>
      <w:r w:rsidR="003C2AC6" w:rsidRPr="009F337B">
        <w:rPr>
          <w:i w:val="0"/>
          <w:szCs w:val="20"/>
          <w:lang w:val="en-US"/>
        </w:rPr>
        <w:t xml:space="preserve"> </w:t>
      </w:r>
      <w:r w:rsidR="00863581" w:rsidRPr="009F337B">
        <w:rPr>
          <w:i w:val="0"/>
          <w:szCs w:val="20"/>
          <w:lang w:val="en-US"/>
        </w:rPr>
        <w:t xml:space="preserve">He indicated that he had been </w:t>
      </w:r>
      <w:r w:rsidR="001C4CEA" w:rsidRPr="009F337B">
        <w:rPr>
          <w:i w:val="0"/>
          <w:szCs w:val="20"/>
          <w:lang w:val="en-US"/>
        </w:rPr>
        <w:t>pointed</w:t>
      </w:r>
      <w:r w:rsidR="00863581" w:rsidRPr="009F337B">
        <w:rPr>
          <w:i w:val="0"/>
          <w:szCs w:val="20"/>
          <w:lang w:val="en-US"/>
        </w:rPr>
        <w:t xml:space="preserve"> out</w:t>
      </w:r>
      <w:r w:rsidR="003C2AC6" w:rsidRPr="009F337B">
        <w:rPr>
          <w:i w:val="0"/>
          <w:szCs w:val="20"/>
          <w:lang w:val="en-US"/>
        </w:rPr>
        <w:t xml:space="preserve"> </w:t>
      </w:r>
      <w:r w:rsidR="00863581" w:rsidRPr="009F337B">
        <w:rPr>
          <w:i w:val="0"/>
          <w:szCs w:val="20"/>
          <w:lang w:val="en-US"/>
        </w:rPr>
        <w:t>by other</w:t>
      </w:r>
      <w:r w:rsidR="00517071" w:rsidRPr="009F337B">
        <w:rPr>
          <w:i w:val="0"/>
          <w:szCs w:val="20"/>
          <w:lang w:val="en-US"/>
        </w:rPr>
        <w:t>s</w:t>
      </w:r>
      <w:r w:rsidR="00863581" w:rsidRPr="009F337B">
        <w:rPr>
          <w:i w:val="0"/>
          <w:szCs w:val="20"/>
          <w:lang w:val="en-US"/>
        </w:rPr>
        <w:t xml:space="preserve"> attending Clinic No. 12, who had referred to</w:t>
      </w:r>
      <w:r w:rsidR="003C2AC6" w:rsidRPr="009F337B">
        <w:rPr>
          <w:i w:val="0"/>
          <w:szCs w:val="20"/>
          <w:lang w:val="en-US"/>
        </w:rPr>
        <w:t xml:space="preserve"> </w:t>
      </w:r>
      <w:r w:rsidR="00080A1E" w:rsidRPr="009F337B">
        <w:rPr>
          <w:i w:val="0"/>
          <w:szCs w:val="20"/>
          <w:lang w:val="en-US"/>
        </w:rPr>
        <w:t>people living with HIV</w:t>
      </w:r>
      <w:r w:rsidR="003C2AC6" w:rsidRPr="009F337B">
        <w:rPr>
          <w:i w:val="0"/>
          <w:szCs w:val="20"/>
          <w:lang w:val="en-US"/>
        </w:rPr>
        <w:t xml:space="preserve"> </w:t>
      </w:r>
      <w:r w:rsidR="00863581" w:rsidRPr="009F337B">
        <w:rPr>
          <w:i w:val="0"/>
          <w:szCs w:val="20"/>
          <w:lang w:val="en-US"/>
        </w:rPr>
        <w:t>as</w:t>
      </w:r>
      <w:r w:rsidR="003C2AC6" w:rsidRPr="009F337B">
        <w:rPr>
          <w:i w:val="0"/>
          <w:szCs w:val="20"/>
          <w:lang w:val="en-US"/>
        </w:rPr>
        <w:t xml:space="preserve"> “</w:t>
      </w:r>
      <w:r w:rsidR="00863581" w:rsidRPr="009F337B">
        <w:rPr>
          <w:i w:val="0"/>
          <w:szCs w:val="20"/>
          <w:lang w:val="en-US"/>
        </w:rPr>
        <w:t>the AIDS people over there.” He received psychological support every three months, and also from a self-help group on treatment adherence, as well as talks to avoid reinfection, using condoms.</w:t>
      </w:r>
      <w:r w:rsidR="003C2AC6" w:rsidRPr="009F337B">
        <w:rPr>
          <w:rStyle w:val="Refdenotaalpie"/>
          <w:i w:val="0"/>
          <w:lang w:val="en-US"/>
        </w:rPr>
        <w:footnoteReference w:id="291"/>
      </w:r>
    </w:p>
    <w:p w14:paraId="6578C902" w14:textId="7D1E1D29" w:rsidR="003C2AC6" w:rsidRPr="009F337B" w:rsidRDefault="00AF1AFB" w:rsidP="00593E37">
      <w:pPr>
        <w:pStyle w:val="Estilo1"/>
        <w:numPr>
          <w:ilvl w:val="0"/>
          <w:numId w:val="5"/>
        </w:numPr>
        <w:tabs>
          <w:tab w:val="left" w:pos="709"/>
          <w:tab w:val="left" w:pos="1134"/>
        </w:tabs>
        <w:spacing w:before="240" w:after="0"/>
        <w:ind w:left="0" w:right="-4" w:firstLine="0"/>
        <w:rPr>
          <w:i w:val="0"/>
          <w:szCs w:val="20"/>
          <w:lang w:val="en-US"/>
        </w:rPr>
      </w:pPr>
      <w:r w:rsidRPr="009F337B">
        <w:rPr>
          <w:i w:val="0"/>
          <w:szCs w:val="20"/>
          <w:lang w:val="en-US"/>
        </w:rPr>
        <w:t>H</w:t>
      </w:r>
      <w:r w:rsidR="00A758A5" w:rsidRPr="009F337B">
        <w:rPr>
          <w:i w:val="0"/>
          <w:szCs w:val="20"/>
          <w:lang w:val="en-US"/>
        </w:rPr>
        <w:t>is</w:t>
      </w:r>
      <w:r w:rsidRPr="009F337B">
        <w:rPr>
          <w:i w:val="0"/>
          <w:szCs w:val="20"/>
          <w:lang w:val="en-US"/>
        </w:rPr>
        <w:t xml:space="preserve"> family unit consists of </w:t>
      </w:r>
      <w:r w:rsidR="00A758A5" w:rsidRPr="009F337B">
        <w:rPr>
          <w:i w:val="0"/>
          <w:szCs w:val="20"/>
          <w:lang w:val="en-US"/>
        </w:rPr>
        <w:t>his</w:t>
      </w:r>
      <w:r w:rsidR="003C2AC6" w:rsidRPr="009F337B">
        <w:rPr>
          <w:i w:val="0"/>
          <w:szCs w:val="20"/>
          <w:lang w:val="en-US"/>
        </w:rPr>
        <w:t xml:space="preserve"> </w:t>
      </w:r>
      <w:r w:rsidR="0010522A" w:rsidRPr="009F337B">
        <w:rPr>
          <w:i w:val="0"/>
          <w:szCs w:val="20"/>
          <w:lang w:val="en-US"/>
        </w:rPr>
        <w:t>wife</w:t>
      </w:r>
      <w:r w:rsidR="003C2AC6" w:rsidRPr="009F337B">
        <w:rPr>
          <w:i w:val="0"/>
          <w:szCs w:val="20"/>
          <w:lang w:val="en-US"/>
        </w:rPr>
        <w:t xml:space="preserve"> Julia Aguilar, </w:t>
      </w:r>
      <w:r w:rsidR="00863581" w:rsidRPr="009F337B">
        <w:rPr>
          <w:i w:val="0"/>
          <w:szCs w:val="20"/>
          <w:lang w:val="en-US"/>
        </w:rPr>
        <w:t>his</w:t>
      </w:r>
      <w:r w:rsidR="003C2AC6" w:rsidRPr="009F337B">
        <w:rPr>
          <w:i w:val="0"/>
          <w:szCs w:val="20"/>
          <w:lang w:val="en-US"/>
        </w:rPr>
        <w:t xml:space="preserve"> </w:t>
      </w:r>
      <w:r w:rsidR="0010522A" w:rsidRPr="009F337B">
        <w:rPr>
          <w:i w:val="0"/>
          <w:szCs w:val="20"/>
          <w:lang w:val="en-US"/>
        </w:rPr>
        <w:t>daughter</w:t>
      </w:r>
      <w:r w:rsidR="003C2AC6" w:rsidRPr="009F337B">
        <w:rPr>
          <w:i w:val="0"/>
          <w:szCs w:val="20"/>
          <w:lang w:val="en-US"/>
        </w:rPr>
        <w:t xml:space="preserve">s Lucrecia </w:t>
      </w:r>
      <w:proofErr w:type="spellStart"/>
      <w:r w:rsidR="003C2AC6" w:rsidRPr="009F337B">
        <w:rPr>
          <w:i w:val="0"/>
          <w:szCs w:val="20"/>
          <w:lang w:val="en-US"/>
        </w:rPr>
        <w:t>Izabel</w:t>
      </w:r>
      <w:proofErr w:type="spellEnd"/>
      <w:r w:rsidR="003C46A3" w:rsidRPr="009F337B">
        <w:rPr>
          <w:i w:val="0"/>
          <w:szCs w:val="20"/>
          <w:lang w:val="en-US"/>
        </w:rPr>
        <w:t xml:space="preserve"> and </w:t>
      </w:r>
      <w:r w:rsidR="003C2AC6" w:rsidRPr="009F337B">
        <w:rPr>
          <w:i w:val="0"/>
          <w:szCs w:val="20"/>
          <w:lang w:val="en-US"/>
        </w:rPr>
        <w:t xml:space="preserve">Eva, </w:t>
      </w:r>
      <w:r w:rsidR="007B07E2" w:rsidRPr="009F337B">
        <w:rPr>
          <w:i w:val="0"/>
          <w:szCs w:val="20"/>
          <w:lang w:val="en-US"/>
        </w:rPr>
        <w:t>both</w:t>
      </w:r>
      <w:r w:rsidR="003C2AC6" w:rsidRPr="009F337B">
        <w:rPr>
          <w:i w:val="0"/>
          <w:szCs w:val="20"/>
          <w:lang w:val="en-US"/>
        </w:rPr>
        <w:t xml:space="preserve"> </w:t>
      </w:r>
      <w:proofErr w:type="spellStart"/>
      <w:r w:rsidR="003C2AC6" w:rsidRPr="009F337B">
        <w:rPr>
          <w:i w:val="0"/>
          <w:szCs w:val="20"/>
          <w:lang w:val="en-US"/>
        </w:rPr>
        <w:t>Dueñas</w:t>
      </w:r>
      <w:proofErr w:type="spellEnd"/>
      <w:r w:rsidR="003C2AC6" w:rsidRPr="009F337B">
        <w:rPr>
          <w:i w:val="0"/>
          <w:szCs w:val="20"/>
          <w:lang w:val="en-US"/>
        </w:rPr>
        <w:t xml:space="preserve"> Aguilar</w:t>
      </w:r>
      <w:r w:rsidR="003C46A3" w:rsidRPr="009F337B">
        <w:rPr>
          <w:i w:val="0"/>
          <w:szCs w:val="20"/>
          <w:lang w:val="en-US"/>
        </w:rPr>
        <w:t xml:space="preserve"> and</w:t>
      </w:r>
      <w:r w:rsidR="00863581" w:rsidRPr="009F337B">
        <w:rPr>
          <w:i w:val="0"/>
          <w:szCs w:val="20"/>
          <w:lang w:val="en-US"/>
        </w:rPr>
        <w:t xml:space="preserve"> his </w:t>
      </w:r>
      <w:r w:rsidR="0010522A" w:rsidRPr="009F337B">
        <w:rPr>
          <w:i w:val="0"/>
          <w:szCs w:val="20"/>
          <w:lang w:val="en-US"/>
        </w:rPr>
        <w:t>son</w:t>
      </w:r>
      <w:r w:rsidR="003C2AC6" w:rsidRPr="009F337B">
        <w:rPr>
          <w:i w:val="0"/>
          <w:szCs w:val="20"/>
          <w:lang w:val="en-US"/>
        </w:rPr>
        <w:t xml:space="preserve"> </w:t>
      </w:r>
      <w:proofErr w:type="spellStart"/>
      <w:r w:rsidR="003C2AC6" w:rsidRPr="009F337B">
        <w:rPr>
          <w:i w:val="0"/>
          <w:szCs w:val="20"/>
          <w:lang w:val="en-US"/>
        </w:rPr>
        <w:t>Fredy</w:t>
      </w:r>
      <w:proofErr w:type="spellEnd"/>
      <w:r w:rsidR="003C2AC6" w:rsidRPr="009F337B">
        <w:rPr>
          <w:i w:val="0"/>
          <w:szCs w:val="20"/>
          <w:lang w:val="en-US"/>
        </w:rPr>
        <w:t xml:space="preserve"> </w:t>
      </w:r>
      <w:proofErr w:type="spellStart"/>
      <w:r w:rsidR="003C2AC6" w:rsidRPr="009F337B">
        <w:rPr>
          <w:i w:val="0"/>
          <w:szCs w:val="20"/>
          <w:lang w:val="en-US"/>
        </w:rPr>
        <w:t>Dueñas</w:t>
      </w:r>
      <w:proofErr w:type="spellEnd"/>
      <w:r w:rsidR="003C2AC6" w:rsidRPr="009F337B">
        <w:rPr>
          <w:i w:val="0"/>
          <w:szCs w:val="20"/>
          <w:lang w:val="en-US"/>
        </w:rPr>
        <w:t xml:space="preserve"> Aguilar o</w:t>
      </w:r>
      <w:r w:rsidR="00863581" w:rsidRPr="009F337B">
        <w:rPr>
          <w:i w:val="0"/>
          <w:szCs w:val="20"/>
          <w:lang w:val="en-US"/>
        </w:rPr>
        <w:t>r</w:t>
      </w:r>
      <w:r w:rsidR="003C2AC6" w:rsidRPr="009F337B">
        <w:rPr>
          <w:i w:val="0"/>
          <w:szCs w:val="20"/>
          <w:lang w:val="en-US"/>
        </w:rPr>
        <w:t xml:space="preserve"> José Alfredo Ramón Aguilar</w:t>
      </w:r>
      <w:r w:rsidR="003C2AC6" w:rsidRPr="009F337B">
        <w:rPr>
          <w:rStyle w:val="Refdenotaalpie"/>
          <w:i w:val="0"/>
          <w:lang w:val="en-US"/>
        </w:rPr>
        <w:footnoteReference w:id="292"/>
      </w:r>
      <w:r w:rsidR="003C2AC6" w:rsidRPr="009F337B">
        <w:rPr>
          <w:i w:val="0"/>
          <w:szCs w:val="20"/>
          <w:lang w:val="en-US"/>
        </w:rPr>
        <w:t>.</w:t>
      </w:r>
    </w:p>
    <w:p w14:paraId="65C44963" w14:textId="77777777" w:rsidR="003C2AC6" w:rsidRPr="009F337B" w:rsidRDefault="003C2AC6" w:rsidP="003C2AC6">
      <w:pPr>
        <w:pStyle w:val="PrrafodeSentencia"/>
        <w:rPr>
          <w:lang w:val="en-US"/>
        </w:rPr>
      </w:pPr>
    </w:p>
    <w:p w14:paraId="364037E0" w14:textId="77777777" w:rsidR="003C2AC6" w:rsidRPr="009F337B" w:rsidRDefault="003C2AC6" w:rsidP="003C2AC6">
      <w:pPr>
        <w:pStyle w:val="PrrafodeSentencia"/>
        <w:rPr>
          <w:lang w:val="en-US"/>
        </w:rPr>
      </w:pPr>
      <w:r w:rsidRPr="009F337B">
        <w:rPr>
          <w:lang w:val="en-US"/>
        </w:rPr>
        <w:tab/>
        <w:t>B.2. Julia Aguilar</w:t>
      </w:r>
    </w:p>
    <w:p w14:paraId="58AC6F34" w14:textId="71507A06" w:rsidR="003C2AC6" w:rsidRPr="009F337B" w:rsidRDefault="007F1AEB" w:rsidP="00593E37">
      <w:pPr>
        <w:pStyle w:val="Estilo1"/>
        <w:numPr>
          <w:ilvl w:val="0"/>
          <w:numId w:val="5"/>
        </w:numPr>
        <w:tabs>
          <w:tab w:val="left" w:pos="709"/>
          <w:tab w:val="left" w:pos="1134"/>
        </w:tabs>
        <w:spacing w:before="240" w:after="0"/>
        <w:ind w:left="0" w:right="-4" w:firstLine="0"/>
        <w:rPr>
          <w:i w:val="0"/>
          <w:szCs w:val="20"/>
          <w:lang w:val="en-US"/>
        </w:rPr>
      </w:pPr>
      <w:r w:rsidRPr="009F337B">
        <w:rPr>
          <w:i w:val="0"/>
          <w:szCs w:val="20"/>
          <w:lang w:val="en-US"/>
        </w:rPr>
        <w:lastRenderedPageBreak/>
        <w:t>Mrs.</w:t>
      </w:r>
      <w:r w:rsidR="003C2AC6" w:rsidRPr="009F337B">
        <w:rPr>
          <w:i w:val="0"/>
          <w:szCs w:val="20"/>
          <w:lang w:val="en-US"/>
        </w:rPr>
        <w:t xml:space="preserve"> Aguilar </w:t>
      </w:r>
      <w:r w:rsidR="001C4CEA" w:rsidRPr="009F337B">
        <w:rPr>
          <w:i w:val="0"/>
          <w:szCs w:val="20"/>
          <w:lang w:val="en-US"/>
        </w:rPr>
        <w:t>was born in</w:t>
      </w:r>
      <w:r w:rsidR="00805FE9" w:rsidRPr="009F337B">
        <w:rPr>
          <w:i w:val="0"/>
          <w:szCs w:val="20"/>
          <w:lang w:val="en-US"/>
        </w:rPr>
        <w:t xml:space="preserve"> the </w:t>
      </w:r>
      <w:r w:rsidR="00D85CA7" w:rsidRPr="009F337B">
        <w:rPr>
          <w:i w:val="0"/>
          <w:szCs w:val="20"/>
          <w:lang w:val="en-US"/>
        </w:rPr>
        <w:t>municipality of</w:t>
      </w:r>
      <w:r w:rsidR="003C2AC6" w:rsidRPr="009F337B">
        <w:rPr>
          <w:i w:val="0"/>
          <w:szCs w:val="20"/>
          <w:lang w:val="en-US"/>
        </w:rPr>
        <w:t xml:space="preserve"> El </w:t>
      </w:r>
      <w:proofErr w:type="spellStart"/>
      <w:r w:rsidR="003C2AC6" w:rsidRPr="009F337B">
        <w:rPr>
          <w:i w:val="0"/>
          <w:szCs w:val="20"/>
          <w:lang w:val="en-US"/>
        </w:rPr>
        <w:t>Asintal</w:t>
      </w:r>
      <w:proofErr w:type="spellEnd"/>
      <w:r w:rsidR="003C2AC6" w:rsidRPr="009F337B">
        <w:rPr>
          <w:i w:val="0"/>
          <w:szCs w:val="20"/>
          <w:lang w:val="en-US"/>
        </w:rPr>
        <w:t xml:space="preserve">, </w:t>
      </w:r>
      <w:r w:rsidR="003E1304" w:rsidRPr="009F337B">
        <w:rPr>
          <w:i w:val="0"/>
          <w:szCs w:val="20"/>
          <w:lang w:val="en-US"/>
        </w:rPr>
        <w:t>department of</w:t>
      </w:r>
      <w:r w:rsidR="003C2AC6" w:rsidRPr="009F337B">
        <w:rPr>
          <w:i w:val="0"/>
          <w:szCs w:val="20"/>
          <w:lang w:val="en-US"/>
        </w:rPr>
        <w:t xml:space="preserve"> Retalhuleu, Guatemala</w:t>
      </w:r>
      <w:r w:rsidR="001C4CEA" w:rsidRPr="009F337B">
        <w:rPr>
          <w:i w:val="0"/>
          <w:szCs w:val="20"/>
          <w:lang w:val="en-US"/>
        </w:rPr>
        <w:t xml:space="preserve"> </w:t>
      </w:r>
      <w:r w:rsidR="0084040D" w:rsidRPr="009F337B">
        <w:rPr>
          <w:i w:val="0"/>
          <w:szCs w:val="20"/>
          <w:lang w:val="en-US"/>
        </w:rPr>
        <w:t>on</w:t>
      </w:r>
      <w:r w:rsidR="003C2AC6" w:rsidRPr="009F337B">
        <w:rPr>
          <w:i w:val="0"/>
          <w:szCs w:val="20"/>
          <w:lang w:val="en-US"/>
        </w:rPr>
        <w:t xml:space="preserve"> </w:t>
      </w:r>
      <w:r w:rsidR="001C4CEA" w:rsidRPr="009F337B">
        <w:rPr>
          <w:i w:val="0"/>
          <w:szCs w:val="20"/>
          <w:lang w:val="en-US"/>
        </w:rPr>
        <w:t>July 28,</w:t>
      </w:r>
      <w:r w:rsidR="003C2AC6" w:rsidRPr="009F337B">
        <w:rPr>
          <w:i w:val="0"/>
          <w:szCs w:val="20"/>
          <w:lang w:val="en-US"/>
        </w:rPr>
        <w:t xml:space="preserve"> 1955. </w:t>
      </w:r>
      <w:r w:rsidR="001C4CEA" w:rsidRPr="009F337B">
        <w:rPr>
          <w:i w:val="0"/>
          <w:szCs w:val="20"/>
          <w:lang w:val="en-US"/>
        </w:rPr>
        <w:t>She l</w:t>
      </w:r>
      <w:r w:rsidR="00D85CA7" w:rsidRPr="009F337B">
        <w:rPr>
          <w:i w:val="0"/>
          <w:szCs w:val="20"/>
          <w:lang w:val="en-US"/>
        </w:rPr>
        <w:t>ives in</w:t>
      </w:r>
      <w:r w:rsidR="003C2AC6" w:rsidRPr="009F337B">
        <w:rPr>
          <w:i w:val="0"/>
          <w:szCs w:val="20"/>
          <w:lang w:val="en-US"/>
        </w:rPr>
        <w:t xml:space="preserve"> </w:t>
      </w:r>
      <w:r w:rsidR="001C4CEA" w:rsidRPr="009F337B">
        <w:rPr>
          <w:i w:val="0"/>
          <w:szCs w:val="20"/>
          <w:lang w:val="en-US"/>
        </w:rPr>
        <w:t>the village of</w:t>
      </w:r>
      <w:r w:rsidR="003C2AC6" w:rsidRPr="009F337B">
        <w:rPr>
          <w:i w:val="0"/>
          <w:szCs w:val="20"/>
          <w:lang w:val="en-US"/>
        </w:rPr>
        <w:t xml:space="preserve"> </w:t>
      </w:r>
      <w:proofErr w:type="spellStart"/>
      <w:r w:rsidR="003C2AC6" w:rsidRPr="009F337B">
        <w:rPr>
          <w:i w:val="0"/>
          <w:szCs w:val="20"/>
          <w:lang w:val="en-US"/>
        </w:rPr>
        <w:t>Xab</w:t>
      </w:r>
      <w:proofErr w:type="spellEnd"/>
      <w:r w:rsidR="003C2AC6" w:rsidRPr="009F337B">
        <w:rPr>
          <w:i w:val="0"/>
          <w:szCs w:val="20"/>
          <w:lang w:val="en-US"/>
        </w:rPr>
        <w:t xml:space="preserve"> del </w:t>
      </w:r>
      <w:proofErr w:type="spellStart"/>
      <w:r w:rsidR="003C2AC6" w:rsidRPr="009F337B">
        <w:rPr>
          <w:i w:val="0"/>
          <w:szCs w:val="20"/>
          <w:lang w:val="en-US"/>
        </w:rPr>
        <w:t>Asintal</w:t>
      </w:r>
      <w:proofErr w:type="spellEnd"/>
      <w:r w:rsidR="003C2AC6" w:rsidRPr="009F337B">
        <w:rPr>
          <w:i w:val="0"/>
          <w:szCs w:val="20"/>
          <w:lang w:val="en-US"/>
        </w:rPr>
        <w:t xml:space="preserve">, Retalhuleu, Guatemala. </w:t>
      </w:r>
      <w:r w:rsidR="001C4CEA" w:rsidRPr="009F337B">
        <w:rPr>
          <w:i w:val="0"/>
          <w:szCs w:val="20"/>
          <w:lang w:val="en-US"/>
        </w:rPr>
        <w:t>She speaks Mam and Spanish, has never received schooling, and is illiterate. She is a trader. She w</w:t>
      </w:r>
      <w:r w:rsidR="001071B4" w:rsidRPr="009F337B">
        <w:rPr>
          <w:i w:val="0"/>
          <w:szCs w:val="20"/>
          <w:lang w:val="en-US"/>
        </w:rPr>
        <w:t>as diagnosed with HIV</w:t>
      </w:r>
      <w:r w:rsidR="003C2AC6" w:rsidRPr="009F337B">
        <w:rPr>
          <w:i w:val="0"/>
          <w:szCs w:val="20"/>
          <w:lang w:val="en-US"/>
        </w:rPr>
        <w:t xml:space="preserve"> </w:t>
      </w:r>
      <w:r w:rsidR="001C4CEA" w:rsidRPr="009F337B">
        <w:rPr>
          <w:i w:val="0"/>
          <w:szCs w:val="20"/>
          <w:lang w:val="en-US"/>
        </w:rPr>
        <w:t>in</w:t>
      </w:r>
      <w:r w:rsidR="003C2AC6" w:rsidRPr="009F337B">
        <w:rPr>
          <w:i w:val="0"/>
          <w:szCs w:val="20"/>
          <w:lang w:val="en-US"/>
        </w:rPr>
        <w:t xml:space="preserve"> 2002, </w:t>
      </w:r>
      <w:r w:rsidR="001C4CEA" w:rsidRPr="009F337B">
        <w:rPr>
          <w:i w:val="0"/>
          <w:szCs w:val="20"/>
          <w:lang w:val="en-US"/>
        </w:rPr>
        <w:t>in a private laboratory</w:t>
      </w:r>
      <w:r w:rsidR="003C2AC6" w:rsidRPr="009F337B">
        <w:rPr>
          <w:i w:val="0"/>
          <w:szCs w:val="20"/>
          <w:lang w:val="en-US"/>
        </w:rPr>
        <w:t xml:space="preserve">. </w:t>
      </w:r>
      <w:r w:rsidR="001C4CEA" w:rsidRPr="009F337B">
        <w:rPr>
          <w:i w:val="0"/>
          <w:szCs w:val="20"/>
          <w:lang w:val="en-US"/>
        </w:rPr>
        <w:t>She began</w:t>
      </w:r>
      <w:r w:rsidR="003C2AC6" w:rsidRPr="009F337B">
        <w:rPr>
          <w:i w:val="0"/>
          <w:szCs w:val="20"/>
          <w:lang w:val="en-US"/>
        </w:rPr>
        <w:t xml:space="preserve"> </w:t>
      </w:r>
      <w:r w:rsidR="00FE1EFF" w:rsidRPr="009F337B">
        <w:rPr>
          <w:i w:val="0"/>
          <w:szCs w:val="20"/>
          <w:lang w:val="en-US"/>
        </w:rPr>
        <w:t>antiretroviral treatment</w:t>
      </w:r>
      <w:r w:rsidR="003C2AC6" w:rsidRPr="009F337B">
        <w:rPr>
          <w:i w:val="0"/>
          <w:szCs w:val="20"/>
          <w:lang w:val="en-US"/>
        </w:rPr>
        <w:t xml:space="preserve"> </w:t>
      </w:r>
      <w:r w:rsidR="001C4CEA" w:rsidRPr="009F337B">
        <w:rPr>
          <w:i w:val="0"/>
          <w:szCs w:val="20"/>
          <w:lang w:val="en-US"/>
        </w:rPr>
        <w:t>with</w:t>
      </w:r>
      <w:r w:rsidR="003C2AC6" w:rsidRPr="009F337B">
        <w:rPr>
          <w:i w:val="0"/>
          <w:szCs w:val="20"/>
          <w:lang w:val="en-US"/>
        </w:rPr>
        <w:t xml:space="preserve"> MSF</w:t>
      </w:r>
      <w:r w:rsidR="003C46A3" w:rsidRPr="009F337B">
        <w:rPr>
          <w:i w:val="0"/>
          <w:szCs w:val="20"/>
          <w:lang w:val="en-US"/>
        </w:rPr>
        <w:t xml:space="preserve"> and </w:t>
      </w:r>
      <w:r w:rsidR="001C4CEA" w:rsidRPr="009F337B">
        <w:rPr>
          <w:i w:val="0"/>
          <w:szCs w:val="20"/>
          <w:lang w:val="en-US"/>
        </w:rPr>
        <w:t>then with the Global Fund to Fight AIDS. She was transferred to Clinic No. 12</w:t>
      </w:r>
      <w:r w:rsidR="00A758A5" w:rsidRPr="009F337B">
        <w:rPr>
          <w:i w:val="0"/>
          <w:szCs w:val="20"/>
          <w:lang w:val="en-US"/>
        </w:rPr>
        <w:t xml:space="preserve"> of the </w:t>
      </w:r>
      <w:proofErr w:type="spellStart"/>
      <w:r w:rsidR="00BD5E94" w:rsidRPr="009F337B">
        <w:rPr>
          <w:i w:val="0"/>
          <w:szCs w:val="20"/>
          <w:lang w:val="en-US"/>
        </w:rPr>
        <w:t>Coatepeque</w:t>
      </w:r>
      <w:proofErr w:type="spellEnd"/>
      <w:r w:rsidR="00BD5E94" w:rsidRPr="009F337B">
        <w:rPr>
          <w:i w:val="0"/>
          <w:szCs w:val="20"/>
          <w:lang w:val="en-US"/>
        </w:rPr>
        <w:t xml:space="preserve"> National Hospital</w:t>
      </w:r>
      <w:r w:rsidR="003C2AC6" w:rsidRPr="009F337B">
        <w:rPr>
          <w:i w:val="0"/>
          <w:szCs w:val="20"/>
          <w:lang w:val="en-US"/>
        </w:rPr>
        <w:t xml:space="preserve"> </w:t>
      </w:r>
      <w:r w:rsidR="001C4CEA" w:rsidRPr="009F337B">
        <w:rPr>
          <w:i w:val="0"/>
          <w:szCs w:val="20"/>
          <w:lang w:val="en-US"/>
        </w:rPr>
        <w:t>in 2006</w:t>
      </w:r>
      <w:r w:rsidR="003C2AC6" w:rsidRPr="009F337B">
        <w:rPr>
          <w:i w:val="0"/>
          <w:szCs w:val="20"/>
          <w:lang w:val="en-US"/>
        </w:rPr>
        <w:t xml:space="preserve">, </w:t>
      </w:r>
      <w:r w:rsidR="001C4CEA" w:rsidRPr="009F337B">
        <w:rPr>
          <w:i w:val="0"/>
          <w:szCs w:val="20"/>
          <w:lang w:val="en-US"/>
        </w:rPr>
        <w:t xml:space="preserve">and began </w:t>
      </w:r>
      <w:r w:rsidR="00FE1EFF" w:rsidRPr="009F337B">
        <w:rPr>
          <w:i w:val="0"/>
          <w:szCs w:val="20"/>
          <w:lang w:val="en-US"/>
        </w:rPr>
        <w:t>antiretroviral treatment</w:t>
      </w:r>
      <w:r w:rsidR="003C2AC6" w:rsidRPr="009F337B">
        <w:rPr>
          <w:i w:val="0"/>
          <w:szCs w:val="20"/>
          <w:lang w:val="en-US"/>
        </w:rPr>
        <w:t xml:space="preserve"> </w:t>
      </w:r>
      <w:r w:rsidR="001C4CEA" w:rsidRPr="009F337B">
        <w:rPr>
          <w:i w:val="0"/>
          <w:szCs w:val="20"/>
          <w:lang w:val="en-US"/>
        </w:rPr>
        <w:t xml:space="preserve">there on April 26, </w:t>
      </w:r>
      <w:r w:rsidR="003C2AC6" w:rsidRPr="009F337B">
        <w:rPr>
          <w:i w:val="0"/>
          <w:szCs w:val="20"/>
          <w:lang w:val="en-US"/>
        </w:rPr>
        <w:t>2007</w:t>
      </w:r>
      <w:r w:rsidR="001C4CEA" w:rsidRPr="009F337B">
        <w:rPr>
          <w:i w:val="0"/>
          <w:szCs w:val="20"/>
          <w:lang w:val="en-US"/>
        </w:rPr>
        <w:t>,</w:t>
      </w:r>
      <w:r w:rsidR="003C2AC6" w:rsidRPr="009F337B">
        <w:rPr>
          <w:i w:val="0"/>
          <w:szCs w:val="20"/>
          <w:lang w:val="en-US"/>
        </w:rPr>
        <w:t xml:space="preserve"> </w:t>
      </w:r>
      <w:r w:rsidR="003B5D80" w:rsidRPr="009F337B">
        <w:rPr>
          <w:i w:val="0"/>
          <w:szCs w:val="20"/>
          <w:lang w:val="en-US"/>
        </w:rPr>
        <w:t>through MSF</w:t>
      </w:r>
      <w:r w:rsidR="003C2AC6" w:rsidRPr="009F337B">
        <w:rPr>
          <w:i w:val="0"/>
          <w:szCs w:val="20"/>
          <w:lang w:val="en-US"/>
        </w:rPr>
        <w:t xml:space="preserve">. </w:t>
      </w:r>
      <w:r w:rsidR="001C4CEA" w:rsidRPr="009F337B">
        <w:rPr>
          <w:i w:val="0"/>
          <w:szCs w:val="20"/>
          <w:lang w:val="en-US"/>
        </w:rPr>
        <w:t>After</w:t>
      </w:r>
      <w:r w:rsidR="003C2AC6" w:rsidRPr="009F337B">
        <w:rPr>
          <w:i w:val="0"/>
          <w:szCs w:val="20"/>
          <w:lang w:val="en-US"/>
        </w:rPr>
        <w:t xml:space="preserve"> MSF </w:t>
      </w:r>
      <w:r w:rsidR="001C4CEA" w:rsidRPr="009F337B">
        <w:rPr>
          <w:i w:val="0"/>
          <w:szCs w:val="20"/>
          <w:lang w:val="en-US"/>
        </w:rPr>
        <w:t xml:space="preserve">left, she continued receiving medical treatment in that hospital. She has undergone CD4 counts and viral load testing from time to time and has not been able to access al the drugs that she has been prescribed owing to their high cost. Also, she has not had </w:t>
      </w:r>
      <w:r w:rsidR="00B63594" w:rsidRPr="009F337B">
        <w:rPr>
          <w:i w:val="0"/>
          <w:szCs w:val="20"/>
          <w:lang w:val="en-US"/>
        </w:rPr>
        <w:t>genotype and phenotype</w:t>
      </w:r>
      <w:r w:rsidR="001C4CEA" w:rsidRPr="009F337B">
        <w:rPr>
          <w:i w:val="0"/>
          <w:szCs w:val="20"/>
          <w:lang w:val="en-US"/>
        </w:rPr>
        <w:t xml:space="preserve"> tests</w:t>
      </w:r>
      <w:r w:rsidR="003C2AC6" w:rsidRPr="009F337B">
        <w:rPr>
          <w:i w:val="0"/>
          <w:szCs w:val="20"/>
          <w:lang w:val="en-US"/>
        </w:rPr>
        <w:t xml:space="preserve">. </w:t>
      </w:r>
      <w:r w:rsidR="001C4CEA" w:rsidRPr="009F337B">
        <w:rPr>
          <w:i w:val="0"/>
          <w:szCs w:val="20"/>
          <w:lang w:val="en-US"/>
        </w:rPr>
        <w:t>She has suffered from acute tonsillitis</w:t>
      </w:r>
      <w:r w:rsidR="003C2AC6" w:rsidRPr="009F337B">
        <w:rPr>
          <w:i w:val="0"/>
          <w:szCs w:val="20"/>
          <w:lang w:val="en-US"/>
        </w:rPr>
        <w:t xml:space="preserve">, </w:t>
      </w:r>
      <w:r w:rsidR="001C4CEA" w:rsidRPr="009F337B">
        <w:rPr>
          <w:i w:val="0"/>
          <w:szCs w:val="20"/>
          <w:lang w:val="en-US"/>
        </w:rPr>
        <w:t>parasites</w:t>
      </w:r>
      <w:r w:rsidR="003C2AC6" w:rsidRPr="009F337B">
        <w:rPr>
          <w:i w:val="0"/>
          <w:szCs w:val="20"/>
          <w:lang w:val="en-US"/>
        </w:rPr>
        <w:t xml:space="preserve">, </w:t>
      </w:r>
      <w:r w:rsidR="00B23B9B" w:rsidRPr="009F337B">
        <w:rPr>
          <w:i w:val="0"/>
          <w:szCs w:val="20"/>
          <w:lang w:val="en-US"/>
        </w:rPr>
        <w:t>pharyngitis</w:t>
      </w:r>
      <w:r w:rsidR="003C2AC6" w:rsidRPr="009F337B">
        <w:rPr>
          <w:i w:val="0"/>
          <w:szCs w:val="20"/>
          <w:lang w:val="en-US"/>
        </w:rPr>
        <w:t xml:space="preserve">, sarcoidosis, </w:t>
      </w:r>
      <w:r w:rsidR="00BB39B6" w:rsidRPr="009F337B">
        <w:rPr>
          <w:i w:val="0"/>
          <w:szCs w:val="20"/>
          <w:lang w:val="en-US"/>
        </w:rPr>
        <w:t>neuropathy</w:t>
      </w:r>
      <w:r w:rsidR="003C2AC6" w:rsidRPr="009F337B">
        <w:rPr>
          <w:i w:val="0"/>
          <w:szCs w:val="20"/>
          <w:lang w:val="en-US"/>
        </w:rPr>
        <w:t xml:space="preserve">, </w:t>
      </w:r>
      <w:r w:rsidR="001C4CEA" w:rsidRPr="009F337B">
        <w:rPr>
          <w:i w:val="0"/>
          <w:szCs w:val="20"/>
          <w:lang w:val="en-US"/>
        </w:rPr>
        <w:t>moderate cervicitis</w:t>
      </w:r>
      <w:r w:rsidR="003C2AC6" w:rsidRPr="009F337B">
        <w:rPr>
          <w:i w:val="0"/>
          <w:szCs w:val="20"/>
          <w:lang w:val="en-US"/>
        </w:rPr>
        <w:t xml:space="preserve">, </w:t>
      </w:r>
      <w:r w:rsidR="001C4CEA" w:rsidRPr="009F337B">
        <w:rPr>
          <w:i w:val="0"/>
          <w:szCs w:val="20"/>
          <w:lang w:val="en-US"/>
        </w:rPr>
        <w:t>urinary infection</w:t>
      </w:r>
      <w:r w:rsidR="003C2AC6" w:rsidRPr="009F337B">
        <w:rPr>
          <w:i w:val="0"/>
          <w:szCs w:val="20"/>
          <w:lang w:val="en-US"/>
        </w:rPr>
        <w:t xml:space="preserve">, </w:t>
      </w:r>
      <w:r w:rsidR="001C4CEA" w:rsidRPr="009F337B">
        <w:rPr>
          <w:i w:val="0"/>
          <w:szCs w:val="20"/>
          <w:lang w:val="en-US"/>
        </w:rPr>
        <w:t>s</w:t>
      </w:r>
      <w:r w:rsidR="003C2AC6" w:rsidRPr="009F337B">
        <w:rPr>
          <w:i w:val="0"/>
          <w:szCs w:val="20"/>
          <w:lang w:val="en-US"/>
        </w:rPr>
        <w:t xml:space="preserve">inusitis, </w:t>
      </w:r>
      <w:r w:rsidR="00BB39B6" w:rsidRPr="009F337B">
        <w:rPr>
          <w:i w:val="0"/>
          <w:szCs w:val="20"/>
          <w:lang w:val="en-US"/>
        </w:rPr>
        <w:t>diarrhea</w:t>
      </w:r>
      <w:r w:rsidR="003C2AC6" w:rsidRPr="009F337B">
        <w:rPr>
          <w:i w:val="0"/>
          <w:szCs w:val="20"/>
          <w:lang w:val="en-US"/>
        </w:rPr>
        <w:t xml:space="preserve">, </w:t>
      </w:r>
      <w:r w:rsidR="001C4CEA" w:rsidRPr="009F337B">
        <w:rPr>
          <w:i w:val="0"/>
          <w:szCs w:val="20"/>
          <w:lang w:val="en-US"/>
        </w:rPr>
        <w:t>calcaneal spur</w:t>
      </w:r>
      <w:r w:rsidR="003C2AC6" w:rsidRPr="009F337B">
        <w:rPr>
          <w:i w:val="0"/>
          <w:szCs w:val="20"/>
          <w:lang w:val="en-US"/>
        </w:rPr>
        <w:t xml:space="preserve">, </w:t>
      </w:r>
      <w:r w:rsidR="001C4CEA" w:rsidRPr="009F337B">
        <w:rPr>
          <w:i w:val="0"/>
          <w:szCs w:val="20"/>
          <w:lang w:val="en-US"/>
        </w:rPr>
        <w:t>peptic disease</w:t>
      </w:r>
      <w:r w:rsidR="003C2AC6" w:rsidRPr="009F337B">
        <w:rPr>
          <w:i w:val="0"/>
          <w:szCs w:val="20"/>
          <w:lang w:val="en-US"/>
        </w:rPr>
        <w:t xml:space="preserve">, </w:t>
      </w:r>
      <w:r w:rsidR="001C4CEA" w:rsidRPr="009F337B">
        <w:rPr>
          <w:i w:val="0"/>
          <w:szCs w:val="20"/>
          <w:lang w:val="en-US"/>
        </w:rPr>
        <w:t xml:space="preserve">postherpetic </w:t>
      </w:r>
      <w:r w:rsidR="00BB39B6" w:rsidRPr="009F337B">
        <w:rPr>
          <w:i w:val="0"/>
          <w:szCs w:val="20"/>
          <w:lang w:val="en-US"/>
        </w:rPr>
        <w:t>neuropathy</w:t>
      </w:r>
      <w:r w:rsidR="003C2AC6" w:rsidRPr="009F337B">
        <w:rPr>
          <w:i w:val="0"/>
          <w:szCs w:val="20"/>
          <w:lang w:val="en-US"/>
        </w:rPr>
        <w:t xml:space="preserve"> </w:t>
      </w:r>
      <w:r w:rsidR="003C46A3" w:rsidRPr="009F337B">
        <w:rPr>
          <w:i w:val="0"/>
          <w:szCs w:val="20"/>
          <w:lang w:val="en-US"/>
        </w:rPr>
        <w:t xml:space="preserve">and </w:t>
      </w:r>
      <w:r w:rsidR="003C2AC6" w:rsidRPr="009F337B">
        <w:rPr>
          <w:i w:val="0"/>
          <w:szCs w:val="20"/>
          <w:lang w:val="en-US"/>
        </w:rPr>
        <w:t>obesi</w:t>
      </w:r>
      <w:r w:rsidR="001C4CEA" w:rsidRPr="009F337B">
        <w:rPr>
          <w:i w:val="0"/>
          <w:szCs w:val="20"/>
          <w:lang w:val="en-US"/>
        </w:rPr>
        <w:t>ty</w:t>
      </w:r>
      <w:r w:rsidR="003C2AC6" w:rsidRPr="009F337B">
        <w:rPr>
          <w:i w:val="0"/>
          <w:szCs w:val="20"/>
          <w:lang w:val="en-US"/>
        </w:rPr>
        <w:t xml:space="preserve">. </w:t>
      </w:r>
      <w:r w:rsidR="001C4CEA" w:rsidRPr="009F337B">
        <w:rPr>
          <w:i w:val="0"/>
          <w:szCs w:val="20"/>
          <w:lang w:val="en-US"/>
        </w:rPr>
        <w:t xml:space="preserve">She does not receive either psychological or nutritional support, merely medication. Moreover, she does not receive family or community assistance. It takes her an hour to travel from her home to the clinic and the fare </w:t>
      </w:r>
      <w:r w:rsidR="00517071" w:rsidRPr="009F337B">
        <w:rPr>
          <w:i w:val="0"/>
          <w:szCs w:val="20"/>
          <w:lang w:val="en-US"/>
        </w:rPr>
        <w:t>costs</w:t>
      </w:r>
      <w:r w:rsidR="001C4CEA" w:rsidRPr="009F337B">
        <w:rPr>
          <w:i w:val="0"/>
          <w:szCs w:val="20"/>
          <w:lang w:val="en-US"/>
        </w:rPr>
        <w:t xml:space="preserve"> between </w:t>
      </w:r>
      <w:r w:rsidR="00F87540" w:rsidRPr="009F337B">
        <w:rPr>
          <w:i w:val="0"/>
          <w:szCs w:val="20"/>
          <w:lang w:val="en-US"/>
        </w:rPr>
        <w:t>8</w:t>
      </w:r>
      <w:r w:rsidR="003C46A3" w:rsidRPr="009F337B">
        <w:rPr>
          <w:i w:val="0"/>
          <w:szCs w:val="20"/>
          <w:lang w:val="en-US"/>
        </w:rPr>
        <w:t xml:space="preserve"> and </w:t>
      </w:r>
      <w:r w:rsidR="00F87540" w:rsidRPr="009F337B">
        <w:rPr>
          <w:i w:val="0"/>
          <w:szCs w:val="20"/>
          <w:lang w:val="en-US"/>
        </w:rPr>
        <w:t>15 quetzals</w:t>
      </w:r>
      <w:r w:rsidR="003C2AC6" w:rsidRPr="009F337B">
        <w:rPr>
          <w:i w:val="0"/>
          <w:szCs w:val="20"/>
          <w:lang w:val="en-US"/>
        </w:rPr>
        <w:t xml:space="preserve"> </w:t>
      </w:r>
      <w:r w:rsidR="001C4CEA" w:rsidRPr="009F337B">
        <w:rPr>
          <w:i w:val="0"/>
          <w:szCs w:val="20"/>
          <w:lang w:val="en-US"/>
        </w:rPr>
        <w:t>each way.</w:t>
      </w:r>
      <w:r w:rsidR="003C2AC6" w:rsidRPr="009F337B">
        <w:rPr>
          <w:rStyle w:val="Refdenotaalpie"/>
          <w:i w:val="0"/>
          <w:lang w:val="en-US"/>
        </w:rPr>
        <w:footnoteReference w:id="293"/>
      </w:r>
    </w:p>
    <w:p w14:paraId="6A330E22" w14:textId="461B1E48" w:rsidR="003C2AC6" w:rsidRPr="009F337B" w:rsidRDefault="001C4CEA" w:rsidP="00593E37">
      <w:pPr>
        <w:pStyle w:val="Estilo1"/>
        <w:numPr>
          <w:ilvl w:val="0"/>
          <w:numId w:val="5"/>
        </w:numPr>
        <w:tabs>
          <w:tab w:val="left" w:pos="709"/>
          <w:tab w:val="left" w:pos="1134"/>
        </w:tabs>
        <w:spacing w:before="240" w:after="0"/>
        <w:ind w:left="0" w:right="-4" w:firstLine="0"/>
        <w:rPr>
          <w:i w:val="0"/>
          <w:szCs w:val="20"/>
          <w:lang w:val="en-US"/>
        </w:rPr>
      </w:pPr>
      <w:r w:rsidRPr="009F337B">
        <w:rPr>
          <w:i w:val="0"/>
          <w:szCs w:val="20"/>
          <w:lang w:val="en-US"/>
        </w:rPr>
        <w:t>As in the case of her</w:t>
      </w:r>
      <w:r w:rsidR="003C2AC6" w:rsidRPr="009F337B">
        <w:rPr>
          <w:i w:val="0"/>
          <w:szCs w:val="20"/>
          <w:lang w:val="en-US"/>
        </w:rPr>
        <w:t xml:space="preserve"> </w:t>
      </w:r>
      <w:r w:rsidR="0010522A" w:rsidRPr="009F337B">
        <w:rPr>
          <w:i w:val="0"/>
          <w:szCs w:val="20"/>
          <w:lang w:val="en-US"/>
        </w:rPr>
        <w:t>husband</w:t>
      </w:r>
      <w:r w:rsidR="003C2AC6" w:rsidRPr="009F337B">
        <w:rPr>
          <w:i w:val="0"/>
          <w:szCs w:val="20"/>
          <w:lang w:val="en-US"/>
        </w:rPr>
        <w:t xml:space="preserve">, Sebastián Emilio </w:t>
      </w:r>
      <w:proofErr w:type="spellStart"/>
      <w:r w:rsidR="003C2AC6" w:rsidRPr="009F337B">
        <w:rPr>
          <w:i w:val="0"/>
          <w:szCs w:val="20"/>
          <w:lang w:val="en-US"/>
        </w:rPr>
        <w:t>Dueñas</w:t>
      </w:r>
      <w:proofErr w:type="spellEnd"/>
      <w:r w:rsidR="003C2AC6" w:rsidRPr="009F337B">
        <w:rPr>
          <w:i w:val="0"/>
          <w:szCs w:val="20"/>
          <w:lang w:val="en-US"/>
        </w:rPr>
        <w:t xml:space="preserve">, </w:t>
      </w:r>
      <w:r w:rsidR="007F1AEB" w:rsidRPr="009F337B">
        <w:rPr>
          <w:i w:val="0"/>
          <w:szCs w:val="20"/>
          <w:lang w:val="en-US"/>
        </w:rPr>
        <w:t>Mrs.</w:t>
      </w:r>
      <w:r w:rsidR="003C2AC6" w:rsidRPr="009F337B">
        <w:rPr>
          <w:i w:val="0"/>
          <w:szCs w:val="20"/>
          <w:lang w:val="en-US"/>
        </w:rPr>
        <w:t xml:space="preserve"> Aguilar</w:t>
      </w:r>
      <w:r w:rsidRPr="009F337B">
        <w:rPr>
          <w:i w:val="0"/>
          <w:szCs w:val="20"/>
          <w:lang w:val="en-US"/>
        </w:rPr>
        <w:t xml:space="preserve"> indicated that she has been pointed out owing to her condition of being a person living with HIV, in particular by her neighbors who have identified both her and her husband as “</w:t>
      </w:r>
      <w:proofErr w:type="spellStart"/>
      <w:r w:rsidRPr="009F337B">
        <w:rPr>
          <w:szCs w:val="20"/>
          <w:lang w:val="en-US"/>
        </w:rPr>
        <w:t>sidosos</w:t>
      </w:r>
      <w:proofErr w:type="spellEnd"/>
      <w:r w:rsidRPr="009F337B">
        <w:rPr>
          <w:i w:val="0"/>
          <w:szCs w:val="20"/>
          <w:lang w:val="en-US"/>
        </w:rPr>
        <w:t xml:space="preserve">” </w:t>
      </w:r>
      <w:r w:rsidR="003C2AC6" w:rsidRPr="009F337B">
        <w:rPr>
          <w:i w:val="0"/>
          <w:szCs w:val="20"/>
          <w:lang w:val="en-US"/>
        </w:rPr>
        <w:t xml:space="preserve"> </w:t>
      </w:r>
      <w:r w:rsidRPr="009F337B">
        <w:rPr>
          <w:i w:val="0"/>
          <w:szCs w:val="20"/>
          <w:lang w:val="en-US"/>
        </w:rPr>
        <w:t xml:space="preserve">which, she indicated, hurt her, as did the comments made against her in </w:t>
      </w:r>
      <w:r w:rsidR="00BD5E94" w:rsidRPr="009F337B">
        <w:rPr>
          <w:i w:val="0"/>
          <w:szCs w:val="20"/>
          <w:lang w:val="en-US"/>
        </w:rPr>
        <w:t xml:space="preserve">the </w:t>
      </w:r>
      <w:proofErr w:type="spellStart"/>
      <w:r w:rsidR="00BD5E94" w:rsidRPr="009F337B">
        <w:rPr>
          <w:i w:val="0"/>
          <w:szCs w:val="20"/>
          <w:lang w:val="en-US"/>
        </w:rPr>
        <w:t>Coatepeque</w:t>
      </w:r>
      <w:proofErr w:type="spellEnd"/>
      <w:r w:rsidR="00BD5E94" w:rsidRPr="009F337B">
        <w:rPr>
          <w:i w:val="0"/>
          <w:szCs w:val="20"/>
          <w:lang w:val="en-US"/>
        </w:rPr>
        <w:t xml:space="preserve"> National Hospital</w:t>
      </w:r>
      <w:r w:rsidR="003C2AC6" w:rsidRPr="009F337B">
        <w:rPr>
          <w:i w:val="0"/>
          <w:szCs w:val="20"/>
          <w:lang w:val="en-US"/>
        </w:rPr>
        <w:t>.</w:t>
      </w:r>
      <w:r w:rsidR="003C2AC6" w:rsidRPr="009F337B">
        <w:rPr>
          <w:rStyle w:val="Refdenotaalpie"/>
          <w:i w:val="0"/>
          <w:lang w:val="en-US"/>
        </w:rPr>
        <w:footnoteReference w:id="294"/>
      </w:r>
    </w:p>
    <w:p w14:paraId="43B20BF0" w14:textId="63AAA597" w:rsidR="003C2AC6" w:rsidRPr="009F337B" w:rsidRDefault="00A758A5" w:rsidP="00593E37">
      <w:pPr>
        <w:pStyle w:val="Estilo1"/>
        <w:numPr>
          <w:ilvl w:val="0"/>
          <w:numId w:val="5"/>
        </w:numPr>
        <w:tabs>
          <w:tab w:val="left" w:pos="709"/>
          <w:tab w:val="left" w:pos="1134"/>
        </w:tabs>
        <w:spacing w:before="240" w:after="0"/>
        <w:ind w:left="0" w:right="-4" w:firstLine="0"/>
        <w:rPr>
          <w:i w:val="0"/>
          <w:szCs w:val="20"/>
          <w:lang w:val="en-US"/>
        </w:rPr>
      </w:pPr>
      <w:r w:rsidRPr="009F337B">
        <w:rPr>
          <w:i w:val="0"/>
          <w:szCs w:val="20"/>
          <w:lang w:val="en-US"/>
        </w:rPr>
        <w:t>Her family unit consists of her</w:t>
      </w:r>
      <w:r w:rsidR="003C2AC6" w:rsidRPr="009F337B">
        <w:rPr>
          <w:i w:val="0"/>
          <w:szCs w:val="20"/>
          <w:lang w:val="en-US"/>
        </w:rPr>
        <w:t xml:space="preserve"> </w:t>
      </w:r>
      <w:r w:rsidR="0010522A" w:rsidRPr="009F337B">
        <w:rPr>
          <w:i w:val="0"/>
          <w:szCs w:val="20"/>
          <w:lang w:val="en-US"/>
        </w:rPr>
        <w:t>husband</w:t>
      </w:r>
      <w:r w:rsidR="003C2AC6" w:rsidRPr="009F337B">
        <w:rPr>
          <w:i w:val="0"/>
          <w:szCs w:val="20"/>
          <w:lang w:val="en-US"/>
        </w:rPr>
        <w:t xml:space="preserve"> Sebastián Emilio </w:t>
      </w:r>
      <w:proofErr w:type="spellStart"/>
      <w:r w:rsidR="003C2AC6" w:rsidRPr="009F337B">
        <w:rPr>
          <w:i w:val="0"/>
          <w:szCs w:val="20"/>
          <w:lang w:val="en-US"/>
        </w:rPr>
        <w:t>Dueñas</w:t>
      </w:r>
      <w:proofErr w:type="spellEnd"/>
      <w:r w:rsidR="003C2AC6" w:rsidRPr="009F337B">
        <w:rPr>
          <w:i w:val="0"/>
          <w:szCs w:val="20"/>
          <w:lang w:val="en-US"/>
        </w:rPr>
        <w:t xml:space="preserve">, </w:t>
      </w:r>
      <w:r w:rsidR="001C4CEA" w:rsidRPr="009F337B">
        <w:rPr>
          <w:i w:val="0"/>
          <w:szCs w:val="20"/>
          <w:lang w:val="en-US"/>
        </w:rPr>
        <w:t>their</w:t>
      </w:r>
      <w:r w:rsidR="003C2AC6" w:rsidRPr="009F337B">
        <w:rPr>
          <w:i w:val="0"/>
          <w:szCs w:val="20"/>
          <w:lang w:val="en-US"/>
        </w:rPr>
        <w:t xml:space="preserve"> </w:t>
      </w:r>
      <w:r w:rsidR="0010522A" w:rsidRPr="009F337B">
        <w:rPr>
          <w:i w:val="0"/>
          <w:szCs w:val="20"/>
          <w:lang w:val="en-US"/>
        </w:rPr>
        <w:t>daughter</w:t>
      </w:r>
      <w:r w:rsidR="003C2AC6" w:rsidRPr="009F337B">
        <w:rPr>
          <w:i w:val="0"/>
          <w:szCs w:val="20"/>
          <w:lang w:val="en-US"/>
        </w:rPr>
        <w:t xml:space="preserve">s Lucrecia </w:t>
      </w:r>
      <w:proofErr w:type="spellStart"/>
      <w:r w:rsidR="003C2AC6" w:rsidRPr="009F337B">
        <w:rPr>
          <w:i w:val="0"/>
          <w:szCs w:val="20"/>
          <w:lang w:val="en-US"/>
        </w:rPr>
        <w:t>Izabel</w:t>
      </w:r>
      <w:proofErr w:type="spellEnd"/>
      <w:r w:rsidR="003C46A3" w:rsidRPr="009F337B">
        <w:rPr>
          <w:i w:val="0"/>
          <w:szCs w:val="20"/>
          <w:lang w:val="en-US"/>
        </w:rPr>
        <w:t xml:space="preserve"> and </w:t>
      </w:r>
      <w:r w:rsidR="003C2AC6" w:rsidRPr="009F337B">
        <w:rPr>
          <w:i w:val="0"/>
          <w:szCs w:val="20"/>
          <w:lang w:val="en-US"/>
        </w:rPr>
        <w:t xml:space="preserve">Eva, </w:t>
      </w:r>
      <w:r w:rsidR="007B07E2" w:rsidRPr="009F337B">
        <w:rPr>
          <w:i w:val="0"/>
          <w:szCs w:val="20"/>
          <w:lang w:val="en-US"/>
        </w:rPr>
        <w:t>both</w:t>
      </w:r>
      <w:r w:rsidR="003C2AC6" w:rsidRPr="009F337B">
        <w:rPr>
          <w:i w:val="0"/>
          <w:szCs w:val="20"/>
          <w:lang w:val="en-US"/>
        </w:rPr>
        <w:t xml:space="preserve"> </w:t>
      </w:r>
      <w:proofErr w:type="spellStart"/>
      <w:r w:rsidR="003C2AC6" w:rsidRPr="009F337B">
        <w:rPr>
          <w:i w:val="0"/>
          <w:szCs w:val="20"/>
          <w:lang w:val="en-US"/>
        </w:rPr>
        <w:t>Dueñas</w:t>
      </w:r>
      <w:proofErr w:type="spellEnd"/>
      <w:r w:rsidR="003C2AC6" w:rsidRPr="009F337B">
        <w:rPr>
          <w:i w:val="0"/>
          <w:szCs w:val="20"/>
          <w:lang w:val="en-US"/>
        </w:rPr>
        <w:t xml:space="preserve"> Aguilar, </w:t>
      </w:r>
      <w:r w:rsidR="001C4CEA" w:rsidRPr="009F337B">
        <w:rPr>
          <w:i w:val="0"/>
          <w:szCs w:val="20"/>
          <w:lang w:val="en-US"/>
        </w:rPr>
        <w:t>their</w:t>
      </w:r>
      <w:r w:rsidR="003C2AC6" w:rsidRPr="009F337B">
        <w:rPr>
          <w:i w:val="0"/>
          <w:szCs w:val="20"/>
          <w:lang w:val="en-US"/>
        </w:rPr>
        <w:t xml:space="preserve"> </w:t>
      </w:r>
      <w:r w:rsidR="0010522A" w:rsidRPr="009F337B">
        <w:rPr>
          <w:i w:val="0"/>
          <w:szCs w:val="20"/>
          <w:lang w:val="en-US"/>
        </w:rPr>
        <w:t>son</w:t>
      </w:r>
      <w:r w:rsidR="003C2AC6" w:rsidRPr="009F337B">
        <w:rPr>
          <w:i w:val="0"/>
          <w:szCs w:val="20"/>
          <w:lang w:val="en-US"/>
        </w:rPr>
        <w:t xml:space="preserve"> </w:t>
      </w:r>
      <w:proofErr w:type="spellStart"/>
      <w:r w:rsidR="003C2AC6" w:rsidRPr="009F337B">
        <w:rPr>
          <w:i w:val="0"/>
          <w:szCs w:val="20"/>
          <w:lang w:val="en-US"/>
        </w:rPr>
        <w:t>Fredy</w:t>
      </w:r>
      <w:proofErr w:type="spellEnd"/>
      <w:r w:rsidR="003C2AC6" w:rsidRPr="009F337B">
        <w:rPr>
          <w:i w:val="0"/>
          <w:szCs w:val="20"/>
          <w:lang w:val="en-US"/>
        </w:rPr>
        <w:t xml:space="preserve"> </w:t>
      </w:r>
      <w:proofErr w:type="spellStart"/>
      <w:r w:rsidR="003C2AC6" w:rsidRPr="009F337B">
        <w:rPr>
          <w:i w:val="0"/>
          <w:szCs w:val="20"/>
          <w:lang w:val="en-US"/>
        </w:rPr>
        <w:t>Dueñas</w:t>
      </w:r>
      <w:proofErr w:type="spellEnd"/>
      <w:r w:rsidR="003C2AC6" w:rsidRPr="009F337B">
        <w:rPr>
          <w:i w:val="0"/>
          <w:szCs w:val="20"/>
          <w:lang w:val="en-US"/>
        </w:rPr>
        <w:t xml:space="preserve"> Aguilar o</w:t>
      </w:r>
      <w:r w:rsidR="001C4CEA" w:rsidRPr="009F337B">
        <w:rPr>
          <w:i w:val="0"/>
          <w:szCs w:val="20"/>
          <w:lang w:val="en-US"/>
        </w:rPr>
        <w:t>r</w:t>
      </w:r>
      <w:r w:rsidR="003C2AC6" w:rsidRPr="009F337B">
        <w:rPr>
          <w:i w:val="0"/>
          <w:szCs w:val="20"/>
          <w:lang w:val="en-US"/>
        </w:rPr>
        <w:t xml:space="preserve"> José Alfredo Ramón Aguilar,</w:t>
      </w:r>
      <w:r w:rsidR="003C46A3" w:rsidRPr="009F337B">
        <w:rPr>
          <w:i w:val="0"/>
          <w:szCs w:val="20"/>
          <w:lang w:val="en-US"/>
        </w:rPr>
        <w:t xml:space="preserve"> and </w:t>
      </w:r>
      <w:r w:rsidR="001C4CEA" w:rsidRPr="009F337B">
        <w:rPr>
          <w:i w:val="0"/>
          <w:szCs w:val="20"/>
          <w:lang w:val="en-US"/>
        </w:rPr>
        <w:t>her</w:t>
      </w:r>
      <w:r w:rsidR="003C2AC6" w:rsidRPr="009F337B">
        <w:rPr>
          <w:i w:val="0"/>
          <w:szCs w:val="20"/>
          <w:lang w:val="en-US"/>
        </w:rPr>
        <w:t xml:space="preserve"> </w:t>
      </w:r>
      <w:r w:rsidR="0010522A" w:rsidRPr="009F337B">
        <w:rPr>
          <w:i w:val="0"/>
          <w:szCs w:val="20"/>
          <w:lang w:val="en-US"/>
        </w:rPr>
        <w:t>mother</w:t>
      </w:r>
      <w:r w:rsidR="003C2AC6" w:rsidRPr="009F337B">
        <w:rPr>
          <w:i w:val="0"/>
          <w:szCs w:val="20"/>
          <w:lang w:val="en-US"/>
        </w:rPr>
        <w:t xml:space="preserve"> María </w:t>
      </w:r>
      <w:proofErr w:type="spellStart"/>
      <w:r w:rsidR="003C2AC6" w:rsidRPr="009F337B">
        <w:rPr>
          <w:i w:val="0"/>
          <w:szCs w:val="20"/>
          <w:lang w:val="en-US"/>
        </w:rPr>
        <w:t>Dueñas</w:t>
      </w:r>
      <w:proofErr w:type="spellEnd"/>
      <w:r w:rsidR="003C2AC6" w:rsidRPr="009F337B">
        <w:rPr>
          <w:i w:val="0"/>
          <w:szCs w:val="20"/>
          <w:lang w:val="en-US"/>
        </w:rPr>
        <w:t xml:space="preserve"> Aguilar</w:t>
      </w:r>
      <w:r w:rsidR="003C2AC6" w:rsidRPr="009F337B">
        <w:rPr>
          <w:rStyle w:val="Refdenotaalpie"/>
          <w:i w:val="0"/>
          <w:lang w:val="en-US"/>
        </w:rPr>
        <w:footnoteReference w:id="295"/>
      </w:r>
      <w:r w:rsidR="003C2AC6" w:rsidRPr="009F337B">
        <w:rPr>
          <w:i w:val="0"/>
          <w:szCs w:val="20"/>
          <w:lang w:val="en-US"/>
        </w:rPr>
        <w:t>.</w:t>
      </w:r>
    </w:p>
    <w:p w14:paraId="2080CB02" w14:textId="77777777" w:rsidR="003C2AC6" w:rsidRPr="009F337B" w:rsidRDefault="003C2AC6" w:rsidP="003C2AC6">
      <w:pPr>
        <w:pStyle w:val="PrrafodeSentencia"/>
        <w:rPr>
          <w:lang w:val="en-US"/>
        </w:rPr>
      </w:pPr>
    </w:p>
    <w:p w14:paraId="07F8D6E2" w14:textId="77777777" w:rsidR="003C2AC6" w:rsidRPr="009F337B" w:rsidRDefault="003C2AC6" w:rsidP="003C2AC6">
      <w:pPr>
        <w:pStyle w:val="PrrafodeSentencia"/>
        <w:rPr>
          <w:lang w:val="en-US"/>
        </w:rPr>
      </w:pPr>
      <w:r w:rsidRPr="009F337B">
        <w:rPr>
          <w:lang w:val="en-US"/>
        </w:rPr>
        <w:tab/>
        <w:t>B.3. Felipe Tebalan Ordoñez</w:t>
      </w:r>
    </w:p>
    <w:p w14:paraId="705856B1" w14:textId="7D527A95" w:rsidR="003C2AC6" w:rsidRPr="009F337B" w:rsidRDefault="007F1AEB" w:rsidP="00593E37">
      <w:pPr>
        <w:pStyle w:val="Estilo1"/>
        <w:numPr>
          <w:ilvl w:val="0"/>
          <w:numId w:val="5"/>
        </w:numPr>
        <w:tabs>
          <w:tab w:val="left" w:pos="709"/>
          <w:tab w:val="left" w:pos="1134"/>
        </w:tabs>
        <w:spacing w:before="240" w:after="0"/>
        <w:ind w:left="0" w:right="-4" w:firstLine="0"/>
        <w:rPr>
          <w:i w:val="0"/>
          <w:szCs w:val="20"/>
          <w:lang w:val="en-US"/>
        </w:rPr>
      </w:pPr>
      <w:r w:rsidRPr="009F337B">
        <w:rPr>
          <w:i w:val="0"/>
          <w:szCs w:val="20"/>
          <w:lang w:val="en-US"/>
        </w:rPr>
        <w:t>Mr.</w:t>
      </w:r>
      <w:r w:rsidR="003C2AC6" w:rsidRPr="009F337B">
        <w:rPr>
          <w:i w:val="0"/>
          <w:szCs w:val="20"/>
          <w:lang w:val="en-US"/>
        </w:rPr>
        <w:t xml:space="preserve"> </w:t>
      </w:r>
      <w:proofErr w:type="spellStart"/>
      <w:r w:rsidR="003C2AC6" w:rsidRPr="009F337B">
        <w:rPr>
          <w:i w:val="0"/>
          <w:szCs w:val="20"/>
          <w:lang w:val="en-US"/>
        </w:rPr>
        <w:t>Tebalan</w:t>
      </w:r>
      <w:proofErr w:type="spellEnd"/>
      <w:r w:rsidR="003C2AC6" w:rsidRPr="009F337B">
        <w:rPr>
          <w:i w:val="0"/>
          <w:szCs w:val="20"/>
          <w:lang w:val="en-US"/>
        </w:rPr>
        <w:t xml:space="preserve"> </w:t>
      </w:r>
      <w:proofErr w:type="spellStart"/>
      <w:r w:rsidR="003C2AC6" w:rsidRPr="009F337B">
        <w:rPr>
          <w:i w:val="0"/>
          <w:szCs w:val="20"/>
          <w:lang w:val="en-US"/>
        </w:rPr>
        <w:t>Ordoñez</w:t>
      </w:r>
      <w:proofErr w:type="spellEnd"/>
      <w:r w:rsidR="003C2AC6" w:rsidRPr="009F337B">
        <w:rPr>
          <w:i w:val="0"/>
          <w:szCs w:val="20"/>
          <w:lang w:val="en-US"/>
        </w:rPr>
        <w:t xml:space="preserve"> </w:t>
      </w:r>
      <w:r w:rsidR="001C4CEA" w:rsidRPr="009F337B">
        <w:rPr>
          <w:i w:val="0"/>
          <w:szCs w:val="20"/>
          <w:lang w:val="en-US"/>
        </w:rPr>
        <w:t>was born in</w:t>
      </w:r>
      <w:r w:rsidR="00805FE9" w:rsidRPr="009F337B">
        <w:rPr>
          <w:i w:val="0"/>
          <w:szCs w:val="20"/>
          <w:lang w:val="en-US"/>
        </w:rPr>
        <w:t xml:space="preserve"> the </w:t>
      </w:r>
      <w:r w:rsidR="00D85CA7" w:rsidRPr="009F337B">
        <w:rPr>
          <w:i w:val="0"/>
          <w:szCs w:val="20"/>
          <w:lang w:val="en-US"/>
        </w:rPr>
        <w:t>municipality of</w:t>
      </w:r>
      <w:r w:rsidR="003C2AC6" w:rsidRPr="009F337B">
        <w:rPr>
          <w:i w:val="0"/>
          <w:szCs w:val="20"/>
          <w:lang w:val="en-US"/>
        </w:rPr>
        <w:t xml:space="preserve"> </w:t>
      </w:r>
      <w:proofErr w:type="spellStart"/>
      <w:r w:rsidR="003C2AC6" w:rsidRPr="009F337B">
        <w:rPr>
          <w:i w:val="0"/>
          <w:szCs w:val="20"/>
          <w:lang w:val="en-US"/>
        </w:rPr>
        <w:t>Coatepeque</w:t>
      </w:r>
      <w:proofErr w:type="spellEnd"/>
      <w:r w:rsidR="003C2AC6" w:rsidRPr="009F337B">
        <w:rPr>
          <w:i w:val="0"/>
          <w:szCs w:val="20"/>
          <w:lang w:val="en-US"/>
        </w:rPr>
        <w:t xml:space="preserve">, </w:t>
      </w:r>
      <w:r w:rsidR="003E1304" w:rsidRPr="009F337B">
        <w:rPr>
          <w:i w:val="0"/>
          <w:szCs w:val="20"/>
          <w:lang w:val="en-US"/>
        </w:rPr>
        <w:t>department of</w:t>
      </w:r>
      <w:r w:rsidR="003C2AC6" w:rsidRPr="009F337B">
        <w:rPr>
          <w:i w:val="0"/>
          <w:szCs w:val="20"/>
          <w:lang w:val="en-US"/>
        </w:rPr>
        <w:t xml:space="preserve"> Quetzaltenango, Guatemala</w:t>
      </w:r>
      <w:r w:rsidR="001C4CEA" w:rsidRPr="009F337B">
        <w:rPr>
          <w:i w:val="0"/>
          <w:szCs w:val="20"/>
          <w:lang w:val="en-US"/>
        </w:rPr>
        <w:t xml:space="preserve"> </w:t>
      </w:r>
      <w:r w:rsidR="0084040D" w:rsidRPr="009F337B">
        <w:rPr>
          <w:i w:val="0"/>
          <w:szCs w:val="20"/>
          <w:lang w:val="en-US"/>
        </w:rPr>
        <w:t>on</w:t>
      </w:r>
      <w:r w:rsidR="003C2AC6" w:rsidRPr="009F337B">
        <w:rPr>
          <w:i w:val="0"/>
          <w:szCs w:val="20"/>
          <w:lang w:val="en-US"/>
        </w:rPr>
        <w:t xml:space="preserve"> </w:t>
      </w:r>
      <w:r w:rsidR="001C4CEA" w:rsidRPr="009F337B">
        <w:rPr>
          <w:i w:val="0"/>
          <w:szCs w:val="20"/>
          <w:lang w:val="en-US"/>
        </w:rPr>
        <w:t>August 23,</w:t>
      </w:r>
      <w:r w:rsidR="003C2AC6" w:rsidRPr="009F337B">
        <w:rPr>
          <w:i w:val="0"/>
          <w:szCs w:val="20"/>
          <w:lang w:val="en-US"/>
        </w:rPr>
        <w:t xml:space="preserve"> 1942. </w:t>
      </w:r>
      <w:r w:rsidR="001C4CEA" w:rsidRPr="009F337B">
        <w:rPr>
          <w:i w:val="0"/>
          <w:szCs w:val="20"/>
          <w:lang w:val="en-US"/>
        </w:rPr>
        <w:t>He l</w:t>
      </w:r>
      <w:r w:rsidR="00D85CA7" w:rsidRPr="009F337B">
        <w:rPr>
          <w:i w:val="0"/>
          <w:szCs w:val="20"/>
          <w:lang w:val="en-US"/>
        </w:rPr>
        <w:t>ives in</w:t>
      </w:r>
      <w:r w:rsidR="003C2AC6" w:rsidRPr="009F337B">
        <w:rPr>
          <w:i w:val="0"/>
          <w:szCs w:val="20"/>
          <w:lang w:val="en-US"/>
        </w:rPr>
        <w:t xml:space="preserve"> </w:t>
      </w:r>
      <w:r w:rsidR="001C4CEA" w:rsidRPr="009F337B">
        <w:rPr>
          <w:i w:val="0"/>
          <w:szCs w:val="20"/>
          <w:lang w:val="en-US"/>
        </w:rPr>
        <w:t xml:space="preserve">the San Vicente </w:t>
      </w:r>
      <w:proofErr w:type="spellStart"/>
      <w:r w:rsidR="001C4CEA" w:rsidRPr="009F337B">
        <w:rPr>
          <w:i w:val="0"/>
          <w:szCs w:val="20"/>
          <w:lang w:val="en-US"/>
        </w:rPr>
        <w:t>Champerico</w:t>
      </w:r>
      <w:proofErr w:type="spellEnd"/>
      <w:r w:rsidR="001C4CEA" w:rsidRPr="009F337B">
        <w:rPr>
          <w:i w:val="0"/>
          <w:szCs w:val="20"/>
          <w:lang w:val="en-US"/>
        </w:rPr>
        <w:t xml:space="preserve"> Multicultural Agrarian Community</w:t>
      </w:r>
      <w:r w:rsidR="003C2AC6" w:rsidRPr="009F337B">
        <w:rPr>
          <w:i w:val="0"/>
          <w:szCs w:val="20"/>
          <w:lang w:val="en-US"/>
        </w:rPr>
        <w:t xml:space="preserve">, Retalhuleu, Guatemala. </w:t>
      </w:r>
      <w:r w:rsidR="001C4CEA" w:rsidRPr="009F337B">
        <w:rPr>
          <w:i w:val="0"/>
          <w:szCs w:val="20"/>
          <w:lang w:val="en-US"/>
        </w:rPr>
        <w:t xml:space="preserve">His schooling consisted of first year of primary education and he was enlisted in the army for three years. He speaks </w:t>
      </w:r>
      <w:proofErr w:type="spellStart"/>
      <w:r w:rsidR="003C2AC6" w:rsidRPr="009F337B">
        <w:rPr>
          <w:i w:val="0"/>
          <w:szCs w:val="20"/>
          <w:lang w:val="en-US"/>
        </w:rPr>
        <w:t>k’iche</w:t>
      </w:r>
      <w:proofErr w:type="spellEnd"/>
      <w:r w:rsidR="003C46A3" w:rsidRPr="009F337B">
        <w:rPr>
          <w:i w:val="0"/>
          <w:szCs w:val="20"/>
          <w:lang w:val="en-US"/>
        </w:rPr>
        <w:t xml:space="preserve"> </w:t>
      </w:r>
      <w:r w:rsidR="001C4CEA" w:rsidRPr="009F337B">
        <w:rPr>
          <w:i w:val="0"/>
          <w:szCs w:val="20"/>
          <w:lang w:val="en-US"/>
        </w:rPr>
        <w:t>and Spanish</w:t>
      </w:r>
      <w:r w:rsidR="003C2AC6" w:rsidRPr="009F337B">
        <w:rPr>
          <w:i w:val="0"/>
          <w:szCs w:val="20"/>
          <w:lang w:val="en-US"/>
        </w:rPr>
        <w:t xml:space="preserve">. </w:t>
      </w:r>
      <w:r w:rsidR="001C4CEA" w:rsidRPr="009F337B">
        <w:rPr>
          <w:i w:val="0"/>
          <w:szCs w:val="20"/>
          <w:lang w:val="en-US"/>
        </w:rPr>
        <w:t xml:space="preserve">Before becoming infected, he </w:t>
      </w:r>
      <w:r w:rsidR="00517071" w:rsidRPr="009F337B">
        <w:rPr>
          <w:i w:val="0"/>
          <w:szCs w:val="20"/>
          <w:lang w:val="en-US"/>
        </w:rPr>
        <w:t>planted</w:t>
      </w:r>
      <w:r w:rsidR="001C4CEA" w:rsidRPr="009F337B">
        <w:rPr>
          <w:i w:val="0"/>
          <w:szCs w:val="20"/>
          <w:lang w:val="en-US"/>
        </w:rPr>
        <w:t xml:space="preserve"> and harvested corn; however, he had to sell his plot because, due to his illness, he was unable to continue. Once he started treatment, he sold chickens and, subsequently, on the advice of his children he stopped working</w:t>
      </w:r>
      <w:r w:rsidR="003C2AC6" w:rsidRPr="009F337B">
        <w:rPr>
          <w:i w:val="0"/>
          <w:szCs w:val="20"/>
          <w:lang w:val="en-US"/>
        </w:rPr>
        <w:t>.</w:t>
      </w:r>
      <w:r w:rsidR="003C2AC6" w:rsidRPr="009F337B">
        <w:rPr>
          <w:rStyle w:val="Refdenotaalpie"/>
          <w:i w:val="0"/>
          <w:lang w:val="en-US"/>
        </w:rPr>
        <w:footnoteReference w:id="296"/>
      </w:r>
      <w:r w:rsidR="003C2AC6" w:rsidRPr="009F337B">
        <w:rPr>
          <w:i w:val="0"/>
          <w:szCs w:val="20"/>
          <w:lang w:val="en-US"/>
        </w:rPr>
        <w:t xml:space="preserve"> </w:t>
      </w:r>
      <w:r w:rsidRPr="009F337B">
        <w:rPr>
          <w:i w:val="0"/>
          <w:szCs w:val="20"/>
          <w:lang w:val="en-US"/>
        </w:rPr>
        <w:t>He was diagnose</w:t>
      </w:r>
      <w:r w:rsidR="001C4CEA" w:rsidRPr="009F337B">
        <w:rPr>
          <w:i w:val="0"/>
          <w:szCs w:val="20"/>
          <w:lang w:val="en-US"/>
        </w:rPr>
        <w:t>d with</w:t>
      </w:r>
      <w:r w:rsidR="003C2AC6" w:rsidRPr="009F337B">
        <w:rPr>
          <w:i w:val="0"/>
          <w:szCs w:val="20"/>
          <w:lang w:val="en-US"/>
        </w:rPr>
        <w:t xml:space="preserve"> </w:t>
      </w:r>
      <w:r w:rsidR="00CA11F6" w:rsidRPr="009F337B">
        <w:rPr>
          <w:i w:val="0"/>
          <w:szCs w:val="20"/>
          <w:lang w:val="en-US"/>
        </w:rPr>
        <w:t>HIV</w:t>
      </w:r>
      <w:r w:rsidR="003C2AC6" w:rsidRPr="009F337B">
        <w:rPr>
          <w:i w:val="0"/>
          <w:szCs w:val="20"/>
          <w:lang w:val="en-US"/>
        </w:rPr>
        <w:t xml:space="preserve"> </w:t>
      </w:r>
      <w:r w:rsidR="001C4CEA" w:rsidRPr="009F337B">
        <w:rPr>
          <w:i w:val="0"/>
          <w:szCs w:val="20"/>
          <w:lang w:val="en-US"/>
        </w:rPr>
        <w:t>in 2002</w:t>
      </w:r>
      <w:r w:rsidR="003C2AC6" w:rsidRPr="009F337B">
        <w:rPr>
          <w:i w:val="0"/>
          <w:szCs w:val="20"/>
          <w:lang w:val="en-US"/>
        </w:rPr>
        <w:t xml:space="preserve">, </w:t>
      </w:r>
      <w:r w:rsidR="001C4CEA" w:rsidRPr="009F337B">
        <w:rPr>
          <w:i w:val="0"/>
          <w:szCs w:val="20"/>
          <w:lang w:val="en-US"/>
        </w:rPr>
        <w:t>under MSF’s</w:t>
      </w:r>
      <w:r w:rsidR="003C2AC6" w:rsidRPr="009F337B">
        <w:rPr>
          <w:i w:val="0"/>
          <w:szCs w:val="20"/>
          <w:lang w:val="en-US"/>
        </w:rPr>
        <w:t xml:space="preserve"> </w:t>
      </w:r>
      <w:r w:rsidR="00AE674B" w:rsidRPr="009F337B">
        <w:rPr>
          <w:szCs w:val="20"/>
          <w:lang w:val="en-US"/>
        </w:rPr>
        <w:t>Proyecto Vida</w:t>
      </w:r>
      <w:r w:rsidR="003C2AC6" w:rsidRPr="009F337B">
        <w:rPr>
          <w:i w:val="0"/>
          <w:szCs w:val="20"/>
          <w:lang w:val="en-US"/>
        </w:rPr>
        <w:t xml:space="preserve">. </w:t>
      </w:r>
      <w:r w:rsidR="001C4CEA" w:rsidRPr="009F337B">
        <w:rPr>
          <w:i w:val="0"/>
          <w:szCs w:val="20"/>
          <w:lang w:val="en-US"/>
        </w:rPr>
        <w:t xml:space="preserve">He began </w:t>
      </w:r>
      <w:r w:rsidR="003C2AC6" w:rsidRPr="009F337B">
        <w:rPr>
          <w:i w:val="0"/>
          <w:szCs w:val="20"/>
          <w:lang w:val="en-US"/>
        </w:rPr>
        <w:t xml:space="preserve"> </w:t>
      </w:r>
      <w:r w:rsidR="001C4CEA" w:rsidRPr="009F337B">
        <w:rPr>
          <w:i w:val="0"/>
          <w:szCs w:val="20"/>
          <w:lang w:val="en-US"/>
        </w:rPr>
        <w:t>his</w:t>
      </w:r>
      <w:r w:rsidR="003C2AC6" w:rsidRPr="009F337B">
        <w:rPr>
          <w:i w:val="0"/>
          <w:szCs w:val="20"/>
          <w:lang w:val="en-US"/>
        </w:rPr>
        <w:t xml:space="preserve"> </w:t>
      </w:r>
      <w:r w:rsidR="00FE1EFF" w:rsidRPr="009F337B">
        <w:rPr>
          <w:i w:val="0"/>
          <w:szCs w:val="20"/>
          <w:lang w:val="en-US"/>
        </w:rPr>
        <w:t>antiretroviral treatment</w:t>
      </w:r>
      <w:r w:rsidR="001C4CEA" w:rsidRPr="009F337B">
        <w:rPr>
          <w:i w:val="0"/>
          <w:szCs w:val="20"/>
          <w:lang w:val="en-US"/>
        </w:rPr>
        <w:t xml:space="preserve"> with</w:t>
      </w:r>
      <w:r w:rsidR="003C2AC6" w:rsidRPr="009F337B">
        <w:rPr>
          <w:i w:val="0"/>
          <w:szCs w:val="20"/>
          <w:lang w:val="en-US"/>
        </w:rPr>
        <w:t xml:space="preserve"> MSF</w:t>
      </w:r>
      <w:r w:rsidR="001C4CEA" w:rsidRPr="009F337B">
        <w:rPr>
          <w:i w:val="0"/>
          <w:szCs w:val="20"/>
          <w:lang w:val="en-US"/>
        </w:rPr>
        <w:t xml:space="preserve"> in June 2003</w:t>
      </w:r>
      <w:r w:rsidR="003C2AC6" w:rsidRPr="009F337B">
        <w:rPr>
          <w:i w:val="0"/>
          <w:szCs w:val="20"/>
          <w:lang w:val="en-US"/>
        </w:rPr>
        <w:t>,</w:t>
      </w:r>
      <w:r w:rsidR="003C46A3" w:rsidRPr="009F337B">
        <w:rPr>
          <w:i w:val="0"/>
          <w:szCs w:val="20"/>
          <w:lang w:val="en-US"/>
        </w:rPr>
        <w:t xml:space="preserve"> and </w:t>
      </w:r>
      <w:r w:rsidR="001C4CEA" w:rsidRPr="009F337B">
        <w:rPr>
          <w:i w:val="0"/>
          <w:szCs w:val="20"/>
          <w:lang w:val="en-US"/>
        </w:rPr>
        <w:t>in around 2004, he was transferred to Clinic No. 12</w:t>
      </w:r>
      <w:r w:rsidR="00A758A5" w:rsidRPr="009F337B">
        <w:rPr>
          <w:i w:val="0"/>
          <w:szCs w:val="20"/>
          <w:lang w:val="en-US"/>
        </w:rPr>
        <w:t xml:space="preserve"> of the </w:t>
      </w:r>
      <w:proofErr w:type="spellStart"/>
      <w:r w:rsidR="00BD5E94" w:rsidRPr="009F337B">
        <w:rPr>
          <w:i w:val="0"/>
          <w:szCs w:val="20"/>
          <w:lang w:val="en-US"/>
        </w:rPr>
        <w:t>Coatepeque</w:t>
      </w:r>
      <w:proofErr w:type="spellEnd"/>
      <w:r w:rsidR="00BD5E94" w:rsidRPr="009F337B">
        <w:rPr>
          <w:i w:val="0"/>
          <w:szCs w:val="20"/>
          <w:lang w:val="en-US"/>
        </w:rPr>
        <w:t xml:space="preserve"> National Hospital</w:t>
      </w:r>
      <w:r w:rsidR="003C2AC6" w:rsidRPr="009F337B">
        <w:rPr>
          <w:i w:val="0"/>
          <w:szCs w:val="20"/>
          <w:lang w:val="en-US"/>
        </w:rPr>
        <w:t xml:space="preserve">, </w:t>
      </w:r>
      <w:r w:rsidR="001C4CEA" w:rsidRPr="009F337B">
        <w:rPr>
          <w:i w:val="0"/>
          <w:szCs w:val="20"/>
          <w:lang w:val="en-US"/>
        </w:rPr>
        <w:t>where</w:t>
      </w:r>
      <w:r w:rsidR="00AE674B" w:rsidRPr="009F337B">
        <w:rPr>
          <w:i w:val="0"/>
          <w:szCs w:val="20"/>
          <w:lang w:val="en-US"/>
        </w:rPr>
        <w:t xml:space="preserve"> he underwent liver function tests and, irregularly, CD4 counts (4) and viral load testing (1). He has not undergone</w:t>
      </w:r>
      <w:r w:rsidR="003C2AC6" w:rsidRPr="009F337B">
        <w:rPr>
          <w:i w:val="0"/>
          <w:szCs w:val="20"/>
          <w:lang w:val="en-US"/>
        </w:rPr>
        <w:t xml:space="preserve"> </w:t>
      </w:r>
      <w:r w:rsidR="00B63594" w:rsidRPr="009F337B">
        <w:rPr>
          <w:i w:val="0"/>
          <w:szCs w:val="20"/>
          <w:lang w:val="en-US"/>
        </w:rPr>
        <w:t>genotype and phenotype</w:t>
      </w:r>
      <w:r w:rsidR="00AE674B" w:rsidRPr="009F337B">
        <w:rPr>
          <w:i w:val="0"/>
          <w:szCs w:val="20"/>
          <w:lang w:val="en-US"/>
        </w:rPr>
        <w:t xml:space="preserve"> tests</w:t>
      </w:r>
      <w:r w:rsidR="003C2AC6" w:rsidRPr="009F337B">
        <w:rPr>
          <w:i w:val="0"/>
          <w:szCs w:val="20"/>
          <w:lang w:val="en-US"/>
        </w:rPr>
        <w:t>,</w:t>
      </w:r>
      <w:r w:rsidR="003C46A3" w:rsidRPr="009F337B">
        <w:rPr>
          <w:i w:val="0"/>
          <w:szCs w:val="20"/>
          <w:lang w:val="en-US"/>
        </w:rPr>
        <w:t xml:space="preserve"> </w:t>
      </w:r>
      <w:r w:rsidR="00517071" w:rsidRPr="009F337B">
        <w:rPr>
          <w:i w:val="0"/>
          <w:szCs w:val="20"/>
          <w:lang w:val="en-US"/>
        </w:rPr>
        <w:t>but</w:t>
      </w:r>
      <w:r w:rsidR="003C46A3" w:rsidRPr="009F337B">
        <w:rPr>
          <w:i w:val="0"/>
          <w:szCs w:val="20"/>
          <w:lang w:val="en-US"/>
        </w:rPr>
        <w:t xml:space="preserve"> </w:t>
      </w:r>
      <w:r w:rsidR="00AE674B" w:rsidRPr="009F337B">
        <w:rPr>
          <w:i w:val="0"/>
          <w:szCs w:val="20"/>
          <w:lang w:val="en-US"/>
        </w:rPr>
        <w:t xml:space="preserve">he has been given the drugs that are prescribed. He has suffered from liver problems, slight deafness, level II </w:t>
      </w:r>
      <w:r w:rsidR="00DD7C07" w:rsidRPr="009F337B">
        <w:rPr>
          <w:i w:val="0"/>
          <w:szCs w:val="20"/>
          <w:lang w:val="en-US"/>
        </w:rPr>
        <w:t>malnutrition</w:t>
      </w:r>
      <w:r w:rsidR="003C2AC6" w:rsidRPr="009F337B">
        <w:rPr>
          <w:i w:val="0"/>
          <w:szCs w:val="20"/>
          <w:lang w:val="en-US"/>
        </w:rPr>
        <w:t>,</w:t>
      </w:r>
      <w:r w:rsidR="00AE674B" w:rsidRPr="009F337B">
        <w:rPr>
          <w:i w:val="0"/>
          <w:szCs w:val="20"/>
          <w:lang w:val="en-US"/>
        </w:rPr>
        <w:t xml:space="preserve"> acute</w:t>
      </w:r>
      <w:r w:rsidR="003C2AC6" w:rsidRPr="009F337B">
        <w:rPr>
          <w:i w:val="0"/>
          <w:szCs w:val="20"/>
          <w:lang w:val="en-US"/>
        </w:rPr>
        <w:t xml:space="preserve"> </w:t>
      </w:r>
      <w:r w:rsidR="00BB39B6" w:rsidRPr="009F337B">
        <w:rPr>
          <w:i w:val="0"/>
          <w:szCs w:val="20"/>
          <w:lang w:val="en-US"/>
        </w:rPr>
        <w:t>diarrhea</w:t>
      </w:r>
      <w:r w:rsidR="003C2AC6" w:rsidRPr="009F337B">
        <w:rPr>
          <w:i w:val="0"/>
          <w:szCs w:val="20"/>
          <w:lang w:val="en-US"/>
        </w:rPr>
        <w:t>, al</w:t>
      </w:r>
      <w:r w:rsidR="00AE674B" w:rsidRPr="009F337B">
        <w:rPr>
          <w:i w:val="0"/>
          <w:szCs w:val="20"/>
          <w:lang w:val="en-US"/>
        </w:rPr>
        <w:t xml:space="preserve">lergies </w:t>
      </w:r>
      <w:r w:rsidR="003C46A3" w:rsidRPr="009F337B">
        <w:rPr>
          <w:i w:val="0"/>
          <w:szCs w:val="20"/>
          <w:lang w:val="en-US"/>
        </w:rPr>
        <w:t xml:space="preserve">and </w:t>
      </w:r>
      <w:r w:rsidR="00AE674B" w:rsidRPr="009F337B">
        <w:rPr>
          <w:i w:val="0"/>
          <w:szCs w:val="20"/>
          <w:lang w:val="en-US"/>
        </w:rPr>
        <w:t>mouth sores</w:t>
      </w:r>
      <w:r w:rsidR="003C2AC6" w:rsidRPr="009F337B">
        <w:rPr>
          <w:i w:val="0"/>
          <w:szCs w:val="20"/>
          <w:lang w:val="en-US"/>
        </w:rPr>
        <w:t xml:space="preserve">. </w:t>
      </w:r>
      <w:r w:rsidR="00AE674B" w:rsidRPr="009F337B">
        <w:rPr>
          <w:i w:val="0"/>
          <w:szCs w:val="20"/>
          <w:lang w:val="en-US"/>
        </w:rPr>
        <w:t xml:space="preserve">He receives no nutritional or social support, or family, community and </w:t>
      </w:r>
      <w:r w:rsidR="00F93469" w:rsidRPr="009F337B">
        <w:rPr>
          <w:i w:val="0"/>
          <w:szCs w:val="20"/>
          <w:lang w:val="en-US"/>
        </w:rPr>
        <w:t>home-</w:t>
      </w:r>
      <w:r w:rsidR="00F93469" w:rsidRPr="009F337B">
        <w:rPr>
          <w:i w:val="0"/>
          <w:szCs w:val="20"/>
          <w:lang w:val="en-US"/>
        </w:rPr>
        <w:lastRenderedPageBreak/>
        <w:t>based care</w:t>
      </w:r>
      <w:r w:rsidR="00AE674B" w:rsidRPr="009F337B">
        <w:rPr>
          <w:i w:val="0"/>
          <w:szCs w:val="20"/>
          <w:lang w:val="en-US"/>
        </w:rPr>
        <w:t>. He has an appointment with the psychologist once a year and has been given condoms.</w:t>
      </w:r>
      <w:r w:rsidR="003C2AC6" w:rsidRPr="009F337B">
        <w:rPr>
          <w:rStyle w:val="Refdenotaalpie"/>
          <w:i w:val="0"/>
          <w:lang w:val="en-US"/>
        </w:rPr>
        <w:footnoteReference w:id="297"/>
      </w:r>
    </w:p>
    <w:p w14:paraId="0802C628" w14:textId="1312FBEB" w:rsidR="003C2AC6" w:rsidRPr="009F337B" w:rsidRDefault="00A758A5" w:rsidP="00593E37">
      <w:pPr>
        <w:pStyle w:val="Estilo1"/>
        <w:numPr>
          <w:ilvl w:val="0"/>
          <w:numId w:val="5"/>
        </w:numPr>
        <w:tabs>
          <w:tab w:val="left" w:pos="709"/>
          <w:tab w:val="left" w:pos="1134"/>
        </w:tabs>
        <w:spacing w:before="240" w:after="0"/>
        <w:ind w:left="0" w:right="-4" w:firstLine="0"/>
        <w:rPr>
          <w:i w:val="0"/>
          <w:szCs w:val="20"/>
          <w:lang w:val="en-US"/>
        </w:rPr>
      </w:pPr>
      <w:r w:rsidRPr="009F337B">
        <w:rPr>
          <w:i w:val="0"/>
          <w:szCs w:val="20"/>
          <w:lang w:val="en-US"/>
        </w:rPr>
        <w:t xml:space="preserve">His family unit consists of his </w:t>
      </w:r>
      <w:r w:rsidR="0010522A" w:rsidRPr="009F337B">
        <w:rPr>
          <w:i w:val="0"/>
          <w:szCs w:val="20"/>
          <w:lang w:val="en-US"/>
        </w:rPr>
        <w:t>partner</w:t>
      </w:r>
      <w:r w:rsidR="003C2AC6" w:rsidRPr="009F337B">
        <w:rPr>
          <w:i w:val="0"/>
          <w:szCs w:val="20"/>
          <w:lang w:val="en-US"/>
        </w:rPr>
        <w:t xml:space="preserve"> Martina Candelaria Alvarez Estrada, </w:t>
      </w:r>
      <w:r w:rsidR="00AE674B" w:rsidRPr="009F337B">
        <w:rPr>
          <w:i w:val="0"/>
          <w:szCs w:val="20"/>
          <w:lang w:val="en-US"/>
        </w:rPr>
        <w:t>his</w:t>
      </w:r>
      <w:r w:rsidR="003C2AC6" w:rsidRPr="009F337B">
        <w:rPr>
          <w:i w:val="0"/>
          <w:szCs w:val="20"/>
          <w:lang w:val="en-US"/>
        </w:rPr>
        <w:t xml:space="preserve"> </w:t>
      </w:r>
      <w:r w:rsidR="0010522A" w:rsidRPr="009F337B">
        <w:rPr>
          <w:i w:val="0"/>
          <w:szCs w:val="20"/>
          <w:lang w:val="en-US"/>
        </w:rPr>
        <w:t>daughter</w:t>
      </w:r>
      <w:r w:rsidR="003C2AC6" w:rsidRPr="009F337B">
        <w:rPr>
          <w:i w:val="0"/>
          <w:szCs w:val="20"/>
          <w:lang w:val="en-US"/>
        </w:rPr>
        <w:t>s Candelaria, Argentina, Honoria, Cecilia, Daria</w:t>
      </w:r>
      <w:r w:rsidR="003C46A3" w:rsidRPr="009F337B">
        <w:rPr>
          <w:i w:val="0"/>
          <w:szCs w:val="20"/>
          <w:lang w:val="en-US"/>
        </w:rPr>
        <w:t xml:space="preserve"> and </w:t>
      </w:r>
      <w:r w:rsidR="00AE674B" w:rsidRPr="009F337B">
        <w:rPr>
          <w:i w:val="0"/>
          <w:szCs w:val="20"/>
          <w:lang w:val="en-US"/>
        </w:rPr>
        <w:t>his</w:t>
      </w:r>
      <w:r w:rsidR="003C2AC6" w:rsidRPr="009F337B">
        <w:rPr>
          <w:i w:val="0"/>
          <w:szCs w:val="20"/>
          <w:lang w:val="en-US"/>
        </w:rPr>
        <w:t xml:space="preserve"> </w:t>
      </w:r>
      <w:r w:rsidR="0010522A" w:rsidRPr="009F337B">
        <w:rPr>
          <w:i w:val="0"/>
          <w:szCs w:val="20"/>
          <w:lang w:val="en-US"/>
        </w:rPr>
        <w:t>son</w:t>
      </w:r>
      <w:r w:rsidR="003C2AC6" w:rsidRPr="009F337B">
        <w:rPr>
          <w:i w:val="0"/>
          <w:szCs w:val="20"/>
          <w:lang w:val="en-US"/>
        </w:rPr>
        <w:t xml:space="preserve"> Juan Carlos, </w:t>
      </w:r>
      <w:r w:rsidR="007B07E2" w:rsidRPr="009F337B">
        <w:rPr>
          <w:i w:val="0"/>
          <w:szCs w:val="20"/>
          <w:lang w:val="en-US"/>
        </w:rPr>
        <w:t>all</w:t>
      </w:r>
      <w:r w:rsidR="003C2AC6" w:rsidRPr="009F337B">
        <w:rPr>
          <w:i w:val="0"/>
          <w:szCs w:val="20"/>
          <w:lang w:val="en-US"/>
        </w:rPr>
        <w:t xml:space="preserve"> </w:t>
      </w:r>
      <w:proofErr w:type="spellStart"/>
      <w:r w:rsidR="003C2AC6" w:rsidRPr="009F337B">
        <w:rPr>
          <w:i w:val="0"/>
          <w:szCs w:val="20"/>
          <w:lang w:val="en-US"/>
        </w:rPr>
        <w:t>Ordoñez</w:t>
      </w:r>
      <w:proofErr w:type="spellEnd"/>
      <w:r w:rsidR="003C2AC6" w:rsidRPr="009F337B">
        <w:rPr>
          <w:i w:val="0"/>
          <w:szCs w:val="20"/>
          <w:lang w:val="en-US"/>
        </w:rPr>
        <w:t xml:space="preserve"> Alvarez, </w:t>
      </w:r>
      <w:r w:rsidR="00AE674B" w:rsidRPr="009F337B">
        <w:rPr>
          <w:i w:val="0"/>
          <w:szCs w:val="20"/>
          <w:lang w:val="en-US"/>
        </w:rPr>
        <w:t>his</w:t>
      </w:r>
      <w:r w:rsidR="003C2AC6" w:rsidRPr="009F337B">
        <w:rPr>
          <w:i w:val="0"/>
          <w:szCs w:val="20"/>
          <w:lang w:val="en-US"/>
        </w:rPr>
        <w:t xml:space="preserve"> </w:t>
      </w:r>
      <w:r w:rsidR="0010522A" w:rsidRPr="009F337B">
        <w:rPr>
          <w:i w:val="0"/>
          <w:szCs w:val="20"/>
          <w:lang w:val="en-US"/>
        </w:rPr>
        <w:t>grandson</w:t>
      </w:r>
      <w:r w:rsidR="003C2AC6" w:rsidRPr="009F337B">
        <w:rPr>
          <w:i w:val="0"/>
          <w:szCs w:val="20"/>
          <w:lang w:val="en-US"/>
        </w:rPr>
        <w:t xml:space="preserve">s Luis Emiliano </w:t>
      </w:r>
      <w:proofErr w:type="spellStart"/>
      <w:r w:rsidR="003C2AC6" w:rsidRPr="009F337B">
        <w:rPr>
          <w:i w:val="0"/>
          <w:szCs w:val="20"/>
          <w:lang w:val="en-US"/>
        </w:rPr>
        <w:t>Ordoñez</w:t>
      </w:r>
      <w:proofErr w:type="spellEnd"/>
      <w:r w:rsidR="003C2AC6" w:rsidRPr="009F337B">
        <w:rPr>
          <w:i w:val="0"/>
          <w:szCs w:val="20"/>
          <w:lang w:val="en-US"/>
        </w:rPr>
        <w:t xml:space="preserve"> Álvarez, Martín </w:t>
      </w:r>
      <w:proofErr w:type="spellStart"/>
      <w:r w:rsidR="003C2AC6" w:rsidRPr="009F337B">
        <w:rPr>
          <w:i w:val="0"/>
          <w:szCs w:val="20"/>
          <w:lang w:val="en-US"/>
        </w:rPr>
        <w:t>Gildardo</w:t>
      </w:r>
      <w:proofErr w:type="spellEnd"/>
      <w:r w:rsidR="003C2AC6" w:rsidRPr="009F337B">
        <w:rPr>
          <w:i w:val="0"/>
          <w:szCs w:val="20"/>
          <w:lang w:val="en-US"/>
        </w:rPr>
        <w:t xml:space="preserve"> </w:t>
      </w:r>
      <w:proofErr w:type="spellStart"/>
      <w:r w:rsidR="003C2AC6" w:rsidRPr="009F337B">
        <w:rPr>
          <w:i w:val="0"/>
          <w:szCs w:val="20"/>
          <w:lang w:val="en-US"/>
        </w:rPr>
        <w:t>Ordoñez</w:t>
      </w:r>
      <w:proofErr w:type="spellEnd"/>
      <w:r w:rsidR="003C2AC6" w:rsidRPr="009F337B">
        <w:rPr>
          <w:i w:val="0"/>
          <w:szCs w:val="20"/>
          <w:lang w:val="en-US"/>
        </w:rPr>
        <w:t xml:space="preserve"> Álvarez, Ivan Juárez </w:t>
      </w:r>
      <w:proofErr w:type="spellStart"/>
      <w:r w:rsidR="003C2AC6" w:rsidRPr="009F337B">
        <w:rPr>
          <w:i w:val="0"/>
          <w:szCs w:val="20"/>
          <w:lang w:val="en-US"/>
        </w:rPr>
        <w:t>Ordoñez</w:t>
      </w:r>
      <w:proofErr w:type="spellEnd"/>
      <w:r w:rsidR="003C46A3" w:rsidRPr="009F337B">
        <w:rPr>
          <w:i w:val="0"/>
          <w:szCs w:val="20"/>
          <w:lang w:val="en-US"/>
        </w:rPr>
        <w:t xml:space="preserve"> and </w:t>
      </w:r>
      <w:r w:rsidR="00AE674B" w:rsidRPr="009F337B">
        <w:rPr>
          <w:i w:val="0"/>
          <w:szCs w:val="20"/>
          <w:lang w:val="en-US"/>
        </w:rPr>
        <w:t>his</w:t>
      </w:r>
      <w:r w:rsidR="003C2AC6" w:rsidRPr="009F337B">
        <w:rPr>
          <w:i w:val="0"/>
          <w:szCs w:val="20"/>
          <w:lang w:val="en-US"/>
        </w:rPr>
        <w:t xml:space="preserve"> </w:t>
      </w:r>
      <w:r w:rsidR="0010522A" w:rsidRPr="009F337B">
        <w:rPr>
          <w:i w:val="0"/>
          <w:szCs w:val="20"/>
          <w:lang w:val="en-US"/>
        </w:rPr>
        <w:t>granddaughter</w:t>
      </w:r>
      <w:r w:rsidR="003C2AC6" w:rsidRPr="009F337B">
        <w:rPr>
          <w:i w:val="0"/>
          <w:szCs w:val="20"/>
          <w:lang w:val="en-US"/>
        </w:rPr>
        <w:t xml:space="preserve">s </w:t>
      </w:r>
      <w:proofErr w:type="spellStart"/>
      <w:r w:rsidR="003C2AC6" w:rsidRPr="009F337B">
        <w:rPr>
          <w:i w:val="0"/>
          <w:szCs w:val="20"/>
          <w:lang w:val="en-US"/>
        </w:rPr>
        <w:t>Lauris</w:t>
      </w:r>
      <w:proofErr w:type="spellEnd"/>
      <w:r w:rsidR="003C2AC6" w:rsidRPr="009F337B">
        <w:rPr>
          <w:i w:val="0"/>
          <w:szCs w:val="20"/>
          <w:lang w:val="en-US"/>
        </w:rPr>
        <w:t xml:space="preserve"> Ernestina</w:t>
      </w:r>
      <w:r w:rsidR="003C46A3" w:rsidRPr="009F337B">
        <w:rPr>
          <w:i w:val="0"/>
          <w:szCs w:val="20"/>
          <w:lang w:val="en-US"/>
        </w:rPr>
        <w:t xml:space="preserve"> and </w:t>
      </w:r>
      <w:proofErr w:type="spellStart"/>
      <w:r w:rsidR="003C2AC6" w:rsidRPr="009F337B">
        <w:rPr>
          <w:i w:val="0"/>
          <w:szCs w:val="20"/>
          <w:lang w:val="en-US"/>
        </w:rPr>
        <w:t>Yeslin</w:t>
      </w:r>
      <w:proofErr w:type="spellEnd"/>
      <w:r w:rsidR="003C2AC6" w:rsidRPr="009F337B">
        <w:rPr>
          <w:i w:val="0"/>
          <w:szCs w:val="20"/>
          <w:lang w:val="en-US"/>
        </w:rPr>
        <w:t xml:space="preserve"> Janeth, </w:t>
      </w:r>
      <w:r w:rsidR="007B07E2" w:rsidRPr="009F337B">
        <w:rPr>
          <w:i w:val="0"/>
          <w:szCs w:val="20"/>
          <w:lang w:val="en-US"/>
        </w:rPr>
        <w:t>both</w:t>
      </w:r>
      <w:r w:rsidR="003C2AC6" w:rsidRPr="009F337B">
        <w:rPr>
          <w:i w:val="0"/>
          <w:szCs w:val="20"/>
          <w:lang w:val="en-US"/>
        </w:rPr>
        <w:t xml:space="preserve"> Juárez </w:t>
      </w:r>
      <w:proofErr w:type="spellStart"/>
      <w:r w:rsidR="003C2AC6" w:rsidRPr="009F337B">
        <w:rPr>
          <w:i w:val="0"/>
          <w:szCs w:val="20"/>
          <w:lang w:val="en-US"/>
        </w:rPr>
        <w:t>Ordoñez</w:t>
      </w:r>
      <w:proofErr w:type="spellEnd"/>
      <w:r w:rsidR="003C2AC6" w:rsidRPr="009F337B">
        <w:rPr>
          <w:rStyle w:val="Refdenotaalpie"/>
          <w:i w:val="0"/>
          <w:lang w:val="en-US"/>
        </w:rPr>
        <w:footnoteReference w:id="298"/>
      </w:r>
      <w:r w:rsidR="003C2AC6" w:rsidRPr="009F337B">
        <w:rPr>
          <w:i w:val="0"/>
          <w:szCs w:val="20"/>
          <w:lang w:val="en-US"/>
        </w:rPr>
        <w:t>.</w:t>
      </w:r>
    </w:p>
    <w:p w14:paraId="6D7897C3" w14:textId="77777777" w:rsidR="003C2AC6" w:rsidRPr="009F337B" w:rsidRDefault="003C2AC6" w:rsidP="003C2AC6">
      <w:pPr>
        <w:pStyle w:val="PrrafodeSentencia"/>
        <w:rPr>
          <w:lang w:val="en-US"/>
        </w:rPr>
      </w:pPr>
    </w:p>
    <w:p w14:paraId="46630CA0" w14:textId="77777777" w:rsidR="003C2AC6" w:rsidRPr="009F337B" w:rsidRDefault="003C2AC6" w:rsidP="003C2AC6">
      <w:pPr>
        <w:pStyle w:val="PrrafodeSentencia"/>
        <w:rPr>
          <w:lang w:val="en-US"/>
        </w:rPr>
      </w:pPr>
      <w:r w:rsidRPr="009F337B">
        <w:rPr>
          <w:lang w:val="en-US"/>
        </w:rPr>
        <w:tab/>
        <w:t>B.4. Martina Candelaria Alvarez Estrada</w:t>
      </w:r>
    </w:p>
    <w:p w14:paraId="60E82878" w14:textId="77777777" w:rsidR="003C2AC6" w:rsidRPr="009F337B" w:rsidRDefault="003C2AC6" w:rsidP="003C2AC6">
      <w:pPr>
        <w:pStyle w:val="PrrafodeSentencia"/>
        <w:rPr>
          <w:lang w:val="en-US"/>
        </w:rPr>
      </w:pPr>
    </w:p>
    <w:p w14:paraId="45657556" w14:textId="576F422F" w:rsidR="003C2AC6" w:rsidRPr="009F337B" w:rsidRDefault="007F1AEB" w:rsidP="00593E37">
      <w:pPr>
        <w:pStyle w:val="Estilo1"/>
        <w:numPr>
          <w:ilvl w:val="0"/>
          <w:numId w:val="5"/>
        </w:numPr>
        <w:tabs>
          <w:tab w:val="left" w:pos="709"/>
          <w:tab w:val="left" w:pos="1134"/>
        </w:tabs>
        <w:spacing w:after="0"/>
        <w:ind w:left="0" w:right="-4" w:firstLine="0"/>
        <w:rPr>
          <w:i w:val="0"/>
          <w:szCs w:val="20"/>
          <w:lang w:val="en-US"/>
        </w:rPr>
      </w:pPr>
      <w:r w:rsidRPr="009F337B">
        <w:rPr>
          <w:i w:val="0"/>
          <w:szCs w:val="20"/>
          <w:lang w:val="en-US"/>
        </w:rPr>
        <w:t>Mrs.</w:t>
      </w:r>
      <w:r w:rsidR="003C2AC6" w:rsidRPr="009F337B">
        <w:rPr>
          <w:i w:val="0"/>
          <w:szCs w:val="20"/>
          <w:lang w:val="en-US"/>
        </w:rPr>
        <w:t xml:space="preserve"> Alvarez Estrada </w:t>
      </w:r>
      <w:r w:rsidR="0084040D" w:rsidRPr="009F337B">
        <w:rPr>
          <w:i w:val="0"/>
          <w:szCs w:val="20"/>
          <w:lang w:val="en-US"/>
        </w:rPr>
        <w:t>was born on</w:t>
      </w:r>
      <w:r w:rsidR="003C2AC6" w:rsidRPr="009F337B">
        <w:rPr>
          <w:i w:val="0"/>
          <w:szCs w:val="20"/>
          <w:lang w:val="en-US"/>
        </w:rPr>
        <w:t xml:space="preserve"> </w:t>
      </w:r>
      <w:r w:rsidR="00AE674B" w:rsidRPr="009F337B">
        <w:rPr>
          <w:i w:val="0"/>
          <w:szCs w:val="20"/>
          <w:lang w:val="en-US"/>
        </w:rPr>
        <w:t xml:space="preserve">August 20, </w:t>
      </w:r>
      <w:r w:rsidR="003C2AC6" w:rsidRPr="009F337B">
        <w:rPr>
          <w:i w:val="0"/>
          <w:szCs w:val="20"/>
          <w:lang w:val="en-US"/>
        </w:rPr>
        <w:t>1947</w:t>
      </w:r>
      <w:r w:rsidR="00AE674B" w:rsidRPr="009F337B">
        <w:rPr>
          <w:i w:val="0"/>
          <w:szCs w:val="20"/>
          <w:lang w:val="en-US"/>
        </w:rPr>
        <w:t>,</w:t>
      </w:r>
      <w:r w:rsidR="003C2AC6" w:rsidRPr="009F337B">
        <w:rPr>
          <w:i w:val="0"/>
          <w:szCs w:val="20"/>
          <w:lang w:val="en-US"/>
        </w:rPr>
        <w:t xml:space="preserve"> </w:t>
      </w:r>
      <w:r w:rsidR="00A758A5" w:rsidRPr="009F337B">
        <w:rPr>
          <w:i w:val="0"/>
          <w:szCs w:val="20"/>
          <w:lang w:val="en-US"/>
        </w:rPr>
        <w:t>in the municipality</w:t>
      </w:r>
      <w:r w:rsidR="00D85CA7" w:rsidRPr="009F337B">
        <w:rPr>
          <w:i w:val="0"/>
          <w:szCs w:val="20"/>
          <w:lang w:val="en-US"/>
        </w:rPr>
        <w:t xml:space="preserve"> of</w:t>
      </w:r>
      <w:r w:rsidR="003C2AC6" w:rsidRPr="009F337B">
        <w:rPr>
          <w:i w:val="0"/>
          <w:szCs w:val="20"/>
          <w:lang w:val="en-US"/>
        </w:rPr>
        <w:t xml:space="preserve"> </w:t>
      </w:r>
      <w:proofErr w:type="spellStart"/>
      <w:r w:rsidR="003C2AC6" w:rsidRPr="009F337B">
        <w:rPr>
          <w:i w:val="0"/>
          <w:szCs w:val="20"/>
          <w:lang w:val="en-US"/>
        </w:rPr>
        <w:t>Coatepeque</w:t>
      </w:r>
      <w:proofErr w:type="spellEnd"/>
      <w:r w:rsidR="003C2AC6" w:rsidRPr="009F337B">
        <w:rPr>
          <w:i w:val="0"/>
          <w:szCs w:val="20"/>
          <w:lang w:val="en-US"/>
        </w:rPr>
        <w:t xml:space="preserve">, </w:t>
      </w:r>
      <w:r w:rsidR="003E1304" w:rsidRPr="009F337B">
        <w:rPr>
          <w:i w:val="0"/>
          <w:szCs w:val="20"/>
          <w:lang w:val="en-US"/>
        </w:rPr>
        <w:t>department of</w:t>
      </w:r>
      <w:r w:rsidR="003C2AC6" w:rsidRPr="009F337B">
        <w:rPr>
          <w:i w:val="0"/>
          <w:szCs w:val="20"/>
          <w:lang w:val="en-US"/>
        </w:rPr>
        <w:t xml:space="preserve"> Quetzaltenango, Guatemala. </w:t>
      </w:r>
      <w:r w:rsidR="00AE674B" w:rsidRPr="009F337B">
        <w:rPr>
          <w:i w:val="0"/>
          <w:szCs w:val="20"/>
          <w:lang w:val="en-US"/>
        </w:rPr>
        <w:t>She l</w:t>
      </w:r>
      <w:r w:rsidR="00D85CA7" w:rsidRPr="009F337B">
        <w:rPr>
          <w:i w:val="0"/>
          <w:szCs w:val="20"/>
          <w:lang w:val="en-US"/>
        </w:rPr>
        <w:t>ives in</w:t>
      </w:r>
      <w:r w:rsidR="00517071" w:rsidRPr="009F337B">
        <w:rPr>
          <w:i w:val="0"/>
          <w:szCs w:val="20"/>
          <w:lang w:val="en-US"/>
        </w:rPr>
        <w:t xml:space="preserve"> </w:t>
      </w:r>
      <w:r w:rsidR="00AE674B" w:rsidRPr="009F337B">
        <w:rPr>
          <w:i w:val="0"/>
          <w:szCs w:val="20"/>
          <w:lang w:val="en-US"/>
        </w:rPr>
        <w:t xml:space="preserve">the San Vicente </w:t>
      </w:r>
      <w:proofErr w:type="spellStart"/>
      <w:r w:rsidR="00AE674B" w:rsidRPr="009F337B">
        <w:rPr>
          <w:i w:val="0"/>
          <w:szCs w:val="20"/>
          <w:lang w:val="en-US"/>
        </w:rPr>
        <w:t>Champerico</w:t>
      </w:r>
      <w:proofErr w:type="spellEnd"/>
      <w:r w:rsidR="00AE674B" w:rsidRPr="009F337B">
        <w:rPr>
          <w:i w:val="0"/>
          <w:szCs w:val="20"/>
          <w:lang w:val="en-US"/>
        </w:rPr>
        <w:t xml:space="preserve"> Multicultural Agrarian Community</w:t>
      </w:r>
      <w:r w:rsidR="003C2AC6" w:rsidRPr="009F337B">
        <w:rPr>
          <w:i w:val="0"/>
          <w:szCs w:val="20"/>
          <w:lang w:val="en-US"/>
        </w:rPr>
        <w:t xml:space="preserve">, Retalhuleu. </w:t>
      </w:r>
      <w:r w:rsidR="00AE674B" w:rsidRPr="009F337B">
        <w:rPr>
          <w:i w:val="0"/>
          <w:szCs w:val="20"/>
          <w:lang w:val="en-US"/>
        </w:rPr>
        <w:t>She had no schooling and is illiterate. She w</w:t>
      </w:r>
      <w:r w:rsidR="001071B4" w:rsidRPr="009F337B">
        <w:rPr>
          <w:i w:val="0"/>
          <w:szCs w:val="20"/>
          <w:lang w:val="en-US"/>
        </w:rPr>
        <w:t>as diagnosed with HIV</w:t>
      </w:r>
      <w:r w:rsidR="003C2AC6" w:rsidRPr="009F337B">
        <w:rPr>
          <w:i w:val="0"/>
          <w:szCs w:val="20"/>
          <w:lang w:val="en-US"/>
        </w:rPr>
        <w:t xml:space="preserve"> </w:t>
      </w:r>
      <w:r w:rsidR="00AE674B" w:rsidRPr="009F337B">
        <w:rPr>
          <w:i w:val="0"/>
          <w:szCs w:val="20"/>
          <w:lang w:val="en-US"/>
        </w:rPr>
        <w:t>in</w:t>
      </w:r>
      <w:r w:rsidR="003C2AC6" w:rsidRPr="009F337B">
        <w:rPr>
          <w:i w:val="0"/>
          <w:szCs w:val="20"/>
          <w:lang w:val="en-US"/>
        </w:rPr>
        <w:t xml:space="preserve"> 2001 </w:t>
      </w:r>
      <w:r w:rsidR="00AE674B" w:rsidRPr="009F337B">
        <w:rPr>
          <w:i w:val="0"/>
          <w:szCs w:val="20"/>
          <w:lang w:val="en-US"/>
        </w:rPr>
        <w:t>by MSF’s</w:t>
      </w:r>
      <w:r w:rsidR="003C2AC6" w:rsidRPr="009F337B">
        <w:rPr>
          <w:i w:val="0"/>
          <w:szCs w:val="20"/>
          <w:lang w:val="en-US"/>
        </w:rPr>
        <w:t xml:space="preserve"> </w:t>
      </w:r>
      <w:r w:rsidR="00AE674B" w:rsidRPr="009F337B">
        <w:rPr>
          <w:szCs w:val="20"/>
          <w:lang w:val="en-US"/>
        </w:rPr>
        <w:t>Proyecto Vida</w:t>
      </w:r>
      <w:r w:rsidR="003C2AC6" w:rsidRPr="009F337B">
        <w:rPr>
          <w:i w:val="0"/>
          <w:szCs w:val="20"/>
          <w:lang w:val="en-US"/>
        </w:rPr>
        <w:t xml:space="preserve">. </w:t>
      </w:r>
      <w:r w:rsidR="00AE674B" w:rsidRPr="009F337B">
        <w:rPr>
          <w:i w:val="0"/>
          <w:szCs w:val="20"/>
          <w:lang w:val="en-US"/>
        </w:rPr>
        <w:t>She began her</w:t>
      </w:r>
      <w:r w:rsidR="003C2AC6" w:rsidRPr="009F337B">
        <w:rPr>
          <w:i w:val="0"/>
          <w:szCs w:val="20"/>
          <w:lang w:val="en-US"/>
        </w:rPr>
        <w:t xml:space="preserve"> </w:t>
      </w:r>
      <w:r w:rsidR="00FE1EFF" w:rsidRPr="009F337B">
        <w:rPr>
          <w:i w:val="0"/>
          <w:szCs w:val="20"/>
          <w:lang w:val="en-US"/>
        </w:rPr>
        <w:t>antiretroviral treatment</w:t>
      </w:r>
      <w:r w:rsidR="003C2AC6" w:rsidRPr="009F337B">
        <w:rPr>
          <w:i w:val="0"/>
          <w:szCs w:val="20"/>
          <w:lang w:val="en-US"/>
        </w:rPr>
        <w:t xml:space="preserve"> </w:t>
      </w:r>
      <w:r w:rsidR="00AE674B" w:rsidRPr="009F337B">
        <w:rPr>
          <w:i w:val="0"/>
          <w:szCs w:val="20"/>
          <w:lang w:val="en-US"/>
        </w:rPr>
        <w:t xml:space="preserve">in this organization. Subsequently, she was transferred to Clinic No. 12 </w:t>
      </w:r>
      <w:r w:rsidR="00A758A5" w:rsidRPr="009F337B">
        <w:rPr>
          <w:i w:val="0"/>
          <w:szCs w:val="20"/>
          <w:lang w:val="en-US"/>
        </w:rPr>
        <w:t xml:space="preserve">of the </w:t>
      </w:r>
      <w:proofErr w:type="spellStart"/>
      <w:r w:rsidR="00BD5E94" w:rsidRPr="009F337B">
        <w:rPr>
          <w:i w:val="0"/>
          <w:szCs w:val="20"/>
          <w:lang w:val="en-US"/>
        </w:rPr>
        <w:t>Coatepeque</w:t>
      </w:r>
      <w:proofErr w:type="spellEnd"/>
      <w:r w:rsidR="00BD5E94" w:rsidRPr="009F337B">
        <w:rPr>
          <w:i w:val="0"/>
          <w:szCs w:val="20"/>
          <w:lang w:val="en-US"/>
        </w:rPr>
        <w:t xml:space="preserve"> National Hospital</w:t>
      </w:r>
      <w:r w:rsidR="003C2AC6" w:rsidRPr="009F337B">
        <w:rPr>
          <w:i w:val="0"/>
          <w:szCs w:val="20"/>
          <w:lang w:val="en-US"/>
        </w:rPr>
        <w:t xml:space="preserve">. </w:t>
      </w:r>
      <w:r w:rsidR="00AE674B" w:rsidRPr="009F337B">
        <w:rPr>
          <w:i w:val="0"/>
          <w:szCs w:val="20"/>
          <w:lang w:val="en-US"/>
        </w:rPr>
        <w:t xml:space="preserve">She has undergone CD4 counts (4) and viral load tests (2). She has suffered from </w:t>
      </w:r>
      <w:r w:rsidR="00BB39B6" w:rsidRPr="009F337B">
        <w:rPr>
          <w:i w:val="0"/>
          <w:szCs w:val="20"/>
          <w:lang w:val="en-US"/>
        </w:rPr>
        <w:t>neuropathy</w:t>
      </w:r>
      <w:r w:rsidR="003C2AC6" w:rsidRPr="009F337B">
        <w:rPr>
          <w:i w:val="0"/>
          <w:szCs w:val="20"/>
          <w:lang w:val="en-US"/>
        </w:rPr>
        <w:t xml:space="preserve">, </w:t>
      </w:r>
      <w:r w:rsidR="00AE674B" w:rsidRPr="009F337B">
        <w:rPr>
          <w:i w:val="0"/>
          <w:szCs w:val="20"/>
          <w:lang w:val="en-US"/>
        </w:rPr>
        <w:t>arthralgia</w:t>
      </w:r>
      <w:r w:rsidR="003C2AC6" w:rsidRPr="009F337B">
        <w:rPr>
          <w:i w:val="0"/>
          <w:szCs w:val="20"/>
          <w:lang w:val="en-US"/>
        </w:rPr>
        <w:t xml:space="preserve">, </w:t>
      </w:r>
      <w:r w:rsidR="00BB39B6" w:rsidRPr="009F337B">
        <w:rPr>
          <w:i w:val="0"/>
          <w:szCs w:val="20"/>
          <w:lang w:val="en-US"/>
        </w:rPr>
        <w:t>diarrhea</w:t>
      </w:r>
      <w:r w:rsidR="003C2AC6" w:rsidRPr="009F337B">
        <w:rPr>
          <w:i w:val="0"/>
          <w:szCs w:val="20"/>
          <w:lang w:val="en-US"/>
        </w:rPr>
        <w:t xml:space="preserve">, </w:t>
      </w:r>
      <w:r w:rsidR="00AE674B" w:rsidRPr="009F337B">
        <w:rPr>
          <w:i w:val="0"/>
          <w:szCs w:val="20"/>
          <w:lang w:val="en-US"/>
        </w:rPr>
        <w:t xml:space="preserve">a very hot tongue, and tiredness. She finds it difficult to go to the hospital because, like her </w:t>
      </w:r>
      <w:r w:rsidR="0010522A" w:rsidRPr="009F337B">
        <w:rPr>
          <w:i w:val="0"/>
          <w:szCs w:val="20"/>
          <w:lang w:val="en-US"/>
        </w:rPr>
        <w:t>husband</w:t>
      </w:r>
      <w:r w:rsidR="003C2AC6" w:rsidRPr="009F337B">
        <w:rPr>
          <w:i w:val="0"/>
          <w:szCs w:val="20"/>
          <w:lang w:val="en-US"/>
        </w:rPr>
        <w:t xml:space="preserve">, Felipe </w:t>
      </w:r>
      <w:proofErr w:type="spellStart"/>
      <w:r w:rsidR="003C2AC6" w:rsidRPr="009F337B">
        <w:rPr>
          <w:i w:val="0"/>
          <w:szCs w:val="20"/>
          <w:lang w:val="en-US"/>
        </w:rPr>
        <w:t>Tebalan</w:t>
      </w:r>
      <w:proofErr w:type="spellEnd"/>
      <w:r w:rsidR="003C2AC6" w:rsidRPr="009F337B">
        <w:rPr>
          <w:i w:val="0"/>
          <w:szCs w:val="20"/>
          <w:lang w:val="en-US"/>
        </w:rPr>
        <w:t xml:space="preserve"> </w:t>
      </w:r>
      <w:proofErr w:type="spellStart"/>
      <w:r w:rsidR="003C2AC6" w:rsidRPr="009F337B">
        <w:rPr>
          <w:i w:val="0"/>
          <w:szCs w:val="20"/>
          <w:lang w:val="en-US"/>
        </w:rPr>
        <w:t>Ordoñez</w:t>
      </w:r>
      <w:proofErr w:type="spellEnd"/>
      <w:r w:rsidR="003C2AC6" w:rsidRPr="009F337B">
        <w:rPr>
          <w:i w:val="0"/>
          <w:szCs w:val="20"/>
          <w:lang w:val="en-US"/>
        </w:rPr>
        <w:t xml:space="preserve">, </w:t>
      </w:r>
      <w:r w:rsidR="00AE674B" w:rsidRPr="009F337B">
        <w:rPr>
          <w:i w:val="0"/>
          <w:szCs w:val="20"/>
          <w:lang w:val="en-US"/>
        </w:rPr>
        <w:t xml:space="preserve">it is far from her home and she does not have the financial resources </w:t>
      </w:r>
      <w:r w:rsidR="00517071" w:rsidRPr="009F337B">
        <w:rPr>
          <w:i w:val="0"/>
          <w:szCs w:val="20"/>
          <w:lang w:val="en-US"/>
        </w:rPr>
        <w:t>require</w:t>
      </w:r>
      <w:r w:rsidR="00AE674B" w:rsidRPr="009F337B">
        <w:rPr>
          <w:i w:val="0"/>
          <w:szCs w:val="20"/>
          <w:lang w:val="en-US"/>
        </w:rPr>
        <w:t>d.</w:t>
      </w:r>
      <w:r w:rsidR="003C2AC6" w:rsidRPr="009F337B">
        <w:rPr>
          <w:rStyle w:val="Refdenotaalpie"/>
          <w:i w:val="0"/>
          <w:lang w:val="en-US"/>
        </w:rPr>
        <w:footnoteReference w:id="299"/>
      </w:r>
    </w:p>
    <w:p w14:paraId="605333BD" w14:textId="77777777" w:rsidR="003C2AC6" w:rsidRPr="009F337B" w:rsidRDefault="003C2AC6" w:rsidP="003C2AC6">
      <w:pPr>
        <w:pStyle w:val="Estilo1"/>
        <w:tabs>
          <w:tab w:val="left" w:pos="709"/>
          <w:tab w:val="left" w:pos="1134"/>
        </w:tabs>
        <w:spacing w:after="0"/>
        <w:ind w:left="0" w:right="-4" w:firstLine="0"/>
        <w:rPr>
          <w:i w:val="0"/>
          <w:szCs w:val="20"/>
          <w:lang w:val="en-US"/>
        </w:rPr>
      </w:pPr>
    </w:p>
    <w:p w14:paraId="72F4CF25" w14:textId="596AD84E" w:rsidR="003C2AC6" w:rsidRPr="009F337B" w:rsidRDefault="00A758A5" w:rsidP="00593E37">
      <w:pPr>
        <w:pStyle w:val="Estilo1"/>
        <w:numPr>
          <w:ilvl w:val="0"/>
          <w:numId w:val="5"/>
        </w:numPr>
        <w:tabs>
          <w:tab w:val="left" w:pos="709"/>
          <w:tab w:val="left" w:pos="1134"/>
        </w:tabs>
        <w:spacing w:after="0"/>
        <w:ind w:left="0" w:right="-4" w:firstLine="0"/>
        <w:rPr>
          <w:i w:val="0"/>
          <w:szCs w:val="20"/>
          <w:lang w:val="en-US"/>
        </w:rPr>
      </w:pPr>
      <w:r w:rsidRPr="009F337B">
        <w:rPr>
          <w:i w:val="0"/>
          <w:szCs w:val="20"/>
          <w:lang w:val="en-US"/>
        </w:rPr>
        <w:t>Her family unit consists of her</w:t>
      </w:r>
      <w:r w:rsidR="003C2AC6" w:rsidRPr="009F337B">
        <w:rPr>
          <w:i w:val="0"/>
          <w:szCs w:val="20"/>
          <w:lang w:val="en-US"/>
        </w:rPr>
        <w:t xml:space="preserve"> </w:t>
      </w:r>
      <w:r w:rsidR="0010522A" w:rsidRPr="009F337B">
        <w:rPr>
          <w:i w:val="0"/>
          <w:szCs w:val="20"/>
          <w:lang w:val="en-US"/>
        </w:rPr>
        <w:t>husband</w:t>
      </w:r>
      <w:r w:rsidR="003C2AC6" w:rsidRPr="009F337B">
        <w:rPr>
          <w:i w:val="0"/>
          <w:szCs w:val="20"/>
          <w:lang w:val="en-US"/>
        </w:rPr>
        <w:t xml:space="preserve"> Felipe </w:t>
      </w:r>
      <w:proofErr w:type="spellStart"/>
      <w:r w:rsidR="003C2AC6" w:rsidRPr="009F337B">
        <w:rPr>
          <w:i w:val="0"/>
          <w:szCs w:val="20"/>
          <w:lang w:val="en-US"/>
        </w:rPr>
        <w:t>Tebalan</w:t>
      </w:r>
      <w:proofErr w:type="spellEnd"/>
      <w:r w:rsidR="003C2AC6" w:rsidRPr="009F337B">
        <w:rPr>
          <w:i w:val="0"/>
          <w:szCs w:val="20"/>
          <w:lang w:val="en-US"/>
        </w:rPr>
        <w:t xml:space="preserve"> </w:t>
      </w:r>
      <w:proofErr w:type="spellStart"/>
      <w:r w:rsidR="003C2AC6" w:rsidRPr="009F337B">
        <w:rPr>
          <w:i w:val="0"/>
          <w:szCs w:val="20"/>
          <w:lang w:val="en-US"/>
        </w:rPr>
        <w:t>Ordoñez</w:t>
      </w:r>
      <w:proofErr w:type="spellEnd"/>
      <w:r w:rsidR="003C2AC6" w:rsidRPr="009F337B">
        <w:rPr>
          <w:i w:val="0"/>
          <w:szCs w:val="20"/>
          <w:lang w:val="en-US"/>
        </w:rPr>
        <w:t xml:space="preserve">, </w:t>
      </w:r>
      <w:r w:rsidR="00AE674B" w:rsidRPr="009F337B">
        <w:rPr>
          <w:i w:val="0"/>
          <w:szCs w:val="20"/>
          <w:lang w:val="en-US"/>
        </w:rPr>
        <w:t>their</w:t>
      </w:r>
      <w:r w:rsidR="003C2AC6" w:rsidRPr="009F337B">
        <w:rPr>
          <w:i w:val="0"/>
          <w:szCs w:val="20"/>
          <w:lang w:val="en-US"/>
        </w:rPr>
        <w:t xml:space="preserve"> </w:t>
      </w:r>
      <w:r w:rsidR="0010522A" w:rsidRPr="009F337B">
        <w:rPr>
          <w:i w:val="0"/>
          <w:szCs w:val="20"/>
          <w:lang w:val="en-US"/>
        </w:rPr>
        <w:t>daughter</w:t>
      </w:r>
      <w:r w:rsidR="003C2AC6" w:rsidRPr="009F337B">
        <w:rPr>
          <w:i w:val="0"/>
          <w:szCs w:val="20"/>
          <w:lang w:val="en-US"/>
        </w:rPr>
        <w:t>s Candelaria, Argentina, Honoria, Cecilia, Daria</w:t>
      </w:r>
      <w:r w:rsidR="003C46A3" w:rsidRPr="009F337B">
        <w:rPr>
          <w:i w:val="0"/>
          <w:szCs w:val="20"/>
          <w:lang w:val="en-US"/>
        </w:rPr>
        <w:t xml:space="preserve"> and </w:t>
      </w:r>
      <w:r w:rsidR="00AE674B" w:rsidRPr="009F337B">
        <w:rPr>
          <w:i w:val="0"/>
          <w:szCs w:val="20"/>
          <w:lang w:val="en-US"/>
        </w:rPr>
        <w:t>their</w:t>
      </w:r>
      <w:r w:rsidR="003C2AC6" w:rsidRPr="009F337B">
        <w:rPr>
          <w:i w:val="0"/>
          <w:szCs w:val="20"/>
          <w:lang w:val="en-US"/>
        </w:rPr>
        <w:t xml:space="preserve"> </w:t>
      </w:r>
      <w:r w:rsidR="0010522A" w:rsidRPr="009F337B">
        <w:rPr>
          <w:i w:val="0"/>
          <w:szCs w:val="20"/>
          <w:lang w:val="en-US"/>
        </w:rPr>
        <w:t>son</w:t>
      </w:r>
      <w:r w:rsidR="003C2AC6" w:rsidRPr="009F337B">
        <w:rPr>
          <w:i w:val="0"/>
          <w:szCs w:val="20"/>
          <w:lang w:val="en-US"/>
        </w:rPr>
        <w:t xml:space="preserve"> Juan Carl</w:t>
      </w:r>
      <w:r w:rsidR="003619A2" w:rsidRPr="009F337B">
        <w:rPr>
          <w:i w:val="0"/>
          <w:szCs w:val="20"/>
          <w:lang w:val="en-US"/>
        </w:rPr>
        <w:t xml:space="preserve">os, </w:t>
      </w:r>
      <w:r w:rsidR="007B07E2" w:rsidRPr="009F337B">
        <w:rPr>
          <w:i w:val="0"/>
          <w:szCs w:val="20"/>
          <w:lang w:val="en-US"/>
        </w:rPr>
        <w:t>all</w:t>
      </w:r>
      <w:r w:rsidR="003619A2" w:rsidRPr="009F337B">
        <w:rPr>
          <w:i w:val="0"/>
          <w:szCs w:val="20"/>
          <w:lang w:val="en-US"/>
        </w:rPr>
        <w:t xml:space="preserve"> </w:t>
      </w:r>
      <w:proofErr w:type="spellStart"/>
      <w:r w:rsidR="003619A2" w:rsidRPr="009F337B">
        <w:rPr>
          <w:i w:val="0"/>
          <w:szCs w:val="20"/>
          <w:lang w:val="en-US"/>
        </w:rPr>
        <w:t>Ordo</w:t>
      </w:r>
      <w:r w:rsidR="003C2AC6" w:rsidRPr="009F337B">
        <w:rPr>
          <w:i w:val="0"/>
          <w:szCs w:val="20"/>
          <w:lang w:val="en-US"/>
        </w:rPr>
        <w:t>ñez</w:t>
      </w:r>
      <w:proofErr w:type="spellEnd"/>
      <w:r w:rsidR="003C2AC6" w:rsidRPr="009F337B">
        <w:rPr>
          <w:i w:val="0"/>
          <w:szCs w:val="20"/>
          <w:lang w:val="en-US"/>
        </w:rPr>
        <w:t xml:space="preserve"> Alvarez, </w:t>
      </w:r>
      <w:r w:rsidR="00AE674B" w:rsidRPr="009F337B">
        <w:rPr>
          <w:i w:val="0"/>
          <w:szCs w:val="20"/>
          <w:lang w:val="en-US"/>
        </w:rPr>
        <w:t>their</w:t>
      </w:r>
      <w:r w:rsidR="003619A2" w:rsidRPr="009F337B">
        <w:rPr>
          <w:i w:val="0"/>
          <w:szCs w:val="20"/>
          <w:lang w:val="en-US"/>
        </w:rPr>
        <w:t xml:space="preserve"> </w:t>
      </w:r>
      <w:r w:rsidR="0010522A" w:rsidRPr="009F337B">
        <w:rPr>
          <w:i w:val="0"/>
          <w:szCs w:val="20"/>
          <w:lang w:val="en-US"/>
        </w:rPr>
        <w:t>grandson</w:t>
      </w:r>
      <w:r w:rsidR="003619A2" w:rsidRPr="009F337B">
        <w:rPr>
          <w:i w:val="0"/>
          <w:szCs w:val="20"/>
          <w:lang w:val="en-US"/>
        </w:rPr>
        <w:t xml:space="preserve">s Luis Emiliano </w:t>
      </w:r>
      <w:proofErr w:type="spellStart"/>
      <w:r w:rsidR="003619A2" w:rsidRPr="009F337B">
        <w:rPr>
          <w:i w:val="0"/>
          <w:szCs w:val="20"/>
          <w:lang w:val="en-US"/>
        </w:rPr>
        <w:t>Ordo</w:t>
      </w:r>
      <w:r w:rsidR="003C2AC6" w:rsidRPr="009F337B">
        <w:rPr>
          <w:i w:val="0"/>
          <w:szCs w:val="20"/>
          <w:lang w:val="en-US"/>
        </w:rPr>
        <w:t>ñez</w:t>
      </w:r>
      <w:proofErr w:type="spellEnd"/>
      <w:r w:rsidR="003C2AC6" w:rsidRPr="009F337B">
        <w:rPr>
          <w:i w:val="0"/>
          <w:szCs w:val="20"/>
          <w:lang w:val="en-US"/>
        </w:rPr>
        <w:t xml:space="preserve"> Álvarez, Martín </w:t>
      </w:r>
      <w:proofErr w:type="spellStart"/>
      <w:r w:rsidR="003C2AC6" w:rsidRPr="009F337B">
        <w:rPr>
          <w:i w:val="0"/>
          <w:szCs w:val="20"/>
          <w:lang w:val="en-US"/>
        </w:rPr>
        <w:t>Gildardo</w:t>
      </w:r>
      <w:proofErr w:type="spellEnd"/>
      <w:r w:rsidR="003C2AC6" w:rsidRPr="009F337B">
        <w:rPr>
          <w:i w:val="0"/>
          <w:szCs w:val="20"/>
          <w:lang w:val="en-US"/>
        </w:rPr>
        <w:t xml:space="preserve"> </w:t>
      </w:r>
      <w:proofErr w:type="spellStart"/>
      <w:r w:rsidR="003C2AC6" w:rsidRPr="009F337B">
        <w:rPr>
          <w:i w:val="0"/>
          <w:szCs w:val="20"/>
          <w:lang w:val="en-US"/>
        </w:rPr>
        <w:t>Ordoñez</w:t>
      </w:r>
      <w:proofErr w:type="spellEnd"/>
      <w:r w:rsidR="003C2AC6" w:rsidRPr="009F337B">
        <w:rPr>
          <w:i w:val="0"/>
          <w:szCs w:val="20"/>
          <w:lang w:val="en-US"/>
        </w:rPr>
        <w:t xml:space="preserve"> Alvarez, Iván Juárez </w:t>
      </w:r>
      <w:proofErr w:type="spellStart"/>
      <w:r w:rsidR="003C2AC6" w:rsidRPr="009F337B">
        <w:rPr>
          <w:i w:val="0"/>
          <w:szCs w:val="20"/>
          <w:lang w:val="en-US"/>
        </w:rPr>
        <w:t>Ordoñez</w:t>
      </w:r>
      <w:proofErr w:type="spellEnd"/>
      <w:r w:rsidR="003C46A3" w:rsidRPr="009F337B">
        <w:rPr>
          <w:i w:val="0"/>
          <w:szCs w:val="20"/>
          <w:lang w:val="en-US"/>
        </w:rPr>
        <w:t xml:space="preserve"> and </w:t>
      </w:r>
      <w:r w:rsidR="00AE674B" w:rsidRPr="009F337B">
        <w:rPr>
          <w:i w:val="0"/>
          <w:szCs w:val="20"/>
          <w:lang w:val="en-US"/>
        </w:rPr>
        <w:t>their</w:t>
      </w:r>
      <w:r w:rsidR="003C2AC6" w:rsidRPr="009F337B">
        <w:rPr>
          <w:i w:val="0"/>
          <w:szCs w:val="20"/>
          <w:lang w:val="en-US"/>
        </w:rPr>
        <w:t xml:space="preserve"> </w:t>
      </w:r>
      <w:r w:rsidR="0010522A" w:rsidRPr="009F337B">
        <w:rPr>
          <w:i w:val="0"/>
          <w:szCs w:val="20"/>
          <w:lang w:val="en-US"/>
        </w:rPr>
        <w:t>granddaughter</w:t>
      </w:r>
      <w:r w:rsidR="003C2AC6" w:rsidRPr="009F337B">
        <w:rPr>
          <w:i w:val="0"/>
          <w:szCs w:val="20"/>
          <w:lang w:val="en-US"/>
        </w:rPr>
        <w:t xml:space="preserve">s </w:t>
      </w:r>
      <w:proofErr w:type="spellStart"/>
      <w:r w:rsidR="003C2AC6" w:rsidRPr="009F337B">
        <w:rPr>
          <w:i w:val="0"/>
          <w:szCs w:val="20"/>
          <w:lang w:val="en-US"/>
        </w:rPr>
        <w:t>Lauris</w:t>
      </w:r>
      <w:proofErr w:type="spellEnd"/>
      <w:r w:rsidR="003C2AC6" w:rsidRPr="009F337B">
        <w:rPr>
          <w:i w:val="0"/>
          <w:szCs w:val="20"/>
          <w:lang w:val="en-US"/>
        </w:rPr>
        <w:t xml:space="preserve"> Ernestina</w:t>
      </w:r>
      <w:r w:rsidR="003C46A3" w:rsidRPr="009F337B">
        <w:rPr>
          <w:i w:val="0"/>
          <w:szCs w:val="20"/>
          <w:lang w:val="en-US"/>
        </w:rPr>
        <w:t xml:space="preserve"> and </w:t>
      </w:r>
      <w:proofErr w:type="spellStart"/>
      <w:r w:rsidR="003C2AC6" w:rsidRPr="009F337B">
        <w:rPr>
          <w:i w:val="0"/>
          <w:szCs w:val="20"/>
          <w:lang w:val="en-US"/>
        </w:rPr>
        <w:t>Yeslin</w:t>
      </w:r>
      <w:proofErr w:type="spellEnd"/>
      <w:r w:rsidR="003C2AC6" w:rsidRPr="009F337B">
        <w:rPr>
          <w:i w:val="0"/>
          <w:szCs w:val="20"/>
          <w:lang w:val="en-US"/>
        </w:rPr>
        <w:t xml:space="preserve"> Janeth, </w:t>
      </w:r>
      <w:r w:rsidR="007B07E2" w:rsidRPr="009F337B">
        <w:rPr>
          <w:i w:val="0"/>
          <w:szCs w:val="20"/>
          <w:lang w:val="en-US"/>
        </w:rPr>
        <w:t>both</w:t>
      </w:r>
      <w:r w:rsidR="003C2AC6" w:rsidRPr="009F337B">
        <w:rPr>
          <w:i w:val="0"/>
          <w:szCs w:val="20"/>
          <w:lang w:val="en-US"/>
        </w:rPr>
        <w:t xml:space="preserve"> Juárez </w:t>
      </w:r>
      <w:proofErr w:type="spellStart"/>
      <w:r w:rsidR="003C2AC6" w:rsidRPr="009F337B">
        <w:rPr>
          <w:i w:val="0"/>
          <w:szCs w:val="20"/>
          <w:lang w:val="en-US"/>
        </w:rPr>
        <w:t>Ordoñez</w:t>
      </w:r>
      <w:proofErr w:type="spellEnd"/>
      <w:r w:rsidR="00AE674B" w:rsidRPr="009F337B">
        <w:rPr>
          <w:i w:val="0"/>
          <w:szCs w:val="20"/>
          <w:lang w:val="en-US"/>
        </w:rPr>
        <w:t>.</w:t>
      </w:r>
      <w:r w:rsidR="003C2AC6" w:rsidRPr="009F337B">
        <w:rPr>
          <w:rStyle w:val="Refdenotaalpie"/>
          <w:i w:val="0"/>
          <w:lang w:val="en-US"/>
        </w:rPr>
        <w:footnoteReference w:id="300"/>
      </w:r>
    </w:p>
    <w:p w14:paraId="34BBB774" w14:textId="77777777" w:rsidR="003C2AC6" w:rsidRPr="009F337B" w:rsidRDefault="003C2AC6" w:rsidP="003C2AC6">
      <w:pPr>
        <w:pStyle w:val="PrrafodeSentencia"/>
        <w:rPr>
          <w:lang w:val="en-US"/>
        </w:rPr>
      </w:pPr>
    </w:p>
    <w:p w14:paraId="20799E1B" w14:textId="77777777" w:rsidR="003C2AC6" w:rsidRPr="00542AB5" w:rsidRDefault="003C2AC6" w:rsidP="003C2AC6">
      <w:pPr>
        <w:pStyle w:val="PrrafodeSentencia"/>
        <w:rPr>
          <w:lang w:val="es-CR"/>
        </w:rPr>
      </w:pPr>
      <w:r w:rsidRPr="009F337B">
        <w:rPr>
          <w:lang w:val="en-US"/>
        </w:rPr>
        <w:tab/>
      </w:r>
      <w:r w:rsidRPr="00542AB5">
        <w:rPr>
          <w:lang w:val="es-CR"/>
        </w:rPr>
        <w:t>B.5 Luis Rubén Isabel Alvarez Flores</w:t>
      </w:r>
    </w:p>
    <w:p w14:paraId="74B337CA" w14:textId="77777777" w:rsidR="003C2AC6" w:rsidRPr="00542AB5" w:rsidRDefault="003C2AC6" w:rsidP="003C2AC6">
      <w:pPr>
        <w:pStyle w:val="PrrafodeSentencia"/>
        <w:rPr>
          <w:lang w:val="es-CR"/>
        </w:rPr>
      </w:pPr>
    </w:p>
    <w:p w14:paraId="1A703340" w14:textId="56B5F3F7" w:rsidR="003C2AC6" w:rsidRPr="009F337B" w:rsidRDefault="007F1AEB" w:rsidP="00593E37">
      <w:pPr>
        <w:pStyle w:val="Estilo1"/>
        <w:numPr>
          <w:ilvl w:val="0"/>
          <w:numId w:val="5"/>
        </w:numPr>
        <w:tabs>
          <w:tab w:val="left" w:pos="709"/>
          <w:tab w:val="left" w:pos="1134"/>
        </w:tabs>
        <w:spacing w:after="0"/>
        <w:ind w:left="0" w:right="-4" w:firstLine="0"/>
        <w:rPr>
          <w:i w:val="0"/>
          <w:szCs w:val="20"/>
          <w:lang w:val="en-US"/>
        </w:rPr>
      </w:pPr>
      <w:r w:rsidRPr="009F337B">
        <w:rPr>
          <w:i w:val="0"/>
          <w:szCs w:val="20"/>
          <w:lang w:val="en-US"/>
        </w:rPr>
        <w:t>Mr.</w:t>
      </w:r>
      <w:r w:rsidR="003C2AC6" w:rsidRPr="009F337B">
        <w:rPr>
          <w:i w:val="0"/>
          <w:szCs w:val="20"/>
          <w:lang w:val="en-US"/>
        </w:rPr>
        <w:t xml:space="preserve"> Alvarez Flores </w:t>
      </w:r>
      <w:r w:rsidR="0084040D" w:rsidRPr="009F337B">
        <w:rPr>
          <w:i w:val="0"/>
          <w:szCs w:val="20"/>
          <w:lang w:val="en-US"/>
        </w:rPr>
        <w:t>was born on</w:t>
      </w:r>
      <w:r w:rsidR="003C2AC6" w:rsidRPr="009F337B">
        <w:rPr>
          <w:i w:val="0"/>
          <w:szCs w:val="20"/>
          <w:lang w:val="en-US"/>
        </w:rPr>
        <w:t xml:space="preserve"> </w:t>
      </w:r>
      <w:r w:rsidR="00AE674B" w:rsidRPr="009F337B">
        <w:rPr>
          <w:i w:val="0"/>
          <w:szCs w:val="20"/>
          <w:lang w:val="en-US"/>
        </w:rPr>
        <w:t>November 19,</w:t>
      </w:r>
      <w:r w:rsidR="003C2AC6" w:rsidRPr="009F337B">
        <w:rPr>
          <w:i w:val="0"/>
          <w:szCs w:val="20"/>
          <w:lang w:val="en-US"/>
        </w:rPr>
        <w:t xml:space="preserve"> 1962</w:t>
      </w:r>
      <w:r w:rsidR="00AE674B" w:rsidRPr="009F337B">
        <w:rPr>
          <w:i w:val="0"/>
          <w:szCs w:val="20"/>
          <w:lang w:val="en-US"/>
        </w:rPr>
        <w:t>,</w:t>
      </w:r>
      <w:r w:rsidR="003C2AC6" w:rsidRPr="009F337B">
        <w:rPr>
          <w:i w:val="0"/>
          <w:szCs w:val="20"/>
          <w:lang w:val="en-US"/>
        </w:rPr>
        <w:t xml:space="preserve"> </w:t>
      </w:r>
      <w:r w:rsidR="00A758A5" w:rsidRPr="009F337B">
        <w:rPr>
          <w:i w:val="0"/>
          <w:szCs w:val="20"/>
          <w:lang w:val="en-US"/>
        </w:rPr>
        <w:t>in the municipality</w:t>
      </w:r>
      <w:r w:rsidR="00D85CA7" w:rsidRPr="009F337B">
        <w:rPr>
          <w:i w:val="0"/>
          <w:szCs w:val="20"/>
          <w:lang w:val="en-US"/>
        </w:rPr>
        <w:t xml:space="preserve"> of</w:t>
      </w:r>
      <w:r w:rsidR="003C2AC6" w:rsidRPr="009F337B">
        <w:rPr>
          <w:i w:val="0"/>
          <w:szCs w:val="20"/>
          <w:lang w:val="en-US"/>
        </w:rPr>
        <w:t xml:space="preserve"> </w:t>
      </w:r>
      <w:proofErr w:type="spellStart"/>
      <w:r w:rsidR="003C2AC6" w:rsidRPr="009F337B">
        <w:rPr>
          <w:i w:val="0"/>
          <w:szCs w:val="20"/>
          <w:lang w:val="en-US"/>
        </w:rPr>
        <w:t>Mixco</w:t>
      </w:r>
      <w:proofErr w:type="spellEnd"/>
      <w:r w:rsidR="003C2AC6" w:rsidRPr="009F337B">
        <w:rPr>
          <w:i w:val="0"/>
          <w:szCs w:val="20"/>
          <w:lang w:val="en-US"/>
        </w:rPr>
        <w:t xml:space="preserve">, </w:t>
      </w:r>
      <w:r w:rsidR="003E1304" w:rsidRPr="009F337B">
        <w:rPr>
          <w:i w:val="0"/>
          <w:szCs w:val="20"/>
          <w:lang w:val="en-US"/>
        </w:rPr>
        <w:t>department of</w:t>
      </w:r>
      <w:r w:rsidR="003C2AC6" w:rsidRPr="009F337B">
        <w:rPr>
          <w:i w:val="0"/>
          <w:szCs w:val="20"/>
          <w:lang w:val="en-US"/>
        </w:rPr>
        <w:t xml:space="preserve"> Guatemala, Guatemala. </w:t>
      </w:r>
      <w:r w:rsidR="00AE674B" w:rsidRPr="009F337B">
        <w:rPr>
          <w:i w:val="0"/>
          <w:szCs w:val="20"/>
          <w:lang w:val="en-US"/>
        </w:rPr>
        <w:t>He l</w:t>
      </w:r>
      <w:r w:rsidR="00D85CA7" w:rsidRPr="009F337B">
        <w:rPr>
          <w:i w:val="0"/>
          <w:szCs w:val="20"/>
          <w:lang w:val="en-US"/>
        </w:rPr>
        <w:t>ives in</w:t>
      </w:r>
      <w:r w:rsidR="003C2AC6" w:rsidRPr="009F337B">
        <w:rPr>
          <w:i w:val="0"/>
          <w:szCs w:val="20"/>
          <w:lang w:val="en-US"/>
        </w:rPr>
        <w:t xml:space="preserve"> </w:t>
      </w:r>
      <w:proofErr w:type="spellStart"/>
      <w:r w:rsidR="003C2AC6" w:rsidRPr="009F337B">
        <w:rPr>
          <w:i w:val="0"/>
          <w:szCs w:val="20"/>
          <w:lang w:val="en-US"/>
        </w:rPr>
        <w:t>Mixco</w:t>
      </w:r>
      <w:proofErr w:type="spellEnd"/>
      <w:r w:rsidR="003C2AC6" w:rsidRPr="009F337B">
        <w:rPr>
          <w:i w:val="0"/>
          <w:szCs w:val="20"/>
          <w:lang w:val="en-US"/>
        </w:rPr>
        <w:t xml:space="preserve">, Guatemala. </w:t>
      </w:r>
      <w:r w:rsidR="00AE674B" w:rsidRPr="009F337B">
        <w:rPr>
          <w:i w:val="0"/>
          <w:szCs w:val="20"/>
          <w:lang w:val="en-US"/>
        </w:rPr>
        <w:t xml:space="preserve">He is </w:t>
      </w:r>
      <w:r w:rsidR="00517071" w:rsidRPr="009F337B">
        <w:rPr>
          <w:i w:val="0"/>
          <w:szCs w:val="20"/>
          <w:lang w:val="en-US"/>
        </w:rPr>
        <w:t xml:space="preserve">a </w:t>
      </w:r>
      <w:r w:rsidR="00AE674B" w:rsidRPr="009F337B">
        <w:rPr>
          <w:i w:val="0"/>
          <w:szCs w:val="20"/>
          <w:lang w:val="en-US"/>
        </w:rPr>
        <w:t xml:space="preserve">marketing and publicity expert and middle school teacher, specialized in pedagogy. He studied to be a teacher and worked in a college in 2001. </w:t>
      </w:r>
      <w:r w:rsidRPr="009F337B">
        <w:rPr>
          <w:i w:val="0"/>
          <w:szCs w:val="20"/>
          <w:lang w:val="en-US"/>
        </w:rPr>
        <w:t xml:space="preserve">He </w:t>
      </w:r>
      <w:r w:rsidR="00AE674B" w:rsidRPr="009F337B">
        <w:rPr>
          <w:i w:val="0"/>
          <w:szCs w:val="20"/>
          <w:lang w:val="en-US"/>
        </w:rPr>
        <w:t>was diagnosed with</w:t>
      </w:r>
      <w:r w:rsidR="003C2AC6" w:rsidRPr="009F337B">
        <w:rPr>
          <w:i w:val="0"/>
          <w:szCs w:val="20"/>
          <w:lang w:val="en-US"/>
        </w:rPr>
        <w:t xml:space="preserve"> </w:t>
      </w:r>
      <w:r w:rsidR="00CA11F6" w:rsidRPr="009F337B">
        <w:rPr>
          <w:i w:val="0"/>
          <w:szCs w:val="20"/>
          <w:lang w:val="en-US"/>
        </w:rPr>
        <w:t>HIV</w:t>
      </w:r>
      <w:r w:rsidR="003C2AC6" w:rsidRPr="009F337B">
        <w:rPr>
          <w:i w:val="0"/>
          <w:szCs w:val="20"/>
          <w:lang w:val="en-US"/>
        </w:rPr>
        <w:t xml:space="preserve"> </w:t>
      </w:r>
      <w:r w:rsidR="00AE674B" w:rsidRPr="009F337B">
        <w:rPr>
          <w:i w:val="0"/>
          <w:szCs w:val="20"/>
          <w:lang w:val="en-US"/>
        </w:rPr>
        <w:t>on October 18,</w:t>
      </w:r>
      <w:r w:rsidR="003C2AC6" w:rsidRPr="009F337B">
        <w:rPr>
          <w:i w:val="0"/>
          <w:szCs w:val="20"/>
          <w:lang w:val="en-US"/>
        </w:rPr>
        <w:t xml:space="preserve"> 2002, </w:t>
      </w:r>
      <w:r w:rsidR="00AE674B" w:rsidRPr="009F337B">
        <w:rPr>
          <w:i w:val="0"/>
          <w:szCs w:val="20"/>
          <w:lang w:val="en-US"/>
        </w:rPr>
        <w:t>in the</w:t>
      </w:r>
      <w:r w:rsidR="003C2AC6" w:rsidRPr="009F337B">
        <w:rPr>
          <w:i w:val="0"/>
          <w:szCs w:val="20"/>
          <w:lang w:val="en-US"/>
        </w:rPr>
        <w:t xml:space="preserve"> Pedro de </w:t>
      </w:r>
      <w:proofErr w:type="spellStart"/>
      <w:r w:rsidR="003C2AC6" w:rsidRPr="009F337B">
        <w:rPr>
          <w:i w:val="0"/>
          <w:szCs w:val="20"/>
          <w:lang w:val="en-US"/>
        </w:rPr>
        <w:t>Bethancourt</w:t>
      </w:r>
      <w:proofErr w:type="spellEnd"/>
      <w:r w:rsidR="00AE674B" w:rsidRPr="009F337B">
        <w:rPr>
          <w:i w:val="0"/>
          <w:szCs w:val="20"/>
          <w:lang w:val="en-US"/>
        </w:rPr>
        <w:t xml:space="preserve"> National Hospital</w:t>
      </w:r>
      <w:r w:rsidR="00B725F2" w:rsidRPr="009F337B">
        <w:rPr>
          <w:i w:val="0"/>
          <w:szCs w:val="20"/>
          <w:lang w:val="en-US"/>
        </w:rPr>
        <w:t xml:space="preserve"> as the result of an opportunistic infection known as fungal pneumonia. He was then transferred to the San José Hospice. Subsequently, he was transferred to MSF where he began </w:t>
      </w:r>
      <w:r w:rsidR="00FE1EFF" w:rsidRPr="009F337B">
        <w:rPr>
          <w:i w:val="0"/>
          <w:szCs w:val="20"/>
          <w:lang w:val="en-US"/>
        </w:rPr>
        <w:t>antiretroviral treatment</w:t>
      </w:r>
      <w:r w:rsidR="003C2AC6" w:rsidRPr="009F337B">
        <w:rPr>
          <w:i w:val="0"/>
          <w:szCs w:val="20"/>
          <w:lang w:val="en-US"/>
        </w:rPr>
        <w:t xml:space="preserve"> </w:t>
      </w:r>
      <w:r w:rsidR="00B725F2" w:rsidRPr="009F337B">
        <w:rPr>
          <w:i w:val="0"/>
          <w:szCs w:val="20"/>
          <w:lang w:val="en-US"/>
        </w:rPr>
        <w:t>in February</w:t>
      </w:r>
      <w:r w:rsidR="003C2AC6" w:rsidRPr="009F337B">
        <w:rPr>
          <w:i w:val="0"/>
          <w:szCs w:val="20"/>
          <w:lang w:val="en-US"/>
        </w:rPr>
        <w:t xml:space="preserve"> 2003. </w:t>
      </w:r>
      <w:r w:rsidR="00B725F2" w:rsidRPr="009F337B">
        <w:rPr>
          <w:i w:val="0"/>
          <w:szCs w:val="20"/>
          <w:lang w:val="en-US"/>
        </w:rPr>
        <w:t xml:space="preserve">After this, he was treated by the </w:t>
      </w:r>
      <w:r w:rsidR="003C2AC6" w:rsidRPr="009F337B">
        <w:rPr>
          <w:i w:val="0"/>
          <w:szCs w:val="20"/>
          <w:lang w:val="en-US"/>
        </w:rPr>
        <w:t>Marco Antonio</w:t>
      </w:r>
      <w:r w:rsidR="00B725F2" w:rsidRPr="009F337B">
        <w:rPr>
          <w:i w:val="0"/>
          <w:szCs w:val="20"/>
          <w:lang w:val="en-US"/>
        </w:rPr>
        <w:t xml:space="preserve"> Foundation</w:t>
      </w:r>
      <w:r w:rsidR="003C2AC6" w:rsidRPr="009F337B">
        <w:rPr>
          <w:i w:val="0"/>
          <w:szCs w:val="20"/>
          <w:lang w:val="en-US"/>
        </w:rPr>
        <w:t xml:space="preserve">, </w:t>
      </w:r>
      <w:r w:rsidR="00B725F2" w:rsidRPr="009F337B">
        <w:rPr>
          <w:i w:val="0"/>
          <w:szCs w:val="20"/>
          <w:lang w:val="en-US"/>
        </w:rPr>
        <w:t xml:space="preserve">where he received psychological and nutritional care, and was assisted by a social worker. Since 2008, he has been receiving medical care in a public hospital in </w:t>
      </w:r>
      <w:r w:rsidR="003C2AC6" w:rsidRPr="009F337B">
        <w:rPr>
          <w:i w:val="0"/>
          <w:szCs w:val="20"/>
          <w:lang w:val="en-US"/>
        </w:rPr>
        <w:t xml:space="preserve">Antigua. </w:t>
      </w:r>
      <w:r w:rsidR="00B725F2" w:rsidRPr="009F337B">
        <w:rPr>
          <w:i w:val="0"/>
          <w:szCs w:val="20"/>
          <w:lang w:val="en-US"/>
        </w:rPr>
        <w:t xml:space="preserve">This medical care was interrupted from 2011 to 2013 because he was living in Honduras, and he reincorporated the treatment on his return. Currently, he is treated at the hospital in </w:t>
      </w:r>
      <w:r w:rsidR="00B725F2" w:rsidRPr="009F337B">
        <w:rPr>
          <w:i w:val="0"/>
          <w:szCs w:val="20"/>
          <w:lang w:val="en-US"/>
        </w:rPr>
        <w:lastRenderedPageBreak/>
        <w:t xml:space="preserve">Antigua, where he receives </w:t>
      </w:r>
      <w:r w:rsidR="00AC2165" w:rsidRPr="009F337B">
        <w:rPr>
          <w:i w:val="0"/>
          <w:szCs w:val="20"/>
          <w:lang w:val="en-US"/>
        </w:rPr>
        <w:t>antiretroviral drugs</w:t>
      </w:r>
      <w:r w:rsidR="003C46A3" w:rsidRPr="009F337B">
        <w:rPr>
          <w:i w:val="0"/>
          <w:szCs w:val="20"/>
          <w:lang w:val="en-US"/>
        </w:rPr>
        <w:t xml:space="preserve"> and </w:t>
      </w:r>
      <w:r w:rsidR="00B725F2" w:rsidRPr="009F337B">
        <w:rPr>
          <w:i w:val="0"/>
          <w:szCs w:val="20"/>
          <w:lang w:val="en-US"/>
        </w:rPr>
        <w:t>has undergone CD4 counts, and viral load and genotype testing, although he has paid for some tests personally. His treatment plan has not been changed and he has not received nutritional, family or community assistance, but he does receive psychological care every three months.</w:t>
      </w:r>
      <w:r w:rsidR="003C2AC6" w:rsidRPr="009F337B">
        <w:rPr>
          <w:rStyle w:val="Refdenotaalpie"/>
          <w:i w:val="0"/>
          <w:lang w:val="en-US"/>
        </w:rPr>
        <w:footnoteReference w:id="301"/>
      </w:r>
    </w:p>
    <w:p w14:paraId="5D6AE342" w14:textId="77777777" w:rsidR="003C2AC6" w:rsidRPr="009F337B" w:rsidRDefault="003C2AC6" w:rsidP="003C2AC6">
      <w:pPr>
        <w:pStyle w:val="Estilo1"/>
        <w:tabs>
          <w:tab w:val="left" w:pos="709"/>
          <w:tab w:val="left" w:pos="1134"/>
        </w:tabs>
        <w:spacing w:after="0"/>
        <w:ind w:left="0" w:right="-4" w:firstLine="0"/>
        <w:rPr>
          <w:i w:val="0"/>
          <w:szCs w:val="20"/>
          <w:lang w:val="en-US"/>
        </w:rPr>
      </w:pPr>
    </w:p>
    <w:p w14:paraId="689D3FFA" w14:textId="3E013F2F" w:rsidR="003C2AC6" w:rsidRPr="009F337B" w:rsidRDefault="007F1AEB" w:rsidP="00593E37">
      <w:pPr>
        <w:pStyle w:val="Estilo1"/>
        <w:numPr>
          <w:ilvl w:val="0"/>
          <w:numId w:val="5"/>
        </w:numPr>
        <w:tabs>
          <w:tab w:val="left" w:pos="709"/>
          <w:tab w:val="left" w:pos="1134"/>
        </w:tabs>
        <w:spacing w:after="0"/>
        <w:ind w:left="0" w:right="-4" w:firstLine="0"/>
        <w:rPr>
          <w:i w:val="0"/>
          <w:szCs w:val="20"/>
          <w:lang w:val="en-US"/>
        </w:rPr>
      </w:pPr>
      <w:r w:rsidRPr="009F337B">
        <w:rPr>
          <w:i w:val="0"/>
          <w:szCs w:val="20"/>
          <w:lang w:val="en-US"/>
        </w:rPr>
        <w:t>Mr.</w:t>
      </w:r>
      <w:r w:rsidR="003C2AC6" w:rsidRPr="009F337B">
        <w:rPr>
          <w:i w:val="0"/>
          <w:szCs w:val="20"/>
          <w:lang w:val="en-US"/>
        </w:rPr>
        <w:t xml:space="preserve"> Alvarez Flores </w:t>
      </w:r>
      <w:r w:rsidR="00B725F2" w:rsidRPr="009F337B">
        <w:rPr>
          <w:i w:val="0"/>
          <w:szCs w:val="20"/>
          <w:lang w:val="en-US"/>
        </w:rPr>
        <w:t xml:space="preserve">indicated that he had had to </w:t>
      </w:r>
      <w:r w:rsidR="005F10B1" w:rsidRPr="009F337B">
        <w:rPr>
          <w:i w:val="0"/>
          <w:szCs w:val="20"/>
          <w:lang w:val="en-US"/>
        </w:rPr>
        <w:t>give up working when h</w:t>
      </w:r>
      <w:r w:rsidRPr="009F337B">
        <w:rPr>
          <w:i w:val="0"/>
          <w:szCs w:val="20"/>
          <w:lang w:val="en-US"/>
        </w:rPr>
        <w:t>e was diagnose</w:t>
      </w:r>
      <w:r w:rsidR="005F10B1" w:rsidRPr="009F337B">
        <w:rPr>
          <w:i w:val="0"/>
          <w:szCs w:val="20"/>
          <w:lang w:val="en-US"/>
        </w:rPr>
        <w:t>d</w:t>
      </w:r>
      <w:r w:rsidR="003C46A3" w:rsidRPr="009F337B">
        <w:rPr>
          <w:i w:val="0"/>
          <w:szCs w:val="20"/>
          <w:lang w:val="en-US"/>
        </w:rPr>
        <w:t xml:space="preserve"> and </w:t>
      </w:r>
      <w:r w:rsidR="005F10B1" w:rsidRPr="009F337B">
        <w:rPr>
          <w:i w:val="0"/>
          <w:szCs w:val="20"/>
          <w:lang w:val="en-US"/>
        </w:rPr>
        <w:t xml:space="preserve">then faced obstacles to enter the labor market owing to his condition as a person with </w:t>
      </w:r>
      <w:r w:rsidR="00CA11F6" w:rsidRPr="009F337B">
        <w:rPr>
          <w:i w:val="0"/>
          <w:szCs w:val="20"/>
          <w:lang w:val="en-US"/>
        </w:rPr>
        <w:t>HIV</w:t>
      </w:r>
      <w:r w:rsidR="005F10B1" w:rsidRPr="009F337B">
        <w:rPr>
          <w:i w:val="0"/>
          <w:szCs w:val="20"/>
          <w:lang w:val="en-US"/>
        </w:rPr>
        <w:t xml:space="preserve">. He also </w:t>
      </w:r>
      <w:r w:rsidR="00517071" w:rsidRPr="009F337B">
        <w:rPr>
          <w:i w:val="0"/>
          <w:szCs w:val="20"/>
          <w:lang w:val="en-US"/>
        </w:rPr>
        <w:t>stated</w:t>
      </w:r>
      <w:r w:rsidR="005F10B1" w:rsidRPr="009F337B">
        <w:rPr>
          <w:i w:val="0"/>
          <w:szCs w:val="20"/>
          <w:lang w:val="en-US"/>
        </w:rPr>
        <w:t xml:space="preserve"> that he had incurred expenses of around 2,000 quetzals a year to </w:t>
      </w:r>
      <w:r w:rsidR="00517071" w:rsidRPr="009F337B">
        <w:rPr>
          <w:i w:val="0"/>
          <w:szCs w:val="20"/>
          <w:lang w:val="en-US"/>
        </w:rPr>
        <w:t>t</w:t>
      </w:r>
      <w:r w:rsidR="005F10B1" w:rsidRPr="009F337B">
        <w:rPr>
          <w:i w:val="0"/>
          <w:szCs w:val="20"/>
          <w:lang w:val="en-US"/>
        </w:rPr>
        <w:t>ravel to the clinic. He does not work, but his siblings support him, although his parents are unaware of his illness</w:t>
      </w:r>
      <w:r w:rsidR="003C2AC6" w:rsidRPr="009F337B">
        <w:rPr>
          <w:i w:val="0"/>
          <w:szCs w:val="20"/>
          <w:lang w:val="en-US"/>
        </w:rPr>
        <w:t>.</w:t>
      </w:r>
      <w:r w:rsidR="003C2AC6" w:rsidRPr="009F337B">
        <w:rPr>
          <w:rStyle w:val="Refdenotaalpie"/>
          <w:i w:val="0"/>
          <w:lang w:val="en-US"/>
        </w:rPr>
        <w:footnoteReference w:id="302"/>
      </w:r>
    </w:p>
    <w:p w14:paraId="73AC5453" w14:textId="77777777" w:rsidR="003C2AC6" w:rsidRPr="009F337B" w:rsidRDefault="003C2AC6" w:rsidP="003C2AC6">
      <w:pPr>
        <w:pStyle w:val="Estilo1"/>
        <w:tabs>
          <w:tab w:val="left" w:pos="709"/>
          <w:tab w:val="left" w:pos="1134"/>
        </w:tabs>
        <w:spacing w:after="0"/>
        <w:ind w:left="0" w:right="-4" w:firstLine="0"/>
        <w:rPr>
          <w:i w:val="0"/>
          <w:szCs w:val="20"/>
          <w:lang w:val="en-US"/>
        </w:rPr>
      </w:pPr>
    </w:p>
    <w:p w14:paraId="352BF3AE" w14:textId="33885D20" w:rsidR="003C2AC6" w:rsidRPr="009F337B" w:rsidRDefault="00A758A5" w:rsidP="00593E37">
      <w:pPr>
        <w:pStyle w:val="Estilo1"/>
        <w:numPr>
          <w:ilvl w:val="0"/>
          <w:numId w:val="5"/>
        </w:numPr>
        <w:tabs>
          <w:tab w:val="left" w:pos="709"/>
          <w:tab w:val="left" w:pos="1134"/>
        </w:tabs>
        <w:spacing w:after="0"/>
        <w:ind w:left="0" w:right="-4" w:firstLine="0"/>
        <w:rPr>
          <w:i w:val="0"/>
          <w:szCs w:val="20"/>
          <w:lang w:val="en-US"/>
        </w:rPr>
      </w:pPr>
      <w:r w:rsidRPr="009F337B">
        <w:rPr>
          <w:i w:val="0"/>
          <w:szCs w:val="20"/>
          <w:lang w:val="en-US"/>
        </w:rPr>
        <w:t xml:space="preserve">His family unit consists of his </w:t>
      </w:r>
      <w:r w:rsidR="0010522A" w:rsidRPr="009F337B">
        <w:rPr>
          <w:i w:val="0"/>
          <w:szCs w:val="20"/>
          <w:lang w:val="en-US"/>
        </w:rPr>
        <w:t>father</w:t>
      </w:r>
      <w:r w:rsidR="003C2AC6" w:rsidRPr="009F337B">
        <w:rPr>
          <w:i w:val="0"/>
          <w:szCs w:val="20"/>
          <w:lang w:val="en-US"/>
        </w:rPr>
        <w:t xml:space="preserve"> Julio Ruben Alvarez </w:t>
      </w:r>
      <w:proofErr w:type="spellStart"/>
      <w:r w:rsidR="003C2AC6" w:rsidRPr="009F337B">
        <w:rPr>
          <w:i w:val="0"/>
          <w:szCs w:val="20"/>
          <w:lang w:val="en-US"/>
        </w:rPr>
        <w:t>Chinchila</w:t>
      </w:r>
      <w:proofErr w:type="spellEnd"/>
      <w:r w:rsidR="003C2AC6" w:rsidRPr="009F337B">
        <w:rPr>
          <w:i w:val="0"/>
          <w:szCs w:val="20"/>
          <w:lang w:val="en-US"/>
        </w:rPr>
        <w:t xml:space="preserve">, </w:t>
      </w:r>
      <w:r w:rsidR="005F10B1" w:rsidRPr="009F337B">
        <w:rPr>
          <w:i w:val="0"/>
          <w:szCs w:val="20"/>
          <w:lang w:val="en-US"/>
        </w:rPr>
        <w:t>his</w:t>
      </w:r>
      <w:r w:rsidR="003C2AC6" w:rsidRPr="009F337B">
        <w:rPr>
          <w:i w:val="0"/>
          <w:szCs w:val="20"/>
          <w:lang w:val="en-US"/>
        </w:rPr>
        <w:t xml:space="preserve"> </w:t>
      </w:r>
      <w:r w:rsidR="0010522A" w:rsidRPr="009F337B">
        <w:rPr>
          <w:i w:val="0"/>
          <w:szCs w:val="20"/>
          <w:lang w:val="en-US"/>
        </w:rPr>
        <w:t>mother</w:t>
      </w:r>
      <w:r w:rsidR="003C2AC6" w:rsidRPr="009F337B">
        <w:rPr>
          <w:i w:val="0"/>
          <w:szCs w:val="20"/>
          <w:lang w:val="en-US"/>
        </w:rPr>
        <w:t xml:space="preserve"> Margarita Flores </w:t>
      </w:r>
      <w:proofErr w:type="spellStart"/>
      <w:r w:rsidR="003C2AC6" w:rsidRPr="009F337B">
        <w:rPr>
          <w:i w:val="0"/>
          <w:szCs w:val="20"/>
          <w:lang w:val="en-US"/>
        </w:rPr>
        <w:t>Cuiza</w:t>
      </w:r>
      <w:proofErr w:type="spellEnd"/>
      <w:r w:rsidR="003C2AC6" w:rsidRPr="009F337B">
        <w:rPr>
          <w:i w:val="0"/>
          <w:szCs w:val="20"/>
          <w:lang w:val="en-US"/>
        </w:rPr>
        <w:t xml:space="preserve"> (</w:t>
      </w:r>
      <w:r w:rsidR="005F10B1" w:rsidRPr="009F337B">
        <w:rPr>
          <w:i w:val="0"/>
          <w:szCs w:val="20"/>
          <w:lang w:val="en-US"/>
        </w:rPr>
        <w:t>d</w:t>
      </w:r>
      <w:r w:rsidR="0010522A" w:rsidRPr="009F337B">
        <w:rPr>
          <w:i w:val="0"/>
          <w:szCs w:val="20"/>
          <w:lang w:val="en-US"/>
        </w:rPr>
        <w:t>eceased</w:t>
      </w:r>
      <w:r w:rsidR="003C2AC6" w:rsidRPr="009F337B">
        <w:rPr>
          <w:i w:val="0"/>
          <w:szCs w:val="20"/>
          <w:lang w:val="en-US"/>
        </w:rPr>
        <w:t xml:space="preserve">), </w:t>
      </w:r>
      <w:r w:rsidR="005F10B1" w:rsidRPr="009F337B">
        <w:rPr>
          <w:i w:val="0"/>
          <w:szCs w:val="20"/>
          <w:lang w:val="en-US"/>
        </w:rPr>
        <w:t>his</w:t>
      </w:r>
      <w:r w:rsidR="003C2AC6" w:rsidRPr="009F337B">
        <w:rPr>
          <w:i w:val="0"/>
          <w:szCs w:val="20"/>
          <w:lang w:val="en-US"/>
        </w:rPr>
        <w:t xml:space="preserve"> </w:t>
      </w:r>
      <w:r w:rsidR="0010522A" w:rsidRPr="009F337B">
        <w:rPr>
          <w:i w:val="0"/>
          <w:szCs w:val="20"/>
          <w:lang w:val="en-US"/>
        </w:rPr>
        <w:t>sister</w:t>
      </w:r>
      <w:r w:rsidR="003C2AC6" w:rsidRPr="009F337B">
        <w:rPr>
          <w:i w:val="0"/>
          <w:szCs w:val="20"/>
          <w:lang w:val="en-US"/>
        </w:rPr>
        <w:t xml:space="preserve"> </w:t>
      </w:r>
      <w:proofErr w:type="spellStart"/>
      <w:r w:rsidR="003C2AC6" w:rsidRPr="009F337B">
        <w:rPr>
          <w:i w:val="0"/>
          <w:szCs w:val="20"/>
          <w:lang w:val="en-US"/>
        </w:rPr>
        <w:t>Lileana</w:t>
      </w:r>
      <w:proofErr w:type="spellEnd"/>
      <w:r w:rsidR="003C2AC6" w:rsidRPr="009F337B">
        <w:rPr>
          <w:i w:val="0"/>
          <w:szCs w:val="20"/>
          <w:lang w:val="en-US"/>
        </w:rPr>
        <w:t>,</w:t>
      </w:r>
      <w:r w:rsidR="003C46A3" w:rsidRPr="009F337B">
        <w:rPr>
          <w:i w:val="0"/>
          <w:szCs w:val="20"/>
          <w:lang w:val="en-US"/>
        </w:rPr>
        <w:t xml:space="preserve"> and </w:t>
      </w:r>
      <w:r w:rsidR="005F10B1" w:rsidRPr="009F337B">
        <w:rPr>
          <w:i w:val="0"/>
          <w:szCs w:val="20"/>
          <w:lang w:val="en-US"/>
        </w:rPr>
        <w:t>his</w:t>
      </w:r>
      <w:r w:rsidR="003C2AC6" w:rsidRPr="009F337B">
        <w:rPr>
          <w:i w:val="0"/>
          <w:szCs w:val="20"/>
          <w:lang w:val="en-US"/>
        </w:rPr>
        <w:t xml:space="preserve"> </w:t>
      </w:r>
      <w:r w:rsidR="0010522A" w:rsidRPr="009F337B">
        <w:rPr>
          <w:i w:val="0"/>
          <w:szCs w:val="20"/>
          <w:lang w:val="en-US"/>
        </w:rPr>
        <w:t>brother</w:t>
      </w:r>
      <w:r w:rsidR="003C2AC6" w:rsidRPr="009F337B">
        <w:rPr>
          <w:i w:val="0"/>
          <w:szCs w:val="20"/>
          <w:lang w:val="en-US"/>
        </w:rPr>
        <w:t xml:space="preserve">s Atilio </w:t>
      </w:r>
      <w:proofErr w:type="spellStart"/>
      <w:r w:rsidR="003C2AC6" w:rsidRPr="009F337B">
        <w:rPr>
          <w:i w:val="0"/>
          <w:szCs w:val="20"/>
          <w:lang w:val="en-US"/>
        </w:rPr>
        <w:t>Sabas</w:t>
      </w:r>
      <w:proofErr w:type="spellEnd"/>
      <w:r w:rsidR="003C2AC6" w:rsidRPr="009F337B">
        <w:rPr>
          <w:i w:val="0"/>
          <w:szCs w:val="20"/>
          <w:lang w:val="en-US"/>
        </w:rPr>
        <w:t xml:space="preserve">, </w:t>
      </w:r>
      <w:proofErr w:type="spellStart"/>
      <w:r w:rsidR="003C2AC6" w:rsidRPr="009F337B">
        <w:rPr>
          <w:i w:val="0"/>
          <w:szCs w:val="20"/>
          <w:lang w:val="en-US"/>
        </w:rPr>
        <w:t>Victoriano</w:t>
      </w:r>
      <w:proofErr w:type="spellEnd"/>
      <w:r w:rsidR="003C2AC6" w:rsidRPr="009F337B">
        <w:rPr>
          <w:i w:val="0"/>
          <w:szCs w:val="20"/>
          <w:lang w:val="en-US"/>
        </w:rPr>
        <w:t xml:space="preserve"> </w:t>
      </w:r>
      <w:proofErr w:type="spellStart"/>
      <w:r w:rsidR="003C2AC6" w:rsidRPr="009F337B">
        <w:rPr>
          <w:i w:val="0"/>
          <w:szCs w:val="20"/>
          <w:lang w:val="en-US"/>
        </w:rPr>
        <w:t>Estanislao</w:t>
      </w:r>
      <w:proofErr w:type="spellEnd"/>
      <w:r w:rsidR="003C2AC6" w:rsidRPr="009F337B">
        <w:rPr>
          <w:i w:val="0"/>
          <w:szCs w:val="20"/>
          <w:lang w:val="en-US"/>
        </w:rPr>
        <w:t>, Julio Antonio</w:t>
      </w:r>
      <w:r w:rsidR="003C46A3" w:rsidRPr="009F337B">
        <w:rPr>
          <w:i w:val="0"/>
          <w:szCs w:val="20"/>
          <w:lang w:val="en-US"/>
        </w:rPr>
        <w:t xml:space="preserve"> and </w:t>
      </w:r>
      <w:r w:rsidR="003C2AC6" w:rsidRPr="009F337B">
        <w:rPr>
          <w:i w:val="0"/>
          <w:szCs w:val="20"/>
          <w:lang w:val="en-US"/>
        </w:rPr>
        <w:t xml:space="preserve">Samuel Gonzalo, </w:t>
      </w:r>
      <w:r w:rsidR="007B07E2" w:rsidRPr="009F337B">
        <w:rPr>
          <w:i w:val="0"/>
          <w:szCs w:val="20"/>
          <w:lang w:val="en-US"/>
        </w:rPr>
        <w:t>all</w:t>
      </w:r>
      <w:r w:rsidR="003C2AC6" w:rsidRPr="009F337B">
        <w:rPr>
          <w:i w:val="0"/>
          <w:szCs w:val="20"/>
          <w:lang w:val="en-US"/>
        </w:rPr>
        <w:t xml:space="preserve"> Alvarez Flores</w:t>
      </w:r>
      <w:r w:rsidR="005F10B1" w:rsidRPr="009F337B">
        <w:rPr>
          <w:i w:val="0"/>
          <w:szCs w:val="20"/>
          <w:lang w:val="en-US"/>
        </w:rPr>
        <w:t>.</w:t>
      </w:r>
      <w:r w:rsidR="003C2AC6" w:rsidRPr="009F337B">
        <w:rPr>
          <w:rStyle w:val="Refdenotaalpie"/>
          <w:i w:val="0"/>
          <w:lang w:val="en-US"/>
        </w:rPr>
        <w:footnoteReference w:id="303"/>
      </w:r>
    </w:p>
    <w:p w14:paraId="723039E4" w14:textId="77777777" w:rsidR="003C2AC6" w:rsidRPr="009F337B" w:rsidRDefault="003C2AC6" w:rsidP="003C2AC6">
      <w:pPr>
        <w:pStyle w:val="PrrafodeSentencia"/>
        <w:rPr>
          <w:lang w:val="en-US"/>
        </w:rPr>
      </w:pPr>
    </w:p>
    <w:p w14:paraId="3F29DE4F" w14:textId="77777777" w:rsidR="003C2AC6" w:rsidRPr="009F337B" w:rsidRDefault="003C2AC6" w:rsidP="003C2AC6">
      <w:pPr>
        <w:pStyle w:val="PrrafodeSentencia"/>
        <w:rPr>
          <w:lang w:val="en-US"/>
        </w:rPr>
      </w:pPr>
      <w:r w:rsidRPr="009F337B">
        <w:rPr>
          <w:lang w:val="en-US"/>
        </w:rPr>
        <w:tab/>
        <w:t>B.6. Ingrid Janeth Barillas Martínez</w:t>
      </w:r>
    </w:p>
    <w:p w14:paraId="4442478D" w14:textId="77777777" w:rsidR="003C2AC6" w:rsidRPr="009F337B" w:rsidRDefault="003C2AC6" w:rsidP="003C2AC6">
      <w:pPr>
        <w:pStyle w:val="PrrafodeSentencia"/>
        <w:rPr>
          <w:lang w:val="en-US"/>
        </w:rPr>
      </w:pPr>
    </w:p>
    <w:p w14:paraId="3DBFD7AC" w14:textId="4D22C26D" w:rsidR="003C2AC6" w:rsidRPr="009F337B" w:rsidRDefault="007F1AEB" w:rsidP="00593E37">
      <w:pPr>
        <w:pStyle w:val="Estilo1"/>
        <w:numPr>
          <w:ilvl w:val="0"/>
          <w:numId w:val="5"/>
        </w:numPr>
        <w:tabs>
          <w:tab w:val="left" w:pos="709"/>
          <w:tab w:val="left" w:pos="1134"/>
        </w:tabs>
        <w:spacing w:after="0"/>
        <w:ind w:left="0" w:right="-4" w:firstLine="0"/>
        <w:rPr>
          <w:i w:val="0"/>
          <w:szCs w:val="20"/>
          <w:lang w:val="en-US"/>
        </w:rPr>
      </w:pPr>
      <w:r w:rsidRPr="009F337B">
        <w:rPr>
          <w:i w:val="0"/>
          <w:szCs w:val="20"/>
          <w:lang w:val="en-US"/>
        </w:rPr>
        <w:t>Ms.</w:t>
      </w:r>
      <w:r w:rsidR="003C2AC6" w:rsidRPr="009F337B">
        <w:rPr>
          <w:i w:val="0"/>
          <w:szCs w:val="20"/>
          <w:lang w:val="en-US"/>
        </w:rPr>
        <w:t xml:space="preserve"> Barillas Martínez </w:t>
      </w:r>
      <w:r w:rsidR="0084040D" w:rsidRPr="009F337B">
        <w:rPr>
          <w:i w:val="0"/>
          <w:szCs w:val="20"/>
          <w:lang w:val="en-US"/>
        </w:rPr>
        <w:t>was born on</w:t>
      </w:r>
      <w:r w:rsidR="003C2AC6" w:rsidRPr="009F337B">
        <w:rPr>
          <w:i w:val="0"/>
          <w:szCs w:val="20"/>
          <w:lang w:val="en-US"/>
        </w:rPr>
        <w:t xml:space="preserve"> </w:t>
      </w:r>
      <w:r w:rsidR="00A758A5" w:rsidRPr="009F337B">
        <w:rPr>
          <w:i w:val="0"/>
          <w:szCs w:val="20"/>
          <w:lang w:val="en-US"/>
        </w:rPr>
        <w:t>March 18,</w:t>
      </w:r>
      <w:r w:rsidR="003C2AC6" w:rsidRPr="009F337B">
        <w:rPr>
          <w:i w:val="0"/>
          <w:szCs w:val="20"/>
          <w:lang w:val="en-US"/>
        </w:rPr>
        <w:t xml:space="preserve"> 1973</w:t>
      </w:r>
      <w:r w:rsidR="00A758A5" w:rsidRPr="009F337B">
        <w:rPr>
          <w:i w:val="0"/>
          <w:szCs w:val="20"/>
          <w:lang w:val="en-US"/>
        </w:rPr>
        <w:t>,</w:t>
      </w:r>
      <w:r w:rsidR="003C2AC6" w:rsidRPr="009F337B">
        <w:rPr>
          <w:i w:val="0"/>
          <w:szCs w:val="20"/>
          <w:lang w:val="en-US"/>
        </w:rPr>
        <w:t xml:space="preserve"> </w:t>
      </w:r>
      <w:r w:rsidR="00A758A5" w:rsidRPr="009F337B">
        <w:rPr>
          <w:i w:val="0"/>
          <w:szCs w:val="20"/>
          <w:lang w:val="en-US"/>
        </w:rPr>
        <w:t>in the municipality</w:t>
      </w:r>
      <w:r w:rsidR="00D85CA7" w:rsidRPr="009F337B">
        <w:rPr>
          <w:i w:val="0"/>
          <w:szCs w:val="20"/>
          <w:lang w:val="en-US"/>
        </w:rPr>
        <w:t xml:space="preserve"> of</w:t>
      </w:r>
      <w:r w:rsidR="003C2AC6" w:rsidRPr="009F337B">
        <w:rPr>
          <w:i w:val="0"/>
          <w:szCs w:val="20"/>
          <w:lang w:val="en-US"/>
        </w:rPr>
        <w:t xml:space="preserve"> </w:t>
      </w:r>
      <w:proofErr w:type="spellStart"/>
      <w:r w:rsidR="003C2AC6" w:rsidRPr="009F337B">
        <w:rPr>
          <w:i w:val="0"/>
          <w:szCs w:val="20"/>
          <w:lang w:val="en-US"/>
        </w:rPr>
        <w:t>Tiquisate</w:t>
      </w:r>
      <w:proofErr w:type="spellEnd"/>
      <w:r w:rsidR="003C2AC6" w:rsidRPr="009F337B">
        <w:rPr>
          <w:i w:val="0"/>
          <w:szCs w:val="20"/>
          <w:lang w:val="en-US"/>
        </w:rPr>
        <w:t xml:space="preserve">, </w:t>
      </w:r>
      <w:r w:rsidR="003E1304" w:rsidRPr="009F337B">
        <w:rPr>
          <w:i w:val="0"/>
          <w:szCs w:val="20"/>
          <w:lang w:val="en-US"/>
        </w:rPr>
        <w:t>department of</w:t>
      </w:r>
      <w:r w:rsidR="003C2AC6" w:rsidRPr="009F337B">
        <w:rPr>
          <w:i w:val="0"/>
          <w:szCs w:val="20"/>
          <w:lang w:val="en-US"/>
        </w:rPr>
        <w:t xml:space="preserve"> Escuintla, Guatemala. S</w:t>
      </w:r>
      <w:r w:rsidR="005F10B1" w:rsidRPr="009F337B">
        <w:rPr>
          <w:i w:val="0"/>
          <w:szCs w:val="20"/>
          <w:lang w:val="en-US"/>
        </w:rPr>
        <w:t xml:space="preserve">he is unmarried and is a domestic worker. She lives </w:t>
      </w:r>
      <w:r w:rsidR="00D85CA7" w:rsidRPr="009F337B">
        <w:rPr>
          <w:i w:val="0"/>
          <w:szCs w:val="20"/>
          <w:lang w:val="en-US"/>
        </w:rPr>
        <w:t>in</w:t>
      </w:r>
      <w:r w:rsidR="003C2AC6" w:rsidRPr="009F337B">
        <w:rPr>
          <w:i w:val="0"/>
          <w:szCs w:val="20"/>
          <w:lang w:val="en-US"/>
        </w:rPr>
        <w:t xml:space="preserve"> </w:t>
      </w:r>
      <w:r w:rsidR="003E1304" w:rsidRPr="009F337B">
        <w:rPr>
          <w:i w:val="0"/>
          <w:szCs w:val="20"/>
          <w:lang w:val="en-US"/>
        </w:rPr>
        <w:t xml:space="preserve">the </w:t>
      </w:r>
      <w:r w:rsidR="00D85CA7" w:rsidRPr="009F337B">
        <w:rPr>
          <w:i w:val="0"/>
          <w:szCs w:val="20"/>
          <w:lang w:val="en-US"/>
        </w:rPr>
        <w:t>municipality of</w:t>
      </w:r>
      <w:r w:rsidR="003C2AC6" w:rsidRPr="009F337B">
        <w:rPr>
          <w:i w:val="0"/>
          <w:szCs w:val="20"/>
          <w:lang w:val="en-US"/>
        </w:rPr>
        <w:t xml:space="preserve"> </w:t>
      </w:r>
      <w:proofErr w:type="spellStart"/>
      <w:r w:rsidR="003C2AC6" w:rsidRPr="009F337B">
        <w:rPr>
          <w:i w:val="0"/>
          <w:szCs w:val="20"/>
          <w:lang w:val="en-US"/>
        </w:rPr>
        <w:t>Tecún</w:t>
      </w:r>
      <w:proofErr w:type="spellEnd"/>
      <w:r w:rsidR="003C2AC6" w:rsidRPr="009F337B">
        <w:rPr>
          <w:i w:val="0"/>
          <w:szCs w:val="20"/>
          <w:lang w:val="en-US"/>
        </w:rPr>
        <w:t xml:space="preserve"> </w:t>
      </w:r>
      <w:proofErr w:type="spellStart"/>
      <w:r w:rsidR="003C2AC6" w:rsidRPr="009F337B">
        <w:rPr>
          <w:i w:val="0"/>
          <w:szCs w:val="20"/>
          <w:lang w:val="en-US"/>
        </w:rPr>
        <w:t>Umán</w:t>
      </w:r>
      <w:proofErr w:type="spellEnd"/>
      <w:r w:rsidR="003C2AC6" w:rsidRPr="009F337B">
        <w:rPr>
          <w:i w:val="0"/>
          <w:szCs w:val="20"/>
          <w:lang w:val="en-US"/>
        </w:rPr>
        <w:t xml:space="preserve">, </w:t>
      </w:r>
      <w:r w:rsidR="003E1304" w:rsidRPr="009F337B">
        <w:rPr>
          <w:i w:val="0"/>
          <w:szCs w:val="20"/>
          <w:lang w:val="en-US"/>
        </w:rPr>
        <w:t>department of</w:t>
      </w:r>
      <w:r w:rsidR="003C2AC6" w:rsidRPr="009F337B">
        <w:rPr>
          <w:i w:val="0"/>
          <w:szCs w:val="20"/>
          <w:lang w:val="en-US"/>
        </w:rPr>
        <w:t xml:space="preserve"> San Marcos, Guatemala,</w:t>
      </w:r>
      <w:r w:rsidR="003C46A3" w:rsidRPr="009F337B">
        <w:rPr>
          <w:i w:val="0"/>
          <w:szCs w:val="20"/>
          <w:lang w:val="en-US"/>
        </w:rPr>
        <w:t xml:space="preserve"> and </w:t>
      </w:r>
      <w:r w:rsidR="005F10B1" w:rsidRPr="009F337B">
        <w:rPr>
          <w:i w:val="0"/>
          <w:szCs w:val="20"/>
          <w:lang w:val="en-US"/>
        </w:rPr>
        <w:t xml:space="preserve">she is registered in the </w:t>
      </w:r>
      <w:proofErr w:type="spellStart"/>
      <w:r w:rsidR="005F10B1" w:rsidRPr="009F337B">
        <w:rPr>
          <w:i w:val="0"/>
          <w:szCs w:val="20"/>
          <w:lang w:val="en-US"/>
        </w:rPr>
        <w:t>Coatepeque</w:t>
      </w:r>
      <w:proofErr w:type="spellEnd"/>
      <w:r w:rsidR="005F10B1" w:rsidRPr="009F337B">
        <w:rPr>
          <w:i w:val="0"/>
          <w:szCs w:val="20"/>
          <w:lang w:val="en-US"/>
        </w:rPr>
        <w:t xml:space="preserve"> National Hospital.</w:t>
      </w:r>
      <w:r w:rsidR="003C2AC6" w:rsidRPr="009F337B">
        <w:rPr>
          <w:rStyle w:val="Refdenotaalpie"/>
          <w:i w:val="0"/>
          <w:lang w:val="en-US"/>
        </w:rPr>
        <w:footnoteReference w:id="304"/>
      </w:r>
    </w:p>
    <w:p w14:paraId="03C1A719" w14:textId="77777777" w:rsidR="003C2AC6" w:rsidRPr="009F337B" w:rsidRDefault="003C2AC6" w:rsidP="003C2AC6">
      <w:pPr>
        <w:pStyle w:val="PrrafodeSentencia"/>
        <w:rPr>
          <w:lang w:val="en-US"/>
        </w:rPr>
      </w:pPr>
    </w:p>
    <w:p w14:paraId="373413BE" w14:textId="77777777" w:rsidR="003C2AC6" w:rsidRPr="009F337B" w:rsidRDefault="003C2AC6" w:rsidP="003C2AC6">
      <w:pPr>
        <w:pStyle w:val="PrrafodeSentencia"/>
        <w:rPr>
          <w:lang w:val="en-US"/>
        </w:rPr>
      </w:pPr>
      <w:r w:rsidRPr="009F337B">
        <w:rPr>
          <w:lang w:val="en-US"/>
        </w:rPr>
        <w:tab/>
        <w:t>B.7. Saira Elisa Barrios</w:t>
      </w:r>
    </w:p>
    <w:p w14:paraId="63E63990" w14:textId="77777777" w:rsidR="003C2AC6" w:rsidRPr="009F337B" w:rsidRDefault="003C2AC6" w:rsidP="003C2AC6">
      <w:pPr>
        <w:pStyle w:val="PrrafodeSentencia"/>
        <w:rPr>
          <w:lang w:val="en-US"/>
        </w:rPr>
      </w:pPr>
    </w:p>
    <w:p w14:paraId="123B257A" w14:textId="1314F221" w:rsidR="003C2AC6" w:rsidRPr="009F337B" w:rsidRDefault="007F1AEB" w:rsidP="00593E37">
      <w:pPr>
        <w:pStyle w:val="Estilo1"/>
        <w:numPr>
          <w:ilvl w:val="0"/>
          <w:numId w:val="5"/>
        </w:numPr>
        <w:tabs>
          <w:tab w:val="left" w:pos="709"/>
          <w:tab w:val="left" w:pos="1134"/>
        </w:tabs>
        <w:spacing w:after="0"/>
        <w:ind w:left="0" w:right="-4" w:firstLine="0"/>
        <w:rPr>
          <w:i w:val="0"/>
          <w:szCs w:val="20"/>
          <w:lang w:val="en-US"/>
        </w:rPr>
      </w:pPr>
      <w:r w:rsidRPr="009F337B">
        <w:rPr>
          <w:i w:val="0"/>
          <w:szCs w:val="20"/>
          <w:lang w:val="en-US"/>
        </w:rPr>
        <w:t>Mrs.</w:t>
      </w:r>
      <w:r w:rsidR="003C2AC6" w:rsidRPr="009F337B">
        <w:rPr>
          <w:i w:val="0"/>
          <w:szCs w:val="20"/>
          <w:lang w:val="en-US"/>
        </w:rPr>
        <w:t xml:space="preserve"> Barrios </w:t>
      </w:r>
      <w:r w:rsidR="0084040D" w:rsidRPr="009F337B">
        <w:rPr>
          <w:i w:val="0"/>
          <w:szCs w:val="20"/>
          <w:lang w:val="en-US"/>
        </w:rPr>
        <w:t>was born on</w:t>
      </w:r>
      <w:r w:rsidR="003C2AC6" w:rsidRPr="009F337B">
        <w:rPr>
          <w:i w:val="0"/>
          <w:szCs w:val="20"/>
          <w:lang w:val="en-US"/>
        </w:rPr>
        <w:t xml:space="preserve"> </w:t>
      </w:r>
      <w:r w:rsidR="00A758A5" w:rsidRPr="009F337B">
        <w:rPr>
          <w:i w:val="0"/>
          <w:szCs w:val="20"/>
          <w:lang w:val="en-US"/>
        </w:rPr>
        <w:t>August 30,</w:t>
      </w:r>
      <w:r w:rsidR="003C2AC6" w:rsidRPr="009F337B">
        <w:rPr>
          <w:i w:val="0"/>
          <w:szCs w:val="20"/>
          <w:lang w:val="en-US"/>
        </w:rPr>
        <w:t xml:space="preserve"> 1972</w:t>
      </w:r>
      <w:r w:rsidR="00A758A5" w:rsidRPr="009F337B">
        <w:rPr>
          <w:i w:val="0"/>
          <w:szCs w:val="20"/>
          <w:lang w:val="en-US"/>
        </w:rPr>
        <w:t>,</w:t>
      </w:r>
      <w:r w:rsidR="003C2AC6" w:rsidRPr="009F337B">
        <w:rPr>
          <w:i w:val="0"/>
          <w:szCs w:val="20"/>
          <w:lang w:val="en-US"/>
        </w:rPr>
        <w:t xml:space="preserve"> </w:t>
      </w:r>
      <w:r w:rsidR="00A758A5" w:rsidRPr="009F337B">
        <w:rPr>
          <w:i w:val="0"/>
          <w:szCs w:val="20"/>
          <w:lang w:val="en-US"/>
        </w:rPr>
        <w:t>in the municipality</w:t>
      </w:r>
      <w:r w:rsidR="00D85CA7" w:rsidRPr="009F337B">
        <w:rPr>
          <w:i w:val="0"/>
          <w:szCs w:val="20"/>
          <w:lang w:val="en-US"/>
        </w:rPr>
        <w:t xml:space="preserve"> of</w:t>
      </w:r>
      <w:r w:rsidR="003C2AC6" w:rsidRPr="009F337B">
        <w:rPr>
          <w:i w:val="0"/>
          <w:szCs w:val="20"/>
          <w:lang w:val="en-US"/>
        </w:rPr>
        <w:t xml:space="preserve"> Nuevo San Carlos, </w:t>
      </w:r>
      <w:r w:rsidR="003E1304" w:rsidRPr="009F337B">
        <w:rPr>
          <w:i w:val="0"/>
          <w:szCs w:val="20"/>
          <w:lang w:val="en-US"/>
        </w:rPr>
        <w:t>department of</w:t>
      </w:r>
      <w:r w:rsidR="003C2AC6" w:rsidRPr="009F337B">
        <w:rPr>
          <w:i w:val="0"/>
          <w:szCs w:val="20"/>
          <w:lang w:val="en-US"/>
        </w:rPr>
        <w:t xml:space="preserve"> Retalhuleu, Guatemala, </w:t>
      </w:r>
      <w:r w:rsidR="005F10B1" w:rsidRPr="009F337B">
        <w:rPr>
          <w:i w:val="0"/>
          <w:szCs w:val="20"/>
          <w:lang w:val="en-US"/>
        </w:rPr>
        <w:t xml:space="preserve">where she now resides. She </w:t>
      </w:r>
      <w:r w:rsidR="00327D89" w:rsidRPr="009F337B">
        <w:rPr>
          <w:i w:val="0"/>
          <w:szCs w:val="20"/>
          <w:lang w:val="en-US"/>
        </w:rPr>
        <w:t>completed</w:t>
      </w:r>
      <w:r w:rsidR="005F10B1" w:rsidRPr="009F337B">
        <w:rPr>
          <w:i w:val="0"/>
          <w:szCs w:val="20"/>
          <w:lang w:val="en-US"/>
        </w:rPr>
        <w:t xml:space="preserve"> fifth </w:t>
      </w:r>
      <w:r w:rsidR="00327D89" w:rsidRPr="009F337B">
        <w:rPr>
          <w:i w:val="0"/>
          <w:szCs w:val="20"/>
          <w:lang w:val="en-US"/>
        </w:rPr>
        <w:t>year of</w:t>
      </w:r>
      <w:r w:rsidR="005F10B1" w:rsidRPr="009F337B">
        <w:rPr>
          <w:i w:val="0"/>
          <w:szCs w:val="20"/>
          <w:lang w:val="en-US"/>
        </w:rPr>
        <w:t xml:space="preserve"> </w:t>
      </w:r>
      <w:r w:rsidR="00327D89" w:rsidRPr="009F337B">
        <w:rPr>
          <w:i w:val="0"/>
          <w:szCs w:val="20"/>
          <w:lang w:val="en-US"/>
        </w:rPr>
        <w:t>primary education</w:t>
      </w:r>
      <w:r w:rsidR="005F10B1" w:rsidRPr="009F337B">
        <w:rPr>
          <w:i w:val="0"/>
          <w:szCs w:val="20"/>
          <w:lang w:val="en-US"/>
        </w:rPr>
        <w:t>. She w</w:t>
      </w:r>
      <w:r w:rsidR="001071B4" w:rsidRPr="009F337B">
        <w:rPr>
          <w:i w:val="0"/>
          <w:szCs w:val="20"/>
          <w:lang w:val="en-US"/>
        </w:rPr>
        <w:t>as diagnosed with HIV</w:t>
      </w:r>
      <w:r w:rsidR="003C2AC6" w:rsidRPr="009F337B">
        <w:rPr>
          <w:i w:val="0"/>
          <w:szCs w:val="20"/>
          <w:lang w:val="en-US"/>
        </w:rPr>
        <w:t xml:space="preserve"> </w:t>
      </w:r>
      <w:r w:rsidR="001C4CEA" w:rsidRPr="009F337B">
        <w:rPr>
          <w:i w:val="0"/>
          <w:szCs w:val="20"/>
          <w:lang w:val="en-US"/>
        </w:rPr>
        <w:t>in 2002</w:t>
      </w:r>
      <w:r w:rsidR="003C2AC6" w:rsidRPr="009F337B">
        <w:rPr>
          <w:i w:val="0"/>
          <w:szCs w:val="20"/>
          <w:lang w:val="en-US"/>
        </w:rPr>
        <w:t xml:space="preserve">, </w:t>
      </w:r>
      <w:r w:rsidR="005F10B1" w:rsidRPr="009F337B">
        <w:rPr>
          <w:i w:val="0"/>
          <w:szCs w:val="20"/>
          <w:lang w:val="en-US"/>
        </w:rPr>
        <w:t>when she was seven months pregnant. She began her</w:t>
      </w:r>
      <w:r w:rsidR="003C2AC6" w:rsidRPr="009F337B">
        <w:rPr>
          <w:i w:val="0"/>
          <w:szCs w:val="20"/>
          <w:lang w:val="en-US"/>
        </w:rPr>
        <w:t xml:space="preserve"> </w:t>
      </w:r>
      <w:r w:rsidR="00FE1EFF" w:rsidRPr="009F337B">
        <w:rPr>
          <w:i w:val="0"/>
          <w:szCs w:val="20"/>
          <w:lang w:val="en-US"/>
        </w:rPr>
        <w:t>antiretroviral treatment</w:t>
      </w:r>
      <w:r w:rsidR="003C2AC6" w:rsidRPr="009F337B">
        <w:rPr>
          <w:i w:val="0"/>
          <w:szCs w:val="20"/>
          <w:lang w:val="en-US"/>
        </w:rPr>
        <w:t xml:space="preserve"> </w:t>
      </w:r>
      <w:r w:rsidR="005F10B1" w:rsidRPr="009F337B">
        <w:rPr>
          <w:i w:val="0"/>
          <w:szCs w:val="20"/>
          <w:lang w:val="en-US"/>
        </w:rPr>
        <w:t>the same year, under MSF’s</w:t>
      </w:r>
      <w:r w:rsidR="003C2AC6" w:rsidRPr="009F337B">
        <w:rPr>
          <w:i w:val="0"/>
          <w:szCs w:val="20"/>
          <w:lang w:val="en-US"/>
        </w:rPr>
        <w:t xml:space="preserve"> </w:t>
      </w:r>
      <w:r w:rsidR="00AE674B" w:rsidRPr="009F337B">
        <w:rPr>
          <w:szCs w:val="20"/>
          <w:lang w:val="en-US"/>
        </w:rPr>
        <w:t>Proyecto Vida</w:t>
      </w:r>
      <w:r w:rsidR="003C2AC6" w:rsidRPr="009F337B">
        <w:rPr>
          <w:i w:val="0"/>
          <w:szCs w:val="20"/>
          <w:lang w:val="en-US"/>
        </w:rPr>
        <w:t xml:space="preserve">. </w:t>
      </w:r>
      <w:r w:rsidR="005F10B1" w:rsidRPr="009F337B">
        <w:rPr>
          <w:i w:val="0"/>
          <w:szCs w:val="20"/>
          <w:lang w:val="en-US"/>
        </w:rPr>
        <w:t>Subsequently, she was transferred to the</w:t>
      </w:r>
      <w:r w:rsidR="003C2AC6" w:rsidRPr="009F337B">
        <w:rPr>
          <w:i w:val="0"/>
          <w:szCs w:val="20"/>
          <w:lang w:val="en-US"/>
        </w:rPr>
        <w:t xml:space="preserve"> </w:t>
      </w:r>
      <w:proofErr w:type="spellStart"/>
      <w:r w:rsidR="005F10B1" w:rsidRPr="009F337B">
        <w:rPr>
          <w:i w:val="0"/>
          <w:szCs w:val="20"/>
          <w:lang w:val="en-US"/>
        </w:rPr>
        <w:t>Coatepeque</w:t>
      </w:r>
      <w:proofErr w:type="spellEnd"/>
      <w:r w:rsidR="005F10B1" w:rsidRPr="009F337B">
        <w:rPr>
          <w:i w:val="0"/>
          <w:szCs w:val="20"/>
          <w:lang w:val="en-US"/>
        </w:rPr>
        <w:t xml:space="preserve"> National Hospital</w:t>
      </w:r>
      <w:r w:rsidR="003C2AC6" w:rsidRPr="009F337B">
        <w:rPr>
          <w:i w:val="0"/>
          <w:szCs w:val="20"/>
          <w:lang w:val="en-US"/>
        </w:rPr>
        <w:t xml:space="preserve"> </w:t>
      </w:r>
      <w:r w:rsidR="005F10B1" w:rsidRPr="009F337B">
        <w:rPr>
          <w:i w:val="0"/>
          <w:szCs w:val="20"/>
          <w:lang w:val="en-US"/>
        </w:rPr>
        <w:t xml:space="preserve">and then, at her request, transferred to the </w:t>
      </w:r>
      <w:r w:rsidR="003C2AC6" w:rsidRPr="009F337B">
        <w:rPr>
          <w:i w:val="0"/>
          <w:szCs w:val="20"/>
          <w:lang w:val="en-US"/>
        </w:rPr>
        <w:t>Retalhuleu</w:t>
      </w:r>
      <w:r w:rsidR="005F10B1" w:rsidRPr="009F337B">
        <w:rPr>
          <w:i w:val="0"/>
          <w:szCs w:val="20"/>
          <w:lang w:val="en-US"/>
        </w:rPr>
        <w:t xml:space="preserve"> Hospital, where she received irregular testing for CD4 count and viral load.</w:t>
      </w:r>
      <w:r w:rsidR="003C2AC6" w:rsidRPr="009F337B">
        <w:rPr>
          <w:i w:val="0"/>
          <w:szCs w:val="20"/>
          <w:lang w:val="en-US"/>
        </w:rPr>
        <w:t xml:space="preserve"> </w:t>
      </w:r>
      <w:r w:rsidR="005F10B1" w:rsidRPr="009F337B">
        <w:rPr>
          <w:i w:val="0"/>
          <w:szCs w:val="20"/>
          <w:lang w:val="en-US"/>
        </w:rPr>
        <w:t xml:space="preserve">She has suffered from various </w:t>
      </w:r>
      <w:r w:rsidR="0081563D" w:rsidRPr="009F337B">
        <w:rPr>
          <w:i w:val="0"/>
          <w:szCs w:val="20"/>
          <w:lang w:val="en-US"/>
        </w:rPr>
        <w:t>opportunistic diseases</w:t>
      </w:r>
      <w:r w:rsidR="003C2AC6" w:rsidRPr="009F337B">
        <w:rPr>
          <w:i w:val="0"/>
          <w:szCs w:val="20"/>
          <w:lang w:val="en-US"/>
        </w:rPr>
        <w:t xml:space="preserve">, </w:t>
      </w:r>
      <w:r w:rsidR="005F10B1" w:rsidRPr="009F337B">
        <w:rPr>
          <w:i w:val="0"/>
          <w:szCs w:val="20"/>
          <w:lang w:val="en-US"/>
        </w:rPr>
        <w:t>such as intestinal</w:t>
      </w:r>
      <w:r w:rsidR="003C2AC6" w:rsidRPr="009F337B">
        <w:rPr>
          <w:i w:val="0"/>
          <w:szCs w:val="20"/>
          <w:lang w:val="en-US"/>
        </w:rPr>
        <w:t xml:space="preserve"> </w:t>
      </w:r>
      <w:r w:rsidR="001C4CEA" w:rsidRPr="009F337B">
        <w:rPr>
          <w:i w:val="0"/>
          <w:szCs w:val="20"/>
          <w:lang w:val="en-US"/>
        </w:rPr>
        <w:t>parasites</w:t>
      </w:r>
      <w:r w:rsidR="003C2AC6" w:rsidRPr="009F337B">
        <w:rPr>
          <w:i w:val="0"/>
          <w:szCs w:val="20"/>
          <w:lang w:val="en-US"/>
        </w:rPr>
        <w:t xml:space="preserve">, </w:t>
      </w:r>
      <w:r w:rsidR="005F10B1" w:rsidRPr="009F337B">
        <w:rPr>
          <w:i w:val="0"/>
          <w:szCs w:val="20"/>
          <w:lang w:val="en-US"/>
        </w:rPr>
        <w:t>muco-cutaneous lesions</w:t>
      </w:r>
      <w:r w:rsidR="003C2AC6" w:rsidRPr="009F337B">
        <w:rPr>
          <w:i w:val="0"/>
          <w:szCs w:val="20"/>
          <w:lang w:val="en-US"/>
        </w:rPr>
        <w:t xml:space="preserve">, </w:t>
      </w:r>
      <w:r w:rsidR="005F10B1" w:rsidRPr="009F337B">
        <w:rPr>
          <w:i w:val="0"/>
          <w:szCs w:val="20"/>
          <w:lang w:val="en-US"/>
        </w:rPr>
        <w:t>respiratory infections</w:t>
      </w:r>
      <w:r w:rsidR="003C2AC6" w:rsidRPr="009F337B">
        <w:rPr>
          <w:i w:val="0"/>
          <w:szCs w:val="20"/>
          <w:lang w:val="en-US"/>
        </w:rPr>
        <w:t xml:space="preserve"> </w:t>
      </w:r>
      <w:r w:rsidR="005F10B1" w:rsidRPr="009F337B">
        <w:rPr>
          <w:i w:val="0"/>
          <w:szCs w:val="20"/>
          <w:lang w:val="en-US"/>
        </w:rPr>
        <w:t>and severe bacterial infection</w:t>
      </w:r>
      <w:r w:rsidR="003C2AC6" w:rsidRPr="009F337B">
        <w:rPr>
          <w:i w:val="0"/>
          <w:szCs w:val="20"/>
          <w:lang w:val="en-US"/>
        </w:rPr>
        <w:t xml:space="preserve">. </w:t>
      </w:r>
      <w:r w:rsidR="005F10B1" w:rsidRPr="009F337B">
        <w:rPr>
          <w:i w:val="0"/>
          <w:szCs w:val="20"/>
          <w:lang w:val="en-US"/>
        </w:rPr>
        <w:t xml:space="preserve">She has not received nutritional and social support or family, community and </w:t>
      </w:r>
      <w:r w:rsidR="00F93469" w:rsidRPr="009F337B">
        <w:rPr>
          <w:i w:val="0"/>
          <w:szCs w:val="20"/>
          <w:lang w:val="en-US"/>
        </w:rPr>
        <w:t>home-based care</w:t>
      </w:r>
      <w:r w:rsidR="005F10B1" w:rsidRPr="009F337B">
        <w:rPr>
          <w:i w:val="0"/>
          <w:szCs w:val="20"/>
          <w:lang w:val="en-US"/>
        </w:rPr>
        <w:t xml:space="preserve">. However, every three months she receives psychological support and she is provided with condoms. She only receives HIV drugs, and not those for the related or opportunistic infections. </w:t>
      </w:r>
      <w:r w:rsidRPr="009F337B">
        <w:rPr>
          <w:i w:val="0"/>
          <w:szCs w:val="20"/>
          <w:lang w:val="en-US"/>
        </w:rPr>
        <w:t>Mrs.</w:t>
      </w:r>
      <w:r w:rsidR="003C2AC6" w:rsidRPr="009F337B">
        <w:rPr>
          <w:i w:val="0"/>
          <w:szCs w:val="20"/>
          <w:lang w:val="en-US"/>
        </w:rPr>
        <w:t xml:space="preserve"> Barrios </w:t>
      </w:r>
      <w:r w:rsidR="005F10B1" w:rsidRPr="009F337B">
        <w:rPr>
          <w:i w:val="0"/>
          <w:szCs w:val="20"/>
          <w:lang w:val="en-US"/>
        </w:rPr>
        <w:t xml:space="preserve">indicated that, before being diagnosed with HIV, she worked cleaning houses, cooking, washing and ironing, activities she </w:t>
      </w:r>
      <w:r w:rsidR="00517071" w:rsidRPr="009F337B">
        <w:rPr>
          <w:i w:val="0"/>
          <w:szCs w:val="20"/>
          <w:lang w:val="en-US"/>
        </w:rPr>
        <w:t xml:space="preserve">has </w:t>
      </w:r>
      <w:r w:rsidR="005F10B1" w:rsidRPr="009F337B">
        <w:rPr>
          <w:i w:val="0"/>
          <w:szCs w:val="20"/>
          <w:lang w:val="en-US"/>
        </w:rPr>
        <w:t xml:space="preserve">had to suspend because of the physical problems she suffered due to the deterioration in her health. She also </w:t>
      </w:r>
      <w:r w:rsidR="00D1590C" w:rsidRPr="009F337B">
        <w:rPr>
          <w:i w:val="0"/>
          <w:szCs w:val="20"/>
          <w:lang w:val="en-US"/>
        </w:rPr>
        <w:t>indicated</w:t>
      </w:r>
      <w:r w:rsidR="005F10B1" w:rsidRPr="009F337B">
        <w:rPr>
          <w:i w:val="0"/>
          <w:szCs w:val="20"/>
          <w:lang w:val="en-US"/>
        </w:rPr>
        <w:t xml:space="preserve"> that it took her 90 minutes to travel from her home to the</w:t>
      </w:r>
      <w:r w:rsidR="003C2AC6" w:rsidRPr="009F337B">
        <w:rPr>
          <w:i w:val="0"/>
          <w:szCs w:val="20"/>
          <w:lang w:val="en-US"/>
        </w:rPr>
        <w:t xml:space="preserve"> </w:t>
      </w:r>
      <w:r w:rsidR="00F87540" w:rsidRPr="009F337B">
        <w:rPr>
          <w:i w:val="0"/>
          <w:szCs w:val="20"/>
          <w:lang w:val="en-US"/>
        </w:rPr>
        <w:t>Retalhuleu</w:t>
      </w:r>
      <w:r w:rsidR="005F10B1" w:rsidRPr="009F337B">
        <w:rPr>
          <w:i w:val="0"/>
          <w:szCs w:val="20"/>
          <w:lang w:val="en-US"/>
        </w:rPr>
        <w:t xml:space="preserve"> hospital.</w:t>
      </w:r>
      <w:r w:rsidR="003C2AC6" w:rsidRPr="009F337B">
        <w:rPr>
          <w:rStyle w:val="Refdenotaalpie"/>
          <w:i w:val="0"/>
          <w:lang w:val="en-US"/>
        </w:rPr>
        <w:footnoteReference w:id="305"/>
      </w:r>
    </w:p>
    <w:p w14:paraId="02197CD6" w14:textId="77777777" w:rsidR="003C2AC6" w:rsidRPr="009F337B" w:rsidRDefault="003C2AC6" w:rsidP="003C2AC6">
      <w:pPr>
        <w:pStyle w:val="Estilo1"/>
        <w:tabs>
          <w:tab w:val="left" w:pos="709"/>
          <w:tab w:val="left" w:pos="1134"/>
        </w:tabs>
        <w:spacing w:after="0"/>
        <w:ind w:left="0" w:right="-4" w:firstLine="0"/>
        <w:rPr>
          <w:i w:val="0"/>
          <w:szCs w:val="20"/>
          <w:lang w:val="en-US"/>
        </w:rPr>
      </w:pPr>
    </w:p>
    <w:p w14:paraId="26D6C41B" w14:textId="3FE935B2" w:rsidR="003C2AC6" w:rsidRPr="009F337B" w:rsidRDefault="00A758A5" w:rsidP="00593E37">
      <w:pPr>
        <w:pStyle w:val="Estilo1"/>
        <w:numPr>
          <w:ilvl w:val="0"/>
          <w:numId w:val="5"/>
        </w:numPr>
        <w:tabs>
          <w:tab w:val="left" w:pos="709"/>
          <w:tab w:val="left" w:pos="1134"/>
        </w:tabs>
        <w:spacing w:after="0"/>
        <w:ind w:left="0" w:right="-4" w:firstLine="0"/>
        <w:rPr>
          <w:i w:val="0"/>
          <w:szCs w:val="20"/>
          <w:lang w:val="en-US"/>
        </w:rPr>
      </w:pPr>
      <w:r w:rsidRPr="009F337B">
        <w:rPr>
          <w:i w:val="0"/>
          <w:szCs w:val="20"/>
          <w:lang w:val="en-US"/>
        </w:rPr>
        <w:t xml:space="preserve">Her family unit consists of </w:t>
      </w:r>
      <w:r w:rsidR="00DE3435" w:rsidRPr="009F337B">
        <w:rPr>
          <w:i w:val="0"/>
          <w:szCs w:val="20"/>
          <w:lang w:val="en-US"/>
        </w:rPr>
        <w:t>the</w:t>
      </w:r>
      <w:r w:rsidRPr="009F337B">
        <w:rPr>
          <w:i w:val="0"/>
          <w:szCs w:val="20"/>
          <w:lang w:val="en-US"/>
        </w:rPr>
        <w:t xml:space="preserve"> </w:t>
      </w:r>
      <w:r w:rsidR="0010522A" w:rsidRPr="009F337B">
        <w:rPr>
          <w:i w:val="0"/>
          <w:szCs w:val="20"/>
          <w:lang w:val="en-US"/>
        </w:rPr>
        <w:t>father</w:t>
      </w:r>
      <w:r w:rsidR="003C2AC6" w:rsidRPr="009F337B">
        <w:rPr>
          <w:i w:val="0"/>
          <w:szCs w:val="20"/>
          <w:lang w:val="en-US"/>
        </w:rPr>
        <w:t xml:space="preserve"> </w:t>
      </w:r>
      <w:r w:rsidR="00DE3435" w:rsidRPr="009F337B">
        <w:rPr>
          <w:i w:val="0"/>
          <w:szCs w:val="20"/>
          <w:lang w:val="en-US"/>
        </w:rPr>
        <w:t>of her</w:t>
      </w:r>
      <w:r w:rsidR="003C2AC6" w:rsidRPr="009F337B">
        <w:rPr>
          <w:i w:val="0"/>
          <w:szCs w:val="20"/>
          <w:lang w:val="en-US"/>
        </w:rPr>
        <w:t xml:space="preserve"> </w:t>
      </w:r>
      <w:r w:rsidR="0010522A" w:rsidRPr="009F337B">
        <w:rPr>
          <w:i w:val="0"/>
          <w:szCs w:val="20"/>
          <w:lang w:val="en-US"/>
        </w:rPr>
        <w:t>daughter</w:t>
      </w:r>
      <w:r w:rsidR="003C2AC6" w:rsidRPr="009F337B">
        <w:rPr>
          <w:i w:val="0"/>
          <w:szCs w:val="20"/>
          <w:lang w:val="en-US"/>
        </w:rPr>
        <w:t xml:space="preserve">s Erick </w:t>
      </w:r>
      <w:proofErr w:type="spellStart"/>
      <w:r w:rsidR="003C2AC6" w:rsidRPr="009F337B">
        <w:rPr>
          <w:i w:val="0"/>
          <w:szCs w:val="20"/>
          <w:lang w:val="en-US"/>
        </w:rPr>
        <w:t>Jonás</w:t>
      </w:r>
      <w:proofErr w:type="spellEnd"/>
      <w:r w:rsidR="003C2AC6" w:rsidRPr="009F337B">
        <w:rPr>
          <w:i w:val="0"/>
          <w:szCs w:val="20"/>
          <w:lang w:val="en-US"/>
        </w:rPr>
        <w:t xml:space="preserve"> Sánchez (</w:t>
      </w:r>
      <w:r w:rsidR="0010522A" w:rsidRPr="009F337B">
        <w:rPr>
          <w:i w:val="0"/>
          <w:szCs w:val="20"/>
          <w:lang w:val="en-US"/>
        </w:rPr>
        <w:t>deceased</w:t>
      </w:r>
      <w:r w:rsidR="003C2AC6" w:rsidRPr="009F337B">
        <w:rPr>
          <w:i w:val="0"/>
          <w:szCs w:val="20"/>
          <w:lang w:val="en-US"/>
        </w:rPr>
        <w:t xml:space="preserve">), </w:t>
      </w:r>
      <w:r w:rsidR="00DE3435" w:rsidRPr="009F337B">
        <w:rPr>
          <w:i w:val="0"/>
          <w:szCs w:val="20"/>
          <w:lang w:val="en-US"/>
        </w:rPr>
        <w:t>her actual</w:t>
      </w:r>
      <w:r w:rsidR="003C2AC6" w:rsidRPr="009F337B">
        <w:rPr>
          <w:i w:val="0"/>
          <w:szCs w:val="20"/>
          <w:lang w:val="en-US"/>
        </w:rPr>
        <w:t xml:space="preserve"> </w:t>
      </w:r>
      <w:r w:rsidR="0010522A" w:rsidRPr="009F337B">
        <w:rPr>
          <w:i w:val="0"/>
          <w:szCs w:val="20"/>
          <w:lang w:val="en-US"/>
        </w:rPr>
        <w:t>husband</w:t>
      </w:r>
      <w:r w:rsidR="003C2AC6" w:rsidRPr="009F337B">
        <w:rPr>
          <w:i w:val="0"/>
          <w:szCs w:val="20"/>
          <w:lang w:val="en-US"/>
        </w:rPr>
        <w:t xml:space="preserve"> Guillermo </w:t>
      </w:r>
      <w:proofErr w:type="spellStart"/>
      <w:r w:rsidR="003C2AC6" w:rsidRPr="009F337B">
        <w:rPr>
          <w:i w:val="0"/>
          <w:szCs w:val="20"/>
          <w:lang w:val="en-US"/>
        </w:rPr>
        <w:t>Donis</w:t>
      </w:r>
      <w:proofErr w:type="spellEnd"/>
      <w:r w:rsidR="003C2AC6" w:rsidRPr="009F337B">
        <w:rPr>
          <w:i w:val="0"/>
          <w:szCs w:val="20"/>
          <w:lang w:val="en-US"/>
        </w:rPr>
        <w:t xml:space="preserve">, </w:t>
      </w:r>
      <w:r w:rsidR="00DE3435" w:rsidRPr="009F337B">
        <w:rPr>
          <w:i w:val="0"/>
          <w:szCs w:val="20"/>
          <w:lang w:val="en-US"/>
        </w:rPr>
        <w:t>her</w:t>
      </w:r>
      <w:r w:rsidR="003C2AC6" w:rsidRPr="009F337B">
        <w:rPr>
          <w:i w:val="0"/>
          <w:szCs w:val="20"/>
          <w:lang w:val="en-US"/>
        </w:rPr>
        <w:t xml:space="preserve"> </w:t>
      </w:r>
      <w:r w:rsidR="0010522A" w:rsidRPr="009F337B">
        <w:rPr>
          <w:i w:val="0"/>
          <w:szCs w:val="20"/>
          <w:lang w:val="en-US"/>
        </w:rPr>
        <w:t>daughter</w:t>
      </w:r>
      <w:r w:rsidR="003C2AC6" w:rsidRPr="009F337B">
        <w:rPr>
          <w:i w:val="0"/>
          <w:szCs w:val="20"/>
          <w:lang w:val="en-US"/>
        </w:rPr>
        <w:t xml:space="preserve">s </w:t>
      </w:r>
      <w:proofErr w:type="spellStart"/>
      <w:r w:rsidR="003C2AC6" w:rsidRPr="009F337B">
        <w:rPr>
          <w:i w:val="0"/>
          <w:szCs w:val="20"/>
          <w:lang w:val="en-US"/>
        </w:rPr>
        <w:t>Edilma</w:t>
      </w:r>
      <w:proofErr w:type="spellEnd"/>
      <w:r w:rsidR="003C2AC6" w:rsidRPr="009F337B">
        <w:rPr>
          <w:i w:val="0"/>
          <w:szCs w:val="20"/>
          <w:lang w:val="en-US"/>
        </w:rPr>
        <w:t xml:space="preserve"> Evelina, Darlin </w:t>
      </w:r>
      <w:proofErr w:type="spellStart"/>
      <w:r w:rsidR="003C2AC6" w:rsidRPr="009F337B">
        <w:rPr>
          <w:i w:val="0"/>
          <w:szCs w:val="20"/>
          <w:lang w:val="en-US"/>
        </w:rPr>
        <w:t>Sureima</w:t>
      </w:r>
      <w:proofErr w:type="spellEnd"/>
      <w:r w:rsidR="003C2AC6" w:rsidRPr="009F337B">
        <w:rPr>
          <w:i w:val="0"/>
          <w:szCs w:val="20"/>
          <w:lang w:val="en-US"/>
        </w:rPr>
        <w:t xml:space="preserve">, </w:t>
      </w:r>
      <w:proofErr w:type="spellStart"/>
      <w:r w:rsidR="003C2AC6" w:rsidRPr="009F337B">
        <w:rPr>
          <w:i w:val="0"/>
          <w:szCs w:val="20"/>
          <w:lang w:val="en-US"/>
        </w:rPr>
        <w:t>Kendi</w:t>
      </w:r>
      <w:proofErr w:type="spellEnd"/>
      <w:r w:rsidR="003C2AC6" w:rsidRPr="009F337B">
        <w:rPr>
          <w:i w:val="0"/>
          <w:szCs w:val="20"/>
          <w:lang w:val="en-US"/>
        </w:rPr>
        <w:t xml:space="preserve"> </w:t>
      </w:r>
      <w:proofErr w:type="spellStart"/>
      <w:r w:rsidR="003C2AC6" w:rsidRPr="009F337B">
        <w:rPr>
          <w:i w:val="0"/>
          <w:szCs w:val="20"/>
          <w:lang w:val="en-US"/>
        </w:rPr>
        <w:t>Liserli</w:t>
      </w:r>
      <w:proofErr w:type="spellEnd"/>
      <w:r w:rsidR="003C46A3" w:rsidRPr="009F337B">
        <w:rPr>
          <w:i w:val="0"/>
          <w:szCs w:val="20"/>
          <w:lang w:val="en-US"/>
        </w:rPr>
        <w:t xml:space="preserve"> and </w:t>
      </w:r>
      <w:proofErr w:type="spellStart"/>
      <w:r w:rsidR="003C2AC6" w:rsidRPr="009F337B">
        <w:rPr>
          <w:i w:val="0"/>
          <w:szCs w:val="20"/>
          <w:lang w:val="en-US"/>
        </w:rPr>
        <w:t>Noret</w:t>
      </w:r>
      <w:proofErr w:type="spellEnd"/>
      <w:r w:rsidR="003C2AC6" w:rsidRPr="009F337B">
        <w:rPr>
          <w:i w:val="0"/>
          <w:szCs w:val="20"/>
          <w:lang w:val="en-US"/>
        </w:rPr>
        <w:t xml:space="preserve"> </w:t>
      </w:r>
      <w:proofErr w:type="spellStart"/>
      <w:r w:rsidR="003C2AC6" w:rsidRPr="009F337B">
        <w:rPr>
          <w:i w:val="0"/>
          <w:szCs w:val="20"/>
          <w:lang w:val="en-US"/>
        </w:rPr>
        <w:t>Adali</w:t>
      </w:r>
      <w:proofErr w:type="spellEnd"/>
      <w:r w:rsidR="003C2AC6" w:rsidRPr="009F337B">
        <w:rPr>
          <w:i w:val="0"/>
          <w:szCs w:val="20"/>
          <w:lang w:val="en-US"/>
        </w:rPr>
        <w:t xml:space="preserve">, </w:t>
      </w:r>
      <w:r w:rsidR="00DE3435" w:rsidRPr="009F337B">
        <w:rPr>
          <w:i w:val="0"/>
          <w:szCs w:val="20"/>
          <w:lang w:val="en-US"/>
        </w:rPr>
        <w:t xml:space="preserve">all </w:t>
      </w:r>
      <w:r w:rsidR="003C2AC6" w:rsidRPr="009F337B">
        <w:rPr>
          <w:i w:val="0"/>
          <w:szCs w:val="20"/>
          <w:lang w:val="en-US"/>
        </w:rPr>
        <w:t xml:space="preserve">Barrios, </w:t>
      </w:r>
      <w:r w:rsidR="00DE3435" w:rsidRPr="009F337B">
        <w:rPr>
          <w:i w:val="0"/>
          <w:szCs w:val="20"/>
          <w:lang w:val="en-US"/>
        </w:rPr>
        <w:t>her</w:t>
      </w:r>
      <w:r w:rsidR="003C2AC6" w:rsidRPr="009F337B">
        <w:rPr>
          <w:i w:val="0"/>
          <w:szCs w:val="20"/>
          <w:lang w:val="en-US"/>
        </w:rPr>
        <w:t xml:space="preserve"> </w:t>
      </w:r>
      <w:r w:rsidR="0010522A" w:rsidRPr="009F337B">
        <w:rPr>
          <w:i w:val="0"/>
          <w:szCs w:val="20"/>
          <w:lang w:val="en-US"/>
        </w:rPr>
        <w:t>father</w:t>
      </w:r>
      <w:r w:rsidR="003C2AC6" w:rsidRPr="009F337B">
        <w:rPr>
          <w:i w:val="0"/>
          <w:szCs w:val="20"/>
          <w:lang w:val="en-US"/>
        </w:rPr>
        <w:t xml:space="preserve"> </w:t>
      </w:r>
      <w:proofErr w:type="spellStart"/>
      <w:r w:rsidR="003C2AC6" w:rsidRPr="009F337B">
        <w:rPr>
          <w:i w:val="0"/>
          <w:szCs w:val="20"/>
          <w:lang w:val="en-US"/>
        </w:rPr>
        <w:t>Moisés</w:t>
      </w:r>
      <w:proofErr w:type="spellEnd"/>
      <w:r w:rsidR="003C2AC6" w:rsidRPr="009F337B">
        <w:rPr>
          <w:i w:val="0"/>
          <w:szCs w:val="20"/>
          <w:lang w:val="en-US"/>
        </w:rPr>
        <w:t xml:space="preserve"> Israel </w:t>
      </w:r>
      <w:proofErr w:type="spellStart"/>
      <w:r w:rsidR="003C2AC6" w:rsidRPr="009F337B">
        <w:rPr>
          <w:i w:val="0"/>
          <w:szCs w:val="20"/>
          <w:lang w:val="en-US"/>
        </w:rPr>
        <w:t>Rodas</w:t>
      </w:r>
      <w:proofErr w:type="spellEnd"/>
      <w:r w:rsidR="003C2AC6" w:rsidRPr="009F337B">
        <w:rPr>
          <w:i w:val="0"/>
          <w:szCs w:val="20"/>
          <w:lang w:val="en-US"/>
        </w:rPr>
        <w:t xml:space="preserve"> López,</w:t>
      </w:r>
      <w:r w:rsidR="003C46A3" w:rsidRPr="009F337B">
        <w:rPr>
          <w:i w:val="0"/>
          <w:szCs w:val="20"/>
          <w:lang w:val="en-US"/>
        </w:rPr>
        <w:t xml:space="preserve"> and </w:t>
      </w:r>
      <w:r w:rsidR="00DE3435" w:rsidRPr="009F337B">
        <w:rPr>
          <w:i w:val="0"/>
          <w:szCs w:val="20"/>
          <w:lang w:val="en-US"/>
        </w:rPr>
        <w:t>her</w:t>
      </w:r>
      <w:r w:rsidR="003C2AC6" w:rsidRPr="009F337B">
        <w:rPr>
          <w:i w:val="0"/>
          <w:szCs w:val="20"/>
          <w:lang w:val="en-US"/>
        </w:rPr>
        <w:t xml:space="preserve"> </w:t>
      </w:r>
      <w:r w:rsidR="0010522A" w:rsidRPr="009F337B">
        <w:rPr>
          <w:i w:val="0"/>
          <w:szCs w:val="20"/>
          <w:lang w:val="en-US"/>
        </w:rPr>
        <w:t>mother</w:t>
      </w:r>
      <w:r w:rsidR="003C2AC6" w:rsidRPr="009F337B">
        <w:rPr>
          <w:i w:val="0"/>
          <w:szCs w:val="20"/>
          <w:lang w:val="en-US"/>
        </w:rPr>
        <w:t xml:space="preserve"> </w:t>
      </w:r>
      <w:proofErr w:type="spellStart"/>
      <w:r w:rsidR="003C2AC6" w:rsidRPr="009F337B">
        <w:rPr>
          <w:i w:val="0"/>
          <w:szCs w:val="20"/>
          <w:lang w:val="en-US"/>
        </w:rPr>
        <w:t>Eiselda</w:t>
      </w:r>
      <w:proofErr w:type="spellEnd"/>
      <w:r w:rsidR="003C2AC6" w:rsidRPr="009F337B">
        <w:rPr>
          <w:i w:val="0"/>
          <w:szCs w:val="20"/>
          <w:lang w:val="en-US"/>
        </w:rPr>
        <w:t xml:space="preserve"> de Jesús </w:t>
      </w:r>
      <w:proofErr w:type="spellStart"/>
      <w:r w:rsidR="003C2AC6" w:rsidRPr="009F337B">
        <w:rPr>
          <w:i w:val="0"/>
          <w:szCs w:val="20"/>
          <w:lang w:val="en-US"/>
        </w:rPr>
        <w:t>Mazariegos</w:t>
      </w:r>
      <w:proofErr w:type="spellEnd"/>
      <w:r w:rsidR="003C2AC6" w:rsidRPr="009F337B">
        <w:rPr>
          <w:i w:val="0"/>
          <w:szCs w:val="20"/>
          <w:lang w:val="en-US"/>
        </w:rPr>
        <w:t xml:space="preserve"> de </w:t>
      </w:r>
      <w:proofErr w:type="spellStart"/>
      <w:r w:rsidR="003C2AC6" w:rsidRPr="009F337B">
        <w:rPr>
          <w:i w:val="0"/>
          <w:szCs w:val="20"/>
          <w:lang w:val="en-US"/>
        </w:rPr>
        <w:t>Rodas</w:t>
      </w:r>
      <w:proofErr w:type="spellEnd"/>
      <w:r w:rsidR="003C2AC6" w:rsidRPr="009F337B">
        <w:rPr>
          <w:rStyle w:val="Refdenotaalpie"/>
          <w:i w:val="0"/>
          <w:lang w:val="en-US"/>
        </w:rPr>
        <w:footnoteReference w:id="306"/>
      </w:r>
      <w:r w:rsidR="003C2AC6" w:rsidRPr="009F337B">
        <w:rPr>
          <w:i w:val="0"/>
          <w:szCs w:val="20"/>
          <w:lang w:val="en-US"/>
        </w:rPr>
        <w:t>.</w:t>
      </w:r>
    </w:p>
    <w:p w14:paraId="182E19A7" w14:textId="77777777" w:rsidR="003C2AC6" w:rsidRPr="009F337B" w:rsidRDefault="003C2AC6" w:rsidP="003C2AC6">
      <w:pPr>
        <w:pStyle w:val="PrrafodeSentencia"/>
        <w:rPr>
          <w:lang w:val="en-US"/>
        </w:rPr>
      </w:pPr>
    </w:p>
    <w:p w14:paraId="3B9ADDFB" w14:textId="77777777" w:rsidR="003C2AC6" w:rsidRPr="00542AB5" w:rsidRDefault="003C2AC6" w:rsidP="003C2AC6">
      <w:pPr>
        <w:pStyle w:val="PrrafodeSentencia"/>
        <w:rPr>
          <w:lang w:val="es-CR"/>
        </w:rPr>
      </w:pPr>
      <w:r w:rsidRPr="009F337B">
        <w:rPr>
          <w:lang w:val="en-US"/>
        </w:rPr>
        <w:tab/>
      </w:r>
      <w:r w:rsidRPr="00542AB5">
        <w:rPr>
          <w:lang w:val="es-CR"/>
        </w:rPr>
        <w:t>B.8. Felix de Jesús Cabrera Morales</w:t>
      </w:r>
    </w:p>
    <w:p w14:paraId="3F42B682" w14:textId="77777777" w:rsidR="003C2AC6" w:rsidRPr="00542AB5" w:rsidRDefault="003C2AC6" w:rsidP="003C2AC6">
      <w:pPr>
        <w:pStyle w:val="Estilo1"/>
        <w:tabs>
          <w:tab w:val="left" w:pos="709"/>
          <w:tab w:val="left" w:pos="1134"/>
        </w:tabs>
        <w:spacing w:after="0"/>
        <w:ind w:left="0" w:right="-4" w:firstLine="0"/>
        <w:rPr>
          <w:i w:val="0"/>
          <w:szCs w:val="20"/>
          <w:lang w:val="es-CR"/>
        </w:rPr>
      </w:pPr>
    </w:p>
    <w:p w14:paraId="7D606846" w14:textId="2BA78FAA" w:rsidR="003C2AC6" w:rsidRPr="009F337B" w:rsidRDefault="007F1AEB" w:rsidP="00593E37">
      <w:pPr>
        <w:pStyle w:val="Estilo1"/>
        <w:numPr>
          <w:ilvl w:val="0"/>
          <w:numId w:val="5"/>
        </w:numPr>
        <w:tabs>
          <w:tab w:val="left" w:pos="709"/>
          <w:tab w:val="left" w:pos="1134"/>
        </w:tabs>
        <w:spacing w:after="0"/>
        <w:ind w:left="0" w:right="-4" w:firstLine="0"/>
        <w:rPr>
          <w:i w:val="0"/>
          <w:strike/>
          <w:szCs w:val="20"/>
          <w:lang w:val="en-US"/>
        </w:rPr>
      </w:pPr>
      <w:r w:rsidRPr="009F337B">
        <w:rPr>
          <w:i w:val="0"/>
          <w:szCs w:val="20"/>
          <w:lang w:val="en-US"/>
        </w:rPr>
        <w:t>Mr.</w:t>
      </w:r>
      <w:r w:rsidR="003C2AC6" w:rsidRPr="009F337B">
        <w:rPr>
          <w:i w:val="0"/>
          <w:szCs w:val="20"/>
          <w:lang w:val="en-US"/>
        </w:rPr>
        <w:t xml:space="preserve"> Cabrera Morales </w:t>
      </w:r>
      <w:r w:rsidR="0084040D" w:rsidRPr="009F337B">
        <w:rPr>
          <w:i w:val="0"/>
          <w:szCs w:val="20"/>
          <w:lang w:val="en-US"/>
        </w:rPr>
        <w:t>was born on</w:t>
      </w:r>
      <w:r w:rsidR="003C2AC6" w:rsidRPr="009F337B">
        <w:rPr>
          <w:i w:val="0"/>
          <w:szCs w:val="20"/>
          <w:lang w:val="en-US"/>
        </w:rPr>
        <w:t xml:space="preserve"> </w:t>
      </w:r>
      <w:r w:rsidR="00BD5E94" w:rsidRPr="009F337B">
        <w:rPr>
          <w:i w:val="0"/>
          <w:szCs w:val="20"/>
          <w:lang w:val="en-US"/>
        </w:rPr>
        <w:t>November 20,</w:t>
      </w:r>
      <w:r w:rsidR="003C2AC6" w:rsidRPr="009F337B">
        <w:rPr>
          <w:i w:val="0"/>
          <w:szCs w:val="20"/>
          <w:lang w:val="en-US"/>
        </w:rPr>
        <w:t xml:space="preserve"> 1978</w:t>
      </w:r>
      <w:r w:rsidR="000C0BF0" w:rsidRPr="009F337B">
        <w:rPr>
          <w:i w:val="0"/>
          <w:szCs w:val="20"/>
          <w:lang w:val="en-US"/>
        </w:rPr>
        <w:t>,</w:t>
      </w:r>
      <w:r w:rsidR="003C2AC6" w:rsidRPr="009F337B">
        <w:rPr>
          <w:i w:val="0"/>
          <w:szCs w:val="20"/>
          <w:lang w:val="en-US"/>
        </w:rPr>
        <w:t xml:space="preserve"> </w:t>
      </w:r>
      <w:r w:rsidR="00A758A5" w:rsidRPr="009F337B">
        <w:rPr>
          <w:i w:val="0"/>
          <w:szCs w:val="20"/>
          <w:lang w:val="en-US"/>
        </w:rPr>
        <w:t>in the municipality</w:t>
      </w:r>
      <w:r w:rsidR="00D85CA7" w:rsidRPr="009F337B">
        <w:rPr>
          <w:i w:val="0"/>
          <w:szCs w:val="20"/>
          <w:lang w:val="en-US"/>
        </w:rPr>
        <w:t xml:space="preserve"> of</w:t>
      </w:r>
      <w:r w:rsidR="003C2AC6" w:rsidRPr="009F337B">
        <w:rPr>
          <w:i w:val="0"/>
          <w:szCs w:val="20"/>
          <w:lang w:val="en-US"/>
        </w:rPr>
        <w:t xml:space="preserve"> Rio Hondo, </w:t>
      </w:r>
      <w:r w:rsidR="003E1304" w:rsidRPr="009F337B">
        <w:rPr>
          <w:i w:val="0"/>
          <w:szCs w:val="20"/>
          <w:lang w:val="en-US"/>
        </w:rPr>
        <w:t>department of</w:t>
      </w:r>
      <w:r w:rsidR="003C2AC6" w:rsidRPr="009F337B">
        <w:rPr>
          <w:i w:val="0"/>
          <w:szCs w:val="20"/>
          <w:lang w:val="en-US"/>
        </w:rPr>
        <w:t xml:space="preserve"> Zacapa, Guatemala. </w:t>
      </w:r>
      <w:r w:rsidR="000C0BF0" w:rsidRPr="009F337B">
        <w:rPr>
          <w:i w:val="0"/>
          <w:szCs w:val="20"/>
          <w:lang w:val="en-US"/>
        </w:rPr>
        <w:t>He did not complete his schooling</w:t>
      </w:r>
      <w:r w:rsidR="003C2AC6" w:rsidRPr="009F337B">
        <w:rPr>
          <w:i w:val="0"/>
          <w:szCs w:val="20"/>
          <w:lang w:val="en-US"/>
        </w:rPr>
        <w:t xml:space="preserve">. </w:t>
      </w:r>
      <w:r w:rsidRPr="009F337B">
        <w:rPr>
          <w:i w:val="0"/>
          <w:szCs w:val="20"/>
          <w:lang w:val="en-US"/>
        </w:rPr>
        <w:t xml:space="preserve">He </w:t>
      </w:r>
      <w:r w:rsidR="000C0BF0" w:rsidRPr="009F337B">
        <w:rPr>
          <w:i w:val="0"/>
          <w:szCs w:val="20"/>
          <w:lang w:val="en-US"/>
        </w:rPr>
        <w:t>was diagnosed in</w:t>
      </w:r>
      <w:r w:rsidR="003C2AC6" w:rsidRPr="009F337B">
        <w:rPr>
          <w:i w:val="0"/>
          <w:szCs w:val="20"/>
          <w:lang w:val="en-US"/>
        </w:rPr>
        <w:t xml:space="preserve"> </w:t>
      </w:r>
      <w:r w:rsidR="000C0BF0" w:rsidRPr="009F337B">
        <w:rPr>
          <w:i w:val="0"/>
          <w:szCs w:val="20"/>
          <w:lang w:val="en-US"/>
        </w:rPr>
        <w:t>October</w:t>
      </w:r>
      <w:r w:rsidR="003C2AC6" w:rsidRPr="009F337B">
        <w:rPr>
          <w:i w:val="0"/>
          <w:szCs w:val="20"/>
          <w:lang w:val="en-US"/>
        </w:rPr>
        <w:t xml:space="preserve"> 2001 </w:t>
      </w:r>
      <w:r w:rsidR="000C0BF0" w:rsidRPr="009F337B">
        <w:rPr>
          <w:i w:val="0"/>
          <w:szCs w:val="20"/>
          <w:lang w:val="en-US"/>
        </w:rPr>
        <w:t>in the</w:t>
      </w:r>
      <w:r w:rsidR="003C2AC6" w:rsidRPr="009F337B">
        <w:rPr>
          <w:i w:val="0"/>
          <w:szCs w:val="20"/>
          <w:lang w:val="en-US"/>
        </w:rPr>
        <w:t xml:space="preserve"> Casa Central</w:t>
      </w:r>
      <w:r w:rsidR="000C0BF0" w:rsidRPr="009F337B">
        <w:rPr>
          <w:i w:val="0"/>
          <w:szCs w:val="20"/>
          <w:lang w:val="en-US"/>
        </w:rPr>
        <w:t xml:space="preserve"> laboratory</w:t>
      </w:r>
      <w:r w:rsidR="003C2AC6" w:rsidRPr="009F337B">
        <w:rPr>
          <w:i w:val="0"/>
          <w:szCs w:val="20"/>
          <w:lang w:val="en-US"/>
        </w:rPr>
        <w:t xml:space="preserve">. </w:t>
      </w:r>
      <w:r w:rsidR="000C0BF0" w:rsidRPr="009F337B">
        <w:rPr>
          <w:i w:val="0"/>
          <w:szCs w:val="20"/>
          <w:lang w:val="en-US"/>
        </w:rPr>
        <w:t>He began his</w:t>
      </w:r>
      <w:r w:rsidR="003C2AC6" w:rsidRPr="009F337B">
        <w:rPr>
          <w:i w:val="0"/>
          <w:szCs w:val="20"/>
          <w:lang w:val="en-US"/>
        </w:rPr>
        <w:t xml:space="preserve"> </w:t>
      </w:r>
      <w:r w:rsidR="00FE1EFF" w:rsidRPr="009F337B">
        <w:rPr>
          <w:i w:val="0"/>
          <w:szCs w:val="20"/>
          <w:lang w:val="en-US"/>
        </w:rPr>
        <w:t>antiretroviral treatment</w:t>
      </w:r>
      <w:r w:rsidR="003C2AC6" w:rsidRPr="009F337B">
        <w:rPr>
          <w:i w:val="0"/>
          <w:szCs w:val="20"/>
          <w:lang w:val="en-US"/>
        </w:rPr>
        <w:t xml:space="preserve"> </w:t>
      </w:r>
      <w:r w:rsidR="000C0BF0" w:rsidRPr="009F337B">
        <w:rPr>
          <w:i w:val="0"/>
          <w:szCs w:val="20"/>
          <w:lang w:val="en-US"/>
        </w:rPr>
        <w:t>in December</w:t>
      </w:r>
      <w:r w:rsidR="003C2AC6" w:rsidRPr="009F337B">
        <w:rPr>
          <w:i w:val="0"/>
          <w:szCs w:val="20"/>
          <w:lang w:val="en-US"/>
        </w:rPr>
        <w:t xml:space="preserve"> 2001 </w:t>
      </w:r>
      <w:r w:rsidR="000C0BF0" w:rsidRPr="009F337B">
        <w:rPr>
          <w:i w:val="0"/>
          <w:szCs w:val="20"/>
          <w:lang w:val="en-US"/>
        </w:rPr>
        <w:t>in the</w:t>
      </w:r>
      <w:r w:rsidR="003C2AC6" w:rsidRPr="009F337B">
        <w:rPr>
          <w:i w:val="0"/>
          <w:szCs w:val="20"/>
          <w:lang w:val="en-US"/>
        </w:rPr>
        <w:t xml:space="preserve"> IGSS, </w:t>
      </w:r>
      <w:r w:rsidR="000C0BF0" w:rsidRPr="009F337B">
        <w:rPr>
          <w:i w:val="0"/>
          <w:szCs w:val="20"/>
          <w:lang w:val="en-US"/>
        </w:rPr>
        <w:t xml:space="preserve">which lacked a supply of drugs. He has undergone CD4 counts and viral load tests irregularly, but not </w:t>
      </w:r>
      <w:r w:rsidR="00B63594" w:rsidRPr="009F337B">
        <w:rPr>
          <w:i w:val="0"/>
          <w:szCs w:val="20"/>
          <w:lang w:val="en-US"/>
        </w:rPr>
        <w:t>genotype and phenotype</w:t>
      </w:r>
      <w:r w:rsidR="000C0BF0" w:rsidRPr="009F337B">
        <w:rPr>
          <w:i w:val="0"/>
          <w:szCs w:val="20"/>
          <w:lang w:val="en-US"/>
        </w:rPr>
        <w:t xml:space="preserve"> testing, even though his treatment has been changed several </w:t>
      </w:r>
      <w:r w:rsidR="00D1590C" w:rsidRPr="009F337B">
        <w:rPr>
          <w:i w:val="0"/>
          <w:szCs w:val="20"/>
          <w:lang w:val="en-US"/>
        </w:rPr>
        <w:t>times</w:t>
      </w:r>
      <w:r w:rsidR="000C0BF0" w:rsidRPr="009F337B">
        <w:rPr>
          <w:i w:val="0"/>
          <w:szCs w:val="20"/>
          <w:lang w:val="en-US"/>
        </w:rPr>
        <w:t>, and he has not had regular access to medication owing to s</w:t>
      </w:r>
      <w:r w:rsidR="00D1590C" w:rsidRPr="009F337B">
        <w:rPr>
          <w:i w:val="0"/>
          <w:szCs w:val="20"/>
          <w:lang w:val="en-US"/>
        </w:rPr>
        <w:t>hortages</w:t>
      </w:r>
      <w:r w:rsidR="000C0BF0" w:rsidRPr="009F337B">
        <w:rPr>
          <w:i w:val="0"/>
          <w:szCs w:val="20"/>
          <w:lang w:val="en-US"/>
        </w:rPr>
        <w:t>, nor to comprehensive care</w:t>
      </w:r>
      <w:r w:rsidR="00D1590C" w:rsidRPr="009F337B">
        <w:rPr>
          <w:i w:val="0"/>
          <w:szCs w:val="20"/>
          <w:lang w:val="en-US"/>
        </w:rPr>
        <w:t>.</w:t>
      </w:r>
      <w:r w:rsidR="000C0BF0" w:rsidRPr="009F337B">
        <w:rPr>
          <w:i w:val="0"/>
          <w:szCs w:val="20"/>
          <w:lang w:val="en-US"/>
        </w:rPr>
        <w:t xml:space="preserve"> Regarding the </w:t>
      </w:r>
      <w:r w:rsidR="00D1590C" w:rsidRPr="009F337B">
        <w:rPr>
          <w:i w:val="0"/>
          <w:szCs w:val="20"/>
          <w:lang w:val="en-US"/>
        </w:rPr>
        <w:t>shortages</w:t>
      </w:r>
      <w:r w:rsidR="000C0BF0" w:rsidRPr="009F337B">
        <w:rPr>
          <w:i w:val="0"/>
          <w:szCs w:val="20"/>
          <w:lang w:val="en-US"/>
        </w:rPr>
        <w:t xml:space="preserve"> of medicines, </w:t>
      </w:r>
      <w:r w:rsidRPr="009F337B">
        <w:rPr>
          <w:i w:val="0"/>
          <w:szCs w:val="20"/>
          <w:lang w:val="en-US"/>
        </w:rPr>
        <w:t>Mr.</w:t>
      </w:r>
      <w:r w:rsidR="003C2AC6" w:rsidRPr="009F337B">
        <w:rPr>
          <w:i w:val="0"/>
          <w:szCs w:val="20"/>
          <w:lang w:val="en-US"/>
        </w:rPr>
        <w:t xml:space="preserve"> Cabrera Morales </w:t>
      </w:r>
      <w:r w:rsidR="000C0BF0" w:rsidRPr="009F337B">
        <w:rPr>
          <w:i w:val="0"/>
          <w:szCs w:val="20"/>
          <w:lang w:val="en-US"/>
        </w:rPr>
        <w:t>mentioned the anxiety he felt, which w</w:t>
      </w:r>
      <w:r w:rsidR="00D1590C" w:rsidRPr="009F337B">
        <w:rPr>
          <w:i w:val="0"/>
          <w:szCs w:val="20"/>
          <w:lang w:val="en-US"/>
        </w:rPr>
        <w:t>a</w:t>
      </w:r>
      <w:r w:rsidR="000C0BF0" w:rsidRPr="009F337B">
        <w:rPr>
          <w:i w:val="0"/>
          <w:szCs w:val="20"/>
          <w:lang w:val="en-US"/>
        </w:rPr>
        <w:t xml:space="preserve">s specifically caused by the fear of contracting </w:t>
      </w:r>
      <w:r w:rsidR="0081563D" w:rsidRPr="009F337B">
        <w:rPr>
          <w:i w:val="0"/>
          <w:szCs w:val="20"/>
          <w:lang w:val="en-US"/>
        </w:rPr>
        <w:t>opportunistic diseases</w:t>
      </w:r>
      <w:r w:rsidR="003C46A3" w:rsidRPr="009F337B">
        <w:rPr>
          <w:i w:val="0"/>
          <w:szCs w:val="20"/>
          <w:lang w:val="en-US"/>
        </w:rPr>
        <w:t xml:space="preserve"> and </w:t>
      </w:r>
      <w:r w:rsidR="000C0BF0" w:rsidRPr="009F337B">
        <w:rPr>
          <w:i w:val="0"/>
          <w:szCs w:val="20"/>
          <w:lang w:val="en-US"/>
        </w:rPr>
        <w:t>becoming resistant to his medication.</w:t>
      </w:r>
      <w:r w:rsidR="003C2AC6" w:rsidRPr="009F337B">
        <w:rPr>
          <w:rStyle w:val="Refdenotaalpie"/>
          <w:i w:val="0"/>
          <w:lang w:val="en-US"/>
        </w:rPr>
        <w:footnoteReference w:id="307"/>
      </w:r>
    </w:p>
    <w:p w14:paraId="768D3778" w14:textId="77777777" w:rsidR="003C2AC6" w:rsidRPr="009F337B" w:rsidRDefault="003C2AC6" w:rsidP="003C2AC6">
      <w:pPr>
        <w:pStyle w:val="Estilo1"/>
        <w:tabs>
          <w:tab w:val="left" w:pos="709"/>
          <w:tab w:val="left" w:pos="1134"/>
        </w:tabs>
        <w:spacing w:after="0"/>
        <w:ind w:left="0" w:right="-4" w:firstLine="0"/>
        <w:rPr>
          <w:i w:val="0"/>
          <w:strike/>
          <w:szCs w:val="20"/>
          <w:lang w:val="en-US"/>
        </w:rPr>
      </w:pPr>
    </w:p>
    <w:p w14:paraId="2295E1F8" w14:textId="6DADDE65" w:rsidR="003C2AC6" w:rsidRPr="009F337B" w:rsidRDefault="007F1AEB" w:rsidP="00593E37">
      <w:pPr>
        <w:pStyle w:val="Estilo1"/>
        <w:numPr>
          <w:ilvl w:val="0"/>
          <w:numId w:val="5"/>
        </w:numPr>
        <w:tabs>
          <w:tab w:val="left" w:pos="709"/>
          <w:tab w:val="left" w:pos="1134"/>
        </w:tabs>
        <w:spacing w:after="0"/>
        <w:ind w:left="0" w:right="-4" w:firstLine="0"/>
        <w:rPr>
          <w:i w:val="0"/>
          <w:szCs w:val="20"/>
          <w:lang w:val="en-US"/>
        </w:rPr>
      </w:pPr>
      <w:r w:rsidRPr="009F337B">
        <w:rPr>
          <w:i w:val="0"/>
          <w:szCs w:val="20"/>
          <w:lang w:val="en-US"/>
        </w:rPr>
        <w:t>Mr.</w:t>
      </w:r>
      <w:r w:rsidR="003C2AC6" w:rsidRPr="009F337B">
        <w:rPr>
          <w:i w:val="0"/>
          <w:szCs w:val="20"/>
          <w:lang w:val="en-US"/>
        </w:rPr>
        <w:t xml:space="preserve"> Cabrera Morales s</w:t>
      </w:r>
      <w:r w:rsidR="000C0BF0" w:rsidRPr="009F337B">
        <w:rPr>
          <w:i w:val="0"/>
          <w:szCs w:val="20"/>
          <w:lang w:val="en-US"/>
        </w:rPr>
        <w:t>uffered consequences when he learned that he was a person living with HIV, because he was pointed out by his co</w:t>
      </w:r>
      <w:r w:rsidR="00D1590C" w:rsidRPr="009F337B">
        <w:rPr>
          <w:i w:val="0"/>
          <w:szCs w:val="20"/>
          <w:lang w:val="en-US"/>
        </w:rPr>
        <w:t xml:space="preserve">lleagues </w:t>
      </w:r>
      <w:r w:rsidR="000C0BF0" w:rsidRPr="009F337B">
        <w:rPr>
          <w:i w:val="0"/>
          <w:szCs w:val="20"/>
          <w:lang w:val="en-US"/>
        </w:rPr>
        <w:t>and dismissed from his place of work. Based on his dismissal, he filed a complaint against his employer, with evidence that he had been subject to work-related discrimination</w:t>
      </w:r>
      <w:r w:rsidR="003C2AC6" w:rsidRPr="009F337B">
        <w:rPr>
          <w:i w:val="0"/>
          <w:szCs w:val="20"/>
          <w:lang w:val="en-US"/>
        </w:rPr>
        <w:t>.</w:t>
      </w:r>
      <w:r w:rsidR="000C0BF0" w:rsidRPr="009F337B">
        <w:rPr>
          <w:i w:val="0"/>
          <w:szCs w:val="20"/>
          <w:lang w:val="en-US"/>
        </w:rPr>
        <w:t xml:space="preserve"> He works as an actor and does not receive a fixed income. He tried to commit suicide with pills and </w:t>
      </w:r>
      <w:r w:rsidR="008B20E5" w:rsidRPr="009F337B">
        <w:rPr>
          <w:i w:val="0"/>
          <w:szCs w:val="20"/>
          <w:lang w:val="en-US"/>
        </w:rPr>
        <w:t xml:space="preserve">was admitted to the emergency department of the IGSS. He is not receiving medical care for illnesses that are not derived from HIV, or care for </w:t>
      </w:r>
      <w:r w:rsidR="0081563D" w:rsidRPr="009F337B">
        <w:rPr>
          <w:i w:val="0"/>
          <w:szCs w:val="20"/>
          <w:lang w:val="en-US"/>
        </w:rPr>
        <w:t>opportunistic diseases</w:t>
      </w:r>
      <w:r w:rsidR="008B20E5" w:rsidRPr="009F337B">
        <w:rPr>
          <w:i w:val="0"/>
          <w:szCs w:val="20"/>
          <w:lang w:val="en-US"/>
        </w:rPr>
        <w:t>, because to date he has not contracted them.</w:t>
      </w:r>
      <w:r w:rsidR="003C2AC6" w:rsidRPr="009F337B">
        <w:rPr>
          <w:rStyle w:val="Refdenotaalpie"/>
          <w:i w:val="0"/>
          <w:lang w:val="en-US"/>
        </w:rPr>
        <w:footnoteReference w:id="308"/>
      </w:r>
    </w:p>
    <w:p w14:paraId="6B0AA5CE" w14:textId="77777777" w:rsidR="003C2AC6" w:rsidRPr="009F337B" w:rsidRDefault="003C2AC6" w:rsidP="003C2AC6">
      <w:pPr>
        <w:pStyle w:val="Estilo1"/>
        <w:tabs>
          <w:tab w:val="left" w:pos="709"/>
          <w:tab w:val="left" w:pos="1134"/>
        </w:tabs>
        <w:spacing w:after="0"/>
        <w:ind w:left="0" w:right="-4" w:firstLine="0"/>
        <w:rPr>
          <w:i w:val="0"/>
          <w:szCs w:val="20"/>
          <w:lang w:val="en-US"/>
        </w:rPr>
      </w:pPr>
    </w:p>
    <w:p w14:paraId="1287D151" w14:textId="567093A3" w:rsidR="003C2AC6" w:rsidRPr="009F337B" w:rsidRDefault="00A758A5" w:rsidP="00593E37">
      <w:pPr>
        <w:pStyle w:val="Estilo1"/>
        <w:numPr>
          <w:ilvl w:val="0"/>
          <w:numId w:val="5"/>
        </w:numPr>
        <w:tabs>
          <w:tab w:val="left" w:pos="709"/>
          <w:tab w:val="left" w:pos="1134"/>
        </w:tabs>
        <w:spacing w:after="0"/>
        <w:ind w:left="0" w:right="-4" w:firstLine="0"/>
        <w:rPr>
          <w:i w:val="0"/>
          <w:szCs w:val="20"/>
          <w:lang w:val="en-US"/>
        </w:rPr>
      </w:pPr>
      <w:r w:rsidRPr="009F337B">
        <w:rPr>
          <w:i w:val="0"/>
          <w:szCs w:val="20"/>
          <w:lang w:val="en-US"/>
        </w:rPr>
        <w:t xml:space="preserve">His family unit consists of his </w:t>
      </w:r>
      <w:r w:rsidR="0010522A" w:rsidRPr="009F337B">
        <w:rPr>
          <w:i w:val="0"/>
          <w:szCs w:val="20"/>
          <w:lang w:val="en-US"/>
        </w:rPr>
        <w:t>mother</w:t>
      </w:r>
      <w:r w:rsidR="003C2AC6" w:rsidRPr="009F337B">
        <w:rPr>
          <w:i w:val="0"/>
          <w:szCs w:val="20"/>
          <w:lang w:val="en-US"/>
        </w:rPr>
        <w:t xml:space="preserve"> </w:t>
      </w:r>
      <w:proofErr w:type="spellStart"/>
      <w:r w:rsidR="003C2AC6" w:rsidRPr="009F337B">
        <w:rPr>
          <w:i w:val="0"/>
          <w:szCs w:val="20"/>
          <w:lang w:val="en-US"/>
        </w:rPr>
        <w:t>Mavilla</w:t>
      </w:r>
      <w:proofErr w:type="spellEnd"/>
      <w:r w:rsidR="003C2AC6" w:rsidRPr="009F337B">
        <w:rPr>
          <w:i w:val="0"/>
          <w:szCs w:val="20"/>
          <w:lang w:val="en-US"/>
        </w:rPr>
        <w:t xml:space="preserve"> Ester Morales </w:t>
      </w:r>
      <w:proofErr w:type="spellStart"/>
      <w:r w:rsidR="003C2AC6" w:rsidRPr="009F337B">
        <w:rPr>
          <w:i w:val="0"/>
          <w:szCs w:val="20"/>
          <w:lang w:val="en-US"/>
        </w:rPr>
        <w:t>Agustín</w:t>
      </w:r>
      <w:proofErr w:type="spellEnd"/>
      <w:r w:rsidR="003C2AC6" w:rsidRPr="009F337B">
        <w:rPr>
          <w:i w:val="0"/>
          <w:szCs w:val="20"/>
          <w:lang w:val="en-US"/>
        </w:rPr>
        <w:t xml:space="preserve">, </w:t>
      </w:r>
      <w:r w:rsidR="008B20E5" w:rsidRPr="009F337B">
        <w:rPr>
          <w:i w:val="0"/>
          <w:szCs w:val="20"/>
          <w:lang w:val="en-US"/>
        </w:rPr>
        <w:t>his</w:t>
      </w:r>
      <w:r w:rsidR="003C2AC6" w:rsidRPr="009F337B">
        <w:rPr>
          <w:i w:val="0"/>
          <w:szCs w:val="20"/>
          <w:lang w:val="en-US"/>
        </w:rPr>
        <w:t xml:space="preserve"> </w:t>
      </w:r>
      <w:r w:rsidR="0010522A" w:rsidRPr="009F337B">
        <w:rPr>
          <w:i w:val="0"/>
          <w:szCs w:val="20"/>
          <w:lang w:val="en-US"/>
        </w:rPr>
        <w:t>father</w:t>
      </w:r>
      <w:r w:rsidR="003C2AC6" w:rsidRPr="009F337B">
        <w:rPr>
          <w:i w:val="0"/>
          <w:szCs w:val="20"/>
          <w:lang w:val="en-US"/>
        </w:rPr>
        <w:t xml:space="preserve"> Juan Pablo Cabrera </w:t>
      </w:r>
      <w:proofErr w:type="spellStart"/>
      <w:r w:rsidR="003C2AC6" w:rsidRPr="009F337B">
        <w:rPr>
          <w:i w:val="0"/>
          <w:szCs w:val="20"/>
          <w:lang w:val="en-US"/>
        </w:rPr>
        <w:t>Gatica</w:t>
      </w:r>
      <w:proofErr w:type="spellEnd"/>
      <w:r w:rsidR="003C2AC6" w:rsidRPr="009F337B">
        <w:rPr>
          <w:i w:val="0"/>
          <w:szCs w:val="20"/>
          <w:lang w:val="en-US"/>
        </w:rPr>
        <w:t>,</w:t>
      </w:r>
      <w:r w:rsidR="003C46A3" w:rsidRPr="009F337B">
        <w:rPr>
          <w:i w:val="0"/>
          <w:szCs w:val="20"/>
          <w:lang w:val="en-US"/>
        </w:rPr>
        <w:t xml:space="preserve"> and </w:t>
      </w:r>
      <w:r w:rsidR="008B20E5" w:rsidRPr="009F337B">
        <w:rPr>
          <w:i w:val="0"/>
          <w:szCs w:val="20"/>
          <w:lang w:val="en-US"/>
        </w:rPr>
        <w:t>his</w:t>
      </w:r>
      <w:r w:rsidR="003C2AC6" w:rsidRPr="009F337B">
        <w:rPr>
          <w:i w:val="0"/>
          <w:szCs w:val="20"/>
          <w:lang w:val="en-US"/>
        </w:rPr>
        <w:t xml:space="preserve"> </w:t>
      </w:r>
      <w:r w:rsidR="0010522A" w:rsidRPr="009F337B">
        <w:rPr>
          <w:i w:val="0"/>
          <w:szCs w:val="20"/>
          <w:lang w:val="en-US"/>
        </w:rPr>
        <w:t>son</w:t>
      </w:r>
      <w:r w:rsidR="003C2AC6" w:rsidRPr="009F337B">
        <w:rPr>
          <w:i w:val="0"/>
          <w:szCs w:val="20"/>
          <w:lang w:val="en-US"/>
        </w:rPr>
        <w:t xml:space="preserve"> Jesús Alberto González Cabrera</w:t>
      </w:r>
      <w:r w:rsidR="008B20E5" w:rsidRPr="009F337B">
        <w:rPr>
          <w:i w:val="0"/>
          <w:szCs w:val="20"/>
          <w:lang w:val="en-US"/>
        </w:rPr>
        <w:t>.</w:t>
      </w:r>
      <w:r w:rsidR="003C2AC6" w:rsidRPr="009F337B">
        <w:rPr>
          <w:rStyle w:val="Refdenotaalpie"/>
          <w:i w:val="0"/>
          <w:lang w:val="en-US"/>
        </w:rPr>
        <w:footnoteReference w:id="309"/>
      </w:r>
    </w:p>
    <w:p w14:paraId="7F75BF1A" w14:textId="77777777" w:rsidR="003C2AC6" w:rsidRPr="009F337B" w:rsidRDefault="003C2AC6" w:rsidP="003C2AC6">
      <w:pPr>
        <w:pStyle w:val="PrrafodeSentencia"/>
        <w:rPr>
          <w:lang w:val="en-US"/>
        </w:rPr>
      </w:pPr>
    </w:p>
    <w:p w14:paraId="63314EDD" w14:textId="77777777" w:rsidR="003C2AC6" w:rsidRPr="009F337B" w:rsidRDefault="003C2AC6" w:rsidP="003C2AC6">
      <w:pPr>
        <w:pStyle w:val="PrrafodeSentencia"/>
        <w:rPr>
          <w:lang w:val="en-US"/>
        </w:rPr>
      </w:pPr>
      <w:r w:rsidRPr="009F337B">
        <w:rPr>
          <w:lang w:val="en-US"/>
        </w:rPr>
        <w:tab/>
        <w:t>B.9. César Noé Cancinos Gómez</w:t>
      </w:r>
    </w:p>
    <w:p w14:paraId="75AB6F3D" w14:textId="77777777" w:rsidR="003C2AC6" w:rsidRPr="009F337B" w:rsidRDefault="003C2AC6" w:rsidP="003C2AC6">
      <w:pPr>
        <w:pStyle w:val="PrrafodeSentencia"/>
        <w:rPr>
          <w:lang w:val="en-US"/>
        </w:rPr>
      </w:pPr>
    </w:p>
    <w:p w14:paraId="4CD77A22" w14:textId="0D59B30B" w:rsidR="003C2AC6" w:rsidRPr="009F337B" w:rsidRDefault="007F1AEB" w:rsidP="00593E37">
      <w:pPr>
        <w:pStyle w:val="Estilo1"/>
        <w:numPr>
          <w:ilvl w:val="0"/>
          <w:numId w:val="5"/>
        </w:numPr>
        <w:tabs>
          <w:tab w:val="left" w:pos="709"/>
          <w:tab w:val="left" w:pos="1134"/>
        </w:tabs>
        <w:spacing w:after="0"/>
        <w:ind w:left="0" w:right="-4" w:firstLine="0"/>
        <w:rPr>
          <w:i w:val="0"/>
          <w:szCs w:val="20"/>
          <w:lang w:val="en-US"/>
        </w:rPr>
      </w:pPr>
      <w:r w:rsidRPr="009F337B">
        <w:rPr>
          <w:i w:val="0"/>
          <w:szCs w:val="20"/>
          <w:lang w:val="en-US"/>
        </w:rPr>
        <w:t>Mr.</w:t>
      </w:r>
      <w:r w:rsidR="003C2AC6" w:rsidRPr="009F337B">
        <w:rPr>
          <w:i w:val="0"/>
          <w:szCs w:val="20"/>
          <w:lang w:val="en-US"/>
        </w:rPr>
        <w:t xml:space="preserve"> </w:t>
      </w:r>
      <w:proofErr w:type="spellStart"/>
      <w:r w:rsidR="003C2AC6" w:rsidRPr="009F337B">
        <w:rPr>
          <w:i w:val="0"/>
          <w:szCs w:val="20"/>
          <w:lang w:val="en-US"/>
        </w:rPr>
        <w:t>Cancinos</w:t>
      </w:r>
      <w:proofErr w:type="spellEnd"/>
      <w:r w:rsidR="003C2AC6" w:rsidRPr="009F337B">
        <w:rPr>
          <w:i w:val="0"/>
          <w:szCs w:val="20"/>
          <w:lang w:val="en-US"/>
        </w:rPr>
        <w:t xml:space="preserve"> Gómez </w:t>
      </w:r>
      <w:r w:rsidR="0084040D" w:rsidRPr="009F337B">
        <w:rPr>
          <w:i w:val="0"/>
          <w:szCs w:val="20"/>
          <w:lang w:val="en-US"/>
        </w:rPr>
        <w:t>was born on</w:t>
      </w:r>
      <w:r w:rsidR="003C2AC6" w:rsidRPr="009F337B">
        <w:rPr>
          <w:i w:val="0"/>
          <w:szCs w:val="20"/>
          <w:lang w:val="en-US"/>
        </w:rPr>
        <w:t xml:space="preserve"> </w:t>
      </w:r>
      <w:r w:rsidR="00C10F19" w:rsidRPr="009F337B">
        <w:rPr>
          <w:i w:val="0"/>
          <w:szCs w:val="20"/>
          <w:lang w:val="en-US"/>
        </w:rPr>
        <w:t>June 21,</w:t>
      </w:r>
      <w:r w:rsidR="003C2AC6" w:rsidRPr="009F337B">
        <w:rPr>
          <w:i w:val="0"/>
          <w:szCs w:val="20"/>
          <w:lang w:val="en-US"/>
        </w:rPr>
        <w:t xml:space="preserve"> 1980</w:t>
      </w:r>
      <w:r w:rsidR="008B20E5" w:rsidRPr="009F337B">
        <w:rPr>
          <w:i w:val="0"/>
          <w:szCs w:val="20"/>
          <w:lang w:val="en-US"/>
        </w:rPr>
        <w:t>,</w:t>
      </w:r>
      <w:r w:rsidR="003C2AC6" w:rsidRPr="009F337B">
        <w:rPr>
          <w:i w:val="0"/>
          <w:szCs w:val="20"/>
          <w:lang w:val="en-US"/>
        </w:rPr>
        <w:t xml:space="preserve"> </w:t>
      </w:r>
      <w:r w:rsidR="00A758A5" w:rsidRPr="009F337B">
        <w:rPr>
          <w:i w:val="0"/>
          <w:szCs w:val="20"/>
          <w:lang w:val="en-US"/>
        </w:rPr>
        <w:t>in the municipality</w:t>
      </w:r>
      <w:r w:rsidR="00D85CA7" w:rsidRPr="009F337B">
        <w:rPr>
          <w:i w:val="0"/>
          <w:szCs w:val="20"/>
          <w:lang w:val="en-US"/>
        </w:rPr>
        <w:t xml:space="preserve"> of</w:t>
      </w:r>
      <w:r w:rsidR="003C2AC6" w:rsidRPr="009F337B">
        <w:rPr>
          <w:i w:val="0"/>
          <w:szCs w:val="20"/>
          <w:lang w:val="en-US"/>
        </w:rPr>
        <w:t xml:space="preserve"> </w:t>
      </w:r>
      <w:proofErr w:type="spellStart"/>
      <w:r w:rsidR="003C2AC6" w:rsidRPr="009F337B">
        <w:rPr>
          <w:i w:val="0"/>
          <w:szCs w:val="20"/>
          <w:lang w:val="en-US"/>
        </w:rPr>
        <w:t>Coatepeque</w:t>
      </w:r>
      <w:proofErr w:type="spellEnd"/>
      <w:r w:rsidR="003C2AC6" w:rsidRPr="009F337B">
        <w:rPr>
          <w:i w:val="0"/>
          <w:szCs w:val="20"/>
          <w:lang w:val="en-US"/>
        </w:rPr>
        <w:t xml:space="preserve">, </w:t>
      </w:r>
      <w:r w:rsidR="003E1304" w:rsidRPr="009F337B">
        <w:rPr>
          <w:i w:val="0"/>
          <w:szCs w:val="20"/>
          <w:lang w:val="en-US"/>
        </w:rPr>
        <w:t>department of</w:t>
      </w:r>
      <w:r w:rsidR="003C2AC6" w:rsidRPr="009F337B">
        <w:rPr>
          <w:i w:val="0"/>
          <w:szCs w:val="20"/>
          <w:lang w:val="en-US"/>
        </w:rPr>
        <w:t xml:space="preserve"> Quetzaltenango, Guatemala. </w:t>
      </w:r>
      <w:r w:rsidR="008B20E5" w:rsidRPr="009F337B">
        <w:rPr>
          <w:i w:val="0"/>
          <w:szCs w:val="20"/>
          <w:lang w:val="en-US"/>
        </w:rPr>
        <w:t>He l</w:t>
      </w:r>
      <w:r w:rsidR="00D85CA7" w:rsidRPr="009F337B">
        <w:rPr>
          <w:i w:val="0"/>
          <w:szCs w:val="20"/>
          <w:lang w:val="en-US"/>
        </w:rPr>
        <w:t>ives in</w:t>
      </w:r>
      <w:r w:rsidR="003C2AC6" w:rsidRPr="009F337B">
        <w:rPr>
          <w:i w:val="0"/>
          <w:szCs w:val="20"/>
          <w:lang w:val="en-US"/>
        </w:rPr>
        <w:t xml:space="preserve"> </w:t>
      </w:r>
      <w:r w:rsidR="008B20E5" w:rsidRPr="009F337B">
        <w:rPr>
          <w:i w:val="0"/>
          <w:szCs w:val="20"/>
          <w:lang w:val="en-US"/>
        </w:rPr>
        <w:t>the village of</w:t>
      </w:r>
      <w:r w:rsidR="003C2AC6" w:rsidRPr="009F337B">
        <w:rPr>
          <w:i w:val="0"/>
          <w:szCs w:val="20"/>
          <w:lang w:val="en-US"/>
        </w:rPr>
        <w:t xml:space="preserve"> San Rafael </w:t>
      </w:r>
      <w:proofErr w:type="spellStart"/>
      <w:r w:rsidR="003C2AC6" w:rsidRPr="009F337B">
        <w:rPr>
          <w:i w:val="0"/>
          <w:szCs w:val="20"/>
          <w:lang w:val="en-US"/>
        </w:rPr>
        <w:t>Pacaya</w:t>
      </w:r>
      <w:proofErr w:type="spellEnd"/>
      <w:r w:rsidR="003C2AC6" w:rsidRPr="009F337B">
        <w:rPr>
          <w:i w:val="0"/>
          <w:szCs w:val="20"/>
          <w:lang w:val="en-US"/>
        </w:rPr>
        <w:t xml:space="preserve">, Quetzaltenango. </w:t>
      </w:r>
      <w:r w:rsidR="008B20E5" w:rsidRPr="009F337B">
        <w:rPr>
          <w:i w:val="0"/>
          <w:szCs w:val="20"/>
          <w:lang w:val="en-US"/>
        </w:rPr>
        <w:t xml:space="preserve">He attended school until the sixth year of primary. He </w:t>
      </w:r>
      <w:r w:rsidR="00AE674B" w:rsidRPr="009F337B">
        <w:rPr>
          <w:i w:val="0"/>
          <w:szCs w:val="20"/>
          <w:lang w:val="en-US"/>
        </w:rPr>
        <w:t>was diagnosed with</w:t>
      </w:r>
      <w:r w:rsidR="003C2AC6" w:rsidRPr="009F337B">
        <w:rPr>
          <w:i w:val="0"/>
          <w:szCs w:val="20"/>
          <w:lang w:val="en-US"/>
        </w:rPr>
        <w:t xml:space="preserve"> </w:t>
      </w:r>
      <w:r w:rsidR="00CA11F6" w:rsidRPr="009F337B">
        <w:rPr>
          <w:i w:val="0"/>
          <w:szCs w:val="20"/>
          <w:lang w:val="en-US"/>
        </w:rPr>
        <w:t>HIV</w:t>
      </w:r>
      <w:r w:rsidR="003C2AC6" w:rsidRPr="009F337B">
        <w:rPr>
          <w:i w:val="0"/>
          <w:szCs w:val="20"/>
          <w:lang w:val="en-US"/>
        </w:rPr>
        <w:t xml:space="preserve"> </w:t>
      </w:r>
      <w:r w:rsidR="008B20E5" w:rsidRPr="009F337B">
        <w:rPr>
          <w:i w:val="0"/>
          <w:szCs w:val="20"/>
          <w:lang w:val="en-US"/>
        </w:rPr>
        <w:t>on June 18,</w:t>
      </w:r>
      <w:r w:rsidR="003C2AC6" w:rsidRPr="009F337B">
        <w:rPr>
          <w:i w:val="0"/>
          <w:szCs w:val="20"/>
          <w:lang w:val="en-US"/>
        </w:rPr>
        <w:t xml:space="preserve"> 2002,</w:t>
      </w:r>
      <w:r w:rsidR="003C46A3" w:rsidRPr="009F337B">
        <w:rPr>
          <w:rStyle w:val="Refdenotaalpie"/>
          <w:i w:val="0"/>
          <w:lang w:val="en-US"/>
        </w:rPr>
        <w:t xml:space="preserve"> </w:t>
      </w:r>
      <w:r w:rsidR="008B20E5" w:rsidRPr="009F337B">
        <w:rPr>
          <w:i w:val="0"/>
          <w:szCs w:val="20"/>
          <w:lang w:val="en-US"/>
        </w:rPr>
        <w:t xml:space="preserve">and on June 12, </w:t>
      </w:r>
      <w:r w:rsidR="003C2AC6" w:rsidRPr="009F337B">
        <w:rPr>
          <w:i w:val="0"/>
          <w:szCs w:val="20"/>
          <w:lang w:val="en-US"/>
        </w:rPr>
        <w:t>2003</w:t>
      </w:r>
      <w:r w:rsidR="008B20E5" w:rsidRPr="009F337B">
        <w:rPr>
          <w:i w:val="0"/>
          <w:szCs w:val="20"/>
          <w:lang w:val="en-US"/>
        </w:rPr>
        <w:t xml:space="preserve">, he began </w:t>
      </w:r>
      <w:r w:rsidR="00FE1EFF" w:rsidRPr="009F337B">
        <w:rPr>
          <w:i w:val="0"/>
          <w:szCs w:val="20"/>
          <w:lang w:val="en-US"/>
        </w:rPr>
        <w:t>antiretroviral treatment</w:t>
      </w:r>
      <w:r w:rsidR="003C2AC6" w:rsidRPr="009F337B">
        <w:rPr>
          <w:i w:val="0"/>
          <w:szCs w:val="20"/>
          <w:lang w:val="en-US"/>
        </w:rPr>
        <w:t xml:space="preserve"> </w:t>
      </w:r>
      <w:r w:rsidR="008B20E5" w:rsidRPr="009F337B">
        <w:rPr>
          <w:i w:val="0"/>
          <w:szCs w:val="20"/>
          <w:lang w:val="en-US"/>
        </w:rPr>
        <w:t>under the MSF program</w:t>
      </w:r>
      <w:r w:rsidR="003C2AC6" w:rsidRPr="009F337B">
        <w:rPr>
          <w:i w:val="0"/>
          <w:szCs w:val="20"/>
          <w:lang w:val="en-US"/>
        </w:rPr>
        <w:t xml:space="preserve"> </w:t>
      </w:r>
      <w:r w:rsidR="00AE674B" w:rsidRPr="009F337B">
        <w:rPr>
          <w:szCs w:val="20"/>
          <w:lang w:val="en-US"/>
        </w:rPr>
        <w:t>Proyecto Vida</w:t>
      </w:r>
      <w:r w:rsidR="003C2AC6" w:rsidRPr="009F337B">
        <w:rPr>
          <w:i w:val="0"/>
          <w:szCs w:val="20"/>
          <w:lang w:val="en-US"/>
        </w:rPr>
        <w:t xml:space="preserve">. </w:t>
      </w:r>
      <w:r w:rsidR="008B20E5" w:rsidRPr="009F337B">
        <w:rPr>
          <w:i w:val="0"/>
          <w:szCs w:val="20"/>
          <w:lang w:val="en-US"/>
        </w:rPr>
        <w:t xml:space="preserve">Subsequently, he was transferred to Clinic No. 12 of the </w:t>
      </w:r>
      <w:proofErr w:type="spellStart"/>
      <w:r w:rsidR="008B20E5" w:rsidRPr="009F337B">
        <w:rPr>
          <w:i w:val="0"/>
          <w:szCs w:val="20"/>
          <w:lang w:val="en-US"/>
        </w:rPr>
        <w:t>Coatepeque</w:t>
      </w:r>
      <w:proofErr w:type="spellEnd"/>
      <w:r w:rsidR="008B20E5" w:rsidRPr="009F337B">
        <w:rPr>
          <w:i w:val="0"/>
          <w:szCs w:val="20"/>
          <w:lang w:val="en-US"/>
        </w:rPr>
        <w:t xml:space="preserve"> National Hospital where he underwent some CD4 counts and viral load tests. At the present time, he is regularly undergoing CD4 counts and viral load testing, although on the most recent occasions he has been asked to make a financial “collaboration” of 5 or 10 </w:t>
      </w:r>
      <w:r w:rsidR="008B20E5" w:rsidRPr="009F337B">
        <w:rPr>
          <w:i w:val="0"/>
          <w:szCs w:val="20"/>
          <w:lang w:val="en-US"/>
        </w:rPr>
        <w:lastRenderedPageBreak/>
        <w:t xml:space="preserve">quetzals. He has not suffered from </w:t>
      </w:r>
      <w:r w:rsidR="0081563D" w:rsidRPr="009F337B">
        <w:rPr>
          <w:i w:val="0"/>
          <w:szCs w:val="20"/>
          <w:lang w:val="en-US"/>
        </w:rPr>
        <w:t>opportunistic diseases</w:t>
      </w:r>
      <w:r w:rsidR="003C2AC6" w:rsidRPr="009F337B">
        <w:rPr>
          <w:i w:val="0"/>
          <w:szCs w:val="20"/>
          <w:lang w:val="en-US"/>
        </w:rPr>
        <w:t xml:space="preserve">, </w:t>
      </w:r>
      <w:r w:rsidR="008B20E5" w:rsidRPr="009F337B">
        <w:rPr>
          <w:i w:val="0"/>
          <w:szCs w:val="20"/>
          <w:lang w:val="en-US"/>
        </w:rPr>
        <w:t xml:space="preserve">and has not undergone </w:t>
      </w:r>
      <w:r w:rsidR="00B63594" w:rsidRPr="009F337B">
        <w:rPr>
          <w:i w:val="0"/>
          <w:szCs w:val="20"/>
          <w:lang w:val="en-US"/>
        </w:rPr>
        <w:t>genotype and phenotype</w:t>
      </w:r>
      <w:r w:rsidR="008B20E5" w:rsidRPr="009F337B">
        <w:rPr>
          <w:i w:val="0"/>
          <w:szCs w:val="20"/>
          <w:lang w:val="en-US"/>
        </w:rPr>
        <w:t xml:space="preserve"> testing</w:t>
      </w:r>
      <w:r w:rsidR="003C2AC6" w:rsidRPr="009F337B">
        <w:rPr>
          <w:i w:val="0"/>
          <w:szCs w:val="20"/>
          <w:lang w:val="en-US"/>
        </w:rPr>
        <w:t>.</w:t>
      </w:r>
      <w:r w:rsidR="008B20E5" w:rsidRPr="009F337B">
        <w:rPr>
          <w:i w:val="0"/>
          <w:szCs w:val="20"/>
          <w:lang w:val="en-US"/>
        </w:rPr>
        <w:t xml:space="preserve"> He does not receive nutritional support. He used to take one hour to travel from his home to </w:t>
      </w:r>
      <w:proofErr w:type="spellStart"/>
      <w:r w:rsidR="003C2AC6" w:rsidRPr="009F337B">
        <w:rPr>
          <w:i w:val="0"/>
          <w:szCs w:val="20"/>
          <w:lang w:val="en-US"/>
        </w:rPr>
        <w:t>Coatepeque</w:t>
      </w:r>
      <w:proofErr w:type="spellEnd"/>
      <w:r w:rsidR="003C2AC6" w:rsidRPr="009F337B">
        <w:rPr>
          <w:i w:val="0"/>
          <w:szCs w:val="20"/>
          <w:lang w:val="en-US"/>
        </w:rPr>
        <w:t xml:space="preserve">. </w:t>
      </w:r>
      <w:r w:rsidR="008B20E5" w:rsidRPr="009F337B">
        <w:rPr>
          <w:i w:val="0"/>
          <w:szCs w:val="20"/>
          <w:lang w:val="en-US"/>
        </w:rPr>
        <w:t xml:space="preserve">At times, there are insufficient drugs for three months and he is only given one month’s supply. He worked in a factory in the capital, but stopped working owing to </w:t>
      </w:r>
      <w:r w:rsidR="00D1590C" w:rsidRPr="009F337B">
        <w:rPr>
          <w:i w:val="0"/>
          <w:szCs w:val="20"/>
          <w:lang w:val="en-US"/>
        </w:rPr>
        <w:t>his</w:t>
      </w:r>
      <w:r w:rsidR="008B20E5" w:rsidRPr="009F337B">
        <w:rPr>
          <w:i w:val="0"/>
          <w:szCs w:val="20"/>
          <w:lang w:val="en-US"/>
        </w:rPr>
        <w:t xml:space="preserve"> physical deterioration </w:t>
      </w:r>
      <w:r w:rsidR="00D1590C" w:rsidRPr="009F337B">
        <w:rPr>
          <w:i w:val="0"/>
          <w:szCs w:val="20"/>
          <w:lang w:val="en-US"/>
        </w:rPr>
        <w:t>due to</w:t>
      </w:r>
      <w:r w:rsidR="008B20E5" w:rsidRPr="009F337B">
        <w:rPr>
          <w:i w:val="0"/>
          <w:szCs w:val="20"/>
          <w:lang w:val="en-US"/>
        </w:rPr>
        <w:t xml:space="preserve"> the infection. He subsequently returned to</w:t>
      </w:r>
      <w:r w:rsidR="003C2AC6" w:rsidRPr="009F337B">
        <w:rPr>
          <w:i w:val="0"/>
          <w:szCs w:val="20"/>
          <w:lang w:val="en-US"/>
        </w:rPr>
        <w:t xml:space="preserve"> </w:t>
      </w:r>
      <w:proofErr w:type="spellStart"/>
      <w:r w:rsidR="003C2AC6" w:rsidRPr="009F337B">
        <w:rPr>
          <w:i w:val="0"/>
          <w:szCs w:val="20"/>
          <w:lang w:val="en-US"/>
        </w:rPr>
        <w:t>Coatepeque</w:t>
      </w:r>
      <w:proofErr w:type="spellEnd"/>
      <w:r w:rsidR="003C46A3" w:rsidRPr="009F337B">
        <w:rPr>
          <w:i w:val="0"/>
          <w:szCs w:val="20"/>
          <w:lang w:val="en-US"/>
        </w:rPr>
        <w:t xml:space="preserve"> and </w:t>
      </w:r>
      <w:r w:rsidR="008B20E5" w:rsidRPr="009F337B">
        <w:rPr>
          <w:i w:val="0"/>
          <w:szCs w:val="20"/>
          <w:lang w:val="en-US"/>
        </w:rPr>
        <w:t>works in agriculture</w:t>
      </w:r>
      <w:r w:rsidR="003C2AC6" w:rsidRPr="009F337B">
        <w:rPr>
          <w:i w:val="0"/>
          <w:szCs w:val="20"/>
          <w:lang w:val="en-US"/>
        </w:rPr>
        <w:t>.</w:t>
      </w:r>
      <w:r w:rsidR="003C2AC6" w:rsidRPr="009F337B">
        <w:rPr>
          <w:rStyle w:val="Refdenotaalpie"/>
          <w:i w:val="0"/>
          <w:lang w:val="en-US"/>
        </w:rPr>
        <w:footnoteReference w:id="310"/>
      </w:r>
    </w:p>
    <w:p w14:paraId="017557AD" w14:textId="77777777" w:rsidR="003C2AC6" w:rsidRPr="009F337B" w:rsidRDefault="003C2AC6" w:rsidP="003C2AC6">
      <w:pPr>
        <w:pStyle w:val="Estilo1"/>
        <w:tabs>
          <w:tab w:val="left" w:pos="709"/>
          <w:tab w:val="left" w:pos="1134"/>
        </w:tabs>
        <w:spacing w:after="0"/>
        <w:ind w:left="0" w:right="-4" w:firstLine="0"/>
        <w:rPr>
          <w:i w:val="0"/>
          <w:szCs w:val="20"/>
          <w:lang w:val="en-US"/>
        </w:rPr>
      </w:pPr>
    </w:p>
    <w:p w14:paraId="0DB13BDA" w14:textId="4505E22F" w:rsidR="003C2AC6" w:rsidRPr="009F337B" w:rsidRDefault="00A758A5" w:rsidP="00593E37">
      <w:pPr>
        <w:pStyle w:val="Estilo1"/>
        <w:numPr>
          <w:ilvl w:val="0"/>
          <w:numId w:val="5"/>
        </w:numPr>
        <w:tabs>
          <w:tab w:val="left" w:pos="709"/>
          <w:tab w:val="left" w:pos="1134"/>
        </w:tabs>
        <w:spacing w:after="0"/>
        <w:ind w:left="0" w:right="-4" w:firstLine="0"/>
        <w:rPr>
          <w:i w:val="0"/>
          <w:szCs w:val="20"/>
          <w:lang w:val="en-US"/>
        </w:rPr>
      </w:pPr>
      <w:r w:rsidRPr="009F337B">
        <w:rPr>
          <w:i w:val="0"/>
          <w:szCs w:val="20"/>
          <w:lang w:val="en-US"/>
        </w:rPr>
        <w:t>His family unit consists of his</w:t>
      </w:r>
      <w:r w:rsidR="003C2AC6" w:rsidRPr="009F337B">
        <w:rPr>
          <w:i w:val="0"/>
          <w:szCs w:val="20"/>
          <w:lang w:val="en-US"/>
        </w:rPr>
        <w:t xml:space="preserve"> </w:t>
      </w:r>
      <w:r w:rsidR="0010522A" w:rsidRPr="009F337B">
        <w:rPr>
          <w:i w:val="0"/>
          <w:szCs w:val="20"/>
          <w:lang w:val="en-US"/>
        </w:rPr>
        <w:t>wife</w:t>
      </w:r>
      <w:r w:rsidR="003C2AC6" w:rsidRPr="009F337B">
        <w:rPr>
          <w:i w:val="0"/>
          <w:szCs w:val="20"/>
          <w:lang w:val="en-US"/>
        </w:rPr>
        <w:t xml:space="preserve"> Irma Leticia Vicente Morales, </w:t>
      </w:r>
      <w:r w:rsidR="00CC4867" w:rsidRPr="009F337B">
        <w:rPr>
          <w:i w:val="0"/>
          <w:szCs w:val="20"/>
          <w:lang w:val="en-US"/>
        </w:rPr>
        <w:t>his</w:t>
      </w:r>
      <w:r w:rsidR="003C2AC6" w:rsidRPr="009F337B">
        <w:rPr>
          <w:i w:val="0"/>
          <w:szCs w:val="20"/>
          <w:lang w:val="en-US"/>
        </w:rPr>
        <w:t xml:space="preserve"> </w:t>
      </w:r>
      <w:r w:rsidR="0010522A" w:rsidRPr="009F337B">
        <w:rPr>
          <w:i w:val="0"/>
          <w:szCs w:val="20"/>
          <w:lang w:val="en-US"/>
        </w:rPr>
        <w:t>daughter</w:t>
      </w:r>
      <w:r w:rsidR="003C2AC6" w:rsidRPr="009F337B">
        <w:rPr>
          <w:i w:val="0"/>
          <w:szCs w:val="20"/>
          <w:lang w:val="en-US"/>
        </w:rPr>
        <w:t xml:space="preserve"> Leticia Yamilet </w:t>
      </w:r>
      <w:proofErr w:type="spellStart"/>
      <w:r w:rsidR="003C2AC6" w:rsidRPr="009F337B">
        <w:rPr>
          <w:i w:val="0"/>
          <w:szCs w:val="20"/>
          <w:lang w:val="en-US"/>
        </w:rPr>
        <w:t>Cancinos</w:t>
      </w:r>
      <w:proofErr w:type="spellEnd"/>
      <w:r w:rsidR="003C2AC6" w:rsidRPr="009F337B">
        <w:rPr>
          <w:i w:val="0"/>
          <w:szCs w:val="20"/>
          <w:lang w:val="en-US"/>
        </w:rPr>
        <w:t xml:space="preserve"> Vicente, </w:t>
      </w:r>
      <w:r w:rsidR="00CC4867" w:rsidRPr="009F337B">
        <w:rPr>
          <w:i w:val="0"/>
          <w:szCs w:val="20"/>
          <w:lang w:val="en-US"/>
        </w:rPr>
        <w:t>his</w:t>
      </w:r>
      <w:r w:rsidR="003C2AC6" w:rsidRPr="009F337B">
        <w:rPr>
          <w:i w:val="0"/>
          <w:szCs w:val="20"/>
          <w:lang w:val="en-US"/>
        </w:rPr>
        <w:t xml:space="preserve"> </w:t>
      </w:r>
      <w:r w:rsidR="0010522A" w:rsidRPr="009F337B">
        <w:rPr>
          <w:i w:val="0"/>
          <w:szCs w:val="20"/>
          <w:lang w:val="en-US"/>
        </w:rPr>
        <w:t>son</w:t>
      </w:r>
      <w:r w:rsidR="003C2AC6" w:rsidRPr="009F337B">
        <w:rPr>
          <w:i w:val="0"/>
          <w:szCs w:val="20"/>
          <w:lang w:val="en-US"/>
        </w:rPr>
        <w:t xml:space="preserve"> César Antonio </w:t>
      </w:r>
      <w:proofErr w:type="spellStart"/>
      <w:r w:rsidR="003C2AC6" w:rsidRPr="009F337B">
        <w:rPr>
          <w:i w:val="0"/>
          <w:szCs w:val="20"/>
          <w:lang w:val="en-US"/>
        </w:rPr>
        <w:t>Cancinos</w:t>
      </w:r>
      <w:proofErr w:type="spellEnd"/>
      <w:r w:rsidR="003C2AC6" w:rsidRPr="009F337B">
        <w:rPr>
          <w:i w:val="0"/>
          <w:szCs w:val="20"/>
          <w:lang w:val="en-US"/>
        </w:rPr>
        <w:t xml:space="preserve"> Vicente, </w:t>
      </w:r>
      <w:r w:rsidR="00CC4867" w:rsidRPr="009F337B">
        <w:rPr>
          <w:i w:val="0"/>
          <w:szCs w:val="20"/>
          <w:lang w:val="en-US"/>
        </w:rPr>
        <w:t>his</w:t>
      </w:r>
      <w:r w:rsidR="003C2AC6" w:rsidRPr="009F337B">
        <w:rPr>
          <w:i w:val="0"/>
          <w:szCs w:val="20"/>
          <w:lang w:val="en-US"/>
        </w:rPr>
        <w:t xml:space="preserve"> </w:t>
      </w:r>
      <w:r w:rsidR="0010522A" w:rsidRPr="009F337B">
        <w:rPr>
          <w:i w:val="0"/>
          <w:szCs w:val="20"/>
          <w:lang w:val="en-US"/>
        </w:rPr>
        <w:t>father</w:t>
      </w:r>
      <w:r w:rsidR="003C2AC6" w:rsidRPr="009F337B">
        <w:rPr>
          <w:i w:val="0"/>
          <w:szCs w:val="20"/>
          <w:lang w:val="en-US"/>
        </w:rPr>
        <w:t xml:space="preserve"> </w:t>
      </w:r>
      <w:proofErr w:type="spellStart"/>
      <w:r w:rsidR="003C2AC6" w:rsidRPr="009F337B">
        <w:rPr>
          <w:i w:val="0"/>
          <w:szCs w:val="20"/>
          <w:lang w:val="en-US"/>
        </w:rPr>
        <w:t>Demecio</w:t>
      </w:r>
      <w:proofErr w:type="spellEnd"/>
      <w:r w:rsidR="003C2AC6" w:rsidRPr="009F337B">
        <w:rPr>
          <w:i w:val="0"/>
          <w:szCs w:val="20"/>
          <w:lang w:val="en-US"/>
        </w:rPr>
        <w:t xml:space="preserve"> Rogelio </w:t>
      </w:r>
      <w:proofErr w:type="spellStart"/>
      <w:r w:rsidR="003C2AC6" w:rsidRPr="009F337B">
        <w:rPr>
          <w:i w:val="0"/>
          <w:szCs w:val="20"/>
          <w:lang w:val="en-US"/>
        </w:rPr>
        <w:t>Cancinos</w:t>
      </w:r>
      <w:proofErr w:type="spellEnd"/>
      <w:r w:rsidR="003C2AC6" w:rsidRPr="009F337B">
        <w:rPr>
          <w:i w:val="0"/>
          <w:szCs w:val="20"/>
          <w:lang w:val="en-US"/>
        </w:rPr>
        <w:t xml:space="preserve"> Díaz,</w:t>
      </w:r>
      <w:r w:rsidR="003C46A3" w:rsidRPr="009F337B">
        <w:rPr>
          <w:i w:val="0"/>
          <w:szCs w:val="20"/>
          <w:lang w:val="en-US"/>
        </w:rPr>
        <w:t xml:space="preserve"> and </w:t>
      </w:r>
      <w:r w:rsidR="00CC4867" w:rsidRPr="009F337B">
        <w:rPr>
          <w:i w:val="0"/>
          <w:szCs w:val="20"/>
          <w:lang w:val="en-US"/>
        </w:rPr>
        <w:t>his</w:t>
      </w:r>
      <w:r w:rsidR="003C2AC6" w:rsidRPr="009F337B">
        <w:rPr>
          <w:i w:val="0"/>
          <w:szCs w:val="20"/>
          <w:lang w:val="en-US"/>
        </w:rPr>
        <w:t xml:space="preserve"> </w:t>
      </w:r>
      <w:r w:rsidR="0010522A" w:rsidRPr="009F337B">
        <w:rPr>
          <w:i w:val="0"/>
          <w:szCs w:val="20"/>
          <w:lang w:val="en-US"/>
        </w:rPr>
        <w:t>mother</w:t>
      </w:r>
      <w:r w:rsidR="003C2AC6" w:rsidRPr="009F337B">
        <w:rPr>
          <w:i w:val="0"/>
          <w:szCs w:val="20"/>
          <w:lang w:val="en-US"/>
        </w:rPr>
        <w:t xml:space="preserve"> Macedonia Gómez </w:t>
      </w:r>
      <w:proofErr w:type="spellStart"/>
      <w:r w:rsidR="003C2AC6" w:rsidRPr="009F337B">
        <w:rPr>
          <w:i w:val="0"/>
          <w:szCs w:val="20"/>
          <w:lang w:val="en-US"/>
        </w:rPr>
        <w:t>Oxlaj</w:t>
      </w:r>
      <w:proofErr w:type="spellEnd"/>
      <w:r w:rsidR="003C2AC6" w:rsidRPr="009F337B">
        <w:rPr>
          <w:rStyle w:val="Refdenotaalpie"/>
          <w:i w:val="0"/>
          <w:lang w:val="en-US"/>
        </w:rPr>
        <w:footnoteReference w:id="311"/>
      </w:r>
      <w:r w:rsidR="003C2AC6" w:rsidRPr="009F337B">
        <w:rPr>
          <w:i w:val="0"/>
          <w:szCs w:val="20"/>
          <w:lang w:val="en-US"/>
        </w:rPr>
        <w:t>.</w:t>
      </w:r>
    </w:p>
    <w:p w14:paraId="6351CFEB" w14:textId="77777777" w:rsidR="003C2AC6" w:rsidRPr="009F337B" w:rsidRDefault="003C2AC6" w:rsidP="003C2AC6">
      <w:pPr>
        <w:pStyle w:val="PrrafodeSentencia"/>
        <w:rPr>
          <w:lang w:val="en-US"/>
        </w:rPr>
      </w:pPr>
    </w:p>
    <w:p w14:paraId="54A258C7" w14:textId="77777777" w:rsidR="003C2AC6" w:rsidRPr="009F337B" w:rsidRDefault="003C2AC6" w:rsidP="003C2AC6">
      <w:pPr>
        <w:pStyle w:val="PrrafodeSentencia"/>
        <w:rPr>
          <w:lang w:val="en-US"/>
        </w:rPr>
      </w:pPr>
      <w:r w:rsidRPr="009F337B">
        <w:rPr>
          <w:lang w:val="en-US"/>
        </w:rPr>
        <w:tab/>
        <w:t>B.10. Aracely Cinto</w:t>
      </w:r>
    </w:p>
    <w:p w14:paraId="7334A9D3" w14:textId="77777777" w:rsidR="003C2AC6" w:rsidRPr="009F337B" w:rsidRDefault="003C2AC6" w:rsidP="003C2AC6">
      <w:pPr>
        <w:pStyle w:val="PrrafodeSentencia"/>
        <w:rPr>
          <w:lang w:val="en-US"/>
        </w:rPr>
      </w:pPr>
    </w:p>
    <w:p w14:paraId="4663F432" w14:textId="5B9D0C41" w:rsidR="003C2AC6" w:rsidRPr="009F337B" w:rsidRDefault="007F1AEB" w:rsidP="00593E37">
      <w:pPr>
        <w:pStyle w:val="Estilo1"/>
        <w:numPr>
          <w:ilvl w:val="0"/>
          <w:numId w:val="5"/>
        </w:numPr>
        <w:tabs>
          <w:tab w:val="left" w:pos="709"/>
          <w:tab w:val="left" w:pos="1134"/>
        </w:tabs>
        <w:spacing w:after="0"/>
        <w:ind w:left="0" w:right="-4" w:firstLine="0"/>
        <w:rPr>
          <w:i w:val="0"/>
          <w:szCs w:val="20"/>
          <w:lang w:val="en-US"/>
        </w:rPr>
      </w:pPr>
      <w:r w:rsidRPr="009F337B">
        <w:rPr>
          <w:i w:val="0"/>
          <w:szCs w:val="20"/>
          <w:lang w:val="en-US"/>
        </w:rPr>
        <w:t>Mrs.</w:t>
      </w:r>
      <w:r w:rsidR="003C2AC6" w:rsidRPr="009F337B">
        <w:rPr>
          <w:i w:val="0"/>
          <w:szCs w:val="20"/>
          <w:lang w:val="en-US"/>
        </w:rPr>
        <w:t xml:space="preserve"> </w:t>
      </w:r>
      <w:proofErr w:type="spellStart"/>
      <w:r w:rsidR="003C2AC6" w:rsidRPr="009F337B">
        <w:rPr>
          <w:i w:val="0"/>
          <w:szCs w:val="20"/>
          <w:lang w:val="en-US"/>
        </w:rPr>
        <w:t>Cinto</w:t>
      </w:r>
      <w:proofErr w:type="spellEnd"/>
      <w:r w:rsidR="003C2AC6" w:rsidRPr="009F337B">
        <w:rPr>
          <w:i w:val="0"/>
          <w:szCs w:val="20"/>
          <w:lang w:val="en-US"/>
        </w:rPr>
        <w:t xml:space="preserve"> </w:t>
      </w:r>
      <w:r w:rsidR="0084040D" w:rsidRPr="009F337B">
        <w:rPr>
          <w:i w:val="0"/>
          <w:szCs w:val="20"/>
          <w:lang w:val="en-US"/>
        </w:rPr>
        <w:t>was born on</w:t>
      </w:r>
      <w:r w:rsidR="003C2AC6" w:rsidRPr="009F337B">
        <w:rPr>
          <w:i w:val="0"/>
          <w:szCs w:val="20"/>
          <w:lang w:val="en-US"/>
        </w:rPr>
        <w:t xml:space="preserve"> </w:t>
      </w:r>
      <w:r w:rsidR="00CC4867" w:rsidRPr="009F337B">
        <w:rPr>
          <w:i w:val="0"/>
          <w:szCs w:val="20"/>
          <w:lang w:val="en-US"/>
        </w:rPr>
        <w:t>March 31,</w:t>
      </w:r>
      <w:r w:rsidR="003C2AC6" w:rsidRPr="009F337B">
        <w:rPr>
          <w:i w:val="0"/>
          <w:szCs w:val="20"/>
          <w:lang w:val="en-US"/>
        </w:rPr>
        <w:t xml:space="preserve"> 1970</w:t>
      </w:r>
      <w:r w:rsidR="00CC4867" w:rsidRPr="009F337B">
        <w:rPr>
          <w:i w:val="0"/>
          <w:szCs w:val="20"/>
          <w:lang w:val="en-US"/>
        </w:rPr>
        <w:t>,</w:t>
      </w:r>
      <w:r w:rsidR="003C2AC6" w:rsidRPr="009F337B">
        <w:rPr>
          <w:i w:val="0"/>
          <w:szCs w:val="20"/>
          <w:lang w:val="en-US"/>
        </w:rPr>
        <w:t xml:space="preserve"> </w:t>
      </w:r>
      <w:r w:rsidR="00A758A5" w:rsidRPr="009F337B">
        <w:rPr>
          <w:i w:val="0"/>
          <w:szCs w:val="20"/>
          <w:lang w:val="en-US"/>
        </w:rPr>
        <w:t>in the municipality</w:t>
      </w:r>
      <w:r w:rsidR="00D85CA7" w:rsidRPr="009F337B">
        <w:rPr>
          <w:i w:val="0"/>
          <w:szCs w:val="20"/>
          <w:lang w:val="en-US"/>
        </w:rPr>
        <w:t xml:space="preserve"> of</w:t>
      </w:r>
      <w:r w:rsidR="003C2AC6" w:rsidRPr="009F337B">
        <w:rPr>
          <w:i w:val="0"/>
          <w:szCs w:val="20"/>
          <w:lang w:val="en-US"/>
        </w:rPr>
        <w:t xml:space="preserve"> </w:t>
      </w:r>
      <w:proofErr w:type="spellStart"/>
      <w:r w:rsidR="003C2AC6" w:rsidRPr="009F337B">
        <w:rPr>
          <w:i w:val="0"/>
          <w:szCs w:val="20"/>
          <w:lang w:val="en-US"/>
        </w:rPr>
        <w:t>Pajapita</w:t>
      </w:r>
      <w:proofErr w:type="spellEnd"/>
      <w:r w:rsidR="003C2AC6" w:rsidRPr="009F337B">
        <w:rPr>
          <w:i w:val="0"/>
          <w:szCs w:val="20"/>
          <w:lang w:val="en-US"/>
        </w:rPr>
        <w:t xml:space="preserve">, </w:t>
      </w:r>
      <w:r w:rsidR="003E1304" w:rsidRPr="009F337B">
        <w:rPr>
          <w:i w:val="0"/>
          <w:szCs w:val="20"/>
          <w:lang w:val="en-US"/>
        </w:rPr>
        <w:t>department of</w:t>
      </w:r>
      <w:r w:rsidR="003C2AC6" w:rsidRPr="009F337B">
        <w:rPr>
          <w:i w:val="0"/>
          <w:szCs w:val="20"/>
          <w:lang w:val="en-US"/>
        </w:rPr>
        <w:t xml:space="preserve"> San Marcos, Guatemala, </w:t>
      </w:r>
      <w:r w:rsidR="00CC4867" w:rsidRPr="009F337B">
        <w:rPr>
          <w:i w:val="0"/>
          <w:szCs w:val="20"/>
          <w:lang w:val="en-US"/>
        </w:rPr>
        <w:t>where she currently resides</w:t>
      </w:r>
      <w:r w:rsidR="003C2AC6" w:rsidRPr="009F337B">
        <w:rPr>
          <w:i w:val="0"/>
          <w:szCs w:val="20"/>
          <w:lang w:val="en-US"/>
        </w:rPr>
        <w:t xml:space="preserve">. </w:t>
      </w:r>
      <w:r w:rsidR="00CC4867" w:rsidRPr="009F337B">
        <w:rPr>
          <w:i w:val="0"/>
          <w:szCs w:val="20"/>
          <w:lang w:val="en-US"/>
        </w:rPr>
        <w:t>She attended first year of primary school</w:t>
      </w:r>
      <w:r w:rsidR="003C2AC6" w:rsidRPr="009F337B">
        <w:rPr>
          <w:i w:val="0"/>
          <w:szCs w:val="20"/>
          <w:lang w:val="en-US"/>
        </w:rPr>
        <w:t xml:space="preserve">. </w:t>
      </w:r>
      <w:r w:rsidR="00CC4867" w:rsidRPr="009F337B">
        <w:rPr>
          <w:i w:val="0"/>
          <w:szCs w:val="20"/>
          <w:lang w:val="en-US"/>
        </w:rPr>
        <w:t>She w</w:t>
      </w:r>
      <w:r w:rsidR="001071B4" w:rsidRPr="009F337B">
        <w:rPr>
          <w:i w:val="0"/>
          <w:szCs w:val="20"/>
          <w:lang w:val="en-US"/>
        </w:rPr>
        <w:t>as diagnosed with HIV</w:t>
      </w:r>
      <w:r w:rsidR="003C2AC6" w:rsidRPr="009F337B">
        <w:rPr>
          <w:i w:val="0"/>
          <w:szCs w:val="20"/>
          <w:lang w:val="en-US"/>
        </w:rPr>
        <w:t xml:space="preserve"> </w:t>
      </w:r>
      <w:r w:rsidR="00CC4867" w:rsidRPr="009F337B">
        <w:rPr>
          <w:i w:val="0"/>
          <w:szCs w:val="20"/>
          <w:lang w:val="en-US"/>
        </w:rPr>
        <w:t>i</w:t>
      </w:r>
      <w:r w:rsidR="003C2AC6" w:rsidRPr="009F337B">
        <w:rPr>
          <w:i w:val="0"/>
          <w:szCs w:val="20"/>
          <w:lang w:val="en-US"/>
        </w:rPr>
        <w:t>n 1994</w:t>
      </w:r>
      <w:r w:rsidR="003C2AC6" w:rsidRPr="009F337B" w:rsidDel="00766D4F">
        <w:rPr>
          <w:rStyle w:val="Refdenotaalpie"/>
          <w:i w:val="0"/>
          <w:lang w:val="en-US"/>
        </w:rPr>
        <w:t xml:space="preserve"> </w:t>
      </w:r>
      <w:r w:rsidR="00CC4867" w:rsidRPr="009F337B">
        <w:rPr>
          <w:i w:val="0"/>
          <w:szCs w:val="20"/>
          <w:lang w:val="en-US"/>
        </w:rPr>
        <w:t>in the</w:t>
      </w:r>
      <w:r w:rsidR="003C2AC6" w:rsidRPr="009F337B">
        <w:rPr>
          <w:i w:val="0"/>
          <w:szCs w:val="20"/>
          <w:lang w:val="en-US"/>
        </w:rPr>
        <w:t xml:space="preserve"> </w:t>
      </w:r>
      <w:proofErr w:type="spellStart"/>
      <w:r w:rsidR="003C2AC6" w:rsidRPr="009F337B">
        <w:rPr>
          <w:i w:val="0"/>
          <w:szCs w:val="20"/>
          <w:lang w:val="en-US"/>
        </w:rPr>
        <w:t>Tecún</w:t>
      </w:r>
      <w:proofErr w:type="spellEnd"/>
      <w:r w:rsidR="003C2AC6" w:rsidRPr="009F337B">
        <w:rPr>
          <w:i w:val="0"/>
          <w:szCs w:val="20"/>
          <w:lang w:val="en-US"/>
        </w:rPr>
        <w:t xml:space="preserve"> </w:t>
      </w:r>
      <w:proofErr w:type="spellStart"/>
      <w:r w:rsidR="003C2AC6" w:rsidRPr="009F337B">
        <w:rPr>
          <w:i w:val="0"/>
          <w:szCs w:val="20"/>
          <w:lang w:val="en-US"/>
        </w:rPr>
        <w:t>Umán</w:t>
      </w:r>
      <w:proofErr w:type="spellEnd"/>
      <w:r w:rsidR="00CC4867" w:rsidRPr="009F337B">
        <w:rPr>
          <w:i w:val="0"/>
          <w:szCs w:val="20"/>
          <w:lang w:val="en-US"/>
        </w:rPr>
        <w:t xml:space="preserve"> Health Center</w:t>
      </w:r>
      <w:r w:rsidR="003C2AC6" w:rsidRPr="009F337B">
        <w:rPr>
          <w:i w:val="0"/>
          <w:szCs w:val="20"/>
          <w:lang w:val="en-US"/>
        </w:rPr>
        <w:t xml:space="preserve">, </w:t>
      </w:r>
      <w:r w:rsidR="003E1304" w:rsidRPr="009F337B">
        <w:rPr>
          <w:i w:val="0"/>
          <w:szCs w:val="20"/>
          <w:lang w:val="en-US"/>
        </w:rPr>
        <w:t>department of</w:t>
      </w:r>
      <w:r w:rsidR="003C2AC6" w:rsidRPr="009F337B">
        <w:rPr>
          <w:i w:val="0"/>
          <w:szCs w:val="20"/>
          <w:lang w:val="en-US"/>
        </w:rPr>
        <w:t xml:space="preserve"> San Marcos, </w:t>
      </w:r>
      <w:r w:rsidR="00CC4867" w:rsidRPr="009F337B">
        <w:rPr>
          <w:i w:val="0"/>
          <w:szCs w:val="20"/>
          <w:lang w:val="en-US"/>
        </w:rPr>
        <w:t xml:space="preserve">but her condition as a person with HIV was confirmed in </w:t>
      </w:r>
      <w:proofErr w:type="spellStart"/>
      <w:r w:rsidR="003C2AC6" w:rsidRPr="009F337B">
        <w:rPr>
          <w:i w:val="0"/>
          <w:szCs w:val="20"/>
          <w:lang w:val="en-US"/>
        </w:rPr>
        <w:t>Coatepeque</w:t>
      </w:r>
      <w:proofErr w:type="spellEnd"/>
      <w:r w:rsidR="003C2AC6" w:rsidRPr="009F337B">
        <w:rPr>
          <w:szCs w:val="20"/>
          <w:lang w:val="en-US"/>
        </w:rPr>
        <w:t>.</w:t>
      </w:r>
      <w:r w:rsidR="003C2AC6" w:rsidRPr="009F337B">
        <w:rPr>
          <w:i w:val="0"/>
          <w:szCs w:val="20"/>
          <w:lang w:val="en-US"/>
        </w:rPr>
        <w:t xml:space="preserve"> </w:t>
      </w:r>
      <w:r w:rsidR="00CC4867" w:rsidRPr="009F337B">
        <w:rPr>
          <w:i w:val="0"/>
          <w:szCs w:val="20"/>
          <w:lang w:val="en-US"/>
        </w:rPr>
        <w:t>From</w:t>
      </w:r>
      <w:r w:rsidR="003C2AC6" w:rsidRPr="009F337B">
        <w:rPr>
          <w:i w:val="0"/>
          <w:szCs w:val="20"/>
          <w:lang w:val="en-US"/>
        </w:rPr>
        <w:t xml:space="preserve"> 1994 </w:t>
      </w:r>
      <w:r w:rsidR="00CC4867" w:rsidRPr="009F337B">
        <w:rPr>
          <w:i w:val="0"/>
          <w:szCs w:val="20"/>
          <w:lang w:val="en-US"/>
        </w:rPr>
        <w:t>to</w:t>
      </w:r>
      <w:r w:rsidR="003C2AC6" w:rsidRPr="009F337B">
        <w:rPr>
          <w:i w:val="0"/>
          <w:szCs w:val="20"/>
          <w:lang w:val="en-US"/>
        </w:rPr>
        <w:t xml:space="preserve"> 2005 </w:t>
      </w:r>
      <w:r w:rsidR="00CC4867" w:rsidRPr="009F337B">
        <w:rPr>
          <w:i w:val="0"/>
          <w:szCs w:val="20"/>
          <w:lang w:val="en-US"/>
        </w:rPr>
        <w:t>she was treated by the Red Cross. Afterwards, MSF’s</w:t>
      </w:r>
      <w:r w:rsidR="003C2AC6" w:rsidRPr="009F337B">
        <w:rPr>
          <w:i w:val="0"/>
          <w:szCs w:val="20"/>
          <w:lang w:val="en-US"/>
        </w:rPr>
        <w:t xml:space="preserve"> </w:t>
      </w:r>
      <w:r w:rsidR="00AE674B" w:rsidRPr="009F337B">
        <w:rPr>
          <w:szCs w:val="20"/>
          <w:lang w:val="en-US"/>
        </w:rPr>
        <w:t>Proyecto Vida</w:t>
      </w:r>
      <w:r w:rsidR="003C2AC6" w:rsidRPr="009F337B">
        <w:rPr>
          <w:i w:val="0"/>
          <w:szCs w:val="20"/>
          <w:lang w:val="en-US"/>
        </w:rPr>
        <w:t xml:space="preserve"> </w:t>
      </w:r>
      <w:r w:rsidR="00CC4867" w:rsidRPr="009F337B">
        <w:rPr>
          <w:i w:val="0"/>
          <w:szCs w:val="20"/>
          <w:lang w:val="en-US"/>
        </w:rPr>
        <w:t xml:space="preserve">provided her with medical care, and finally she was </w:t>
      </w:r>
      <w:r w:rsidR="001C4CEA" w:rsidRPr="009F337B">
        <w:rPr>
          <w:i w:val="0"/>
          <w:szCs w:val="20"/>
          <w:lang w:val="en-US"/>
        </w:rPr>
        <w:t>transferred to Clinic No. 12</w:t>
      </w:r>
      <w:r w:rsidR="00A758A5" w:rsidRPr="009F337B">
        <w:rPr>
          <w:i w:val="0"/>
          <w:szCs w:val="20"/>
          <w:lang w:val="en-US"/>
        </w:rPr>
        <w:t xml:space="preserve"> of the </w:t>
      </w:r>
      <w:proofErr w:type="spellStart"/>
      <w:r w:rsidR="00BD5E94" w:rsidRPr="009F337B">
        <w:rPr>
          <w:i w:val="0"/>
          <w:szCs w:val="20"/>
          <w:lang w:val="en-US"/>
        </w:rPr>
        <w:t>Coatepeque</w:t>
      </w:r>
      <w:proofErr w:type="spellEnd"/>
      <w:r w:rsidR="00BD5E94" w:rsidRPr="009F337B">
        <w:rPr>
          <w:i w:val="0"/>
          <w:szCs w:val="20"/>
          <w:lang w:val="en-US"/>
        </w:rPr>
        <w:t xml:space="preserve"> National Hospital</w:t>
      </w:r>
      <w:r w:rsidR="003C2AC6" w:rsidRPr="009F337B">
        <w:rPr>
          <w:i w:val="0"/>
          <w:szCs w:val="20"/>
          <w:lang w:val="en-US"/>
        </w:rPr>
        <w:t xml:space="preserve">, </w:t>
      </w:r>
      <w:r w:rsidR="00CC4867" w:rsidRPr="009F337B">
        <w:rPr>
          <w:i w:val="0"/>
          <w:szCs w:val="20"/>
          <w:lang w:val="en-US"/>
        </w:rPr>
        <w:t xml:space="preserve">where she began to receive </w:t>
      </w:r>
      <w:r w:rsidR="00FE1EFF" w:rsidRPr="009F337B">
        <w:rPr>
          <w:i w:val="0"/>
          <w:szCs w:val="20"/>
          <w:lang w:val="en-US"/>
        </w:rPr>
        <w:t>antiretroviral treatment</w:t>
      </w:r>
      <w:r w:rsidR="003C2AC6" w:rsidRPr="009F337B">
        <w:rPr>
          <w:i w:val="0"/>
          <w:szCs w:val="20"/>
          <w:lang w:val="en-US"/>
        </w:rPr>
        <w:t xml:space="preserve"> </w:t>
      </w:r>
      <w:r w:rsidR="00CC4867" w:rsidRPr="009F337B">
        <w:rPr>
          <w:i w:val="0"/>
          <w:szCs w:val="20"/>
          <w:lang w:val="en-US"/>
        </w:rPr>
        <w:t>in</w:t>
      </w:r>
      <w:r w:rsidR="003C2AC6" w:rsidRPr="009F337B">
        <w:rPr>
          <w:i w:val="0"/>
          <w:szCs w:val="20"/>
          <w:lang w:val="en-US"/>
        </w:rPr>
        <w:t xml:space="preserve"> 2009. </w:t>
      </w:r>
      <w:r w:rsidR="00CC4867" w:rsidRPr="009F337B">
        <w:rPr>
          <w:i w:val="0"/>
          <w:szCs w:val="20"/>
          <w:lang w:val="en-US"/>
        </w:rPr>
        <w:t xml:space="preserve">At that time there was a sufficient supply of drugs. She has undergone CD4 counts (3) and viral load tests irregularly, but has not been given the results. Mrs. </w:t>
      </w:r>
      <w:proofErr w:type="spellStart"/>
      <w:r w:rsidR="00CC4867" w:rsidRPr="009F337B">
        <w:rPr>
          <w:i w:val="0"/>
          <w:szCs w:val="20"/>
          <w:lang w:val="en-US"/>
        </w:rPr>
        <w:t>Cinto</w:t>
      </w:r>
      <w:proofErr w:type="spellEnd"/>
      <w:r w:rsidR="00CC4867" w:rsidRPr="009F337B">
        <w:rPr>
          <w:i w:val="0"/>
          <w:szCs w:val="20"/>
          <w:lang w:val="en-US"/>
        </w:rPr>
        <w:t xml:space="preserve"> indicated that she had not suffered from any opportunistic infection</w:t>
      </w:r>
      <w:r w:rsidR="00D1590C" w:rsidRPr="009F337B">
        <w:rPr>
          <w:i w:val="0"/>
          <w:szCs w:val="20"/>
          <w:lang w:val="en-US"/>
        </w:rPr>
        <w:t>s</w:t>
      </w:r>
      <w:r w:rsidR="00CC4867" w:rsidRPr="009F337B">
        <w:rPr>
          <w:i w:val="0"/>
          <w:szCs w:val="20"/>
          <w:lang w:val="en-US"/>
        </w:rPr>
        <w:t>. She works washing clothes and selling ice cream and attends self-help groups. She also indicated that, because the clinic she attends is very small, all the people who go to it point them out and refer to them as the “</w:t>
      </w:r>
      <w:proofErr w:type="spellStart"/>
      <w:r w:rsidR="00CC4867" w:rsidRPr="009F337B">
        <w:rPr>
          <w:szCs w:val="20"/>
          <w:lang w:val="en-US"/>
        </w:rPr>
        <w:t>sidosos</w:t>
      </w:r>
      <w:proofErr w:type="spellEnd"/>
      <w:r w:rsidR="00CC4867" w:rsidRPr="009F337B">
        <w:rPr>
          <w:i w:val="0"/>
          <w:szCs w:val="20"/>
          <w:lang w:val="en-US"/>
        </w:rPr>
        <w:t>” which</w:t>
      </w:r>
      <w:r w:rsidR="00D1590C" w:rsidRPr="009F337B">
        <w:rPr>
          <w:i w:val="0"/>
          <w:szCs w:val="20"/>
          <w:lang w:val="en-US"/>
        </w:rPr>
        <w:t xml:space="preserve"> upset her</w:t>
      </w:r>
      <w:r w:rsidR="00CC4867" w:rsidRPr="009F337B">
        <w:rPr>
          <w:i w:val="0"/>
          <w:szCs w:val="20"/>
          <w:lang w:val="en-US"/>
        </w:rPr>
        <w:t>.</w:t>
      </w:r>
      <w:r w:rsidR="003C2AC6" w:rsidRPr="009F337B">
        <w:rPr>
          <w:rStyle w:val="Refdenotaalpie"/>
          <w:i w:val="0"/>
          <w:lang w:val="en-US"/>
        </w:rPr>
        <w:footnoteReference w:id="312"/>
      </w:r>
    </w:p>
    <w:p w14:paraId="039BF543" w14:textId="77777777" w:rsidR="003C2AC6" w:rsidRPr="009F337B" w:rsidRDefault="003C2AC6" w:rsidP="003C2AC6">
      <w:pPr>
        <w:pStyle w:val="Estilo1"/>
        <w:tabs>
          <w:tab w:val="left" w:pos="709"/>
          <w:tab w:val="left" w:pos="1134"/>
        </w:tabs>
        <w:spacing w:after="0"/>
        <w:ind w:left="0" w:right="-4" w:firstLine="0"/>
        <w:rPr>
          <w:i w:val="0"/>
          <w:szCs w:val="20"/>
          <w:lang w:val="en-US"/>
        </w:rPr>
      </w:pPr>
    </w:p>
    <w:p w14:paraId="111CCFAD" w14:textId="256DE973" w:rsidR="003C2AC6" w:rsidRPr="009F337B" w:rsidRDefault="00A758A5" w:rsidP="00593E37">
      <w:pPr>
        <w:pStyle w:val="Estilo1"/>
        <w:numPr>
          <w:ilvl w:val="0"/>
          <w:numId w:val="5"/>
        </w:numPr>
        <w:tabs>
          <w:tab w:val="left" w:pos="709"/>
          <w:tab w:val="left" w:pos="1134"/>
        </w:tabs>
        <w:spacing w:after="0"/>
        <w:ind w:left="0" w:right="-4" w:firstLine="0"/>
        <w:rPr>
          <w:i w:val="0"/>
          <w:szCs w:val="20"/>
          <w:lang w:val="en-US"/>
        </w:rPr>
      </w:pPr>
      <w:r w:rsidRPr="009F337B">
        <w:rPr>
          <w:i w:val="0"/>
          <w:szCs w:val="20"/>
          <w:lang w:val="en-US"/>
        </w:rPr>
        <w:t xml:space="preserve">Her family unit consists of her </w:t>
      </w:r>
      <w:r w:rsidR="0010522A" w:rsidRPr="009F337B">
        <w:rPr>
          <w:i w:val="0"/>
          <w:szCs w:val="20"/>
          <w:lang w:val="en-US"/>
        </w:rPr>
        <w:t>mother</w:t>
      </w:r>
      <w:r w:rsidR="003C2AC6" w:rsidRPr="009F337B">
        <w:rPr>
          <w:i w:val="0"/>
          <w:szCs w:val="20"/>
          <w:lang w:val="en-US"/>
        </w:rPr>
        <w:t xml:space="preserve"> María Teresa de Maldonado </w:t>
      </w:r>
      <w:proofErr w:type="spellStart"/>
      <w:r w:rsidR="003C2AC6" w:rsidRPr="009F337B">
        <w:rPr>
          <w:i w:val="0"/>
          <w:szCs w:val="20"/>
          <w:lang w:val="en-US"/>
        </w:rPr>
        <w:t>Cinto</w:t>
      </w:r>
      <w:proofErr w:type="spellEnd"/>
      <w:r w:rsidR="003C2AC6" w:rsidRPr="009F337B">
        <w:rPr>
          <w:i w:val="0"/>
          <w:szCs w:val="20"/>
          <w:lang w:val="en-US"/>
        </w:rPr>
        <w:t xml:space="preserve">, </w:t>
      </w:r>
      <w:r w:rsidR="00CC4867" w:rsidRPr="009F337B">
        <w:rPr>
          <w:i w:val="0"/>
          <w:szCs w:val="20"/>
          <w:lang w:val="en-US"/>
        </w:rPr>
        <w:t>her</w:t>
      </w:r>
      <w:r w:rsidR="003C2AC6" w:rsidRPr="009F337B">
        <w:rPr>
          <w:i w:val="0"/>
          <w:szCs w:val="20"/>
          <w:lang w:val="en-US"/>
        </w:rPr>
        <w:t xml:space="preserve"> </w:t>
      </w:r>
      <w:r w:rsidR="0010522A" w:rsidRPr="009F337B">
        <w:rPr>
          <w:i w:val="0"/>
          <w:szCs w:val="20"/>
          <w:lang w:val="en-US"/>
        </w:rPr>
        <w:t>son</w:t>
      </w:r>
      <w:r w:rsidR="003C2AC6" w:rsidRPr="009F337B">
        <w:rPr>
          <w:i w:val="0"/>
          <w:szCs w:val="20"/>
          <w:lang w:val="en-US"/>
        </w:rPr>
        <w:t xml:space="preserve">s Leonel Celestino </w:t>
      </w:r>
      <w:proofErr w:type="spellStart"/>
      <w:r w:rsidR="003C2AC6" w:rsidRPr="009F337B">
        <w:rPr>
          <w:i w:val="0"/>
          <w:szCs w:val="20"/>
          <w:lang w:val="en-US"/>
        </w:rPr>
        <w:t>Mazariegos</w:t>
      </w:r>
      <w:proofErr w:type="spellEnd"/>
      <w:r w:rsidR="003C2AC6" w:rsidRPr="009F337B">
        <w:rPr>
          <w:i w:val="0"/>
          <w:szCs w:val="20"/>
          <w:lang w:val="en-US"/>
        </w:rPr>
        <w:t xml:space="preserve"> </w:t>
      </w:r>
      <w:proofErr w:type="spellStart"/>
      <w:r w:rsidR="003C2AC6" w:rsidRPr="009F337B">
        <w:rPr>
          <w:i w:val="0"/>
          <w:szCs w:val="20"/>
          <w:lang w:val="en-US"/>
        </w:rPr>
        <w:t>Cinto</w:t>
      </w:r>
      <w:proofErr w:type="spellEnd"/>
      <w:r w:rsidR="003C46A3" w:rsidRPr="009F337B">
        <w:rPr>
          <w:i w:val="0"/>
          <w:szCs w:val="20"/>
          <w:lang w:val="en-US"/>
        </w:rPr>
        <w:t xml:space="preserve"> and </w:t>
      </w:r>
      <w:r w:rsidR="003C2AC6" w:rsidRPr="009F337B">
        <w:rPr>
          <w:i w:val="0"/>
          <w:szCs w:val="20"/>
          <w:lang w:val="en-US"/>
        </w:rPr>
        <w:t xml:space="preserve">Edwin </w:t>
      </w:r>
      <w:proofErr w:type="spellStart"/>
      <w:r w:rsidR="003C2AC6" w:rsidRPr="009F337B">
        <w:rPr>
          <w:i w:val="0"/>
          <w:szCs w:val="20"/>
          <w:lang w:val="en-US"/>
        </w:rPr>
        <w:t>Amílcar</w:t>
      </w:r>
      <w:proofErr w:type="spellEnd"/>
      <w:r w:rsidR="003C2AC6" w:rsidRPr="009F337B">
        <w:rPr>
          <w:i w:val="0"/>
          <w:szCs w:val="20"/>
          <w:lang w:val="en-US"/>
        </w:rPr>
        <w:t xml:space="preserve"> Maldonado </w:t>
      </w:r>
      <w:proofErr w:type="spellStart"/>
      <w:r w:rsidR="003C2AC6" w:rsidRPr="009F337B">
        <w:rPr>
          <w:i w:val="0"/>
          <w:szCs w:val="20"/>
          <w:lang w:val="en-US"/>
        </w:rPr>
        <w:t>Cinto</w:t>
      </w:r>
      <w:proofErr w:type="spellEnd"/>
      <w:r w:rsidR="003C2AC6" w:rsidRPr="009F337B">
        <w:rPr>
          <w:i w:val="0"/>
          <w:szCs w:val="20"/>
          <w:lang w:val="en-US"/>
        </w:rPr>
        <w:t>,</w:t>
      </w:r>
      <w:r w:rsidR="003C46A3" w:rsidRPr="009F337B">
        <w:rPr>
          <w:i w:val="0"/>
          <w:szCs w:val="20"/>
          <w:lang w:val="en-US"/>
        </w:rPr>
        <w:t xml:space="preserve"> and </w:t>
      </w:r>
      <w:r w:rsidR="00CC4867" w:rsidRPr="009F337B">
        <w:rPr>
          <w:i w:val="0"/>
          <w:szCs w:val="20"/>
          <w:lang w:val="en-US"/>
        </w:rPr>
        <w:t>her</w:t>
      </w:r>
      <w:r w:rsidR="003C2AC6" w:rsidRPr="009F337B">
        <w:rPr>
          <w:i w:val="0"/>
          <w:szCs w:val="20"/>
          <w:lang w:val="en-US"/>
        </w:rPr>
        <w:t xml:space="preserve"> </w:t>
      </w:r>
      <w:r w:rsidR="0010522A" w:rsidRPr="009F337B">
        <w:rPr>
          <w:i w:val="0"/>
          <w:szCs w:val="20"/>
          <w:lang w:val="en-US"/>
        </w:rPr>
        <w:t>daughter</w:t>
      </w:r>
      <w:r w:rsidR="003C2AC6" w:rsidRPr="009F337B">
        <w:rPr>
          <w:i w:val="0"/>
          <w:szCs w:val="20"/>
          <w:lang w:val="en-US"/>
        </w:rPr>
        <w:t xml:space="preserve"> Gladys Francisca </w:t>
      </w:r>
      <w:proofErr w:type="spellStart"/>
      <w:r w:rsidR="003C2AC6" w:rsidRPr="009F337B">
        <w:rPr>
          <w:i w:val="0"/>
          <w:szCs w:val="20"/>
          <w:lang w:val="en-US"/>
        </w:rPr>
        <w:t>Mazariegos</w:t>
      </w:r>
      <w:proofErr w:type="spellEnd"/>
      <w:r w:rsidR="003C2AC6" w:rsidRPr="009F337B">
        <w:rPr>
          <w:i w:val="0"/>
          <w:szCs w:val="20"/>
          <w:lang w:val="en-US"/>
        </w:rPr>
        <w:t xml:space="preserve"> </w:t>
      </w:r>
      <w:proofErr w:type="spellStart"/>
      <w:r w:rsidR="003C2AC6" w:rsidRPr="009F337B">
        <w:rPr>
          <w:i w:val="0"/>
          <w:szCs w:val="20"/>
          <w:lang w:val="en-US"/>
        </w:rPr>
        <w:t>Cinto</w:t>
      </w:r>
      <w:proofErr w:type="spellEnd"/>
      <w:r w:rsidR="003C2AC6" w:rsidRPr="009F337B">
        <w:rPr>
          <w:i w:val="0"/>
          <w:szCs w:val="20"/>
          <w:lang w:val="en-US"/>
        </w:rPr>
        <w:t xml:space="preserve"> (</w:t>
      </w:r>
      <w:r w:rsidR="0010522A" w:rsidRPr="009F337B">
        <w:rPr>
          <w:i w:val="0"/>
          <w:szCs w:val="20"/>
          <w:lang w:val="en-US"/>
        </w:rPr>
        <w:t>deceased</w:t>
      </w:r>
      <w:r w:rsidR="003C2AC6" w:rsidRPr="009F337B">
        <w:rPr>
          <w:i w:val="0"/>
          <w:szCs w:val="20"/>
          <w:lang w:val="en-US"/>
        </w:rPr>
        <w:t>)</w:t>
      </w:r>
      <w:r w:rsidR="00CC4867" w:rsidRPr="009F337B">
        <w:rPr>
          <w:i w:val="0"/>
          <w:szCs w:val="20"/>
          <w:lang w:val="en-US"/>
        </w:rPr>
        <w:t>.</w:t>
      </w:r>
      <w:r w:rsidR="003C2AC6" w:rsidRPr="009F337B">
        <w:rPr>
          <w:rStyle w:val="Refdenotaalpie"/>
          <w:i w:val="0"/>
          <w:lang w:val="en-US"/>
        </w:rPr>
        <w:footnoteReference w:id="313"/>
      </w:r>
    </w:p>
    <w:p w14:paraId="1957EC81" w14:textId="77777777" w:rsidR="003C2AC6" w:rsidRPr="009F337B" w:rsidRDefault="003C2AC6" w:rsidP="003C2AC6">
      <w:pPr>
        <w:pStyle w:val="PrrafodeSentencia"/>
        <w:rPr>
          <w:lang w:val="en-US"/>
        </w:rPr>
      </w:pPr>
    </w:p>
    <w:p w14:paraId="5D18BD5F" w14:textId="77777777" w:rsidR="003C2AC6" w:rsidRPr="009F337B" w:rsidRDefault="003C2AC6" w:rsidP="003C2AC6">
      <w:pPr>
        <w:pStyle w:val="PrrafodeSentencia"/>
        <w:rPr>
          <w:lang w:val="en-US"/>
        </w:rPr>
      </w:pPr>
      <w:r w:rsidRPr="009F337B">
        <w:rPr>
          <w:lang w:val="en-US"/>
        </w:rPr>
        <w:tab/>
        <w:t>B.11. Luis Rolando Cuscul Pivaral</w:t>
      </w:r>
    </w:p>
    <w:p w14:paraId="1925BB4F" w14:textId="77777777" w:rsidR="003C2AC6" w:rsidRPr="009F337B" w:rsidRDefault="003C2AC6" w:rsidP="003C2AC6">
      <w:pPr>
        <w:pStyle w:val="PrrafodeSentencia"/>
        <w:rPr>
          <w:lang w:val="en-US"/>
        </w:rPr>
      </w:pPr>
    </w:p>
    <w:p w14:paraId="578F785A" w14:textId="7A586F16" w:rsidR="003C2AC6" w:rsidRPr="009F337B" w:rsidRDefault="007F1AEB" w:rsidP="00593E37">
      <w:pPr>
        <w:pStyle w:val="Estilo1"/>
        <w:numPr>
          <w:ilvl w:val="0"/>
          <w:numId w:val="5"/>
        </w:numPr>
        <w:tabs>
          <w:tab w:val="left" w:pos="709"/>
          <w:tab w:val="left" w:pos="1134"/>
        </w:tabs>
        <w:spacing w:after="0"/>
        <w:ind w:left="0" w:right="-4" w:firstLine="0"/>
        <w:rPr>
          <w:i w:val="0"/>
          <w:szCs w:val="20"/>
          <w:lang w:val="en-US"/>
        </w:rPr>
      </w:pPr>
      <w:r w:rsidRPr="009F337B">
        <w:rPr>
          <w:i w:val="0"/>
          <w:szCs w:val="20"/>
          <w:lang w:val="en-US"/>
        </w:rPr>
        <w:t>Mr.</w:t>
      </w:r>
      <w:r w:rsidR="003C2AC6" w:rsidRPr="009F337B">
        <w:rPr>
          <w:i w:val="0"/>
          <w:szCs w:val="20"/>
          <w:lang w:val="en-US"/>
        </w:rPr>
        <w:t xml:space="preserve"> </w:t>
      </w:r>
      <w:proofErr w:type="spellStart"/>
      <w:r w:rsidR="003C2AC6" w:rsidRPr="009F337B">
        <w:rPr>
          <w:i w:val="0"/>
          <w:szCs w:val="20"/>
          <w:lang w:val="en-US"/>
        </w:rPr>
        <w:t>Cuscul</w:t>
      </w:r>
      <w:proofErr w:type="spellEnd"/>
      <w:r w:rsidR="003C2AC6" w:rsidRPr="009F337B">
        <w:rPr>
          <w:i w:val="0"/>
          <w:szCs w:val="20"/>
          <w:lang w:val="en-US"/>
        </w:rPr>
        <w:t xml:space="preserve"> </w:t>
      </w:r>
      <w:proofErr w:type="spellStart"/>
      <w:r w:rsidR="003C2AC6" w:rsidRPr="009F337B">
        <w:rPr>
          <w:i w:val="0"/>
          <w:szCs w:val="20"/>
          <w:lang w:val="en-US"/>
        </w:rPr>
        <w:t>Pivaral</w:t>
      </w:r>
      <w:proofErr w:type="spellEnd"/>
      <w:r w:rsidR="003C2AC6" w:rsidRPr="009F337B">
        <w:rPr>
          <w:i w:val="0"/>
          <w:szCs w:val="20"/>
          <w:lang w:val="en-US"/>
        </w:rPr>
        <w:t xml:space="preserve"> </w:t>
      </w:r>
      <w:r w:rsidR="0084040D" w:rsidRPr="009F337B">
        <w:rPr>
          <w:i w:val="0"/>
          <w:szCs w:val="20"/>
          <w:lang w:val="en-US"/>
        </w:rPr>
        <w:t>was born on</w:t>
      </w:r>
      <w:r w:rsidR="003C2AC6" w:rsidRPr="009F337B">
        <w:rPr>
          <w:i w:val="0"/>
          <w:szCs w:val="20"/>
          <w:lang w:val="en-US"/>
        </w:rPr>
        <w:t xml:space="preserve"> </w:t>
      </w:r>
      <w:r w:rsidR="00CC4867" w:rsidRPr="009F337B">
        <w:rPr>
          <w:i w:val="0"/>
          <w:szCs w:val="20"/>
          <w:lang w:val="en-US"/>
        </w:rPr>
        <w:t>January 12,</w:t>
      </w:r>
      <w:r w:rsidR="003C2AC6" w:rsidRPr="009F337B">
        <w:rPr>
          <w:i w:val="0"/>
          <w:szCs w:val="20"/>
          <w:lang w:val="en-US"/>
        </w:rPr>
        <w:t xml:space="preserve"> 1968</w:t>
      </w:r>
      <w:r w:rsidR="00CC4867" w:rsidRPr="009F337B">
        <w:rPr>
          <w:i w:val="0"/>
          <w:szCs w:val="20"/>
          <w:lang w:val="en-US"/>
        </w:rPr>
        <w:t>,</w:t>
      </w:r>
      <w:r w:rsidR="003C2AC6" w:rsidRPr="009F337B">
        <w:rPr>
          <w:i w:val="0"/>
          <w:szCs w:val="20"/>
          <w:lang w:val="en-US"/>
        </w:rPr>
        <w:t xml:space="preserve"> </w:t>
      </w:r>
      <w:r w:rsidR="00A758A5" w:rsidRPr="009F337B">
        <w:rPr>
          <w:i w:val="0"/>
          <w:szCs w:val="20"/>
          <w:lang w:val="en-US"/>
        </w:rPr>
        <w:t>in the municipality</w:t>
      </w:r>
      <w:r w:rsidR="00D85CA7" w:rsidRPr="009F337B">
        <w:rPr>
          <w:i w:val="0"/>
          <w:szCs w:val="20"/>
          <w:lang w:val="en-US"/>
        </w:rPr>
        <w:t xml:space="preserve"> of</w:t>
      </w:r>
      <w:r w:rsidR="003C2AC6" w:rsidRPr="009F337B">
        <w:rPr>
          <w:i w:val="0"/>
          <w:szCs w:val="20"/>
          <w:lang w:val="en-US"/>
        </w:rPr>
        <w:t xml:space="preserve"> Guatemala, </w:t>
      </w:r>
      <w:r w:rsidR="003E1304" w:rsidRPr="009F337B">
        <w:rPr>
          <w:i w:val="0"/>
          <w:szCs w:val="20"/>
          <w:lang w:val="en-US"/>
        </w:rPr>
        <w:t>department of</w:t>
      </w:r>
      <w:r w:rsidR="003C2AC6" w:rsidRPr="009F337B">
        <w:rPr>
          <w:i w:val="0"/>
          <w:szCs w:val="20"/>
          <w:lang w:val="en-US"/>
        </w:rPr>
        <w:t xml:space="preserve"> Guatemala, Guatemala. </w:t>
      </w:r>
      <w:r w:rsidR="00CC4867" w:rsidRPr="009F337B">
        <w:rPr>
          <w:i w:val="0"/>
          <w:szCs w:val="20"/>
          <w:lang w:val="en-US"/>
        </w:rPr>
        <w:t>He lives in</w:t>
      </w:r>
      <w:r w:rsidR="003C2AC6" w:rsidRPr="009F337B">
        <w:rPr>
          <w:i w:val="0"/>
          <w:szCs w:val="20"/>
          <w:lang w:val="en-US"/>
        </w:rPr>
        <w:t xml:space="preserve"> Villa Canales, </w:t>
      </w:r>
      <w:r w:rsidR="003E1304" w:rsidRPr="009F337B">
        <w:rPr>
          <w:i w:val="0"/>
          <w:szCs w:val="20"/>
          <w:lang w:val="en-US"/>
        </w:rPr>
        <w:t>department of</w:t>
      </w:r>
      <w:r w:rsidR="003C2AC6" w:rsidRPr="009F337B">
        <w:rPr>
          <w:i w:val="0"/>
          <w:szCs w:val="20"/>
          <w:lang w:val="en-US"/>
        </w:rPr>
        <w:t xml:space="preserve"> Guatemala. </w:t>
      </w:r>
      <w:r w:rsidRPr="009F337B">
        <w:rPr>
          <w:i w:val="0"/>
          <w:szCs w:val="20"/>
          <w:lang w:val="en-US"/>
        </w:rPr>
        <w:t>He was diagnose</w:t>
      </w:r>
      <w:r w:rsidR="00CC4867" w:rsidRPr="009F337B">
        <w:rPr>
          <w:i w:val="0"/>
          <w:szCs w:val="20"/>
          <w:lang w:val="en-US"/>
        </w:rPr>
        <w:t>d on October</w:t>
      </w:r>
      <w:r w:rsidR="003C2AC6" w:rsidRPr="009F337B">
        <w:rPr>
          <w:i w:val="0"/>
          <w:szCs w:val="20"/>
          <w:lang w:val="en-US"/>
        </w:rPr>
        <w:t xml:space="preserve"> </w:t>
      </w:r>
      <w:r w:rsidR="00CC4867" w:rsidRPr="009F337B">
        <w:rPr>
          <w:i w:val="0"/>
          <w:szCs w:val="20"/>
          <w:lang w:val="en-US"/>
        </w:rPr>
        <w:t>31,</w:t>
      </w:r>
      <w:r w:rsidR="003C2AC6" w:rsidRPr="009F337B">
        <w:rPr>
          <w:i w:val="0"/>
          <w:szCs w:val="20"/>
          <w:lang w:val="en-US"/>
        </w:rPr>
        <w:t xml:space="preserve"> 1993, </w:t>
      </w:r>
      <w:r w:rsidR="00CC4867" w:rsidRPr="009F337B">
        <w:rPr>
          <w:i w:val="0"/>
          <w:szCs w:val="20"/>
          <w:lang w:val="en-US"/>
        </w:rPr>
        <w:t>in the IGSS</w:t>
      </w:r>
      <w:r w:rsidR="003C2AC6" w:rsidRPr="009F337B">
        <w:rPr>
          <w:i w:val="0"/>
          <w:szCs w:val="20"/>
          <w:lang w:val="en-US"/>
        </w:rPr>
        <w:t xml:space="preserve">, </w:t>
      </w:r>
      <w:r w:rsidR="00CC4867" w:rsidRPr="009F337B">
        <w:rPr>
          <w:i w:val="0"/>
          <w:szCs w:val="20"/>
          <w:lang w:val="en-US"/>
        </w:rPr>
        <w:t xml:space="preserve">where he indicated he had been pointed out and made fun of by the medical personnel and his records indicated that he was a “patient with </w:t>
      </w:r>
      <w:r w:rsidR="00CA11F6" w:rsidRPr="009F337B">
        <w:rPr>
          <w:i w:val="0"/>
          <w:szCs w:val="20"/>
          <w:lang w:val="en-US"/>
        </w:rPr>
        <w:t>AIDS</w:t>
      </w:r>
      <w:r w:rsidR="00CC4867" w:rsidRPr="009F337B">
        <w:rPr>
          <w:i w:val="0"/>
          <w:szCs w:val="20"/>
          <w:lang w:val="en-US"/>
        </w:rPr>
        <w:t>.</w:t>
      </w:r>
      <w:r w:rsidR="003C2AC6" w:rsidRPr="009F337B">
        <w:rPr>
          <w:i w:val="0"/>
          <w:szCs w:val="20"/>
          <w:lang w:val="en-US"/>
        </w:rPr>
        <w:t xml:space="preserve">” </w:t>
      </w:r>
      <w:r w:rsidR="00CC4867" w:rsidRPr="009F337B">
        <w:rPr>
          <w:i w:val="0"/>
          <w:szCs w:val="20"/>
          <w:lang w:val="en-US"/>
        </w:rPr>
        <w:t>He began</w:t>
      </w:r>
      <w:r w:rsidR="003C2AC6" w:rsidRPr="009F337B">
        <w:rPr>
          <w:i w:val="0"/>
          <w:szCs w:val="20"/>
          <w:lang w:val="en-US"/>
        </w:rPr>
        <w:t xml:space="preserve"> </w:t>
      </w:r>
      <w:r w:rsidR="00FE1EFF" w:rsidRPr="009F337B">
        <w:rPr>
          <w:i w:val="0"/>
          <w:szCs w:val="20"/>
          <w:lang w:val="en-US"/>
        </w:rPr>
        <w:t>antiretroviral treatment</w:t>
      </w:r>
      <w:r w:rsidR="003C2AC6" w:rsidRPr="009F337B">
        <w:rPr>
          <w:i w:val="0"/>
          <w:szCs w:val="20"/>
          <w:lang w:val="en-US"/>
        </w:rPr>
        <w:t xml:space="preserve"> </w:t>
      </w:r>
      <w:r w:rsidR="00CC4867" w:rsidRPr="009F337B">
        <w:rPr>
          <w:i w:val="0"/>
          <w:szCs w:val="20"/>
          <w:lang w:val="en-US"/>
        </w:rPr>
        <w:t>under MSF’s</w:t>
      </w:r>
      <w:r w:rsidR="003C2AC6" w:rsidRPr="009F337B">
        <w:rPr>
          <w:i w:val="0"/>
          <w:szCs w:val="20"/>
          <w:lang w:val="en-US"/>
        </w:rPr>
        <w:t xml:space="preserve"> </w:t>
      </w:r>
      <w:r w:rsidR="00AE674B" w:rsidRPr="009F337B">
        <w:rPr>
          <w:szCs w:val="20"/>
          <w:lang w:val="en-US"/>
        </w:rPr>
        <w:t>Proyecto Vida</w:t>
      </w:r>
      <w:r w:rsidR="003C2AC6" w:rsidRPr="009F337B">
        <w:rPr>
          <w:i w:val="0"/>
          <w:szCs w:val="20"/>
          <w:lang w:val="en-US"/>
        </w:rPr>
        <w:t xml:space="preserve">, </w:t>
      </w:r>
      <w:r w:rsidR="00CC4867" w:rsidRPr="009F337B">
        <w:rPr>
          <w:i w:val="0"/>
          <w:szCs w:val="20"/>
          <w:lang w:val="en-US"/>
        </w:rPr>
        <w:t>i</w:t>
      </w:r>
      <w:r w:rsidR="003C2AC6" w:rsidRPr="009F337B">
        <w:rPr>
          <w:i w:val="0"/>
          <w:szCs w:val="20"/>
          <w:lang w:val="en-US"/>
        </w:rPr>
        <w:t xml:space="preserve">n </w:t>
      </w:r>
      <w:r w:rsidR="00CC4867" w:rsidRPr="009F337B">
        <w:rPr>
          <w:i w:val="0"/>
          <w:szCs w:val="20"/>
          <w:lang w:val="en-US"/>
        </w:rPr>
        <w:t>the</w:t>
      </w:r>
      <w:r w:rsidR="003C2AC6" w:rsidRPr="009F337B">
        <w:rPr>
          <w:i w:val="0"/>
          <w:szCs w:val="20"/>
          <w:lang w:val="en-US"/>
        </w:rPr>
        <w:t xml:space="preserve"> </w:t>
      </w:r>
      <w:r w:rsidR="00BB39B6" w:rsidRPr="009F337B">
        <w:rPr>
          <w:i w:val="0"/>
          <w:szCs w:val="20"/>
          <w:lang w:val="en-US"/>
        </w:rPr>
        <w:t>Roosevelt Hospital</w:t>
      </w:r>
      <w:r w:rsidR="003C2AC6" w:rsidRPr="009F337B">
        <w:rPr>
          <w:i w:val="0"/>
          <w:szCs w:val="20"/>
          <w:lang w:val="en-US"/>
        </w:rPr>
        <w:t xml:space="preserve">, </w:t>
      </w:r>
      <w:r w:rsidR="00CC4867" w:rsidRPr="009F337B">
        <w:rPr>
          <w:i w:val="0"/>
          <w:szCs w:val="20"/>
          <w:lang w:val="en-US"/>
        </w:rPr>
        <w:t>in September</w:t>
      </w:r>
      <w:r w:rsidR="003C2AC6" w:rsidRPr="009F337B">
        <w:rPr>
          <w:i w:val="0"/>
          <w:szCs w:val="20"/>
          <w:lang w:val="en-US"/>
        </w:rPr>
        <w:t xml:space="preserve"> 2000. </w:t>
      </w:r>
      <w:r w:rsidR="00CC4867" w:rsidRPr="009F337B">
        <w:rPr>
          <w:i w:val="0"/>
          <w:szCs w:val="20"/>
          <w:lang w:val="en-US"/>
        </w:rPr>
        <w:t xml:space="preserve">He has undergone CD4 counts and viral load, </w:t>
      </w:r>
      <w:r w:rsidR="00297F0B" w:rsidRPr="009F337B">
        <w:rPr>
          <w:bCs/>
          <w:i w:val="0"/>
          <w:lang w:val="en-US"/>
        </w:rPr>
        <w:t>triglyceride,</w:t>
      </w:r>
      <w:r w:rsidR="003C2AC6" w:rsidRPr="009F337B">
        <w:rPr>
          <w:i w:val="0"/>
          <w:szCs w:val="20"/>
          <w:lang w:val="en-US"/>
        </w:rPr>
        <w:t xml:space="preserve"> </w:t>
      </w:r>
      <w:r w:rsidR="00CC4867" w:rsidRPr="009F337B">
        <w:rPr>
          <w:i w:val="0"/>
          <w:szCs w:val="20"/>
          <w:lang w:val="en-US"/>
        </w:rPr>
        <w:t>kid</w:t>
      </w:r>
      <w:r w:rsidR="00297F0B" w:rsidRPr="009F337B">
        <w:rPr>
          <w:i w:val="0"/>
          <w:szCs w:val="20"/>
          <w:lang w:val="en-US"/>
        </w:rPr>
        <w:t>n</w:t>
      </w:r>
      <w:r w:rsidR="00CC4867" w:rsidRPr="009F337B">
        <w:rPr>
          <w:i w:val="0"/>
          <w:szCs w:val="20"/>
          <w:lang w:val="en-US"/>
        </w:rPr>
        <w:t>ey and liver function tests</w:t>
      </w:r>
      <w:r w:rsidR="003C2AC6" w:rsidRPr="009F337B">
        <w:rPr>
          <w:i w:val="0"/>
          <w:szCs w:val="20"/>
          <w:lang w:val="en-US"/>
        </w:rPr>
        <w:t>. H</w:t>
      </w:r>
      <w:r w:rsidR="00297F0B" w:rsidRPr="009F337B">
        <w:rPr>
          <w:i w:val="0"/>
          <w:szCs w:val="20"/>
          <w:lang w:val="en-US"/>
        </w:rPr>
        <w:t>e has suffered from lipodystrophy</w:t>
      </w:r>
      <w:r w:rsidR="003C2AC6" w:rsidRPr="009F337B">
        <w:rPr>
          <w:i w:val="0"/>
          <w:szCs w:val="20"/>
          <w:lang w:val="en-US"/>
        </w:rPr>
        <w:t xml:space="preserve">, </w:t>
      </w:r>
      <w:r w:rsidR="00297F0B" w:rsidRPr="009F337B">
        <w:rPr>
          <w:i w:val="0"/>
          <w:szCs w:val="20"/>
          <w:lang w:val="en-US"/>
        </w:rPr>
        <w:t xml:space="preserve">because he was submitted to an experimental treatment before starting the </w:t>
      </w:r>
      <w:r w:rsidR="00FE1EFF" w:rsidRPr="009F337B">
        <w:rPr>
          <w:i w:val="0"/>
          <w:szCs w:val="20"/>
          <w:lang w:val="en-US"/>
        </w:rPr>
        <w:t>antiretroviral treatment</w:t>
      </w:r>
      <w:r w:rsidR="003C2AC6" w:rsidRPr="009F337B">
        <w:rPr>
          <w:i w:val="0"/>
          <w:szCs w:val="20"/>
          <w:lang w:val="en-US"/>
        </w:rPr>
        <w:t xml:space="preserve">. </w:t>
      </w:r>
      <w:r w:rsidR="00297F0B" w:rsidRPr="009F337B">
        <w:rPr>
          <w:i w:val="0"/>
          <w:szCs w:val="20"/>
          <w:lang w:val="en-US"/>
        </w:rPr>
        <w:t xml:space="preserve">He has not contracted related or </w:t>
      </w:r>
      <w:r w:rsidR="0081563D" w:rsidRPr="009F337B">
        <w:rPr>
          <w:i w:val="0"/>
          <w:szCs w:val="20"/>
          <w:lang w:val="en-US"/>
        </w:rPr>
        <w:t>opportunistic diseases</w:t>
      </w:r>
      <w:r w:rsidR="00297F0B" w:rsidRPr="009F337B">
        <w:rPr>
          <w:i w:val="0"/>
          <w:szCs w:val="20"/>
          <w:lang w:val="en-US"/>
        </w:rPr>
        <w:t xml:space="preserve">. He has not undergone genotype </w:t>
      </w:r>
      <w:r w:rsidR="00297F0B" w:rsidRPr="009F337B">
        <w:rPr>
          <w:i w:val="0"/>
          <w:szCs w:val="20"/>
          <w:lang w:val="en-US"/>
        </w:rPr>
        <w:lastRenderedPageBreak/>
        <w:t xml:space="preserve">testing. On receiving his diagnosis, he became depressed, lost interest in everything, and tried to commit suicide on several occasions. He has not received social, family, community and </w:t>
      </w:r>
      <w:r w:rsidR="00F93469" w:rsidRPr="009F337B">
        <w:rPr>
          <w:i w:val="0"/>
          <w:szCs w:val="20"/>
          <w:lang w:val="en-US"/>
        </w:rPr>
        <w:t>home-based care</w:t>
      </w:r>
      <w:r w:rsidR="003C2AC6" w:rsidRPr="009F337B">
        <w:rPr>
          <w:i w:val="0"/>
          <w:szCs w:val="20"/>
          <w:lang w:val="en-US"/>
        </w:rPr>
        <w:t>.</w:t>
      </w:r>
      <w:r w:rsidR="003C2AC6" w:rsidRPr="009F337B">
        <w:rPr>
          <w:rStyle w:val="Refdenotaalpie"/>
          <w:i w:val="0"/>
          <w:lang w:val="en-US"/>
        </w:rPr>
        <w:footnoteReference w:id="314"/>
      </w:r>
    </w:p>
    <w:p w14:paraId="3608E671" w14:textId="77777777" w:rsidR="003C2AC6" w:rsidRPr="009F337B" w:rsidRDefault="003C2AC6" w:rsidP="003C2AC6">
      <w:pPr>
        <w:pStyle w:val="Estilo1"/>
        <w:tabs>
          <w:tab w:val="left" w:pos="709"/>
          <w:tab w:val="left" w:pos="1134"/>
        </w:tabs>
        <w:spacing w:after="0"/>
        <w:ind w:left="0" w:right="-4" w:firstLine="0"/>
        <w:rPr>
          <w:i w:val="0"/>
          <w:szCs w:val="20"/>
          <w:lang w:val="en-US"/>
        </w:rPr>
      </w:pPr>
    </w:p>
    <w:p w14:paraId="0E7D5D69" w14:textId="149FFE54" w:rsidR="003C2AC6" w:rsidRPr="009F337B" w:rsidRDefault="00A758A5" w:rsidP="00593E37">
      <w:pPr>
        <w:pStyle w:val="Estilo1"/>
        <w:numPr>
          <w:ilvl w:val="0"/>
          <w:numId w:val="5"/>
        </w:numPr>
        <w:tabs>
          <w:tab w:val="left" w:pos="709"/>
          <w:tab w:val="left" w:pos="1134"/>
        </w:tabs>
        <w:spacing w:after="0"/>
        <w:ind w:left="0" w:right="-4" w:firstLine="0"/>
        <w:rPr>
          <w:i w:val="0"/>
          <w:szCs w:val="20"/>
          <w:lang w:val="en-US"/>
        </w:rPr>
      </w:pPr>
      <w:r w:rsidRPr="009F337B">
        <w:rPr>
          <w:i w:val="0"/>
          <w:szCs w:val="20"/>
          <w:lang w:val="en-US"/>
        </w:rPr>
        <w:t xml:space="preserve">His family unit consists of his </w:t>
      </w:r>
      <w:r w:rsidR="00297F0B" w:rsidRPr="009F337B">
        <w:rPr>
          <w:i w:val="0"/>
          <w:szCs w:val="20"/>
          <w:lang w:val="en-US"/>
        </w:rPr>
        <w:t>adoptive mother</w:t>
      </w:r>
      <w:r w:rsidR="003C2AC6" w:rsidRPr="009F337B">
        <w:rPr>
          <w:i w:val="0"/>
          <w:szCs w:val="20"/>
          <w:lang w:val="en-US"/>
        </w:rPr>
        <w:t xml:space="preserve"> María de la Cruz Mundo Zelaya, </w:t>
      </w:r>
      <w:r w:rsidR="00297F0B" w:rsidRPr="009F337B">
        <w:rPr>
          <w:i w:val="0"/>
          <w:szCs w:val="20"/>
          <w:lang w:val="en-US"/>
        </w:rPr>
        <w:t xml:space="preserve">his </w:t>
      </w:r>
      <w:r w:rsidR="0010522A" w:rsidRPr="009F337B">
        <w:rPr>
          <w:i w:val="0"/>
          <w:szCs w:val="20"/>
          <w:lang w:val="en-US"/>
        </w:rPr>
        <w:t>brother</w:t>
      </w:r>
      <w:r w:rsidR="003C2AC6" w:rsidRPr="009F337B">
        <w:rPr>
          <w:i w:val="0"/>
          <w:szCs w:val="20"/>
          <w:lang w:val="en-US"/>
        </w:rPr>
        <w:t>s Isaias, Manuel Antonio, Adolfo</w:t>
      </w:r>
      <w:r w:rsidR="003C46A3" w:rsidRPr="009F337B">
        <w:rPr>
          <w:i w:val="0"/>
          <w:szCs w:val="20"/>
          <w:lang w:val="en-US"/>
        </w:rPr>
        <w:t xml:space="preserve"> and </w:t>
      </w:r>
      <w:r w:rsidR="003C2AC6" w:rsidRPr="009F337B">
        <w:rPr>
          <w:i w:val="0"/>
          <w:szCs w:val="20"/>
          <w:lang w:val="en-US"/>
        </w:rPr>
        <w:t xml:space="preserve">Raúl, </w:t>
      </w:r>
      <w:r w:rsidR="007B07E2" w:rsidRPr="009F337B">
        <w:rPr>
          <w:i w:val="0"/>
          <w:szCs w:val="20"/>
          <w:lang w:val="en-US"/>
        </w:rPr>
        <w:t>all</w:t>
      </w:r>
      <w:r w:rsidR="003C2AC6" w:rsidRPr="009F337B">
        <w:rPr>
          <w:i w:val="0"/>
          <w:szCs w:val="20"/>
          <w:lang w:val="en-US"/>
        </w:rPr>
        <w:t xml:space="preserve"> </w:t>
      </w:r>
      <w:proofErr w:type="spellStart"/>
      <w:r w:rsidR="003C2AC6" w:rsidRPr="009F337B">
        <w:rPr>
          <w:i w:val="0"/>
          <w:szCs w:val="20"/>
          <w:lang w:val="en-US"/>
        </w:rPr>
        <w:t>Cuscul</w:t>
      </w:r>
      <w:proofErr w:type="spellEnd"/>
      <w:r w:rsidR="003C2AC6" w:rsidRPr="009F337B">
        <w:rPr>
          <w:i w:val="0"/>
          <w:szCs w:val="20"/>
          <w:lang w:val="en-US"/>
        </w:rPr>
        <w:t xml:space="preserve"> Mundo, </w:t>
      </w:r>
      <w:r w:rsidR="00297F0B" w:rsidRPr="009F337B">
        <w:rPr>
          <w:i w:val="0"/>
          <w:szCs w:val="20"/>
          <w:lang w:val="en-US"/>
        </w:rPr>
        <w:t>his</w:t>
      </w:r>
      <w:r w:rsidR="003C2AC6" w:rsidRPr="009F337B">
        <w:rPr>
          <w:i w:val="0"/>
          <w:szCs w:val="20"/>
          <w:lang w:val="en-US"/>
        </w:rPr>
        <w:t xml:space="preserve"> </w:t>
      </w:r>
      <w:r w:rsidR="0010522A" w:rsidRPr="009F337B">
        <w:rPr>
          <w:i w:val="0"/>
          <w:szCs w:val="20"/>
          <w:lang w:val="en-US"/>
        </w:rPr>
        <w:t>sister</w:t>
      </w:r>
      <w:r w:rsidR="003C2AC6" w:rsidRPr="009F337B">
        <w:rPr>
          <w:i w:val="0"/>
          <w:szCs w:val="20"/>
          <w:lang w:val="en-US"/>
        </w:rPr>
        <w:t xml:space="preserve"> Etelvina </w:t>
      </w:r>
      <w:proofErr w:type="spellStart"/>
      <w:r w:rsidR="003C2AC6" w:rsidRPr="009F337B">
        <w:rPr>
          <w:i w:val="0"/>
          <w:szCs w:val="20"/>
          <w:lang w:val="en-US"/>
        </w:rPr>
        <w:t>Cuscul</w:t>
      </w:r>
      <w:proofErr w:type="spellEnd"/>
      <w:r w:rsidR="003C2AC6" w:rsidRPr="009F337B">
        <w:rPr>
          <w:i w:val="0"/>
          <w:szCs w:val="20"/>
          <w:lang w:val="en-US"/>
        </w:rPr>
        <w:t xml:space="preserve"> Mundo, </w:t>
      </w:r>
      <w:r w:rsidR="00297F0B" w:rsidRPr="009F337B">
        <w:rPr>
          <w:i w:val="0"/>
          <w:szCs w:val="20"/>
          <w:lang w:val="en-US"/>
        </w:rPr>
        <w:t>his</w:t>
      </w:r>
      <w:r w:rsidR="003C2AC6" w:rsidRPr="009F337B">
        <w:rPr>
          <w:i w:val="0"/>
          <w:szCs w:val="20"/>
          <w:lang w:val="en-US"/>
        </w:rPr>
        <w:t xml:space="preserve"> </w:t>
      </w:r>
      <w:r w:rsidR="0010522A" w:rsidRPr="009F337B">
        <w:rPr>
          <w:i w:val="0"/>
          <w:szCs w:val="20"/>
          <w:lang w:val="en-US"/>
        </w:rPr>
        <w:t>nephew</w:t>
      </w:r>
      <w:r w:rsidR="003C2AC6" w:rsidRPr="009F337B">
        <w:rPr>
          <w:i w:val="0"/>
          <w:szCs w:val="20"/>
          <w:lang w:val="en-US"/>
        </w:rPr>
        <w:t>s</w:t>
      </w:r>
      <w:r w:rsidR="003C46A3" w:rsidRPr="009F337B">
        <w:rPr>
          <w:i w:val="0"/>
          <w:szCs w:val="20"/>
          <w:lang w:val="en-US"/>
        </w:rPr>
        <w:t xml:space="preserve"> and </w:t>
      </w:r>
      <w:r w:rsidR="0010522A" w:rsidRPr="009F337B">
        <w:rPr>
          <w:i w:val="0"/>
          <w:szCs w:val="20"/>
          <w:lang w:val="en-US"/>
        </w:rPr>
        <w:t>niece</w:t>
      </w:r>
      <w:r w:rsidR="003C2AC6" w:rsidRPr="009F337B">
        <w:rPr>
          <w:i w:val="0"/>
          <w:szCs w:val="20"/>
          <w:lang w:val="en-US"/>
        </w:rPr>
        <w:t xml:space="preserve">s Eduardo </w:t>
      </w:r>
      <w:proofErr w:type="spellStart"/>
      <w:r w:rsidR="003C2AC6" w:rsidRPr="009F337B">
        <w:rPr>
          <w:i w:val="0"/>
          <w:szCs w:val="20"/>
          <w:lang w:val="en-US"/>
        </w:rPr>
        <w:t>Isaías</w:t>
      </w:r>
      <w:proofErr w:type="spellEnd"/>
      <w:r w:rsidR="003C2AC6" w:rsidRPr="009F337B">
        <w:rPr>
          <w:i w:val="0"/>
          <w:szCs w:val="20"/>
          <w:lang w:val="en-US"/>
        </w:rPr>
        <w:t xml:space="preserve"> </w:t>
      </w:r>
      <w:proofErr w:type="spellStart"/>
      <w:r w:rsidR="003C2AC6" w:rsidRPr="009F337B">
        <w:rPr>
          <w:i w:val="0"/>
          <w:szCs w:val="20"/>
          <w:lang w:val="en-US"/>
        </w:rPr>
        <w:t>Cuscul</w:t>
      </w:r>
      <w:proofErr w:type="spellEnd"/>
      <w:r w:rsidR="003C2AC6" w:rsidRPr="009F337B">
        <w:rPr>
          <w:i w:val="0"/>
          <w:szCs w:val="20"/>
          <w:lang w:val="en-US"/>
        </w:rPr>
        <w:t xml:space="preserve"> Antonio, Patricia Judith </w:t>
      </w:r>
      <w:proofErr w:type="spellStart"/>
      <w:r w:rsidR="003C2AC6" w:rsidRPr="009F337B">
        <w:rPr>
          <w:i w:val="0"/>
          <w:szCs w:val="20"/>
          <w:lang w:val="en-US"/>
        </w:rPr>
        <w:t>Cuscul</w:t>
      </w:r>
      <w:proofErr w:type="spellEnd"/>
      <w:r w:rsidR="003C2AC6" w:rsidRPr="009F337B">
        <w:rPr>
          <w:i w:val="0"/>
          <w:szCs w:val="20"/>
          <w:lang w:val="en-US"/>
        </w:rPr>
        <w:t xml:space="preserve"> Antonio, Luis Pablo </w:t>
      </w:r>
      <w:proofErr w:type="spellStart"/>
      <w:r w:rsidR="003C2AC6" w:rsidRPr="009F337B">
        <w:rPr>
          <w:i w:val="0"/>
          <w:szCs w:val="20"/>
          <w:lang w:val="en-US"/>
        </w:rPr>
        <w:t>Cuscul</w:t>
      </w:r>
      <w:proofErr w:type="spellEnd"/>
      <w:r w:rsidR="003C2AC6" w:rsidRPr="009F337B">
        <w:rPr>
          <w:i w:val="0"/>
          <w:szCs w:val="20"/>
          <w:lang w:val="en-US"/>
        </w:rPr>
        <w:t xml:space="preserve"> Antonio, Bryan Alexander Adolfo </w:t>
      </w:r>
      <w:proofErr w:type="spellStart"/>
      <w:r w:rsidR="003C2AC6" w:rsidRPr="009F337B">
        <w:rPr>
          <w:i w:val="0"/>
          <w:szCs w:val="20"/>
          <w:lang w:val="en-US"/>
        </w:rPr>
        <w:t>Cuscul</w:t>
      </w:r>
      <w:proofErr w:type="spellEnd"/>
      <w:r w:rsidR="003C2AC6" w:rsidRPr="009F337B">
        <w:rPr>
          <w:i w:val="0"/>
          <w:szCs w:val="20"/>
          <w:lang w:val="en-US"/>
        </w:rPr>
        <w:t xml:space="preserve"> </w:t>
      </w:r>
      <w:proofErr w:type="spellStart"/>
      <w:r w:rsidR="003C2AC6" w:rsidRPr="009F337B">
        <w:rPr>
          <w:i w:val="0"/>
          <w:szCs w:val="20"/>
          <w:lang w:val="en-US"/>
        </w:rPr>
        <w:t>Quiñonez</w:t>
      </w:r>
      <w:proofErr w:type="spellEnd"/>
      <w:r w:rsidR="003C2AC6" w:rsidRPr="009F337B">
        <w:rPr>
          <w:i w:val="0"/>
          <w:szCs w:val="20"/>
          <w:lang w:val="en-US"/>
        </w:rPr>
        <w:t xml:space="preserve">, Andy Joe </w:t>
      </w:r>
      <w:proofErr w:type="spellStart"/>
      <w:r w:rsidR="003C2AC6" w:rsidRPr="009F337B">
        <w:rPr>
          <w:i w:val="0"/>
          <w:szCs w:val="20"/>
          <w:lang w:val="en-US"/>
        </w:rPr>
        <w:t>Cuscul</w:t>
      </w:r>
      <w:proofErr w:type="spellEnd"/>
      <w:r w:rsidR="003C2AC6" w:rsidRPr="009F337B">
        <w:rPr>
          <w:i w:val="0"/>
          <w:szCs w:val="20"/>
          <w:lang w:val="en-US"/>
        </w:rPr>
        <w:t xml:space="preserve"> </w:t>
      </w:r>
      <w:proofErr w:type="spellStart"/>
      <w:r w:rsidR="003C2AC6" w:rsidRPr="009F337B">
        <w:rPr>
          <w:i w:val="0"/>
          <w:szCs w:val="20"/>
          <w:lang w:val="en-US"/>
        </w:rPr>
        <w:t>Quiñonez</w:t>
      </w:r>
      <w:proofErr w:type="spellEnd"/>
      <w:r w:rsidR="003C2AC6" w:rsidRPr="009F337B">
        <w:rPr>
          <w:i w:val="0"/>
          <w:szCs w:val="20"/>
          <w:lang w:val="en-US"/>
        </w:rPr>
        <w:t xml:space="preserve">, Manuel </w:t>
      </w:r>
      <w:proofErr w:type="spellStart"/>
      <w:r w:rsidR="003C2AC6" w:rsidRPr="009F337B">
        <w:rPr>
          <w:i w:val="0"/>
          <w:szCs w:val="20"/>
          <w:lang w:val="en-US"/>
        </w:rPr>
        <w:t>Cuscul</w:t>
      </w:r>
      <w:proofErr w:type="spellEnd"/>
      <w:r w:rsidR="003C2AC6" w:rsidRPr="009F337B">
        <w:rPr>
          <w:i w:val="0"/>
          <w:szCs w:val="20"/>
          <w:lang w:val="en-US"/>
        </w:rPr>
        <w:t xml:space="preserve"> Álvarez, Kevin Raul </w:t>
      </w:r>
      <w:proofErr w:type="spellStart"/>
      <w:r w:rsidR="003C2AC6" w:rsidRPr="009F337B">
        <w:rPr>
          <w:i w:val="0"/>
          <w:szCs w:val="20"/>
          <w:lang w:val="en-US"/>
        </w:rPr>
        <w:t>Cuscul</w:t>
      </w:r>
      <w:proofErr w:type="spellEnd"/>
      <w:r w:rsidR="003C2AC6" w:rsidRPr="009F337B">
        <w:rPr>
          <w:i w:val="0"/>
          <w:szCs w:val="20"/>
          <w:lang w:val="en-US"/>
        </w:rPr>
        <w:t xml:space="preserve"> Flores, Marlon Daniel </w:t>
      </w:r>
      <w:proofErr w:type="spellStart"/>
      <w:r w:rsidR="003C2AC6" w:rsidRPr="009F337B">
        <w:rPr>
          <w:i w:val="0"/>
          <w:szCs w:val="20"/>
          <w:lang w:val="en-US"/>
        </w:rPr>
        <w:t>Cuscul</w:t>
      </w:r>
      <w:proofErr w:type="spellEnd"/>
      <w:r w:rsidR="003C2AC6" w:rsidRPr="009F337B">
        <w:rPr>
          <w:i w:val="0"/>
          <w:szCs w:val="20"/>
          <w:lang w:val="en-US"/>
        </w:rPr>
        <w:t xml:space="preserve"> Flores, </w:t>
      </w:r>
      <w:proofErr w:type="spellStart"/>
      <w:r w:rsidR="003C2AC6" w:rsidRPr="009F337B">
        <w:rPr>
          <w:i w:val="0"/>
          <w:szCs w:val="20"/>
          <w:lang w:val="en-US"/>
        </w:rPr>
        <w:t>Ángel</w:t>
      </w:r>
      <w:proofErr w:type="spellEnd"/>
      <w:r w:rsidR="003C2AC6" w:rsidRPr="009F337B">
        <w:rPr>
          <w:i w:val="0"/>
          <w:szCs w:val="20"/>
          <w:lang w:val="en-US"/>
        </w:rPr>
        <w:t xml:space="preserve"> Gabriel </w:t>
      </w:r>
      <w:proofErr w:type="spellStart"/>
      <w:r w:rsidR="003C2AC6" w:rsidRPr="009F337B">
        <w:rPr>
          <w:i w:val="0"/>
          <w:szCs w:val="20"/>
          <w:lang w:val="en-US"/>
        </w:rPr>
        <w:t>Cuscul</w:t>
      </w:r>
      <w:proofErr w:type="spellEnd"/>
      <w:r w:rsidR="003C2AC6" w:rsidRPr="009F337B">
        <w:rPr>
          <w:i w:val="0"/>
          <w:szCs w:val="20"/>
          <w:lang w:val="en-US"/>
        </w:rPr>
        <w:t xml:space="preserve"> Flores, Andrea Etelvina Sanchez </w:t>
      </w:r>
      <w:proofErr w:type="spellStart"/>
      <w:r w:rsidR="003C2AC6" w:rsidRPr="009F337B">
        <w:rPr>
          <w:i w:val="0"/>
          <w:szCs w:val="20"/>
          <w:lang w:val="en-US"/>
        </w:rPr>
        <w:t>Cuscul</w:t>
      </w:r>
      <w:proofErr w:type="spellEnd"/>
      <w:r w:rsidR="003C2AC6" w:rsidRPr="009F337B">
        <w:rPr>
          <w:i w:val="0"/>
          <w:szCs w:val="20"/>
          <w:lang w:val="en-US"/>
        </w:rPr>
        <w:t xml:space="preserve">, Roxana Pamela Sanchez </w:t>
      </w:r>
      <w:proofErr w:type="spellStart"/>
      <w:r w:rsidR="003C2AC6" w:rsidRPr="009F337B">
        <w:rPr>
          <w:i w:val="0"/>
          <w:szCs w:val="20"/>
          <w:lang w:val="en-US"/>
        </w:rPr>
        <w:t>Cuscul</w:t>
      </w:r>
      <w:proofErr w:type="spellEnd"/>
      <w:r w:rsidR="003C2AC6" w:rsidRPr="009F337B">
        <w:rPr>
          <w:i w:val="0"/>
          <w:szCs w:val="20"/>
          <w:lang w:val="en-US"/>
        </w:rPr>
        <w:t>,</w:t>
      </w:r>
      <w:r w:rsidR="003C46A3" w:rsidRPr="009F337B">
        <w:rPr>
          <w:i w:val="0"/>
          <w:szCs w:val="20"/>
          <w:lang w:val="en-US"/>
        </w:rPr>
        <w:t xml:space="preserve"> and </w:t>
      </w:r>
      <w:r w:rsidR="00297F0B" w:rsidRPr="009F337B">
        <w:rPr>
          <w:i w:val="0"/>
          <w:szCs w:val="20"/>
          <w:lang w:val="en-US"/>
        </w:rPr>
        <w:t>his</w:t>
      </w:r>
      <w:r w:rsidR="003C2AC6" w:rsidRPr="009F337B">
        <w:rPr>
          <w:i w:val="0"/>
          <w:szCs w:val="20"/>
          <w:lang w:val="en-US"/>
        </w:rPr>
        <w:t xml:space="preserve"> </w:t>
      </w:r>
      <w:r w:rsidR="0010522A" w:rsidRPr="009F337B">
        <w:rPr>
          <w:i w:val="0"/>
          <w:szCs w:val="20"/>
          <w:lang w:val="en-US"/>
        </w:rPr>
        <w:t>partner</w:t>
      </w:r>
      <w:r w:rsidR="00297F0B" w:rsidRPr="009F337B">
        <w:rPr>
          <w:i w:val="0"/>
          <w:szCs w:val="20"/>
          <w:lang w:val="en-US"/>
        </w:rPr>
        <w:t>.</w:t>
      </w:r>
      <w:r w:rsidR="003C2AC6" w:rsidRPr="009F337B">
        <w:rPr>
          <w:rStyle w:val="Refdenotaalpie"/>
          <w:i w:val="0"/>
          <w:lang w:val="en-US"/>
        </w:rPr>
        <w:footnoteReference w:id="315"/>
      </w:r>
    </w:p>
    <w:p w14:paraId="7A754F3F" w14:textId="77777777" w:rsidR="003C2AC6" w:rsidRPr="009F337B" w:rsidRDefault="003C2AC6" w:rsidP="003C2AC6">
      <w:pPr>
        <w:pStyle w:val="PrrafodeSentencia"/>
        <w:rPr>
          <w:lang w:val="en-US"/>
        </w:rPr>
      </w:pPr>
    </w:p>
    <w:p w14:paraId="016E1662" w14:textId="77777777" w:rsidR="003C2AC6" w:rsidRPr="009F337B" w:rsidRDefault="003C2AC6" w:rsidP="003C2AC6">
      <w:pPr>
        <w:pStyle w:val="PrrafodeSentencia"/>
        <w:rPr>
          <w:lang w:val="en-US"/>
        </w:rPr>
      </w:pPr>
      <w:r w:rsidRPr="009F337B">
        <w:rPr>
          <w:lang w:val="en-US"/>
        </w:rPr>
        <w:tab/>
        <w:t>B.12. Olga Marina Castillo</w:t>
      </w:r>
    </w:p>
    <w:p w14:paraId="775D4FB1" w14:textId="77777777" w:rsidR="003C2AC6" w:rsidRPr="009F337B" w:rsidRDefault="003C2AC6" w:rsidP="003C2AC6">
      <w:pPr>
        <w:pStyle w:val="PrrafodeSentencia"/>
        <w:rPr>
          <w:lang w:val="en-US"/>
        </w:rPr>
      </w:pPr>
    </w:p>
    <w:p w14:paraId="51C72BF1" w14:textId="1D11BAAC" w:rsidR="003C2AC6" w:rsidRPr="009F337B" w:rsidRDefault="007F1AEB" w:rsidP="00593E37">
      <w:pPr>
        <w:pStyle w:val="Estilo1"/>
        <w:numPr>
          <w:ilvl w:val="0"/>
          <w:numId w:val="5"/>
        </w:numPr>
        <w:tabs>
          <w:tab w:val="left" w:pos="709"/>
          <w:tab w:val="left" w:pos="1134"/>
        </w:tabs>
        <w:spacing w:after="0"/>
        <w:ind w:left="0" w:right="-4" w:firstLine="0"/>
        <w:rPr>
          <w:i w:val="0"/>
          <w:szCs w:val="20"/>
          <w:lang w:val="en-US"/>
        </w:rPr>
      </w:pPr>
      <w:r w:rsidRPr="009F337B">
        <w:rPr>
          <w:i w:val="0"/>
          <w:szCs w:val="20"/>
          <w:lang w:val="en-US"/>
        </w:rPr>
        <w:t>Ms.</w:t>
      </w:r>
      <w:r w:rsidR="003C2AC6" w:rsidRPr="009F337B">
        <w:rPr>
          <w:i w:val="0"/>
          <w:szCs w:val="20"/>
          <w:lang w:val="en-US"/>
        </w:rPr>
        <w:t xml:space="preserve"> Marina Castillo </w:t>
      </w:r>
      <w:r w:rsidR="0084040D" w:rsidRPr="009F337B">
        <w:rPr>
          <w:i w:val="0"/>
          <w:szCs w:val="20"/>
          <w:lang w:val="en-US"/>
        </w:rPr>
        <w:t>was born on</w:t>
      </w:r>
      <w:r w:rsidR="003C2AC6" w:rsidRPr="009F337B">
        <w:rPr>
          <w:i w:val="0"/>
          <w:szCs w:val="20"/>
          <w:lang w:val="en-US"/>
        </w:rPr>
        <w:t xml:space="preserve"> </w:t>
      </w:r>
      <w:r w:rsidR="00297F0B" w:rsidRPr="009F337B">
        <w:rPr>
          <w:i w:val="0"/>
          <w:szCs w:val="20"/>
          <w:lang w:val="en-US"/>
        </w:rPr>
        <w:t>October 27,</w:t>
      </w:r>
      <w:r w:rsidR="003C2AC6" w:rsidRPr="009F337B">
        <w:rPr>
          <w:i w:val="0"/>
          <w:szCs w:val="20"/>
          <w:lang w:val="en-US"/>
        </w:rPr>
        <w:t xml:space="preserve"> 1976</w:t>
      </w:r>
      <w:r w:rsidR="00297F0B" w:rsidRPr="009F337B">
        <w:rPr>
          <w:i w:val="0"/>
          <w:szCs w:val="20"/>
          <w:lang w:val="en-US"/>
        </w:rPr>
        <w:t>,</w:t>
      </w:r>
      <w:r w:rsidR="003C2AC6" w:rsidRPr="009F337B">
        <w:rPr>
          <w:i w:val="0"/>
          <w:szCs w:val="20"/>
          <w:lang w:val="en-US"/>
        </w:rPr>
        <w:t xml:space="preserve"> </w:t>
      </w:r>
      <w:r w:rsidR="00A758A5" w:rsidRPr="009F337B">
        <w:rPr>
          <w:i w:val="0"/>
          <w:szCs w:val="20"/>
          <w:lang w:val="en-US"/>
        </w:rPr>
        <w:t>in the municipality</w:t>
      </w:r>
      <w:r w:rsidR="00D85CA7" w:rsidRPr="009F337B">
        <w:rPr>
          <w:i w:val="0"/>
          <w:szCs w:val="20"/>
          <w:lang w:val="en-US"/>
        </w:rPr>
        <w:t xml:space="preserve"> of</w:t>
      </w:r>
      <w:r w:rsidR="003C2AC6" w:rsidRPr="009F337B">
        <w:rPr>
          <w:i w:val="0"/>
          <w:szCs w:val="20"/>
          <w:lang w:val="en-US"/>
        </w:rPr>
        <w:t xml:space="preserve"> Guatemala, </w:t>
      </w:r>
      <w:r w:rsidR="003E1304" w:rsidRPr="009F337B">
        <w:rPr>
          <w:i w:val="0"/>
          <w:szCs w:val="20"/>
          <w:lang w:val="en-US"/>
        </w:rPr>
        <w:t>department of</w:t>
      </w:r>
      <w:r w:rsidR="003C2AC6" w:rsidRPr="009F337B">
        <w:rPr>
          <w:i w:val="0"/>
          <w:szCs w:val="20"/>
          <w:lang w:val="en-US"/>
        </w:rPr>
        <w:t xml:space="preserve"> Guatemala, Guatemala. </w:t>
      </w:r>
      <w:r w:rsidR="00297F0B" w:rsidRPr="009F337B">
        <w:rPr>
          <w:i w:val="0"/>
          <w:szCs w:val="20"/>
          <w:lang w:val="en-US"/>
        </w:rPr>
        <w:t>In</w:t>
      </w:r>
      <w:r w:rsidR="003C2AC6" w:rsidRPr="009F337B">
        <w:rPr>
          <w:i w:val="0"/>
          <w:szCs w:val="20"/>
          <w:lang w:val="en-US"/>
        </w:rPr>
        <w:t xml:space="preserve"> 2003</w:t>
      </w:r>
      <w:r w:rsidR="00297F0B" w:rsidRPr="009F337B">
        <w:rPr>
          <w:i w:val="0"/>
          <w:szCs w:val="20"/>
          <w:lang w:val="en-US"/>
        </w:rPr>
        <w:t>, she received</w:t>
      </w:r>
      <w:r w:rsidR="003C2AC6" w:rsidRPr="009F337B">
        <w:rPr>
          <w:i w:val="0"/>
          <w:szCs w:val="20"/>
          <w:lang w:val="en-US"/>
        </w:rPr>
        <w:t xml:space="preserve"> </w:t>
      </w:r>
      <w:r w:rsidR="00FE1EFF" w:rsidRPr="009F337B">
        <w:rPr>
          <w:i w:val="0"/>
          <w:szCs w:val="20"/>
          <w:lang w:val="en-US"/>
        </w:rPr>
        <w:t>antiretroviral treatment</w:t>
      </w:r>
      <w:r w:rsidR="003C2AC6" w:rsidRPr="009F337B">
        <w:rPr>
          <w:i w:val="0"/>
          <w:szCs w:val="20"/>
          <w:lang w:val="en-US"/>
        </w:rPr>
        <w:t xml:space="preserve"> </w:t>
      </w:r>
      <w:r w:rsidR="00297F0B" w:rsidRPr="009F337B">
        <w:rPr>
          <w:i w:val="0"/>
          <w:szCs w:val="20"/>
          <w:lang w:val="en-US"/>
        </w:rPr>
        <w:t>from</w:t>
      </w:r>
      <w:r w:rsidR="003C2AC6" w:rsidRPr="009F337B">
        <w:rPr>
          <w:i w:val="0"/>
          <w:szCs w:val="20"/>
          <w:lang w:val="en-US"/>
        </w:rPr>
        <w:t xml:space="preserve"> MSF</w:t>
      </w:r>
      <w:r w:rsidR="00297F0B" w:rsidRPr="009F337B">
        <w:rPr>
          <w:i w:val="0"/>
          <w:szCs w:val="20"/>
          <w:lang w:val="en-US"/>
        </w:rPr>
        <w:t>.</w:t>
      </w:r>
      <w:r w:rsidR="003C2AC6" w:rsidRPr="009F337B">
        <w:rPr>
          <w:rStyle w:val="Refdenotaalpie"/>
          <w:i w:val="0"/>
          <w:lang w:val="en-US"/>
        </w:rPr>
        <w:footnoteReference w:id="316"/>
      </w:r>
    </w:p>
    <w:p w14:paraId="60ED9E7B" w14:textId="77777777" w:rsidR="003C2AC6" w:rsidRPr="009F337B" w:rsidRDefault="003C2AC6" w:rsidP="003C2AC6">
      <w:pPr>
        <w:pStyle w:val="PrrafodeSentencia"/>
        <w:rPr>
          <w:lang w:val="en-US"/>
        </w:rPr>
      </w:pPr>
    </w:p>
    <w:p w14:paraId="16E5BE09" w14:textId="77777777" w:rsidR="003C2AC6" w:rsidRPr="009F337B" w:rsidRDefault="003C2AC6" w:rsidP="003C2AC6">
      <w:pPr>
        <w:pStyle w:val="PrrafodeSentencia"/>
        <w:rPr>
          <w:lang w:val="en-US"/>
        </w:rPr>
      </w:pPr>
      <w:r w:rsidRPr="009F337B">
        <w:rPr>
          <w:lang w:val="en-US"/>
        </w:rPr>
        <w:tab/>
        <w:t>B.13. María Felipe Pérez</w:t>
      </w:r>
    </w:p>
    <w:p w14:paraId="06B82196" w14:textId="77777777" w:rsidR="003C2AC6" w:rsidRPr="009F337B" w:rsidRDefault="003C2AC6" w:rsidP="003C2AC6">
      <w:pPr>
        <w:pStyle w:val="PrrafodeSentencia"/>
        <w:rPr>
          <w:lang w:val="en-US"/>
        </w:rPr>
      </w:pPr>
    </w:p>
    <w:p w14:paraId="60ED2173" w14:textId="20046508" w:rsidR="003C2AC6" w:rsidRPr="009F337B" w:rsidRDefault="007F1AEB" w:rsidP="00593E37">
      <w:pPr>
        <w:pStyle w:val="Estilo1"/>
        <w:numPr>
          <w:ilvl w:val="0"/>
          <w:numId w:val="5"/>
        </w:numPr>
        <w:tabs>
          <w:tab w:val="left" w:pos="709"/>
          <w:tab w:val="left" w:pos="1134"/>
        </w:tabs>
        <w:spacing w:after="0"/>
        <w:ind w:left="0" w:right="-4" w:firstLine="0"/>
        <w:rPr>
          <w:i w:val="0"/>
          <w:szCs w:val="20"/>
          <w:lang w:val="en-US"/>
        </w:rPr>
      </w:pPr>
      <w:r w:rsidRPr="009F337B">
        <w:rPr>
          <w:i w:val="0"/>
          <w:szCs w:val="20"/>
          <w:lang w:val="en-US"/>
        </w:rPr>
        <w:t>Mrs.</w:t>
      </w:r>
      <w:r w:rsidR="003C2AC6" w:rsidRPr="009F337B">
        <w:rPr>
          <w:i w:val="0"/>
          <w:szCs w:val="20"/>
          <w:lang w:val="en-US"/>
        </w:rPr>
        <w:t xml:space="preserve"> Felipe Pérez </w:t>
      </w:r>
      <w:r w:rsidR="0084040D" w:rsidRPr="009F337B">
        <w:rPr>
          <w:i w:val="0"/>
          <w:szCs w:val="20"/>
          <w:lang w:val="en-US"/>
        </w:rPr>
        <w:t>was born on</w:t>
      </w:r>
      <w:r w:rsidR="003C2AC6" w:rsidRPr="009F337B">
        <w:rPr>
          <w:i w:val="0"/>
          <w:szCs w:val="20"/>
          <w:lang w:val="en-US"/>
        </w:rPr>
        <w:t xml:space="preserve"> </w:t>
      </w:r>
      <w:r w:rsidR="00D45D5F" w:rsidRPr="009F337B">
        <w:rPr>
          <w:i w:val="0"/>
          <w:szCs w:val="20"/>
          <w:lang w:val="en-US"/>
        </w:rPr>
        <w:t>August  20,</w:t>
      </w:r>
      <w:r w:rsidR="003C2AC6" w:rsidRPr="009F337B">
        <w:rPr>
          <w:i w:val="0"/>
          <w:szCs w:val="20"/>
          <w:lang w:val="en-US"/>
        </w:rPr>
        <w:t xml:space="preserve"> 1964</w:t>
      </w:r>
      <w:r w:rsidR="00D45D5F" w:rsidRPr="009F337B">
        <w:rPr>
          <w:i w:val="0"/>
          <w:szCs w:val="20"/>
          <w:lang w:val="en-US"/>
        </w:rPr>
        <w:t>,</w:t>
      </w:r>
      <w:r w:rsidR="003C2AC6" w:rsidRPr="009F337B">
        <w:rPr>
          <w:i w:val="0"/>
          <w:szCs w:val="20"/>
          <w:lang w:val="en-US"/>
        </w:rPr>
        <w:t xml:space="preserve"> </w:t>
      </w:r>
      <w:r w:rsidR="00A758A5" w:rsidRPr="009F337B">
        <w:rPr>
          <w:i w:val="0"/>
          <w:szCs w:val="20"/>
          <w:lang w:val="en-US"/>
        </w:rPr>
        <w:t>in the municipality</w:t>
      </w:r>
      <w:r w:rsidR="00D85CA7" w:rsidRPr="009F337B">
        <w:rPr>
          <w:i w:val="0"/>
          <w:szCs w:val="20"/>
          <w:lang w:val="en-US"/>
        </w:rPr>
        <w:t xml:space="preserve"> of</w:t>
      </w:r>
      <w:r w:rsidR="003C2AC6" w:rsidRPr="009F337B">
        <w:rPr>
          <w:i w:val="0"/>
          <w:szCs w:val="20"/>
          <w:lang w:val="en-US"/>
        </w:rPr>
        <w:t xml:space="preserve"> San Ildefonso </w:t>
      </w:r>
      <w:proofErr w:type="spellStart"/>
      <w:r w:rsidR="003C2AC6" w:rsidRPr="009F337B">
        <w:rPr>
          <w:i w:val="0"/>
          <w:szCs w:val="20"/>
          <w:lang w:val="en-US"/>
        </w:rPr>
        <w:t>Ixtahuacán</w:t>
      </w:r>
      <w:proofErr w:type="spellEnd"/>
      <w:r w:rsidR="003C2AC6" w:rsidRPr="009F337B">
        <w:rPr>
          <w:i w:val="0"/>
          <w:szCs w:val="20"/>
          <w:lang w:val="en-US"/>
        </w:rPr>
        <w:t xml:space="preserve">, </w:t>
      </w:r>
      <w:r w:rsidR="003E1304" w:rsidRPr="009F337B">
        <w:rPr>
          <w:i w:val="0"/>
          <w:szCs w:val="20"/>
          <w:lang w:val="en-US"/>
        </w:rPr>
        <w:t>department of</w:t>
      </w:r>
      <w:r w:rsidR="003C2AC6" w:rsidRPr="009F337B">
        <w:rPr>
          <w:i w:val="0"/>
          <w:szCs w:val="20"/>
          <w:lang w:val="en-US"/>
        </w:rPr>
        <w:t xml:space="preserve"> Huehuetenango, Guatemala. </w:t>
      </w:r>
      <w:r w:rsidR="00D45D5F" w:rsidRPr="009F337B">
        <w:rPr>
          <w:i w:val="0"/>
          <w:szCs w:val="20"/>
          <w:lang w:val="en-US"/>
        </w:rPr>
        <w:t>She l</w:t>
      </w:r>
      <w:r w:rsidR="00D85CA7" w:rsidRPr="009F337B">
        <w:rPr>
          <w:i w:val="0"/>
          <w:szCs w:val="20"/>
          <w:lang w:val="en-US"/>
        </w:rPr>
        <w:t>ives in</w:t>
      </w:r>
      <w:r w:rsidR="003C2AC6" w:rsidRPr="009F337B">
        <w:rPr>
          <w:i w:val="0"/>
          <w:szCs w:val="20"/>
          <w:lang w:val="en-US"/>
        </w:rPr>
        <w:t xml:space="preserve"> </w:t>
      </w:r>
      <w:r w:rsidR="00D45D5F" w:rsidRPr="009F337B">
        <w:rPr>
          <w:i w:val="0"/>
          <w:szCs w:val="20"/>
          <w:lang w:val="en-US"/>
        </w:rPr>
        <w:t>the village of</w:t>
      </w:r>
      <w:r w:rsidR="003C2AC6" w:rsidRPr="009F337B">
        <w:rPr>
          <w:i w:val="0"/>
          <w:szCs w:val="20"/>
          <w:lang w:val="en-US"/>
        </w:rPr>
        <w:t xml:space="preserve"> Monte Cristo, Sector Santa Rosa, </w:t>
      </w:r>
      <w:proofErr w:type="spellStart"/>
      <w:r w:rsidR="003C2AC6" w:rsidRPr="009F337B">
        <w:rPr>
          <w:i w:val="0"/>
          <w:szCs w:val="20"/>
          <w:lang w:val="en-US"/>
        </w:rPr>
        <w:t>Champerico</w:t>
      </w:r>
      <w:proofErr w:type="spellEnd"/>
      <w:r w:rsidR="003C2AC6" w:rsidRPr="009F337B">
        <w:rPr>
          <w:i w:val="0"/>
          <w:szCs w:val="20"/>
          <w:lang w:val="en-US"/>
        </w:rPr>
        <w:t xml:space="preserve">, Retalhuleu, Guatemala. </w:t>
      </w:r>
      <w:r w:rsidR="00D45D5F" w:rsidRPr="009F337B">
        <w:rPr>
          <w:i w:val="0"/>
          <w:szCs w:val="20"/>
          <w:lang w:val="en-US"/>
        </w:rPr>
        <w:t>She speaks Mam</w:t>
      </w:r>
      <w:r w:rsidR="003C46A3" w:rsidRPr="009F337B">
        <w:rPr>
          <w:i w:val="0"/>
          <w:szCs w:val="20"/>
          <w:lang w:val="en-US"/>
        </w:rPr>
        <w:t xml:space="preserve"> </w:t>
      </w:r>
      <w:r w:rsidR="001C4CEA" w:rsidRPr="009F337B">
        <w:rPr>
          <w:i w:val="0"/>
          <w:szCs w:val="20"/>
          <w:lang w:val="en-US"/>
        </w:rPr>
        <w:t>and Spanish</w:t>
      </w:r>
      <w:r w:rsidR="003C2AC6" w:rsidRPr="009F337B">
        <w:rPr>
          <w:i w:val="0"/>
          <w:szCs w:val="20"/>
          <w:lang w:val="en-US"/>
        </w:rPr>
        <w:t xml:space="preserve">. </w:t>
      </w:r>
      <w:r w:rsidR="00D45D5F" w:rsidRPr="009F337B">
        <w:rPr>
          <w:i w:val="0"/>
          <w:szCs w:val="20"/>
          <w:lang w:val="en-US"/>
        </w:rPr>
        <w:t xml:space="preserve">She </w:t>
      </w:r>
      <w:r w:rsidR="00DA1821" w:rsidRPr="009F337B">
        <w:rPr>
          <w:i w:val="0"/>
          <w:szCs w:val="20"/>
          <w:lang w:val="en-US"/>
        </w:rPr>
        <w:t>completed</w:t>
      </w:r>
      <w:r w:rsidR="00D45D5F" w:rsidRPr="009F337B">
        <w:rPr>
          <w:i w:val="0"/>
          <w:szCs w:val="20"/>
          <w:lang w:val="en-US"/>
        </w:rPr>
        <w:t xml:space="preserve"> second year of </w:t>
      </w:r>
      <w:r w:rsidR="00327D89" w:rsidRPr="009F337B">
        <w:rPr>
          <w:i w:val="0"/>
          <w:szCs w:val="20"/>
          <w:lang w:val="en-US"/>
        </w:rPr>
        <w:t>primary education</w:t>
      </w:r>
      <w:r w:rsidR="003C2AC6" w:rsidRPr="009F337B">
        <w:rPr>
          <w:i w:val="0"/>
          <w:szCs w:val="20"/>
          <w:lang w:val="en-US"/>
        </w:rPr>
        <w:t xml:space="preserve">. </w:t>
      </w:r>
      <w:r w:rsidR="00D45D5F" w:rsidRPr="009F337B">
        <w:rPr>
          <w:i w:val="0"/>
          <w:szCs w:val="20"/>
          <w:lang w:val="en-US"/>
        </w:rPr>
        <w:t>She w</w:t>
      </w:r>
      <w:r w:rsidR="001071B4" w:rsidRPr="009F337B">
        <w:rPr>
          <w:i w:val="0"/>
          <w:szCs w:val="20"/>
          <w:lang w:val="en-US"/>
        </w:rPr>
        <w:t>as diagnosed</w:t>
      </w:r>
      <w:r w:rsidR="003C2AC6" w:rsidRPr="009F337B">
        <w:rPr>
          <w:i w:val="0"/>
          <w:szCs w:val="20"/>
          <w:lang w:val="en-US"/>
        </w:rPr>
        <w:t xml:space="preserve"> </w:t>
      </w:r>
      <w:r w:rsidR="00D45D5F" w:rsidRPr="009F337B">
        <w:rPr>
          <w:i w:val="0"/>
          <w:szCs w:val="20"/>
          <w:lang w:val="en-US"/>
        </w:rPr>
        <w:t>i</w:t>
      </w:r>
      <w:r w:rsidR="003C2AC6" w:rsidRPr="009F337B">
        <w:rPr>
          <w:i w:val="0"/>
          <w:szCs w:val="20"/>
          <w:lang w:val="en-US"/>
        </w:rPr>
        <w:t xml:space="preserve">n 1999, </w:t>
      </w:r>
      <w:r w:rsidR="00D45D5F" w:rsidRPr="009F337B">
        <w:rPr>
          <w:i w:val="0"/>
          <w:szCs w:val="20"/>
          <w:lang w:val="en-US"/>
        </w:rPr>
        <w:t>under MSF’s</w:t>
      </w:r>
      <w:r w:rsidR="003C2AC6" w:rsidRPr="009F337B">
        <w:rPr>
          <w:i w:val="0"/>
          <w:szCs w:val="20"/>
          <w:lang w:val="en-US"/>
        </w:rPr>
        <w:t xml:space="preserve"> </w:t>
      </w:r>
      <w:r w:rsidR="00AE674B" w:rsidRPr="009F337B">
        <w:rPr>
          <w:szCs w:val="20"/>
          <w:lang w:val="en-US"/>
        </w:rPr>
        <w:t>Proyecto Vida</w:t>
      </w:r>
      <w:r w:rsidR="003C2AC6" w:rsidRPr="009F337B">
        <w:rPr>
          <w:i w:val="0"/>
          <w:szCs w:val="20"/>
          <w:lang w:val="en-US"/>
        </w:rPr>
        <w:t xml:space="preserve">. </w:t>
      </w:r>
      <w:r w:rsidR="00D45D5F" w:rsidRPr="009F337B">
        <w:rPr>
          <w:i w:val="0"/>
          <w:szCs w:val="20"/>
          <w:lang w:val="en-US"/>
        </w:rPr>
        <w:t xml:space="preserve">She started treatment in 2001. She was transferred to the </w:t>
      </w:r>
      <w:proofErr w:type="spellStart"/>
      <w:r w:rsidR="005F10B1" w:rsidRPr="009F337B">
        <w:rPr>
          <w:i w:val="0"/>
          <w:szCs w:val="20"/>
          <w:lang w:val="en-US"/>
        </w:rPr>
        <w:t>Coatepeque</w:t>
      </w:r>
      <w:proofErr w:type="spellEnd"/>
      <w:r w:rsidR="005F10B1" w:rsidRPr="009F337B">
        <w:rPr>
          <w:i w:val="0"/>
          <w:szCs w:val="20"/>
          <w:lang w:val="en-US"/>
        </w:rPr>
        <w:t xml:space="preserve"> National Hospital</w:t>
      </w:r>
      <w:r w:rsidR="003C2AC6" w:rsidRPr="009F337B">
        <w:rPr>
          <w:i w:val="0"/>
          <w:szCs w:val="20"/>
          <w:lang w:val="en-US"/>
        </w:rPr>
        <w:t xml:space="preserve">, </w:t>
      </w:r>
      <w:r w:rsidR="00D45D5F" w:rsidRPr="009F337B">
        <w:rPr>
          <w:i w:val="0"/>
          <w:szCs w:val="20"/>
          <w:lang w:val="en-US"/>
        </w:rPr>
        <w:t xml:space="preserve">but </w:t>
      </w:r>
      <w:r w:rsidR="00DA1821" w:rsidRPr="009F337B">
        <w:rPr>
          <w:i w:val="0"/>
          <w:szCs w:val="20"/>
          <w:lang w:val="en-US"/>
        </w:rPr>
        <w:t>due to</w:t>
      </w:r>
      <w:r w:rsidR="00D45D5F" w:rsidRPr="009F337B">
        <w:rPr>
          <w:i w:val="0"/>
          <w:szCs w:val="20"/>
          <w:lang w:val="en-US"/>
        </w:rPr>
        <w:t xml:space="preserve"> the distance and her financial possibilities, she w</w:t>
      </w:r>
      <w:r w:rsidR="00DA1821" w:rsidRPr="009F337B">
        <w:rPr>
          <w:i w:val="0"/>
          <w:szCs w:val="20"/>
          <w:lang w:val="en-US"/>
        </w:rPr>
        <w:t>a</w:t>
      </w:r>
      <w:r w:rsidR="00D45D5F" w:rsidRPr="009F337B">
        <w:rPr>
          <w:i w:val="0"/>
          <w:szCs w:val="20"/>
          <w:lang w:val="en-US"/>
        </w:rPr>
        <w:t xml:space="preserve">s transferred to the </w:t>
      </w:r>
      <w:r w:rsidR="003C2AC6" w:rsidRPr="009F337B">
        <w:rPr>
          <w:i w:val="0"/>
          <w:szCs w:val="20"/>
          <w:lang w:val="en-US"/>
        </w:rPr>
        <w:t>Retalhuleu</w:t>
      </w:r>
      <w:r w:rsidR="00D45D5F" w:rsidRPr="009F337B">
        <w:rPr>
          <w:i w:val="0"/>
          <w:szCs w:val="20"/>
          <w:lang w:val="en-US"/>
        </w:rPr>
        <w:t xml:space="preserve"> Hospital</w:t>
      </w:r>
      <w:r w:rsidR="003C2AC6" w:rsidRPr="009F337B">
        <w:rPr>
          <w:i w:val="0"/>
          <w:szCs w:val="20"/>
          <w:lang w:val="en-US"/>
        </w:rPr>
        <w:t xml:space="preserve">. </w:t>
      </w:r>
      <w:r w:rsidR="00D45D5F" w:rsidRPr="009F337B">
        <w:rPr>
          <w:i w:val="0"/>
          <w:szCs w:val="20"/>
          <w:lang w:val="en-US"/>
        </w:rPr>
        <w:t>She has undergone CD4 counts (6)</w:t>
      </w:r>
      <w:r w:rsidR="003C2AC6" w:rsidRPr="009F337B">
        <w:rPr>
          <w:i w:val="0"/>
          <w:szCs w:val="20"/>
          <w:lang w:val="en-US"/>
        </w:rPr>
        <w:t>)</w:t>
      </w:r>
      <w:r w:rsidR="003C46A3" w:rsidRPr="009F337B">
        <w:rPr>
          <w:i w:val="0"/>
          <w:szCs w:val="20"/>
          <w:lang w:val="en-US"/>
        </w:rPr>
        <w:t xml:space="preserve"> and </w:t>
      </w:r>
      <w:r w:rsidR="00CC4867" w:rsidRPr="009F337B">
        <w:rPr>
          <w:i w:val="0"/>
          <w:szCs w:val="20"/>
          <w:lang w:val="en-US"/>
        </w:rPr>
        <w:t>viral load</w:t>
      </w:r>
      <w:r w:rsidR="00D45D5F" w:rsidRPr="009F337B">
        <w:rPr>
          <w:i w:val="0"/>
          <w:szCs w:val="20"/>
          <w:lang w:val="en-US"/>
        </w:rPr>
        <w:t xml:space="preserve"> tests</w:t>
      </w:r>
      <w:r w:rsidR="003C2AC6" w:rsidRPr="009F337B">
        <w:rPr>
          <w:i w:val="0"/>
          <w:szCs w:val="20"/>
          <w:lang w:val="en-US"/>
        </w:rPr>
        <w:t xml:space="preserve"> (2), irregular</w:t>
      </w:r>
      <w:r w:rsidR="00D45D5F" w:rsidRPr="009F337B">
        <w:rPr>
          <w:i w:val="0"/>
          <w:szCs w:val="20"/>
          <w:lang w:val="en-US"/>
        </w:rPr>
        <w:t>ly</w:t>
      </w:r>
      <w:r w:rsidR="003C2AC6" w:rsidRPr="009F337B">
        <w:rPr>
          <w:i w:val="0"/>
          <w:szCs w:val="20"/>
          <w:lang w:val="en-US"/>
        </w:rPr>
        <w:t xml:space="preserve">. </w:t>
      </w:r>
      <w:r w:rsidR="00D45D5F" w:rsidRPr="009F337B">
        <w:rPr>
          <w:i w:val="0"/>
          <w:szCs w:val="20"/>
          <w:lang w:val="en-US"/>
        </w:rPr>
        <w:t xml:space="preserve">She has not received </w:t>
      </w:r>
      <w:r w:rsidR="003B5D80" w:rsidRPr="009F337B">
        <w:rPr>
          <w:i w:val="0"/>
          <w:szCs w:val="20"/>
          <w:lang w:val="en-US"/>
        </w:rPr>
        <w:t>genotype</w:t>
      </w:r>
      <w:r w:rsidR="003C2AC6" w:rsidRPr="009F337B">
        <w:rPr>
          <w:i w:val="0"/>
          <w:szCs w:val="20"/>
          <w:lang w:val="en-US"/>
        </w:rPr>
        <w:t xml:space="preserve"> </w:t>
      </w:r>
      <w:r w:rsidR="00D45D5F" w:rsidRPr="009F337B">
        <w:rPr>
          <w:i w:val="0"/>
          <w:szCs w:val="20"/>
          <w:lang w:val="en-US"/>
        </w:rPr>
        <w:t>or</w:t>
      </w:r>
      <w:r w:rsidR="003C2AC6" w:rsidRPr="009F337B">
        <w:rPr>
          <w:i w:val="0"/>
          <w:szCs w:val="20"/>
          <w:lang w:val="en-US"/>
        </w:rPr>
        <w:t xml:space="preserve"> </w:t>
      </w:r>
      <w:r w:rsidR="003B5D80" w:rsidRPr="009F337B">
        <w:rPr>
          <w:i w:val="0"/>
          <w:szCs w:val="20"/>
          <w:lang w:val="en-US"/>
        </w:rPr>
        <w:t>phenotype</w:t>
      </w:r>
      <w:r w:rsidR="00D45D5F" w:rsidRPr="009F337B">
        <w:rPr>
          <w:i w:val="0"/>
          <w:szCs w:val="20"/>
          <w:lang w:val="en-US"/>
        </w:rPr>
        <w:t xml:space="preserve"> testing</w:t>
      </w:r>
      <w:r w:rsidR="003C2AC6" w:rsidRPr="009F337B">
        <w:rPr>
          <w:i w:val="0"/>
          <w:szCs w:val="20"/>
          <w:lang w:val="en-US"/>
        </w:rPr>
        <w:t xml:space="preserve">. </w:t>
      </w:r>
      <w:r w:rsidR="00D45D5F" w:rsidRPr="009F337B">
        <w:rPr>
          <w:i w:val="0"/>
          <w:szCs w:val="20"/>
          <w:lang w:val="en-US"/>
        </w:rPr>
        <w:t>She indicated that she has not received treatment for HIV-related diseases. She does not work. Her children support her financially, because she has no resources. She has not received nut</w:t>
      </w:r>
      <w:r w:rsidR="00DA1821" w:rsidRPr="009F337B">
        <w:rPr>
          <w:i w:val="0"/>
          <w:szCs w:val="20"/>
          <w:lang w:val="en-US"/>
        </w:rPr>
        <w:t>r</w:t>
      </w:r>
      <w:r w:rsidR="00D45D5F" w:rsidRPr="009F337B">
        <w:rPr>
          <w:i w:val="0"/>
          <w:szCs w:val="20"/>
          <w:lang w:val="en-US"/>
        </w:rPr>
        <w:t xml:space="preserve">itional or social support, or family, community and </w:t>
      </w:r>
      <w:r w:rsidR="00F93469" w:rsidRPr="009F337B">
        <w:rPr>
          <w:i w:val="0"/>
          <w:szCs w:val="20"/>
          <w:lang w:val="en-US"/>
        </w:rPr>
        <w:t>home-based care</w:t>
      </w:r>
      <w:r w:rsidR="00D45D5F" w:rsidRPr="009F337B">
        <w:rPr>
          <w:i w:val="0"/>
          <w:szCs w:val="20"/>
          <w:lang w:val="en-US"/>
        </w:rPr>
        <w:t xml:space="preserve">. She receives psychological support and condoms. </w:t>
      </w:r>
      <w:r w:rsidRPr="009F337B">
        <w:rPr>
          <w:i w:val="0"/>
          <w:szCs w:val="20"/>
          <w:lang w:val="en-US"/>
        </w:rPr>
        <w:t>Mrs.</w:t>
      </w:r>
      <w:r w:rsidR="003C2AC6" w:rsidRPr="009F337B">
        <w:rPr>
          <w:i w:val="0"/>
          <w:szCs w:val="20"/>
          <w:lang w:val="en-US"/>
        </w:rPr>
        <w:t xml:space="preserve"> Felipe Pérez </w:t>
      </w:r>
      <w:r w:rsidR="00D45D5F" w:rsidRPr="009F337B">
        <w:rPr>
          <w:i w:val="0"/>
          <w:szCs w:val="20"/>
          <w:lang w:val="en-US"/>
        </w:rPr>
        <w:t xml:space="preserve">indicated that her children’s friends and also people in the street </w:t>
      </w:r>
      <w:r w:rsidR="00DA1821" w:rsidRPr="009F337B">
        <w:rPr>
          <w:i w:val="0"/>
          <w:szCs w:val="20"/>
          <w:lang w:val="en-US"/>
        </w:rPr>
        <w:t>tell her children</w:t>
      </w:r>
      <w:r w:rsidR="00D45D5F" w:rsidRPr="009F337B">
        <w:rPr>
          <w:i w:val="0"/>
          <w:szCs w:val="20"/>
          <w:lang w:val="en-US"/>
        </w:rPr>
        <w:t xml:space="preserve"> “you have AIDS because your mother has AIDS.” She sold some land to help hersel</w:t>
      </w:r>
      <w:r w:rsidR="00DA1821" w:rsidRPr="009F337B">
        <w:rPr>
          <w:i w:val="0"/>
          <w:szCs w:val="20"/>
          <w:lang w:val="en-US"/>
        </w:rPr>
        <w:t>f</w:t>
      </w:r>
      <w:r w:rsidR="00D45D5F" w:rsidRPr="009F337B">
        <w:rPr>
          <w:i w:val="0"/>
          <w:szCs w:val="20"/>
          <w:lang w:val="en-US"/>
        </w:rPr>
        <w:t xml:space="preserve"> financially.</w:t>
      </w:r>
      <w:r w:rsidR="003C2AC6" w:rsidRPr="009F337B">
        <w:rPr>
          <w:rStyle w:val="Refdenotaalpie"/>
          <w:i w:val="0"/>
          <w:lang w:val="en-US"/>
        </w:rPr>
        <w:footnoteReference w:id="317"/>
      </w:r>
    </w:p>
    <w:p w14:paraId="04292E32" w14:textId="77777777" w:rsidR="003C2AC6" w:rsidRPr="009F337B" w:rsidRDefault="003C2AC6" w:rsidP="003C2AC6">
      <w:pPr>
        <w:pStyle w:val="Estilo1"/>
        <w:tabs>
          <w:tab w:val="left" w:pos="709"/>
          <w:tab w:val="left" w:pos="1134"/>
        </w:tabs>
        <w:spacing w:after="0"/>
        <w:ind w:left="0" w:right="-4" w:firstLine="0"/>
        <w:rPr>
          <w:i w:val="0"/>
          <w:szCs w:val="20"/>
          <w:lang w:val="en-US"/>
        </w:rPr>
      </w:pPr>
    </w:p>
    <w:p w14:paraId="3ADDD97B" w14:textId="52B122DB" w:rsidR="003C2AC6" w:rsidRPr="009F337B" w:rsidRDefault="00A758A5" w:rsidP="00593E37">
      <w:pPr>
        <w:pStyle w:val="Estilo1"/>
        <w:numPr>
          <w:ilvl w:val="0"/>
          <w:numId w:val="5"/>
        </w:numPr>
        <w:tabs>
          <w:tab w:val="left" w:pos="709"/>
          <w:tab w:val="left" w:pos="1134"/>
        </w:tabs>
        <w:spacing w:after="0"/>
        <w:ind w:left="0" w:right="-4" w:firstLine="0"/>
        <w:rPr>
          <w:i w:val="0"/>
          <w:szCs w:val="20"/>
          <w:lang w:val="en-US"/>
        </w:rPr>
      </w:pPr>
      <w:r w:rsidRPr="009F337B">
        <w:rPr>
          <w:i w:val="0"/>
          <w:szCs w:val="20"/>
          <w:lang w:val="en-US"/>
        </w:rPr>
        <w:t xml:space="preserve">Her family unit consists of the </w:t>
      </w:r>
      <w:r w:rsidR="0010522A" w:rsidRPr="009F337B">
        <w:rPr>
          <w:i w:val="0"/>
          <w:szCs w:val="20"/>
          <w:lang w:val="en-US"/>
        </w:rPr>
        <w:t>father</w:t>
      </w:r>
      <w:r w:rsidR="003C2AC6" w:rsidRPr="009F337B">
        <w:rPr>
          <w:i w:val="0"/>
          <w:szCs w:val="20"/>
          <w:lang w:val="en-US"/>
        </w:rPr>
        <w:t xml:space="preserve"> </w:t>
      </w:r>
      <w:r w:rsidR="00FF3347" w:rsidRPr="009F337B">
        <w:rPr>
          <w:i w:val="0"/>
          <w:szCs w:val="20"/>
          <w:lang w:val="en-US"/>
        </w:rPr>
        <w:t>of</w:t>
      </w:r>
      <w:r w:rsidR="003C2AC6" w:rsidRPr="009F337B">
        <w:rPr>
          <w:i w:val="0"/>
          <w:szCs w:val="20"/>
          <w:lang w:val="en-US"/>
        </w:rPr>
        <w:t xml:space="preserve"> </w:t>
      </w:r>
      <w:r w:rsidR="00FF3347" w:rsidRPr="009F337B">
        <w:rPr>
          <w:i w:val="0"/>
          <w:szCs w:val="20"/>
          <w:lang w:val="en-US"/>
        </w:rPr>
        <w:t>her</w:t>
      </w:r>
      <w:r w:rsidR="003C2AC6" w:rsidRPr="009F337B">
        <w:rPr>
          <w:i w:val="0"/>
          <w:szCs w:val="20"/>
          <w:lang w:val="en-US"/>
        </w:rPr>
        <w:t xml:space="preserve"> </w:t>
      </w:r>
      <w:r w:rsidR="0010522A" w:rsidRPr="009F337B">
        <w:rPr>
          <w:i w:val="0"/>
          <w:szCs w:val="20"/>
          <w:lang w:val="en-US"/>
        </w:rPr>
        <w:t>son</w:t>
      </w:r>
      <w:r w:rsidR="003C2AC6" w:rsidRPr="009F337B">
        <w:rPr>
          <w:i w:val="0"/>
          <w:szCs w:val="20"/>
          <w:lang w:val="en-US"/>
        </w:rPr>
        <w:t>s, Roberto Gómez García (</w:t>
      </w:r>
      <w:r w:rsidR="0010522A" w:rsidRPr="009F337B">
        <w:rPr>
          <w:i w:val="0"/>
          <w:szCs w:val="20"/>
          <w:lang w:val="en-US"/>
        </w:rPr>
        <w:t>deceased</w:t>
      </w:r>
      <w:r w:rsidR="003C2AC6" w:rsidRPr="009F337B">
        <w:rPr>
          <w:i w:val="0"/>
          <w:szCs w:val="20"/>
          <w:lang w:val="en-US"/>
        </w:rPr>
        <w:t xml:space="preserve">), </w:t>
      </w:r>
      <w:r w:rsidR="00FF3347" w:rsidRPr="009F337B">
        <w:rPr>
          <w:i w:val="0"/>
          <w:szCs w:val="20"/>
          <w:lang w:val="en-US"/>
        </w:rPr>
        <w:t>her</w:t>
      </w:r>
      <w:r w:rsidR="003C2AC6" w:rsidRPr="009F337B">
        <w:rPr>
          <w:i w:val="0"/>
          <w:szCs w:val="20"/>
          <w:lang w:val="en-US"/>
        </w:rPr>
        <w:t xml:space="preserve"> </w:t>
      </w:r>
      <w:r w:rsidR="0010522A" w:rsidRPr="009F337B">
        <w:rPr>
          <w:i w:val="0"/>
          <w:szCs w:val="20"/>
          <w:lang w:val="en-US"/>
        </w:rPr>
        <w:t>daughter</w:t>
      </w:r>
      <w:r w:rsidR="003C2AC6" w:rsidRPr="009F337B">
        <w:rPr>
          <w:i w:val="0"/>
          <w:szCs w:val="20"/>
          <w:lang w:val="en-US"/>
        </w:rPr>
        <w:t>s Margarita</w:t>
      </w:r>
      <w:r w:rsidR="003C46A3" w:rsidRPr="009F337B">
        <w:rPr>
          <w:i w:val="0"/>
          <w:szCs w:val="20"/>
          <w:lang w:val="en-US"/>
        </w:rPr>
        <w:t xml:space="preserve"> and </w:t>
      </w:r>
      <w:r w:rsidR="003C2AC6" w:rsidRPr="009F337B">
        <w:rPr>
          <w:i w:val="0"/>
          <w:szCs w:val="20"/>
          <w:lang w:val="en-US"/>
        </w:rPr>
        <w:t xml:space="preserve">Ana Patricia, </w:t>
      </w:r>
      <w:r w:rsidR="00DA1821" w:rsidRPr="009F337B">
        <w:rPr>
          <w:i w:val="0"/>
          <w:szCs w:val="20"/>
          <w:lang w:val="en-US"/>
        </w:rPr>
        <w:t>both</w:t>
      </w:r>
      <w:r w:rsidR="003C2AC6" w:rsidRPr="009F337B">
        <w:rPr>
          <w:i w:val="0"/>
          <w:szCs w:val="20"/>
          <w:lang w:val="en-US"/>
        </w:rPr>
        <w:t xml:space="preserve"> Gómez Felipe,</w:t>
      </w:r>
      <w:r w:rsidR="003C46A3" w:rsidRPr="009F337B">
        <w:rPr>
          <w:i w:val="0"/>
          <w:szCs w:val="20"/>
          <w:lang w:val="en-US"/>
        </w:rPr>
        <w:t xml:space="preserve"> and </w:t>
      </w:r>
      <w:r w:rsidR="00FF3347" w:rsidRPr="009F337B">
        <w:rPr>
          <w:i w:val="0"/>
          <w:szCs w:val="20"/>
          <w:lang w:val="en-US"/>
        </w:rPr>
        <w:t>her</w:t>
      </w:r>
      <w:r w:rsidR="003C2AC6" w:rsidRPr="009F337B">
        <w:rPr>
          <w:i w:val="0"/>
          <w:szCs w:val="20"/>
          <w:lang w:val="en-US"/>
        </w:rPr>
        <w:t xml:space="preserve"> </w:t>
      </w:r>
      <w:r w:rsidR="0010522A" w:rsidRPr="009F337B">
        <w:rPr>
          <w:i w:val="0"/>
          <w:szCs w:val="20"/>
          <w:lang w:val="en-US"/>
        </w:rPr>
        <w:t>son</w:t>
      </w:r>
      <w:r w:rsidR="003C2AC6" w:rsidRPr="009F337B">
        <w:rPr>
          <w:i w:val="0"/>
          <w:szCs w:val="20"/>
          <w:lang w:val="en-US"/>
        </w:rPr>
        <w:t xml:space="preserve">s </w:t>
      </w:r>
      <w:proofErr w:type="spellStart"/>
      <w:r w:rsidR="003C2AC6" w:rsidRPr="009F337B">
        <w:rPr>
          <w:i w:val="0"/>
          <w:szCs w:val="20"/>
          <w:lang w:val="en-US"/>
        </w:rPr>
        <w:t>Rocael</w:t>
      </w:r>
      <w:proofErr w:type="spellEnd"/>
      <w:r w:rsidR="003C2AC6" w:rsidRPr="009F337B">
        <w:rPr>
          <w:i w:val="0"/>
          <w:szCs w:val="20"/>
          <w:lang w:val="en-US"/>
        </w:rPr>
        <w:t>, Jaime, Miguel, Carlos</w:t>
      </w:r>
      <w:r w:rsidR="003C46A3" w:rsidRPr="009F337B">
        <w:rPr>
          <w:i w:val="0"/>
          <w:szCs w:val="20"/>
          <w:lang w:val="en-US"/>
        </w:rPr>
        <w:t xml:space="preserve"> and </w:t>
      </w:r>
      <w:r w:rsidR="003C2AC6" w:rsidRPr="009F337B">
        <w:rPr>
          <w:i w:val="0"/>
          <w:szCs w:val="20"/>
          <w:lang w:val="en-US"/>
        </w:rPr>
        <w:t xml:space="preserve">Francisco, </w:t>
      </w:r>
      <w:r w:rsidR="00DA1821" w:rsidRPr="009F337B">
        <w:rPr>
          <w:i w:val="0"/>
          <w:szCs w:val="20"/>
          <w:lang w:val="en-US"/>
        </w:rPr>
        <w:t>all</w:t>
      </w:r>
      <w:r w:rsidR="003C2AC6" w:rsidRPr="009F337B">
        <w:rPr>
          <w:i w:val="0"/>
          <w:szCs w:val="20"/>
          <w:lang w:val="en-US"/>
        </w:rPr>
        <w:t xml:space="preserve"> Gómez Felipe</w:t>
      </w:r>
      <w:r w:rsidR="00FF3347" w:rsidRPr="009F337B">
        <w:rPr>
          <w:i w:val="0"/>
          <w:szCs w:val="20"/>
          <w:lang w:val="en-US"/>
        </w:rPr>
        <w:t>.</w:t>
      </w:r>
      <w:r w:rsidR="003C2AC6" w:rsidRPr="009F337B">
        <w:rPr>
          <w:rStyle w:val="Refdenotaalpie"/>
          <w:i w:val="0"/>
          <w:lang w:val="en-US"/>
        </w:rPr>
        <w:footnoteReference w:id="318"/>
      </w:r>
    </w:p>
    <w:p w14:paraId="6BED08B1" w14:textId="77777777" w:rsidR="003C2AC6" w:rsidRPr="009F337B" w:rsidRDefault="003C2AC6" w:rsidP="003C2AC6">
      <w:pPr>
        <w:pStyle w:val="PrrafodeSentencia"/>
        <w:rPr>
          <w:lang w:val="en-US"/>
        </w:rPr>
      </w:pPr>
    </w:p>
    <w:p w14:paraId="7F73534D" w14:textId="77777777" w:rsidR="003C2AC6" w:rsidRPr="009F337B" w:rsidRDefault="003C2AC6" w:rsidP="003C2AC6">
      <w:pPr>
        <w:pStyle w:val="PrrafodeSentencia"/>
        <w:rPr>
          <w:lang w:val="en-US"/>
        </w:rPr>
      </w:pPr>
      <w:r w:rsidRPr="009F337B">
        <w:rPr>
          <w:lang w:val="en-US"/>
        </w:rPr>
        <w:tab/>
        <w:t>B.14. Ismerai Olibia García Castañon</w:t>
      </w:r>
    </w:p>
    <w:p w14:paraId="064FAB7C" w14:textId="77777777" w:rsidR="003C2AC6" w:rsidRPr="009F337B" w:rsidRDefault="003C2AC6" w:rsidP="003C2AC6">
      <w:pPr>
        <w:pStyle w:val="PrrafodeSentencia"/>
        <w:rPr>
          <w:lang w:val="en-US"/>
        </w:rPr>
      </w:pPr>
    </w:p>
    <w:p w14:paraId="397266ED" w14:textId="1B27B8FF" w:rsidR="003C2AC6" w:rsidRPr="009F337B" w:rsidRDefault="007F1AEB" w:rsidP="00593E37">
      <w:pPr>
        <w:pStyle w:val="Estilo1"/>
        <w:numPr>
          <w:ilvl w:val="0"/>
          <w:numId w:val="5"/>
        </w:numPr>
        <w:tabs>
          <w:tab w:val="left" w:pos="709"/>
          <w:tab w:val="left" w:pos="1134"/>
        </w:tabs>
        <w:spacing w:after="0"/>
        <w:ind w:left="0" w:right="-4" w:firstLine="0"/>
        <w:rPr>
          <w:i w:val="0"/>
          <w:szCs w:val="20"/>
          <w:lang w:val="en-US"/>
        </w:rPr>
      </w:pPr>
      <w:r w:rsidRPr="009F337B">
        <w:rPr>
          <w:i w:val="0"/>
          <w:szCs w:val="20"/>
          <w:lang w:val="en-US"/>
        </w:rPr>
        <w:lastRenderedPageBreak/>
        <w:t>Mrs.</w:t>
      </w:r>
      <w:r w:rsidR="003C2AC6" w:rsidRPr="009F337B">
        <w:rPr>
          <w:i w:val="0"/>
          <w:szCs w:val="20"/>
          <w:lang w:val="en-US"/>
        </w:rPr>
        <w:t xml:space="preserve"> García </w:t>
      </w:r>
      <w:proofErr w:type="spellStart"/>
      <w:r w:rsidR="003C2AC6" w:rsidRPr="009F337B">
        <w:rPr>
          <w:i w:val="0"/>
          <w:szCs w:val="20"/>
          <w:lang w:val="en-US"/>
        </w:rPr>
        <w:t>Castañon</w:t>
      </w:r>
      <w:proofErr w:type="spellEnd"/>
      <w:r w:rsidR="003C2AC6" w:rsidRPr="009F337B">
        <w:rPr>
          <w:i w:val="0"/>
          <w:szCs w:val="20"/>
          <w:lang w:val="en-US"/>
        </w:rPr>
        <w:t xml:space="preserve"> </w:t>
      </w:r>
      <w:r w:rsidR="0084040D" w:rsidRPr="009F337B">
        <w:rPr>
          <w:i w:val="0"/>
          <w:szCs w:val="20"/>
          <w:lang w:val="en-US"/>
        </w:rPr>
        <w:t>was born on</w:t>
      </w:r>
      <w:r w:rsidR="003C2AC6" w:rsidRPr="009F337B">
        <w:rPr>
          <w:i w:val="0"/>
          <w:szCs w:val="20"/>
          <w:lang w:val="en-US"/>
        </w:rPr>
        <w:t xml:space="preserve"> </w:t>
      </w:r>
      <w:r w:rsidR="00FF3347" w:rsidRPr="009F337B">
        <w:rPr>
          <w:i w:val="0"/>
          <w:szCs w:val="20"/>
          <w:lang w:val="en-US"/>
        </w:rPr>
        <w:t xml:space="preserve">January 14, </w:t>
      </w:r>
      <w:r w:rsidR="003C2AC6" w:rsidRPr="009F337B">
        <w:rPr>
          <w:i w:val="0"/>
          <w:szCs w:val="20"/>
          <w:lang w:val="en-US"/>
        </w:rPr>
        <w:t>1964</w:t>
      </w:r>
      <w:r w:rsidR="00FF3347" w:rsidRPr="009F337B">
        <w:rPr>
          <w:i w:val="0"/>
          <w:szCs w:val="20"/>
          <w:lang w:val="en-US"/>
        </w:rPr>
        <w:t xml:space="preserve">, </w:t>
      </w:r>
      <w:r w:rsidR="00A758A5" w:rsidRPr="009F337B">
        <w:rPr>
          <w:i w:val="0"/>
          <w:szCs w:val="20"/>
          <w:lang w:val="en-US"/>
        </w:rPr>
        <w:t>in the municipality</w:t>
      </w:r>
      <w:r w:rsidR="00D85CA7" w:rsidRPr="009F337B">
        <w:rPr>
          <w:i w:val="0"/>
          <w:szCs w:val="20"/>
          <w:lang w:val="en-US"/>
        </w:rPr>
        <w:t xml:space="preserve"> of</w:t>
      </w:r>
      <w:r w:rsidR="003C2AC6" w:rsidRPr="009F337B">
        <w:rPr>
          <w:i w:val="0"/>
          <w:szCs w:val="20"/>
          <w:lang w:val="en-US"/>
        </w:rPr>
        <w:t xml:space="preserve"> </w:t>
      </w:r>
      <w:proofErr w:type="spellStart"/>
      <w:r w:rsidR="003C2AC6" w:rsidRPr="009F337B">
        <w:rPr>
          <w:i w:val="0"/>
          <w:szCs w:val="20"/>
          <w:lang w:val="en-US"/>
        </w:rPr>
        <w:t>Pajapita</w:t>
      </w:r>
      <w:proofErr w:type="spellEnd"/>
      <w:r w:rsidR="003C2AC6" w:rsidRPr="009F337B">
        <w:rPr>
          <w:i w:val="0"/>
          <w:szCs w:val="20"/>
          <w:lang w:val="en-US"/>
        </w:rPr>
        <w:t xml:space="preserve">, </w:t>
      </w:r>
      <w:r w:rsidR="003E1304" w:rsidRPr="009F337B">
        <w:rPr>
          <w:i w:val="0"/>
          <w:szCs w:val="20"/>
          <w:lang w:val="en-US"/>
        </w:rPr>
        <w:t>department of</w:t>
      </w:r>
      <w:r w:rsidR="003C2AC6" w:rsidRPr="009F337B">
        <w:rPr>
          <w:i w:val="0"/>
          <w:szCs w:val="20"/>
          <w:lang w:val="en-US"/>
        </w:rPr>
        <w:t xml:space="preserve"> San Marcos, Guatemala. </w:t>
      </w:r>
      <w:r w:rsidR="00FF3347" w:rsidRPr="009F337B">
        <w:rPr>
          <w:i w:val="0"/>
          <w:szCs w:val="20"/>
          <w:lang w:val="en-US"/>
        </w:rPr>
        <w:t>She l</w:t>
      </w:r>
      <w:r w:rsidR="00D85CA7" w:rsidRPr="009F337B">
        <w:rPr>
          <w:i w:val="0"/>
          <w:szCs w:val="20"/>
          <w:lang w:val="en-US"/>
        </w:rPr>
        <w:t>ives in</w:t>
      </w:r>
      <w:r w:rsidR="003C2AC6" w:rsidRPr="009F337B">
        <w:rPr>
          <w:i w:val="0"/>
          <w:szCs w:val="20"/>
          <w:lang w:val="en-US"/>
        </w:rPr>
        <w:t xml:space="preserve"> </w:t>
      </w:r>
      <w:r w:rsidR="00FF3347" w:rsidRPr="009F337B">
        <w:rPr>
          <w:i w:val="0"/>
          <w:szCs w:val="20"/>
          <w:lang w:val="en-US"/>
        </w:rPr>
        <w:t>La</w:t>
      </w:r>
      <w:r w:rsidR="003C2AC6" w:rsidRPr="009F337B">
        <w:rPr>
          <w:i w:val="0"/>
          <w:szCs w:val="20"/>
          <w:lang w:val="en-US"/>
        </w:rPr>
        <w:t xml:space="preserve"> Ceiba, </w:t>
      </w:r>
      <w:proofErr w:type="spellStart"/>
      <w:r w:rsidR="003C2AC6" w:rsidRPr="009F337B">
        <w:rPr>
          <w:i w:val="0"/>
          <w:szCs w:val="20"/>
          <w:lang w:val="en-US"/>
        </w:rPr>
        <w:t>Pajapita</w:t>
      </w:r>
      <w:proofErr w:type="spellEnd"/>
      <w:r w:rsidR="003C2AC6" w:rsidRPr="009F337B">
        <w:rPr>
          <w:i w:val="0"/>
          <w:szCs w:val="20"/>
          <w:lang w:val="en-US"/>
        </w:rPr>
        <w:t xml:space="preserve">, San Marcos. </w:t>
      </w:r>
      <w:r w:rsidR="00FF3347" w:rsidRPr="009F337B">
        <w:rPr>
          <w:i w:val="0"/>
          <w:szCs w:val="20"/>
          <w:lang w:val="en-US"/>
        </w:rPr>
        <w:t>She w</w:t>
      </w:r>
      <w:r w:rsidR="001071B4" w:rsidRPr="009F337B">
        <w:rPr>
          <w:i w:val="0"/>
          <w:szCs w:val="20"/>
          <w:lang w:val="en-US"/>
        </w:rPr>
        <w:t>as diagnosed</w:t>
      </w:r>
      <w:r w:rsidR="003C2AC6" w:rsidRPr="009F337B">
        <w:rPr>
          <w:i w:val="0"/>
          <w:szCs w:val="20"/>
          <w:lang w:val="en-US"/>
        </w:rPr>
        <w:t xml:space="preserve"> </w:t>
      </w:r>
      <w:r w:rsidR="00FF3347" w:rsidRPr="009F337B">
        <w:rPr>
          <w:i w:val="0"/>
          <w:szCs w:val="20"/>
          <w:lang w:val="en-US"/>
        </w:rPr>
        <w:t>i</w:t>
      </w:r>
      <w:r w:rsidR="003C2AC6" w:rsidRPr="009F337B">
        <w:rPr>
          <w:i w:val="0"/>
          <w:szCs w:val="20"/>
          <w:lang w:val="en-US"/>
        </w:rPr>
        <w:t xml:space="preserve">n 2003 </w:t>
      </w:r>
      <w:r w:rsidR="00FF3347" w:rsidRPr="009F337B">
        <w:rPr>
          <w:i w:val="0"/>
          <w:szCs w:val="20"/>
          <w:lang w:val="en-US"/>
        </w:rPr>
        <w:t>by MSF’s</w:t>
      </w:r>
      <w:r w:rsidR="003C2AC6" w:rsidRPr="009F337B">
        <w:rPr>
          <w:i w:val="0"/>
          <w:szCs w:val="20"/>
          <w:lang w:val="en-US"/>
        </w:rPr>
        <w:t xml:space="preserve"> </w:t>
      </w:r>
      <w:r w:rsidR="00AE674B" w:rsidRPr="009F337B">
        <w:rPr>
          <w:szCs w:val="20"/>
          <w:lang w:val="en-US"/>
        </w:rPr>
        <w:t>Proyecto Vida</w:t>
      </w:r>
      <w:r w:rsidR="003C2AC6" w:rsidRPr="009F337B">
        <w:rPr>
          <w:i w:val="0"/>
          <w:szCs w:val="20"/>
          <w:lang w:val="en-US"/>
        </w:rPr>
        <w:t xml:space="preserve"> </w:t>
      </w:r>
      <w:r w:rsidR="00FF3347" w:rsidRPr="009F337B">
        <w:rPr>
          <w:i w:val="0"/>
          <w:szCs w:val="20"/>
          <w:lang w:val="en-US"/>
        </w:rPr>
        <w:t>and began to receive medical care from MSF that same year. She was</w:t>
      </w:r>
      <w:r w:rsidR="003C2AC6" w:rsidRPr="009F337B">
        <w:rPr>
          <w:i w:val="0"/>
          <w:szCs w:val="20"/>
          <w:lang w:val="en-US"/>
        </w:rPr>
        <w:t xml:space="preserve"> </w:t>
      </w:r>
      <w:r w:rsidR="001C4CEA" w:rsidRPr="009F337B">
        <w:rPr>
          <w:i w:val="0"/>
          <w:szCs w:val="20"/>
          <w:lang w:val="en-US"/>
        </w:rPr>
        <w:t>transferred to Clinic No. 12</w:t>
      </w:r>
      <w:r w:rsidR="00A758A5" w:rsidRPr="009F337B">
        <w:rPr>
          <w:i w:val="0"/>
          <w:szCs w:val="20"/>
          <w:lang w:val="en-US"/>
        </w:rPr>
        <w:t xml:space="preserve"> of the </w:t>
      </w:r>
      <w:proofErr w:type="spellStart"/>
      <w:r w:rsidR="00BD5E94" w:rsidRPr="009F337B">
        <w:rPr>
          <w:i w:val="0"/>
          <w:szCs w:val="20"/>
          <w:lang w:val="en-US"/>
        </w:rPr>
        <w:t>Coatepeque</w:t>
      </w:r>
      <w:proofErr w:type="spellEnd"/>
      <w:r w:rsidR="00BD5E94" w:rsidRPr="009F337B">
        <w:rPr>
          <w:i w:val="0"/>
          <w:szCs w:val="20"/>
          <w:lang w:val="en-US"/>
        </w:rPr>
        <w:t xml:space="preserve"> National Hospital</w:t>
      </w:r>
      <w:r w:rsidR="00F87540" w:rsidRPr="009F337B">
        <w:rPr>
          <w:i w:val="0"/>
          <w:szCs w:val="20"/>
          <w:lang w:val="en-US"/>
        </w:rPr>
        <w:t xml:space="preserve">, </w:t>
      </w:r>
      <w:r w:rsidR="00FF3347" w:rsidRPr="009F337B">
        <w:rPr>
          <w:i w:val="0"/>
          <w:szCs w:val="20"/>
          <w:lang w:val="en-US"/>
        </w:rPr>
        <w:t>and began her</w:t>
      </w:r>
      <w:r w:rsidR="003C2AC6" w:rsidRPr="009F337B">
        <w:rPr>
          <w:i w:val="0"/>
          <w:szCs w:val="20"/>
          <w:lang w:val="en-US"/>
        </w:rPr>
        <w:t xml:space="preserve"> </w:t>
      </w:r>
      <w:r w:rsidR="00FE1EFF" w:rsidRPr="009F337B">
        <w:rPr>
          <w:i w:val="0"/>
          <w:szCs w:val="20"/>
          <w:lang w:val="en-US"/>
        </w:rPr>
        <w:t>antiretroviral treatment</w:t>
      </w:r>
      <w:r w:rsidR="003C2AC6" w:rsidRPr="009F337B">
        <w:rPr>
          <w:i w:val="0"/>
          <w:szCs w:val="20"/>
          <w:lang w:val="en-US"/>
        </w:rPr>
        <w:t xml:space="preserve"> </w:t>
      </w:r>
      <w:r w:rsidR="00FF3347" w:rsidRPr="009F337B">
        <w:rPr>
          <w:i w:val="0"/>
          <w:szCs w:val="20"/>
          <w:lang w:val="en-US"/>
        </w:rPr>
        <w:t>in</w:t>
      </w:r>
      <w:r w:rsidR="003C2AC6" w:rsidRPr="009F337B">
        <w:rPr>
          <w:i w:val="0"/>
          <w:szCs w:val="20"/>
          <w:lang w:val="en-US"/>
        </w:rPr>
        <w:t xml:space="preserve"> 2007. </w:t>
      </w:r>
      <w:r w:rsidR="00FF3347" w:rsidRPr="009F337B">
        <w:rPr>
          <w:i w:val="0"/>
          <w:szCs w:val="20"/>
          <w:lang w:val="en-US"/>
        </w:rPr>
        <w:t xml:space="preserve">She has not undergone regular CD4 counts or </w:t>
      </w:r>
      <w:r w:rsidR="00CC4867" w:rsidRPr="009F337B">
        <w:rPr>
          <w:i w:val="0"/>
          <w:szCs w:val="20"/>
          <w:lang w:val="en-US"/>
        </w:rPr>
        <w:t>viral load</w:t>
      </w:r>
      <w:r w:rsidR="00FF3347" w:rsidRPr="009F337B">
        <w:rPr>
          <w:i w:val="0"/>
          <w:szCs w:val="20"/>
          <w:lang w:val="en-US"/>
        </w:rPr>
        <w:t xml:space="preserve"> tests</w:t>
      </w:r>
      <w:r w:rsidR="003C2AC6" w:rsidRPr="009F337B">
        <w:rPr>
          <w:i w:val="0"/>
          <w:szCs w:val="20"/>
          <w:lang w:val="en-US"/>
        </w:rPr>
        <w:t xml:space="preserve">. </w:t>
      </w:r>
      <w:r w:rsidR="00FF3347" w:rsidRPr="009F337B">
        <w:rPr>
          <w:i w:val="0"/>
          <w:szCs w:val="20"/>
          <w:lang w:val="en-US"/>
        </w:rPr>
        <w:t>She has suffered from</w:t>
      </w:r>
      <w:r w:rsidR="003C2AC6" w:rsidRPr="009F337B">
        <w:rPr>
          <w:i w:val="0"/>
          <w:szCs w:val="20"/>
          <w:lang w:val="en-US"/>
        </w:rPr>
        <w:t xml:space="preserve"> </w:t>
      </w:r>
      <w:r w:rsidR="0081563D" w:rsidRPr="009F337B">
        <w:rPr>
          <w:i w:val="0"/>
          <w:szCs w:val="20"/>
          <w:lang w:val="en-US"/>
        </w:rPr>
        <w:t>opportunistic diseases</w:t>
      </w:r>
      <w:r w:rsidR="003C2AC6" w:rsidRPr="009F337B">
        <w:rPr>
          <w:i w:val="0"/>
          <w:szCs w:val="20"/>
          <w:lang w:val="en-US"/>
        </w:rPr>
        <w:t xml:space="preserve"> </w:t>
      </w:r>
      <w:r w:rsidR="00FF3347" w:rsidRPr="009F337B">
        <w:rPr>
          <w:i w:val="0"/>
          <w:szCs w:val="20"/>
          <w:lang w:val="en-US"/>
        </w:rPr>
        <w:t xml:space="preserve">such as </w:t>
      </w:r>
      <w:r w:rsidR="003C2AC6" w:rsidRPr="009F337B">
        <w:rPr>
          <w:i w:val="0"/>
          <w:szCs w:val="20"/>
          <w:lang w:val="en-US"/>
        </w:rPr>
        <w:t xml:space="preserve"> </w:t>
      </w:r>
      <w:r w:rsidR="00FF3347" w:rsidRPr="009F337B">
        <w:rPr>
          <w:bCs/>
          <w:i w:val="0"/>
          <w:lang w:val="en-US"/>
        </w:rPr>
        <w:t>vulvovaginal candidiasis</w:t>
      </w:r>
      <w:r w:rsidR="00FF3347" w:rsidRPr="009F337B">
        <w:rPr>
          <w:i w:val="0"/>
          <w:szCs w:val="20"/>
          <w:lang w:val="en-US"/>
        </w:rPr>
        <w:t xml:space="preserve"> </w:t>
      </w:r>
      <w:r w:rsidR="003C46A3" w:rsidRPr="009F337B">
        <w:rPr>
          <w:i w:val="0"/>
          <w:szCs w:val="20"/>
          <w:lang w:val="en-US"/>
        </w:rPr>
        <w:t xml:space="preserve">and </w:t>
      </w:r>
      <w:r w:rsidR="00FF3347" w:rsidRPr="009F337B">
        <w:rPr>
          <w:i w:val="0"/>
          <w:szCs w:val="20"/>
          <w:lang w:val="en-US"/>
        </w:rPr>
        <w:t xml:space="preserve">chronic </w:t>
      </w:r>
      <w:r w:rsidR="00BB39B6" w:rsidRPr="009F337B">
        <w:rPr>
          <w:i w:val="0"/>
          <w:szCs w:val="20"/>
          <w:lang w:val="en-US"/>
        </w:rPr>
        <w:t>diarrhea</w:t>
      </w:r>
      <w:r w:rsidR="003C2AC6" w:rsidRPr="009F337B">
        <w:rPr>
          <w:i w:val="0"/>
          <w:szCs w:val="20"/>
          <w:lang w:val="en-US"/>
        </w:rPr>
        <w:t xml:space="preserve">. </w:t>
      </w:r>
      <w:r w:rsidR="00FF3347" w:rsidRPr="009F337B">
        <w:rPr>
          <w:i w:val="0"/>
          <w:szCs w:val="20"/>
          <w:lang w:val="en-US"/>
        </w:rPr>
        <w:t xml:space="preserve">She has received talks in the hospital, </w:t>
      </w:r>
      <w:r w:rsidR="00DA1821" w:rsidRPr="009F337B">
        <w:rPr>
          <w:i w:val="0"/>
          <w:szCs w:val="20"/>
          <w:lang w:val="en-US"/>
        </w:rPr>
        <w:t>and</w:t>
      </w:r>
      <w:r w:rsidR="00FF3347" w:rsidRPr="009F337B">
        <w:rPr>
          <w:i w:val="0"/>
          <w:szCs w:val="20"/>
          <w:lang w:val="en-US"/>
        </w:rPr>
        <w:t xml:space="preserve"> information on condoms and reinfection.</w:t>
      </w:r>
      <w:r w:rsidR="003C2AC6" w:rsidRPr="009F337B">
        <w:rPr>
          <w:rStyle w:val="Refdenotaalpie"/>
          <w:i w:val="0"/>
          <w:lang w:val="en-US"/>
        </w:rPr>
        <w:footnoteReference w:id="319"/>
      </w:r>
    </w:p>
    <w:p w14:paraId="74E35262" w14:textId="77777777" w:rsidR="003C2AC6" w:rsidRPr="009F337B" w:rsidRDefault="003C2AC6" w:rsidP="003C2AC6">
      <w:pPr>
        <w:pStyle w:val="Estilo1"/>
        <w:tabs>
          <w:tab w:val="left" w:pos="709"/>
          <w:tab w:val="left" w:pos="1134"/>
        </w:tabs>
        <w:spacing w:after="0"/>
        <w:ind w:left="0" w:right="-4" w:firstLine="0"/>
        <w:rPr>
          <w:i w:val="0"/>
          <w:szCs w:val="20"/>
          <w:lang w:val="en-US"/>
        </w:rPr>
      </w:pPr>
    </w:p>
    <w:p w14:paraId="4FDC73F5" w14:textId="511953AE" w:rsidR="003C2AC6" w:rsidRPr="009F337B" w:rsidRDefault="00A758A5" w:rsidP="00593E37">
      <w:pPr>
        <w:pStyle w:val="Estilo1"/>
        <w:numPr>
          <w:ilvl w:val="0"/>
          <w:numId w:val="5"/>
        </w:numPr>
        <w:tabs>
          <w:tab w:val="left" w:pos="709"/>
          <w:tab w:val="left" w:pos="1134"/>
        </w:tabs>
        <w:spacing w:after="0"/>
        <w:ind w:left="0" w:right="-4" w:firstLine="0"/>
        <w:rPr>
          <w:i w:val="0"/>
          <w:szCs w:val="20"/>
          <w:lang w:val="en-US"/>
        </w:rPr>
      </w:pPr>
      <w:r w:rsidRPr="009F337B">
        <w:rPr>
          <w:i w:val="0"/>
          <w:szCs w:val="20"/>
          <w:lang w:val="en-US"/>
        </w:rPr>
        <w:t>Her family unit consists of the</w:t>
      </w:r>
      <w:r w:rsidR="003C2AC6" w:rsidRPr="009F337B">
        <w:rPr>
          <w:i w:val="0"/>
          <w:szCs w:val="20"/>
          <w:lang w:val="en-US"/>
        </w:rPr>
        <w:t xml:space="preserve"> </w:t>
      </w:r>
      <w:r w:rsidR="0010522A" w:rsidRPr="009F337B">
        <w:rPr>
          <w:i w:val="0"/>
          <w:szCs w:val="20"/>
          <w:lang w:val="en-US"/>
        </w:rPr>
        <w:t>father</w:t>
      </w:r>
      <w:r w:rsidR="003C2AC6" w:rsidRPr="009F337B">
        <w:rPr>
          <w:i w:val="0"/>
          <w:szCs w:val="20"/>
          <w:lang w:val="en-US"/>
        </w:rPr>
        <w:t xml:space="preserve"> </w:t>
      </w:r>
      <w:r w:rsidR="00FF3347" w:rsidRPr="009F337B">
        <w:rPr>
          <w:i w:val="0"/>
          <w:szCs w:val="20"/>
          <w:lang w:val="en-US"/>
        </w:rPr>
        <w:t>of</w:t>
      </w:r>
      <w:r w:rsidR="003C2AC6" w:rsidRPr="009F337B">
        <w:rPr>
          <w:i w:val="0"/>
          <w:szCs w:val="20"/>
          <w:lang w:val="en-US"/>
        </w:rPr>
        <w:t xml:space="preserve"> </w:t>
      </w:r>
      <w:r w:rsidR="00FF3347" w:rsidRPr="009F337B">
        <w:rPr>
          <w:i w:val="0"/>
          <w:szCs w:val="20"/>
          <w:lang w:val="en-US"/>
        </w:rPr>
        <w:t>her</w:t>
      </w:r>
      <w:r w:rsidR="003C2AC6" w:rsidRPr="009F337B">
        <w:rPr>
          <w:i w:val="0"/>
          <w:szCs w:val="20"/>
          <w:lang w:val="en-US"/>
        </w:rPr>
        <w:t xml:space="preserve"> </w:t>
      </w:r>
      <w:r w:rsidR="0010522A" w:rsidRPr="009F337B">
        <w:rPr>
          <w:i w:val="0"/>
          <w:szCs w:val="20"/>
          <w:lang w:val="en-US"/>
        </w:rPr>
        <w:t>son</w:t>
      </w:r>
      <w:r w:rsidR="003C2AC6" w:rsidRPr="009F337B">
        <w:rPr>
          <w:i w:val="0"/>
          <w:szCs w:val="20"/>
          <w:lang w:val="en-US"/>
        </w:rPr>
        <w:t xml:space="preserve">s Juan Guillermo Cifuentes Orozco, </w:t>
      </w:r>
      <w:r w:rsidR="00FF3347" w:rsidRPr="009F337B">
        <w:rPr>
          <w:i w:val="0"/>
          <w:szCs w:val="20"/>
          <w:lang w:val="en-US"/>
        </w:rPr>
        <w:t>her</w:t>
      </w:r>
      <w:r w:rsidR="003C2AC6" w:rsidRPr="009F337B">
        <w:rPr>
          <w:i w:val="0"/>
          <w:szCs w:val="20"/>
          <w:lang w:val="en-US"/>
        </w:rPr>
        <w:t xml:space="preserve"> </w:t>
      </w:r>
      <w:r w:rsidR="0010522A" w:rsidRPr="009F337B">
        <w:rPr>
          <w:i w:val="0"/>
          <w:szCs w:val="20"/>
          <w:lang w:val="en-US"/>
        </w:rPr>
        <w:t>son</w:t>
      </w:r>
      <w:r w:rsidR="003C2AC6" w:rsidRPr="009F337B">
        <w:rPr>
          <w:i w:val="0"/>
          <w:szCs w:val="20"/>
          <w:lang w:val="en-US"/>
        </w:rPr>
        <w:t xml:space="preserve">s Leonidas Alberto, Guillermo </w:t>
      </w:r>
      <w:proofErr w:type="spellStart"/>
      <w:r w:rsidR="003C2AC6" w:rsidRPr="009F337B">
        <w:rPr>
          <w:i w:val="0"/>
          <w:szCs w:val="20"/>
          <w:lang w:val="en-US"/>
        </w:rPr>
        <w:t>Neemias</w:t>
      </w:r>
      <w:proofErr w:type="spellEnd"/>
      <w:r w:rsidR="003C2AC6" w:rsidRPr="009F337B">
        <w:rPr>
          <w:i w:val="0"/>
          <w:szCs w:val="20"/>
          <w:lang w:val="en-US"/>
        </w:rPr>
        <w:t xml:space="preserve">, Elder </w:t>
      </w:r>
      <w:proofErr w:type="spellStart"/>
      <w:r w:rsidR="003C2AC6" w:rsidRPr="009F337B">
        <w:rPr>
          <w:i w:val="0"/>
          <w:szCs w:val="20"/>
          <w:lang w:val="en-US"/>
        </w:rPr>
        <w:t>Neftalí</w:t>
      </w:r>
      <w:proofErr w:type="spellEnd"/>
      <w:r w:rsidR="003C46A3" w:rsidRPr="009F337B">
        <w:rPr>
          <w:i w:val="0"/>
          <w:szCs w:val="20"/>
          <w:lang w:val="en-US"/>
        </w:rPr>
        <w:t xml:space="preserve"> and </w:t>
      </w:r>
      <w:r w:rsidR="003C2AC6" w:rsidRPr="009F337B">
        <w:rPr>
          <w:i w:val="0"/>
          <w:szCs w:val="20"/>
          <w:lang w:val="en-US"/>
        </w:rPr>
        <w:t>Juan Antonio (</w:t>
      </w:r>
      <w:r w:rsidR="0010522A" w:rsidRPr="009F337B">
        <w:rPr>
          <w:i w:val="0"/>
          <w:szCs w:val="20"/>
          <w:lang w:val="en-US"/>
        </w:rPr>
        <w:t>deceased</w:t>
      </w:r>
      <w:r w:rsidR="003C2AC6" w:rsidRPr="009F337B">
        <w:rPr>
          <w:i w:val="0"/>
          <w:szCs w:val="20"/>
          <w:lang w:val="en-US"/>
        </w:rPr>
        <w:t xml:space="preserve">), </w:t>
      </w:r>
      <w:r w:rsidR="00DA1821" w:rsidRPr="009F337B">
        <w:rPr>
          <w:i w:val="0"/>
          <w:szCs w:val="20"/>
          <w:lang w:val="en-US"/>
        </w:rPr>
        <w:t>all</w:t>
      </w:r>
      <w:r w:rsidR="003C2AC6" w:rsidRPr="009F337B">
        <w:rPr>
          <w:i w:val="0"/>
          <w:szCs w:val="20"/>
          <w:lang w:val="en-US"/>
        </w:rPr>
        <w:t xml:space="preserve"> Cifuentes García,</w:t>
      </w:r>
      <w:r w:rsidR="003C46A3" w:rsidRPr="009F337B">
        <w:rPr>
          <w:i w:val="0"/>
          <w:szCs w:val="20"/>
          <w:lang w:val="en-US"/>
        </w:rPr>
        <w:t xml:space="preserve"> and </w:t>
      </w:r>
      <w:r w:rsidR="00FF3347" w:rsidRPr="009F337B">
        <w:rPr>
          <w:i w:val="0"/>
          <w:szCs w:val="20"/>
          <w:lang w:val="en-US"/>
        </w:rPr>
        <w:t>her</w:t>
      </w:r>
      <w:r w:rsidR="003C2AC6" w:rsidRPr="009F337B">
        <w:rPr>
          <w:i w:val="0"/>
          <w:szCs w:val="20"/>
          <w:lang w:val="en-US"/>
        </w:rPr>
        <w:t xml:space="preserve"> </w:t>
      </w:r>
      <w:r w:rsidR="0010522A" w:rsidRPr="009F337B">
        <w:rPr>
          <w:i w:val="0"/>
          <w:szCs w:val="20"/>
          <w:lang w:val="en-US"/>
        </w:rPr>
        <w:t>daughter</w:t>
      </w:r>
      <w:r w:rsidR="003C2AC6" w:rsidRPr="009F337B">
        <w:rPr>
          <w:i w:val="0"/>
          <w:szCs w:val="20"/>
          <w:lang w:val="en-US"/>
        </w:rPr>
        <w:t xml:space="preserve"> Ingrid Olivia Cifuentes García, </w:t>
      </w:r>
      <w:r w:rsidR="00FF3347" w:rsidRPr="009F337B">
        <w:rPr>
          <w:i w:val="0"/>
          <w:szCs w:val="20"/>
          <w:lang w:val="en-US"/>
        </w:rPr>
        <w:t>her</w:t>
      </w:r>
      <w:r w:rsidR="003C2AC6" w:rsidRPr="009F337B">
        <w:rPr>
          <w:i w:val="0"/>
          <w:szCs w:val="20"/>
          <w:lang w:val="en-US"/>
        </w:rPr>
        <w:t xml:space="preserve"> </w:t>
      </w:r>
      <w:r w:rsidR="0010522A" w:rsidRPr="009F337B">
        <w:rPr>
          <w:i w:val="0"/>
          <w:szCs w:val="20"/>
          <w:lang w:val="en-US"/>
        </w:rPr>
        <w:t>mother</w:t>
      </w:r>
      <w:r w:rsidR="003C2AC6" w:rsidRPr="009F337B">
        <w:rPr>
          <w:i w:val="0"/>
          <w:szCs w:val="20"/>
          <w:lang w:val="en-US"/>
        </w:rPr>
        <w:t xml:space="preserve"> </w:t>
      </w:r>
      <w:proofErr w:type="spellStart"/>
      <w:r w:rsidR="003C2AC6" w:rsidRPr="009F337B">
        <w:rPr>
          <w:i w:val="0"/>
          <w:szCs w:val="20"/>
          <w:lang w:val="en-US"/>
        </w:rPr>
        <w:t>Leodora</w:t>
      </w:r>
      <w:proofErr w:type="spellEnd"/>
      <w:r w:rsidR="003C2AC6" w:rsidRPr="009F337B">
        <w:rPr>
          <w:i w:val="0"/>
          <w:szCs w:val="20"/>
          <w:lang w:val="en-US"/>
        </w:rPr>
        <w:t xml:space="preserve"> </w:t>
      </w:r>
      <w:proofErr w:type="spellStart"/>
      <w:r w:rsidR="003C2AC6" w:rsidRPr="009F337B">
        <w:rPr>
          <w:i w:val="0"/>
          <w:szCs w:val="20"/>
          <w:lang w:val="en-US"/>
        </w:rPr>
        <w:t>Castañon</w:t>
      </w:r>
      <w:proofErr w:type="spellEnd"/>
      <w:r w:rsidR="003C2AC6" w:rsidRPr="009F337B">
        <w:rPr>
          <w:i w:val="0"/>
          <w:szCs w:val="20"/>
          <w:lang w:val="en-US"/>
        </w:rPr>
        <w:t>,</w:t>
      </w:r>
      <w:r w:rsidR="003C46A3" w:rsidRPr="009F337B">
        <w:rPr>
          <w:i w:val="0"/>
          <w:szCs w:val="20"/>
          <w:lang w:val="en-US"/>
        </w:rPr>
        <w:t xml:space="preserve"> and </w:t>
      </w:r>
      <w:r w:rsidR="00FF3347" w:rsidRPr="009F337B">
        <w:rPr>
          <w:i w:val="0"/>
          <w:szCs w:val="20"/>
          <w:lang w:val="en-US"/>
        </w:rPr>
        <w:t>her</w:t>
      </w:r>
      <w:r w:rsidR="003C2AC6" w:rsidRPr="009F337B">
        <w:rPr>
          <w:i w:val="0"/>
          <w:szCs w:val="20"/>
          <w:lang w:val="en-US"/>
        </w:rPr>
        <w:t xml:space="preserve"> </w:t>
      </w:r>
      <w:r w:rsidR="00FF3347" w:rsidRPr="009F337B">
        <w:rPr>
          <w:i w:val="0"/>
          <w:szCs w:val="20"/>
          <w:lang w:val="en-US"/>
        </w:rPr>
        <w:t xml:space="preserve">current </w:t>
      </w:r>
      <w:r w:rsidR="0010522A" w:rsidRPr="009F337B">
        <w:rPr>
          <w:i w:val="0"/>
          <w:szCs w:val="20"/>
          <w:lang w:val="en-US"/>
        </w:rPr>
        <w:t>partner</w:t>
      </w:r>
      <w:r w:rsidR="003C2AC6" w:rsidRPr="009F337B">
        <w:rPr>
          <w:i w:val="0"/>
          <w:szCs w:val="20"/>
          <w:lang w:val="en-US"/>
        </w:rPr>
        <w:t xml:space="preserve"> Santos </w:t>
      </w:r>
      <w:proofErr w:type="spellStart"/>
      <w:r w:rsidR="003C2AC6" w:rsidRPr="009F337B">
        <w:rPr>
          <w:i w:val="0"/>
          <w:szCs w:val="20"/>
          <w:lang w:val="en-US"/>
        </w:rPr>
        <w:t>Isacar</w:t>
      </w:r>
      <w:proofErr w:type="spellEnd"/>
      <w:r w:rsidR="003C2AC6" w:rsidRPr="009F337B">
        <w:rPr>
          <w:i w:val="0"/>
          <w:szCs w:val="20"/>
          <w:lang w:val="en-US"/>
        </w:rPr>
        <w:t xml:space="preserve"> Vásquez Barrios</w:t>
      </w:r>
      <w:r w:rsidR="00FF3347" w:rsidRPr="009F337B">
        <w:rPr>
          <w:i w:val="0"/>
          <w:szCs w:val="20"/>
          <w:lang w:val="en-US"/>
        </w:rPr>
        <w:t>.</w:t>
      </w:r>
      <w:r w:rsidR="003C2AC6" w:rsidRPr="009F337B">
        <w:rPr>
          <w:rStyle w:val="Refdenotaalpie"/>
          <w:i w:val="0"/>
          <w:lang w:val="en-US"/>
        </w:rPr>
        <w:footnoteReference w:id="320"/>
      </w:r>
    </w:p>
    <w:p w14:paraId="57596FAB" w14:textId="77777777" w:rsidR="003C2AC6" w:rsidRPr="009F337B" w:rsidRDefault="003C2AC6" w:rsidP="003C2AC6">
      <w:pPr>
        <w:pStyle w:val="PrrafodeSentencia"/>
        <w:rPr>
          <w:lang w:val="en-US"/>
        </w:rPr>
      </w:pPr>
    </w:p>
    <w:p w14:paraId="1D1DE204" w14:textId="77777777" w:rsidR="003C2AC6" w:rsidRPr="009F337B" w:rsidRDefault="003C2AC6" w:rsidP="003C2AC6">
      <w:pPr>
        <w:pStyle w:val="PrrafodeSentencia"/>
        <w:rPr>
          <w:lang w:val="en-US"/>
        </w:rPr>
      </w:pPr>
      <w:r w:rsidRPr="009F337B">
        <w:rPr>
          <w:lang w:val="en-US"/>
        </w:rPr>
        <w:tab/>
        <w:t>B.15. Santos Isacar Vásquez Barrios</w:t>
      </w:r>
    </w:p>
    <w:p w14:paraId="1E7486B3" w14:textId="77777777" w:rsidR="003C2AC6" w:rsidRPr="009F337B" w:rsidRDefault="003C2AC6" w:rsidP="003C2AC6">
      <w:pPr>
        <w:pStyle w:val="PrrafodeSentencia"/>
        <w:rPr>
          <w:lang w:val="en-US"/>
        </w:rPr>
      </w:pPr>
    </w:p>
    <w:p w14:paraId="7760534C" w14:textId="3F0ADCD9" w:rsidR="003C2AC6" w:rsidRPr="009F337B" w:rsidRDefault="007F1AEB" w:rsidP="00593E37">
      <w:pPr>
        <w:pStyle w:val="Estilo1"/>
        <w:numPr>
          <w:ilvl w:val="0"/>
          <w:numId w:val="5"/>
        </w:numPr>
        <w:tabs>
          <w:tab w:val="left" w:pos="709"/>
          <w:tab w:val="left" w:pos="1134"/>
        </w:tabs>
        <w:spacing w:after="0"/>
        <w:ind w:left="0" w:right="-4" w:firstLine="0"/>
        <w:rPr>
          <w:i w:val="0"/>
          <w:szCs w:val="20"/>
          <w:lang w:val="en-US"/>
        </w:rPr>
      </w:pPr>
      <w:r w:rsidRPr="009F337B">
        <w:rPr>
          <w:i w:val="0"/>
          <w:szCs w:val="20"/>
          <w:lang w:val="en-US"/>
        </w:rPr>
        <w:t>Mr.</w:t>
      </w:r>
      <w:r w:rsidR="003C2AC6" w:rsidRPr="009F337B">
        <w:rPr>
          <w:i w:val="0"/>
          <w:szCs w:val="20"/>
          <w:lang w:val="en-US"/>
        </w:rPr>
        <w:t xml:space="preserve"> Vásquez Barrios </w:t>
      </w:r>
      <w:r w:rsidR="0084040D" w:rsidRPr="009F337B">
        <w:rPr>
          <w:i w:val="0"/>
          <w:szCs w:val="20"/>
          <w:lang w:val="en-US"/>
        </w:rPr>
        <w:t>was born on</w:t>
      </w:r>
      <w:r w:rsidR="003C2AC6" w:rsidRPr="009F337B">
        <w:rPr>
          <w:i w:val="0"/>
          <w:szCs w:val="20"/>
          <w:lang w:val="en-US"/>
        </w:rPr>
        <w:t xml:space="preserve"> </w:t>
      </w:r>
      <w:r w:rsidR="00FF3347" w:rsidRPr="009F337B">
        <w:rPr>
          <w:i w:val="0"/>
          <w:szCs w:val="20"/>
          <w:lang w:val="en-US"/>
        </w:rPr>
        <w:t>November 3,</w:t>
      </w:r>
      <w:r w:rsidR="003C2AC6" w:rsidRPr="009F337B">
        <w:rPr>
          <w:i w:val="0"/>
          <w:szCs w:val="20"/>
          <w:lang w:val="en-US"/>
        </w:rPr>
        <w:t xml:space="preserve"> 1968</w:t>
      </w:r>
      <w:r w:rsidR="00FF3347" w:rsidRPr="009F337B">
        <w:rPr>
          <w:i w:val="0"/>
          <w:szCs w:val="20"/>
          <w:lang w:val="en-US"/>
        </w:rPr>
        <w:t>,</w:t>
      </w:r>
      <w:r w:rsidR="003C2AC6" w:rsidRPr="009F337B">
        <w:rPr>
          <w:i w:val="0"/>
          <w:szCs w:val="20"/>
          <w:lang w:val="en-US"/>
        </w:rPr>
        <w:t xml:space="preserve"> </w:t>
      </w:r>
      <w:r w:rsidR="00A758A5" w:rsidRPr="009F337B">
        <w:rPr>
          <w:i w:val="0"/>
          <w:szCs w:val="20"/>
          <w:lang w:val="en-US"/>
        </w:rPr>
        <w:t>in the municipality</w:t>
      </w:r>
      <w:r w:rsidR="00D85CA7" w:rsidRPr="009F337B">
        <w:rPr>
          <w:i w:val="0"/>
          <w:szCs w:val="20"/>
          <w:lang w:val="en-US"/>
        </w:rPr>
        <w:t xml:space="preserve"> of</w:t>
      </w:r>
      <w:r w:rsidR="003C2AC6" w:rsidRPr="009F337B">
        <w:rPr>
          <w:i w:val="0"/>
          <w:szCs w:val="20"/>
          <w:lang w:val="en-US"/>
        </w:rPr>
        <w:t xml:space="preserve"> </w:t>
      </w:r>
      <w:proofErr w:type="spellStart"/>
      <w:r w:rsidR="003C2AC6" w:rsidRPr="009F337B">
        <w:rPr>
          <w:i w:val="0"/>
          <w:szCs w:val="20"/>
          <w:lang w:val="en-US"/>
        </w:rPr>
        <w:t>Ocos</w:t>
      </w:r>
      <w:proofErr w:type="spellEnd"/>
      <w:r w:rsidR="003C2AC6" w:rsidRPr="009F337B">
        <w:rPr>
          <w:i w:val="0"/>
          <w:szCs w:val="20"/>
          <w:lang w:val="en-US"/>
        </w:rPr>
        <w:t xml:space="preserve">, </w:t>
      </w:r>
      <w:r w:rsidR="003E1304" w:rsidRPr="009F337B">
        <w:rPr>
          <w:i w:val="0"/>
          <w:szCs w:val="20"/>
          <w:lang w:val="en-US"/>
        </w:rPr>
        <w:t>department of</w:t>
      </w:r>
      <w:r w:rsidR="003C2AC6" w:rsidRPr="009F337B">
        <w:rPr>
          <w:i w:val="0"/>
          <w:szCs w:val="20"/>
          <w:lang w:val="en-US"/>
        </w:rPr>
        <w:t xml:space="preserve"> San Marcos, Guatemala. </w:t>
      </w:r>
      <w:r w:rsidR="00FF3347" w:rsidRPr="009F337B">
        <w:rPr>
          <w:i w:val="0"/>
          <w:szCs w:val="20"/>
          <w:lang w:val="en-US"/>
        </w:rPr>
        <w:t>He l</w:t>
      </w:r>
      <w:r w:rsidR="00D85CA7" w:rsidRPr="009F337B">
        <w:rPr>
          <w:i w:val="0"/>
          <w:szCs w:val="20"/>
          <w:lang w:val="en-US"/>
        </w:rPr>
        <w:t>ives in</w:t>
      </w:r>
      <w:r w:rsidR="003C2AC6" w:rsidRPr="009F337B">
        <w:rPr>
          <w:i w:val="0"/>
          <w:szCs w:val="20"/>
          <w:lang w:val="en-US"/>
        </w:rPr>
        <w:t xml:space="preserve"> Tecum, Guatemala. </w:t>
      </w:r>
      <w:r w:rsidR="00FF3347" w:rsidRPr="009F337B">
        <w:rPr>
          <w:i w:val="0"/>
          <w:szCs w:val="20"/>
          <w:lang w:val="en-US"/>
        </w:rPr>
        <w:t xml:space="preserve">He </w:t>
      </w:r>
      <w:r w:rsidR="00DA1821" w:rsidRPr="009F337B">
        <w:rPr>
          <w:i w:val="0"/>
          <w:szCs w:val="20"/>
          <w:lang w:val="en-US"/>
        </w:rPr>
        <w:t>completed</w:t>
      </w:r>
      <w:r w:rsidR="00FF3347" w:rsidRPr="009F337B">
        <w:rPr>
          <w:i w:val="0"/>
          <w:szCs w:val="20"/>
          <w:lang w:val="en-US"/>
        </w:rPr>
        <w:t xml:space="preserve"> second year of </w:t>
      </w:r>
      <w:r w:rsidR="00327D89" w:rsidRPr="009F337B">
        <w:rPr>
          <w:i w:val="0"/>
          <w:szCs w:val="20"/>
          <w:lang w:val="en-US"/>
        </w:rPr>
        <w:t>primary education</w:t>
      </w:r>
      <w:r w:rsidR="00FF3347" w:rsidRPr="009F337B">
        <w:rPr>
          <w:i w:val="0"/>
          <w:szCs w:val="20"/>
          <w:lang w:val="en-US"/>
        </w:rPr>
        <w:t xml:space="preserve"> and </w:t>
      </w:r>
      <w:r w:rsidR="00DA1821" w:rsidRPr="009F337B">
        <w:rPr>
          <w:i w:val="0"/>
          <w:szCs w:val="20"/>
          <w:lang w:val="en-US"/>
        </w:rPr>
        <w:t>can</w:t>
      </w:r>
      <w:r w:rsidR="00FF3347" w:rsidRPr="009F337B">
        <w:rPr>
          <w:i w:val="0"/>
          <w:szCs w:val="20"/>
          <w:lang w:val="en-US"/>
        </w:rPr>
        <w:t xml:space="preserve"> read and write. He </w:t>
      </w:r>
      <w:r w:rsidR="00DA1821" w:rsidRPr="009F337B">
        <w:rPr>
          <w:i w:val="0"/>
          <w:szCs w:val="20"/>
          <w:lang w:val="en-US"/>
        </w:rPr>
        <w:t>w</w:t>
      </w:r>
      <w:r w:rsidR="00FF3347" w:rsidRPr="009F337B">
        <w:rPr>
          <w:i w:val="0"/>
          <w:szCs w:val="20"/>
          <w:lang w:val="en-US"/>
        </w:rPr>
        <w:t xml:space="preserve">orks collecting and selling coconuts. </w:t>
      </w:r>
      <w:r w:rsidRPr="009F337B">
        <w:rPr>
          <w:i w:val="0"/>
          <w:szCs w:val="20"/>
          <w:lang w:val="en-US"/>
        </w:rPr>
        <w:t xml:space="preserve">He </w:t>
      </w:r>
      <w:r w:rsidR="00AE674B" w:rsidRPr="009F337B">
        <w:rPr>
          <w:i w:val="0"/>
          <w:szCs w:val="20"/>
          <w:lang w:val="en-US"/>
        </w:rPr>
        <w:t>was diagnosed with</w:t>
      </w:r>
      <w:r w:rsidR="003C2AC6" w:rsidRPr="009F337B">
        <w:rPr>
          <w:i w:val="0"/>
          <w:szCs w:val="20"/>
          <w:lang w:val="en-US"/>
        </w:rPr>
        <w:t xml:space="preserve"> </w:t>
      </w:r>
      <w:r w:rsidR="00CA11F6" w:rsidRPr="009F337B">
        <w:rPr>
          <w:i w:val="0"/>
          <w:szCs w:val="20"/>
          <w:lang w:val="en-US"/>
        </w:rPr>
        <w:t>HIV</w:t>
      </w:r>
      <w:r w:rsidR="003C2AC6" w:rsidRPr="009F337B">
        <w:rPr>
          <w:i w:val="0"/>
          <w:szCs w:val="20"/>
          <w:lang w:val="en-US"/>
        </w:rPr>
        <w:t xml:space="preserve"> </w:t>
      </w:r>
      <w:r w:rsidR="00FF3347" w:rsidRPr="009F337B">
        <w:rPr>
          <w:i w:val="0"/>
          <w:szCs w:val="20"/>
          <w:lang w:val="en-US"/>
        </w:rPr>
        <w:t>in</w:t>
      </w:r>
      <w:r w:rsidR="003C2AC6" w:rsidRPr="009F337B">
        <w:rPr>
          <w:i w:val="0"/>
          <w:szCs w:val="20"/>
          <w:lang w:val="en-US"/>
        </w:rPr>
        <w:t xml:space="preserve"> 2003 </w:t>
      </w:r>
      <w:r w:rsidR="00FF3347" w:rsidRPr="009F337B">
        <w:rPr>
          <w:i w:val="0"/>
          <w:szCs w:val="20"/>
          <w:lang w:val="en-US"/>
        </w:rPr>
        <w:t xml:space="preserve">by MSF’s </w:t>
      </w:r>
      <w:r w:rsidR="00FF3347" w:rsidRPr="009F337B">
        <w:rPr>
          <w:szCs w:val="20"/>
          <w:lang w:val="en-US"/>
        </w:rPr>
        <w:t>Proyecto Vida</w:t>
      </w:r>
      <w:r w:rsidR="003C2AC6" w:rsidRPr="009F337B">
        <w:rPr>
          <w:i w:val="0"/>
          <w:szCs w:val="20"/>
          <w:lang w:val="en-US"/>
        </w:rPr>
        <w:t>,</w:t>
      </w:r>
      <w:r w:rsidR="00FF3347" w:rsidRPr="009F337B">
        <w:rPr>
          <w:i w:val="0"/>
          <w:szCs w:val="20"/>
          <w:lang w:val="en-US"/>
        </w:rPr>
        <w:t xml:space="preserve"> where he </w:t>
      </w:r>
      <w:r w:rsidR="00A32732" w:rsidRPr="009F337B">
        <w:rPr>
          <w:i w:val="0"/>
          <w:szCs w:val="20"/>
          <w:lang w:val="en-US"/>
        </w:rPr>
        <w:t>w</w:t>
      </w:r>
      <w:r w:rsidR="00FF3347" w:rsidRPr="009F337B">
        <w:rPr>
          <w:i w:val="0"/>
          <w:szCs w:val="20"/>
          <w:lang w:val="en-US"/>
        </w:rPr>
        <w:t xml:space="preserve">as treated with </w:t>
      </w:r>
      <w:r w:rsidR="00FF3347" w:rsidRPr="009F337B">
        <w:rPr>
          <w:rStyle w:val="nfasis"/>
          <w:lang w:val="en-US"/>
        </w:rPr>
        <w:t>trimethoprim</w:t>
      </w:r>
      <w:r w:rsidR="00FF3347" w:rsidRPr="009F337B">
        <w:rPr>
          <w:rStyle w:val="st"/>
          <w:lang w:val="en-US"/>
        </w:rPr>
        <w:t xml:space="preserve"> </w:t>
      </w:r>
      <w:r w:rsidR="00FF3347" w:rsidRPr="009F337B">
        <w:rPr>
          <w:rStyle w:val="st"/>
          <w:i w:val="0"/>
          <w:lang w:val="en-US"/>
        </w:rPr>
        <w:t xml:space="preserve">for approximately nine months, and then they gave him </w:t>
      </w:r>
      <w:r w:rsidR="003C2AC6" w:rsidRPr="009F337B">
        <w:rPr>
          <w:i w:val="0"/>
          <w:szCs w:val="20"/>
          <w:lang w:val="en-US"/>
        </w:rPr>
        <w:t>efaviren</w:t>
      </w:r>
      <w:r w:rsidR="00FF3347" w:rsidRPr="009F337B">
        <w:rPr>
          <w:i w:val="0"/>
          <w:szCs w:val="20"/>
          <w:lang w:val="en-US"/>
        </w:rPr>
        <w:t>z</w:t>
      </w:r>
      <w:r w:rsidR="00DA1821" w:rsidRPr="009F337B">
        <w:rPr>
          <w:i w:val="0"/>
          <w:szCs w:val="20"/>
          <w:lang w:val="en-US"/>
        </w:rPr>
        <w:t xml:space="preserve"> with </w:t>
      </w:r>
      <w:r w:rsidR="00DA1821" w:rsidRPr="009F337B">
        <w:rPr>
          <w:i w:val="0"/>
          <w:lang w:val="en-US"/>
        </w:rPr>
        <w:t>lopinavir and ritonavir</w:t>
      </w:r>
      <w:r w:rsidR="003C2AC6" w:rsidRPr="009F337B">
        <w:rPr>
          <w:i w:val="0"/>
          <w:szCs w:val="20"/>
          <w:lang w:val="en-US"/>
        </w:rPr>
        <w:t xml:space="preserve">. </w:t>
      </w:r>
      <w:r w:rsidR="00FF3347" w:rsidRPr="009F337B">
        <w:rPr>
          <w:i w:val="0"/>
          <w:szCs w:val="20"/>
          <w:lang w:val="en-US"/>
        </w:rPr>
        <w:t>Subsequently, he was transferred to</w:t>
      </w:r>
      <w:r w:rsidR="003C2AC6" w:rsidRPr="009F337B">
        <w:rPr>
          <w:i w:val="0"/>
          <w:szCs w:val="20"/>
          <w:lang w:val="en-US"/>
        </w:rPr>
        <w:t xml:space="preserve"> </w:t>
      </w:r>
      <w:r w:rsidR="00FF3347" w:rsidRPr="009F337B">
        <w:rPr>
          <w:i w:val="0"/>
          <w:szCs w:val="20"/>
          <w:lang w:val="en-US"/>
        </w:rPr>
        <w:t xml:space="preserve">Clinic No. 12 </w:t>
      </w:r>
      <w:r w:rsidR="00A758A5" w:rsidRPr="009F337B">
        <w:rPr>
          <w:i w:val="0"/>
          <w:szCs w:val="20"/>
          <w:lang w:val="en-US"/>
        </w:rPr>
        <w:t xml:space="preserve">of the </w:t>
      </w:r>
      <w:proofErr w:type="spellStart"/>
      <w:r w:rsidR="00BD5E94" w:rsidRPr="009F337B">
        <w:rPr>
          <w:i w:val="0"/>
          <w:szCs w:val="20"/>
          <w:lang w:val="en-US"/>
        </w:rPr>
        <w:t>Coatepeque</w:t>
      </w:r>
      <w:proofErr w:type="spellEnd"/>
      <w:r w:rsidR="00BD5E94" w:rsidRPr="009F337B">
        <w:rPr>
          <w:i w:val="0"/>
          <w:szCs w:val="20"/>
          <w:lang w:val="en-US"/>
        </w:rPr>
        <w:t xml:space="preserve"> National Hospital</w:t>
      </w:r>
      <w:r w:rsidR="003C2AC6" w:rsidRPr="009F337B">
        <w:rPr>
          <w:i w:val="0"/>
          <w:szCs w:val="20"/>
          <w:lang w:val="en-US"/>
        </w:rPr>
        <w:t xml:space="preserve">, </w:t>
      </w:r>
      <w:r w:rsidR="00A32732" w:rsidRPr="009F337B">
        <w:rPr>
          <w:i w:val="0"/>
          <w:szCs w:val="20"/>
          <w:lang w:val="en-US"/>
        </w:rPr>
        <w:t xml:space="preserve">which was around 40 minutes from his home and </w:t>
      </w:r>
      <w:r w:rsidR="005307B5" w:rsidRPr="009F337B">
        <w:rPr>
          <w:i w:val="0"/>
          <w:szCs w:val="20"/>
          <w:lang w:val="en-US"/>
        </w:rPr>
        <w:t>the journey costs</w:t>
      </w:r>
      <w:r w:rsidR="00A32732" w:rsidRPr="009F337B">
        <w:rPr>
          <w:i w:val="0"/>
          <w:szCs w:val="20"/>
          <w:lang w:val="en-US"/>
        </w:rPr>
        <w:t xml:space="preserve"> approximately 45 quetzals on </w:t>
      </w:r>
      <w:r w:rsidR="005307B5" w:rsidRPr="009F337B">
        <w:rPr>
          <w:i w:val="0"/>
          <w:szCs w:val="20"/>
          <w:lang w:val="en-US"/>
        </w:rPr>
        <w:t xml:space="preserve">the </w:t>
      </w:r>
      <w:r w:rsidR="00A32732" w:rsidRPr="009F337B">
        <w:rPr>
          <w:i w:val="0"/>
          <w:szCs w:val="20"/>
          <w:lang w:val="en-US"/>
        </w:rPr>
        <w:t>days he has an appointment</w:t>
      </w:r>
      <w:r w:rsidR="003C2AC6" w:rsidRPr="009F337B">
        <w:rPr>
          <w:i w:val="0"/>
          <w:szCs w:val="20"/>
          <w:lang w:val="en-US"/>
        </w:rPr>
        <w:t>.</w:t>
      </w:r>
      <w:r w:rsidR="00A32732" w:rsidRPr="009F337B">
        <w:rPr>
          <w:i w:val="0"/>
          <w:szCs w:val="20"/>
          <w:lang w:val="en-US"/>
        </w:rPr>
        <w:t xml:space="preserve"> He began</w:t>
      </w:r>
      <w:r w:rsidR="003C2AC6" w:rsidRPr="009F337B">
        <w:rPr>
          <w:i w:val="0"/>
          <w:szCs w:val="20"/>
          <w:lang w:val="en-US"/>
        </w:rPr>
        <w:t xml:space="preserve"> </w:t>
      </w:r>
      <w:r w:rsidR="00FE1EFF" w:rsidRPr="009F337B">
        <w:rPr>
          <w:i w:val="0"/>
          <w:szCs w:val="20"/>
          <w:lang w:val="en-US"/>
        </w:rPr>
        <w:t>antiretroviral treatment</w:t>
      </w:r>
      <w:r w:rsidR="003C2AC6" w:rsidRPr="009F337B">
        <w:rPr>
          <w:i w:val="0"/>
          <w:szCs w:val="20"/>
          <w:lang w:val="en-US"/>
        </w:rPr>
        <w:t xml:space="preserve"> </w:t>
      </w:r>
      <w:r w:rsidR="00A32732" w:rsidRPr="009F337B">
        <w:rPr>
          <w:i w:val="0"/>
          <w:szCs w:val="20"/>
          <w:lang w:val="en-US"/>
        </w:rPr>
        <w:t>in</w:t>
      </w:r>
      <w:r w:rsidR="003C2AC6" w:rsidRPr="009F337B">
        <w:rPr>
          <w:i w:val="0"/>
          <w:szCs w:val="20"/>
          <w:lang w:val="en-US"/>
        </w:rPr>
        <w:t xml:space="preserve"> 2004. </w:t>
      </w:r>
      <w:r w:rsidR="00A32732" w:rsidRPr="009F337B">
        <w:rPr>
          <w:i w:val="0"/>
          <w:szCs w:val="20"/>
          <w:lang w:val="en-US"/>
        </w:rPr>
        <w:t xml:space="preserve">He has undergone CD4 counts (4) </w:t>
      </w:r>
      <w:r w:rsidR="003C46A3" w:rsidRPr="009F337B">
        <w:rPr>
          <w:i w:val="0"/>
          <w:szCs w:val="20"/>
          <w:lang w:val="en-US"/>
        </w:rPr>
        <w:t xml:space="preserve">and </w:t>
      </w:r>
      <w:r w:rsidR="00CC4867" w:rsidRPr="009F337B">
        <w:rPr>
          <w:i w:val="0"/>
          <w:szCs w:val="20"/>
          <w:lang w:val="en-US"/>
        </w:rPr>
        <w:t>viral load</w:t>
      </w:r>
      <w:r w:rsidR="00A32732" w:rsidRPr="009F337B">
        <w:rPr>
          <w:i w:val="0"/>
          <w:szCs w:val="20"/>
          <w:lang w:val="en-US"/>
        </w:rPr>
        <w:t xml:space="preserve"> testing</w:t>
      </w:r>
      <w:r w:rsidR="003C2AC6" w:rsidRPr="009F337B">
        <w:rPr>
          <w:i w:val="0"/>
          <w:szCs w:val="20"/>
          <w:lang w:val="en-US"/>
        </w:rPr>
        <w:t xml:space="preserve"> (1). </w:t>
      </w:r>
      <w:r w:rsidR="00A32732" w:rsidRPr="009F337B">
        <w:rPr>
          <w:i w:val="0"/>
          <w:szCs w:val="20"/>
          <w:lang w:val="en-US"/>
        </w:rPr>
        <w:t>He has suffered from</w:t>
      </w:r>
      <w:r w:rsidR="003C2AC6" w:rsidRPr="009F337B">
        <w:rPr>
          <w:i w:val="0"/>
          <w:szCs w:val="20"/>
          <w:lang w:val="en-US"/>
        </w:rPr>
        <w:t xml:space="preserve"> </w:t>
      </w:r>
      <w:r w:rsidR="00A32732" w:rsidRPr="009F337B">
        <w:rPr>
          <w:i w:val="0"/>
          <w:szCs w:val="20"/>
          <w:lang w:val="en-US"/>
        </w:rPr>
        <w:t>syphilis</w:t>
      </w:r>
      <w:r w:rsidR="003C2AC6" w:rsidRPr="009F337B">
        <w:rPr>
          <w:i w:val="0"/>
          <w:szCs w:val="20"/>
          <w:lang w:val="en-US"/>
        </w:rPr>
        <w:t>, neuro</w:t>
      </w:r>
      <w:r w:rsidR="00A32732" w:rsidRPr="009F337B">
        <w:rPr>
          <w:i w:val="0"/>
          <w:szCs w:val="20"/>
          <w:lang w:val="en-US"/>
        </w:rPr>
        <w:t>syphilis</w:t>
      </w:r>
      <w:r w:rsidR="003C2AC6" w:rsidRPr="009F337B">
        <w:rPr>
          <w:i w:val="0"/>
          <w:szCs w:val="20"/>
          <w:lang w:val="en-US"/>
        </w:rPr>
        <w:t xml:space="preserve">, herpes zoster, </w:t>
      </w:r>
      <w:r w:rsidR="00A32732" w:rsidRPr="009F337B">
        <w:rPr>
          <w:i w:val="0"/>
          <w:szCs w:val="20"/>
          <w:lang w:val="en-US"/>
        </w:rPr>
        <w:t>recurrent cutaneous mycosis</w:t>
      </w:r>
      <w:r w:rsidR="003C2AC6" w:rsidRPr="009F337B">
        <w:rPr>
          <w:i w:val="0"/>
          <w:szCs w:val="20"/>
          <w:lang w:val="en-US"/>
        </w:rPr>
        <w:t xml:space="preserve">, </w:t>
      </w:r>
      <w:r w:rsidR="001C4CEA" w:rsidRPr="009F337B">
        <w:rPr>
          <w:i w:val="0"/>
          <w:szCs w:val="20"/>
          <w:lang w:val="en-US"/>
        </w:rPr>
        <w:t>parasites</w:t>
      </w:r>
      <w:r w:rsidR="003C2AC6" w:rsidRPr="009F337B">
        <w:rPr>
          <w:i w:val="0"/>
          <w:szCs w:val="20"/>
          <w:lang w:val="en-US"/>
        </w:rPr>
        <w:t>, f</w:t>
      </w:r>
      <w:r w:rsidR="00A32732" w:rsidRPr="009F337B">
        <w:rPr>
          <w:i w:val="0"/>
          <w:szCs w:val="20"/>
          <w:lang w:val="en-US"/>
        </w:rPr>
        <w:t>ever</w:t>
      </w:r>
      <w:r w:rsidR="003C2AC6" w:rsidRPr="009F337B">
        <w:rPr>
          <w:i w:val="0"/>
          <w:szCs w:val="20"/>
          <w:lang w:val="en-US"/>
        </w:rPr>
        <w:t xml:space="preserve">, </w:t>
      </w:r>
      <w:r w:rsidR="00BB39B6" w:rsidRPr="009F337B">
        <w:rPr>
          <w:i w:val="0"/>
          <w:szCs w:val="20"/>
          <w:lang w:val="en-US"/>
        </w:rPr>
        <w:t>diarrhea</w:t>
      </w:r>
      <w:r w:rsidR="003C2AC6" w:rsidRPr="009F337B">
        <w:rPr>
          <w:i w:val="0"/>
          <w:szCs w:val="20"/>
          <w:lang w:val="en-US"/>
        </w:rPr>
        <w:t xml:space="preserve"> </w:t>
      </w:r>
      <w:r w:rsidR="00A32732" w:rsidRPr="009F337B">
        <w:rPr>
          <w:i w:val="0"/>
          <w:szCs w:val="20"/>
          <w:lang w:val="en-US"/>
        </w:rPr>
        <w:t>with blood</w:t>
      </w:r>
      <w:r w:rsidR="003C2AC6" w:rsidRPr="009F337B">
        <w:rPr>
          <w:i w:val="0"/>
          <w:szCs w:val="20"/>
          <w:lang w:val="en-US"/>
        </w:rPr>
        <w:t>, v</w:t>
      </w:r>
      <w:r w:rsidR="00A32732" w:rsidRPr="009F337B">
        <w:rPr>
          <w:i w:val="0"/>
          <w:szCs w:val="20"/>
          <w:lang w:val="en-US"/>
        </w:rPr>
        <w:t xml:space="preserve">omits with white phlegm, slight aphonia </w:t>
      </w:r>
      <w:r w:rsidR="003C46A3" w:rsidRPr="009F337B">
        <w:rPr>
          <w:i w:val="0"/>
          <w:szCs w:val="20"/>
          <w:lang w:val="en-US"/>
        </w:rPr>
        <w:t xml:space="preserve">and </w:t>
      </w:r>
      <w:r w:rsidR="00B23B9B" w:rsidRPr="009F337B">
        <w:rPr>
          <w:i w:val="0"/>
          <w:szCs w:val="20"/>
          <w:lang w:val="en-US"/>
        </w:rPr>
        <w:t>pharyngitis</w:t>
      </w:r>
      <w:r w:rsidR="003C2AC6" w:rsidRPr="009F337B">
        <w:rPr>
          <w:i w:val="0"/>
          <w:szCs w:val="20"/>
          <w:lang w:val="en-US"/>
        </w:rPr>
        <w:t>.</w:t>
      </w:r>
      <w:r w:rsidR="003A3F2F" w:rsidRPr="009F337B">
        <w:rPr>
          <w:i w:val="0"/>
          <w:szCs w:val="20"/>
          <w:lang w:val="en-US"/>
        </w:rPr>
        <w:t xml:space="preserve"> H</w:t>
      </w:r>
      <w:r w:rsidR="00A32732" w:rsidRPr="009F337B">
        <w:rPr>
          <w:i w:val="0"/>
          <w:szCs w:val="20"/>
          <w:lang w:val="en-US"/>
        </w:rPr>
        <w:t xml:space="preserve">e </w:t>
      </w:r>
      <w:r w:rsidR="005307B5" w:rsidRPr="009F337B">
        <w:rPr>
          <w:i w:val="0"/>
          <w:szCs w:val="20"/>
          <w:lang w:val="en-US"/>
        </w:rPr>
        <w:t xml:space="preserve">has </w:t>
      </w:r>
      <w:r w:rsidR="00A32732" w:rsidRPr="009F337B">
        <w:rPr>
          <w:i w:val="0"/>
          <w:szCs w:val="20"/>
          <w:lang w:val="en-US"/>
        </w:rPr>
        <w:t>received talks on tre</w:t>
      </w:r>
      <w:r w:rsidR="003A3F2F" w:rsidRPr="009F337B">
        <w:rPr>
          <w:i w:val="0"/>
          <w:szCs w:val="20"/>
          <w:lang w:val="en-US"/>
        </w:rPr>
        <w:t>a</w:t>
      </w:r>
      <w:r w:rsidR="00A32732" w:rsidRPr="009F337B">
        <w:rPr>
          <w:i w:val="0"/>
          <w:szCs w:val="20"/>
          <w:lang w:val="en-US"/>
        </w:rPr>
        <w:t xml:space="preserve">tment adherence, and nutritional and psychological support from </w:t>
      </w:r>
      <w:r w:rsidR="00AE674B" w:rsidRPr="009F337B">
        <w:rPr>
          <w:szCs w:val="20"/>
          <w:lang w:val="en-US"/>
        </w:rPr>
        <w:t>Proyecto Vida</w:t>
      </w:r>
      <w:r w:rsidR="005307B5" w:rsidRPr="009F337B">
        <w:rPr>
          <w:i w:val="0"/>
          <w:szCs w:val="20"/>
          <w:lang w:val="en-US"/>
        </w:rPr>
        <w:t xml:space="preserve">, and </w:t>
      </w:r>
      <w:r w:rsidR="00A32732" w:rsidRPr="009F337B">
        <w:rPr>
          <w:i w:val="0"/>
          <w:szCs w:val="20"/>
          <w:lang w:val="en-US"/>
        </w:rPr>
        <w:t>psychological care in Clinic No.</w:t>
      </w:r>
      <w:r w:rsidR="003C2AC6" w:rsidRPr="009F337B">
        <w:rPr>
          <w:i w:val="0"/>
          <w:szCs w:val="20"/>
          <w:lang w:val="en-US"/>
        </w:rPr>
        <w:t xml:space="preserve"> 12</w:t>
      </w:r>
      <w:r w:rsidR="00A32732" w:rsidRPr="009F337B">
        <w:rPr>
          <w:i w:val="0"/>
          <w:szCs w:val="20"/>
          <w:lang w:val="en-US"/>
        </w:rPr>
        <w:t>.</w:t>
      </w:r>
      <w:r w:rsidR="003C2AC6" w:rsidRPr="009F337B">
        <w:rPr>
          <w:rStyle w:val="Refdenotaalpie"/>
          <w:i w:val="0"/>
          <w:lang w:val="en-US"/>
        </w:rPr>
        <w:footnoteReference w:id="321"/>
      </w:r>
    </w:p>
    <w:p w14:paraId="45687562" w14:textId="77777777" w:rsidR="003C2AC6" w:rsidRPr="009F337B" w:rsidRDefault="003C2AC6" w:rsidP="003C2AC6">
      <w:pPr>
        <w:pStyle w:val="Estilo1"/>
        <w:tabs>
          <w:tab w:val="left" w:pos="709"/>
          <w:tab w:val="left" w:pos="1134"/>
        </w:tabs>
        <w:spacing w:after="0"/>
        <w:ind w:left="0" w:right="-4" w:firstLine="0"/>
        <w:rPr>
          <w:i w:val="0"/>
          <w:szCs w:val="20"/>
          <w:lang w:val="en-US"/>
        </w:rPr>
      </w:pPr>
    </w:p>
    <w:p w14:paraId="536C044C" w14:textId="76D9991A" w:rsidR="003C2AC6" w:rsidRPr="009F337B" w:rsidRDefault="00A758A5" w:rsidP="00593E37">
      <w:pPr>
        <w:pStyle w:val="Estilo1"/>
        <w:numPr>
          <w:ilvl w:val="0"/>
          <w:numId w:val="5"/>
        </w:numPr>
        <w:tabs>
          <w:tab w:val="left" w:pos="709"/>
          <w:tab w:val="left" w:pos="1134"/>
        </w:tabs>
        <w:spacing w:after="0"/>
        <w:ind w:left="0" w:right="-4" w:firstLine="0"/>
        <w:rPr>
          <w:i w:val="0"/>
          <w:szCs w:val="20"/>
          <w:lang w:val="en-US"/>
        </w:rPr>
      </w:pPr>
      <w:r w:rsidRPr="009F337B">
        <w:rPr>
          <w:i w:val="0"/>
          <w:szCs w:val="20"/>
          <w:lang w:val="en-US"/>
        </w:rPr>
        <w:t>His family unit consists of his</w:t>
      </w:r>
      <w:r w:rsidR="003C2AC6" w:rsidRPr="009F337B">
        <w:rPr>
          <w:i w:val="0"/>
          <w:szCs w:val="20"/>
          <w:lang w:val="en-US"/>
        </w:rPr>
        <w:t xml:space="preserve"> </w:t>
      </w:r>
      <w:r w:rsidR="0010522A" w:rsidRPr="009F337B">
        <w:rPr>
          <w:i w:val="0"/>
          <w:szCs w:val="20"/>
          <w:lang w:val="en-US"/>
        </w:rPr>
        <w:t>daughter</w:t>
      </w:r>
      <w:r w:rsidR="003C2AC6" w:rsidRPr="009F337B">
        <w:rPr>
          <w:i w:val="0"/>
          <w:szCs w:val="20"/>
          <w:lang w:val="en-US"/>
        </w:rPr>
        <w:t xml:space="preserve"> Irma Noelia Vásquez Barrios, </w:t>
      </w:r>
      <w:r w:rsidR="00A32732" w:rsidRPr="009F337B">
        <w:rPr>
          <w:i w:val="0"/>
          <w:szCs w:val="20"/>
          <w:lang w:val="en-US"/>
        </w:rPr>
        <w:t>his</w:t>
      </w:r>
      <w:r w:rsidR="003C2AC6" w:rsidRPr="009F337B">
        <w:rPr>
          <w:i w:val="0"/>
          <w:szCs w:val="20"/>
          <w:lang w:val="en-US"/>
        </w:rPr>
        <w:t xml:space="preserve"> </w:t>
      </w:r>
      <w:r w:rsidR="0010522A" w:rsidRPr="009F337B">
        <w:rPr>
          <w:i w:val="0"/>
          <w:szCs w:val="20"/>
          <w:lang w:val="en-US"/>
        </w:rPr>
        <w:t>mother</w:t>
      </w:r>
      <w:r w:rsidR="003C2AC6" w:rsidRPr="009F337B">
        <w:rPr>
          <w:i w:val="0"/>
          <w:szCs w:val="20"/>
          <w:lang w:val="en-US"/>
        </w:rPr>
        <w:t xml:space="preserve"> Margarita Barrios Hernández,</w:t>
      </w:r>
      <w:r w:rsidR="005307B5" w:rsidRPr="009F337B">
        <w:rPr>
          <w:i w:val="0"/>
          <w:szCs w:val="20"/>
          <w:lang w:val="en-US"/>
        </w:rPr>
        <w:t xml:space="preserve"> </w:t>
      </w:r>
      <w:r w:rsidR="00A32732" w:rsidRPr="009F337B">
        <w:rPr>
          <w:i w:val="0"/>
          <w:szCs w:val="20"/>
          <w:lang w:val="en-US"/>
        </w:rPr>
        <w:t>his</w:t>
      </w:r>
      <w:r w:rsidR="003C2AC6" w:rsidRPr="009F337B">
        <w:rPr>
          <w:i w:val="0"/>
          <w:szCs w:val="20"/>
          <w:lang w:val="en-US"/>
        </w:rPr>
        <w:t xml:space="preserve"> </w:t>
      </w:r>
      <w:r w:rsidR="0010522A" w:rsidRPr="009F337B">
        <w:rPr>
          <w:i w:val="0"/>
          <w:szCs w:val="20"/>
          <w:lang w:val="en-US"/>
        </w:rPr>
        <w:t>father</w:t>
      </w:r>
      <w:r w:rsidR="003C2AC6" w:rsidRPr="009F337B">
        <w:rPr>
          <w:i w:val="0"/>
          <w:szCs w:val="20"/>
          <w:lang w:val="en-US"/>
        </w:rPr>
        <w:t xml:space="preserve"> Rogelio </w:t>
      </w:r>
      <w:proofErr w:type="spellStart"/>
      <w:r w:rsidR="003C2AC6" w:rsidRPr="009F337B">
        <w:rPr>
          <w:i w:val="0"/>
          <w:szCs w:val="20"/>
          <w:lang w:val="en-US"/>
        </w:rPr>
        <w:t>Saturnino</w:t>
      </w:r>
      <w:proofErr w:type="spellEnd"/>
      <w:r w:rsidR="003C2AC6" w:rsidRPr="009F337B">
        <w:rPr>
          <w:i w:val="0"/>
          <w:szCs w:val="20"/>
          <w:lang w:val="en-US"/>
        </w:rPr>
        <w:t xml:space="preserve"> Vásquez, </w:t>
      </w:r>
      <w:r w:rsidR="00A32732" w:rsidRPr="009F337B">
        <w:rPr>
          <w:i w:val="0"/>
          <w:szCs w:val="20"/>
          <w:lang w:val="en-US"/>
        </w:rPr>
        <w:t xml:space="preserve">his grandmother </w:t>
      </w:r>
      <w:r w:rsidR="003C2AC6" w:rsidRPr="009F337B">
        <w:rPr>
          <w:i w:val="0"/>
          <w:szCs w:val="20"/>
          <w:lang w:val="en-US"/>
        </w:rPr>
        <w:t>Juana de Jesús Vásquez,</w:t>
      </w:r>
      <w:r w:rsidR="003C46A3" w:rsidRPr="009F337B">
        <w:rPr>
          <w:i w:val="0"/>
          <w:szCs w:val="20"/>
          <w:lang w:val="en-US"/>
        </w:rPr>
        <w:t xml:space="preserve"> and </w:t>
      </w:r>
      <w:r w:rsidR="00A32732" w:rsidRPr="009F337B">
        <w:rPr>
          <w:i w:val="0"/>
          <w:szCs w:val="20"/>
          <w:lang w:val="en-US"/>
        </w:rPr>
        <w:t>his curre</w:t>
      </w:r>
      <w:r w:rsidR="005307B5" w:rsidRPr="009F337B">
        <w:rPr>
          <w:i w:val="0"/>
          <w:szCs w:val="20"/>
          <w:lang w:val="en-US"/>
        </w:rPr>
        <w:t>n</w:t>
      </w:r>
      <w:r w:rsidR="00A32732" w:rsidRPr="009F337B">
        <w:rPr>
          <w:i w:val="0"/>
          <w:szCs w:val="20"/>
          <w:lang w:val="en-US"/>
        </w:rPr>
        <w:t>t</w:t>
      </w:r>
      <w:r w:rsidR="003C2AC6" w:rsidRPr="009F337B">
        <w:rPr>
          <w:i w:val="0"/>
          <w:szCs w:val="20"/>
          <w:lang w:val="en-US"/>
        </w:rPr>
        <w:t xml:space="preserve"> </w:t>
      </w:r>
      <w:r w:rsidR="0010522A" w:rsidRPr="009F337B">
        <w:rPr>
          <w:i w:val="0"/>
          <w:szCs w:val="20"/>
          <w:lang w:val="en-US"/>
        </w:rPr>
        <w:t>partner</w:t>
      </w:r>
      <w:r w:rsidR="003C2AC6" w:rsidRPr="009F337B">
        <w:rPr>
          <w:i w:val="0"/>
          <w:szCs w:val="20"/>
          <w:lang w:val="en-US"/>
        </w:rPr>
        <w:t xml:space="preserve"> Ismerai </w:t>
      </w:r>
      <w:proofErr w:type="spellStart"/>
      <w:r w:rsidR="003C2AC6" w:rsidRPr="009F337B">
        <w:rPr>
          <w:i w:val="0"/>
          <w:szCs w:val="20"/>
          <w:lang w:val="en-US"/>
        </w:rPr>
        <w:t>Olibia</w:t>
      </w:r>
      <w:proofErr w:type="spellEnd"/>
      <w:r w:rsidR="003C2AC6" w:rsidRPr="009F337B">
        <w:rPr>
          <w:i w:val="0"/>
          <w:szCs w:val="20"/>
          <w:lang w:val="en-US"/>
        </w:rPr>
        <w:t xml:space="preserve"> García </w:t>
      </w:r>
      <w:proofErr w:type="spellStart"/>
      <w:r w:rsidR="003C2AC6" w:rsidRPr="009F337B">
        <w:rPr>
          <w:i w:val="0"/>
          <w:szCs w:val="20"/>
          <w:lang w:val="en-US"/>
        </w:rPr>
        <w:t>Castañón</w:t>
      </w:r>
      <w:proofErr w:type="spellEnd"/>
      <w:r w:rsidR="00A32732" w:rsidRPr="009F337B">
        <w:rPr>
          <w:i w:val="0"/>
          <w:szCs w:val="20"/>
          <w:lang w:val="en-US"/>
        </w:rPr>
        <w:t>.</w:t>
      </w:r>
      <w:r w:rsidR="003C2AC6" w:rsidRPr="009F337B">
        <w:rPr>
          <w:rStyle w:val="Refdenotaalpie"/>
          <w:i w:val="0"/>
          <w:lang w:val="en-US"/>
        </w:rPr>
        <w:footnoteReference w:id="322"/>
      </w:r>
    </w:p>
    <w:p w14:paraId="71EDAD53" w14:textId="77777777" w:rsidR="003C2AC6" w:rsidRPr="009F337B" w:rsidRDefault="003C2AC6" w:rsidP="003C2AC6">
      <w:pPr>
        <w:pStyle w:val="PrrafodeSentencia"/>
        <w:rPr>
          <w:lang w:val="en-US"/>
        </w:rPr>
      </w:pPr>
    </w:p>
    <w:p w14:paraId="461F4190" w14:textId="3163A990" w:rsidR="003C2AC6" w:rsidRPr="00542AB5" w:rsidRDefault="003C2AC6" w:rsidP="003C2AC6">
      <w:pPr>
        <w:pStyle w:val="PrrafodeSentencia"/>
        <w:rPr>
          <w:lang w:val="es-CR"/>
        </w:rPr>
      </w:pPr>
      <w:r w:rsidRPr="009F337B">
        <w:rPr>
          <w:lang w:val="en-US"/>
        </w:rPr>
        <w:tab/>
      </w:r>
      <w:r w:rsidRPr="00542AB5">
        <w:rPr>
          <w:lang w:val="es-CR"/>
        </w:rPr>
        <w:t>B.16. Mardo Luis Hernández</w:t>
      </w:r>
      <w:r w:rsidR="003C46A3" w:rsidRPr="00542AB5">
        <w:rPr>
          <w:lang w:val="es-CR"/>
        </w:rPr>
        <w:t xml:space="preserve"> </w:t>
      </w:r>
      <w:r w:rsidR="0015205F" w:rsidRPr="00542AB5">
        <w:rPr>
          <w:lang w:val="es-CR"/>
        </w:rPr>
        <w:t>y</w:t>
      </w:r>
      <w:r w:rsidR="003C46A3" w:rsidRPr="00542AB5">
        <w:rPr>
          <w:lang w:val="es-CR"/>
        </w:rPr>
        <w:t xml:space="preserve"> </w:t>
      </w:r>
      <w:r w:rsidRPr="00542AB5">
        <w:rPr>
          <w:lang w:val="es-CR"/>
        </w:rPr>
        <w:t>Hernández</w:t>
      </w:r>
    </w:p>
    <w:p w14:paraId="38230742" w14:textId="77777777" w:rsidR="003C2AC6" w:rsidRPr="00542AB5" w:rsidRDefault="003C2AC6" w:rsidP="003C2AC6">
      <w:pPr>
        <w:pStyle w:val="PrrafodeSentencia"/>
        <w:rPr>
          <w:lang w:val="es-CR"/>
        </w:rPr>
      </w:pPr>
    </w:p>
    <w:p w14:paraId="32DA2F91" w14:textId="688853CF" w:rsidR="003C2AC6" w:rsidRPr="009F337B" w:rsidRDefault="007F1AEB" w:rsidP="00593E37">
      <w:pPr>
        <w:pStyle w:val="Estilo1"/>
        <w:numPr>
          <w:ilvl w:val="0"/>
          <w:numId w:val="5"/>
        </w:numPr>
        <w:tabs>
          <w:tab w:val="left" w:pos="709"/>
          <w:tab w:val="left" w:pos="1134"/>
        </w:tabs>
        <w:spacing w:after="0"/>
        <w:ind w:left="0" w:right="-4" w:firstLine="0"/>
        <w:rPr>
          <w:i w:val="0"/>
          <w:szCs w:val="20"/>
          <w:lang w:val="en-US"/>
        </w:rPr>
      </w:pPr>
      <w:r w:rsidRPr="009F337B">
        <w:rPr>
          <w:i w:val="0"/>
          <w:szCs w:val="20"/>
          <w:lang w:val="en-US"/>
        </w:rPr>
        <w:t>Mr.</w:t>
      </w:r>
      <w:r w:rsidR="003C2AC6" w:rsidRPr="009F337B">
        <w:rPr>
          <w:i w:val="0"/>
          <w:szCs w:val="20"/>
          <w:lang w:val="en-US"/>
        </w:rPr>
        <w:t xml:space="preserve"> Hernández</w:t>
      </w:r>
      <w:r w:rsidR="003C46A3" w:rsidRPr="009F337B">
        <w:rPr>
          <w:i w:val="0"/>
          <w:szCs w:val="20"/>
          <w:lang w:val="en-US"/>
        </w:rPr>
        <w:t xml:space="preserve"> </w:t>
      </w:r>
      <w:r w:rsidR="0015205F" w:rsidRPr="009F337B">
        <w:rPr>
          <w:i w:val="0"/>
          <w:szCs w:val="20"/>
          <w:lang w:val="en-US"/>
        </w:rPr>
        <w:t>y</w:t>
      </w:r>
      <w:r w:rsidR="003C46A3" w:rsidRPr="009F337B">
        <w:rPr>
          <w:i w:val="0"/>
          <w:szCs w:val="20"/>
          <w:lang w:val="en-US"/>
        </w:rPr>
        <w:t xml:space="preserve"> </w:t>
      </w:r>
      <w:r w:rsidR="003C2AC6" w:rsidRPr="009F337B">
        <w:rPr>
          <w:i w:val="0"/>
          <w:szCs w:val="20"/>
          <w:lang w:val="en-US"/>
        </w:rPr>
        <w:t xml:space="preserve">Hernández </w:t>
      </w:r>
      <w:r w:rsidR="0084040D" w:rsidRPr="009F337B">
        <w:rPr>
          <w:i w:val="0"/>
          <w:szCs w:val="20"/>
          <w:lang w:val="en-US"/>
        </w:rPr>
        <w:t>was born on</w:t>
      </w:r>
      <w:r w:rsidR="003C2AC6" w:rsidRPr="009F337B">
        <w:rPr>
          <w:i w:val="0"/>
          <w:szCs w:val="20"/>
          <w:lang w:val="en-US"/>
        </w:rPr>
        <w:t xml:space="preserve"> </w:t>
      </w:r>
      <w:r w:rsidR="00A32732" w:rsidRPr="009F337B">
        <w:rPr>
          <w:i w:val="0"/>
          <w:szCs w:val="20"/>
          <w:lang w:val="en-US"/>
        </w:rPr>
        <w:t>July 3,</w:t>
      </w:r>
      <w:r w:rsidR="003C2AC6" w:rsidRPr="009F337B">
        <w:rPr>
          <w:i w:val="0"/>
          <w:szCs w:val="20"/>
          <w:lang w:val="en-US"/>
        </w:rPr>
        <w:t xml:space="preserve"> 1983</w:t>
      </w:r>
      <w:r w:rsidR="00A32732" w:rsidRPr="009F337B">
        <w:rPr>
          <w:i w:val="0"/>
          <w:szCs w:val="20"/>
          <w:lang w:val="en-US"/>
        </w:rPr>
        <w:t>,</w:t>
      </w:r>
      <w:r w:rsidR="003C2AC6" w:rsidRPr="009F337B">
        <w:rPr>
          <w:i w:val="0"/>
          <w:szCs w:val="20"/>
          <w:lang w:val="en-US"/>
        </w:rPr>
        <w:t xml:space="preserve"> </w:t>
      </w:r>
      <w:r w:rsidR="00A758A5" w:rsidRPr="009F337B">
        <w:rPr>
          <w:i w:val="0"/>
          <w:szCs w:val="20"/>
          <w:lang w:val="en-US"/>
        </w:rPr>
        <w:t>in the municipality</w:t>
      </w:r>
      <w:r w:rsidR="00D85CA7" w:rsidRPr="009F337B">
        <w:rPr>
          <w:i w:val="0"/>
          <w:szCs w:val="20"/>
          <w:lang w:val="en-US"/>
        </w:rPr>
        <w:t xml:space="preserve"> of</w:t>
      </w:r>
      <w:r w:rsidR="003C2AC6" w:rsidRPr="009F337B">
        <w:rPr>
          <w:i w:val="0"/>
          <w:szCs w:val="20"/>
          <w:lang w:val="en-US"/>
        </w:rPr>
        <w:t xml:space="preserve"> </w:t>
      </w:r>
      <w:proofErr w:type="spellStart"/>
      <w:r w:rsidR="003C2AC6" w:rsidRPr="009F337B">
        <w:rPr>
          <w:i w:val="0"/>
          <w:szCs w:val="20"/>
          <w:lang w:val="en-US"/>
        </w:rPr>
        <w:t>Ocos</w:t>
      </w:r>
      <w:proofErr w:type="spellEnd"/>
      <w:r w:rsidR="003C2AC6" w:rsidRPr="009F337B">
        <w:rPr>
          <w:i w:val="0"/>
          <w:szCs w:val="20"/>
          <w:lang w:val="en-US"/>
        </w:rPr>
        <w:t xml:space="preserve">, </w:t>
      </w:r>
      <w:r w:rsidR="003E1304" w:rsidRPr="009F337B">
        <w:rPr>
          <w:i w:val="0"/>
          <w:szCs w:val="20"/>
          <w:lang w:val="en-US"/>
        </w:rPr>
        <w:t>department of</w:t>
      </w:r>
      <w:r w:rsidR="003C2AC6" w:rsidRPr="009F337B">
        <w:rPr>
          <w:i w:val="0"/>
          <w:szCs w:val="20"/>
          <w:lang w:val="en-US"/>
        </w:rPr>
        <w:t xml:space="preserve"> San Marcos, Guatemala. </w:t>
      </w:r>
      <w:r w:rsidR="00A32732" w:rsidRPr="00542AB5">
        <w:rPr>
          <w:i w:val="0"/>
          <w:szCs w:val="20"/>
          <w:lang w:val="es-CR"/>
        </w:rPr>
        <w:t xml:space="preserve">He </w:t>
      </w:r>
      <w:proofErr w:type="spellStart"/>
      <w:r w:rsidR="00A32732" w:rsidRPr="00542AB5">
        <w:rPr>
          <w:i w:val="0"/>
          <w:szCs w:val="20"/>
          <w:lang w:val="es-CR"/>
        </w:rPr>
        <w:t>lives</w:t>
      </w:r>
      <w:proofErr w:type="spellEnd"/>
      <w:r w:rsidR="00A32732" w:rsidRPr="00542AB5">
        <w:rPr>
          <w:i w:val="0"/>
          <w:szCs w:val="20"/>
          <w:lang w:val="es-CR"/>
        </w:rPr>
        <w:t xml:space="preserve"> in</w:t>
      </w:r>
      <w:r w:rsidR="003C2AC6" w:rsidRPr="00542AB5">
        <w:rPr>
          <w:i w:val="0"/>
          <w:szCs w:val="20"/>
          <w:lang w:val="es-CR"/>
        </w:rPr>
        <w:t xml:space="preserve"> Colonia San Julián, La Blanca</w:t>
      </w:r>
      <w:r w:rsidR="00A32732" w:rsidRPr="00542AB5">
        <w:rPr>
          <w:i w:val="0"/>
          <w:szCs w:val="20"/>
          <w:lang w:val="es-CR"/>
        </w:rPr>
        <w:t xml:space="preserve"> </w:t>
      </w:r>
      <w:proofErr w:type="spellStart"/>
      <w:r w:rsidR="00A32732" w:rsidRPr="00542AB5">
        <w:rPr>
          <w:i w:val="0"/>
          <w:szCs w:val="20"/>
          <w:lang w:val="es-CR"/>
        </w:rPr>
        <w:t>municipality</w:t>
      </w:r>
      <w:proofErr w:type="spellEnd"/>
      <w:r w:rsidR="00A32732" w:rsidRPr="00542AB5">
        <w:rPr>
          <w:i w:val="0"/>
          <w:szCs w:val="20"/>
          <w:lang w:val="es-CR"/>
        </w:rPr>
        <w:t>,</w:t>
      </w:r>
      <w:r w:rsidR="003C2AC6" w:rsidRPr="00542AB5">
        <w:rPr>
          <w:i w:val="0"/>
          <w:szCs w:val="20"/>
          <w:lang w:val="es-CR"/>
        </w:rPr>
        <w:t xml:space="preserve"> San Marcos, Guatemala. </w:t>
      </w:r>
      <w:r w:rsidR="0015205F" w:rsidRPr="009F337B">
        <w:rPr>
          <w:i w:val="0"/>
          <w:szCs w:val="20"/>
          <w:lang w:val="en-US"/>
        </w:rPr>
        <w:t xml:space="preserve">He completed third year of primary education. He </w:t>
      </w:r>
      <w:r w:rsidR="0015205F" w:rsidRPr="009F337B">
        <w:rPr>
          <w:i w:val="0"/>
          <w:szCs w:val="20"/>
          <w:lang w:val="en-US"/>
        </w:rPr>
        <w:lastRenderedPageBreak/>
        <w:t xml:space="preserve">worked farming a small plot, but had to abandon this activity owing to exhaustion resulting from his illness. </w:t>
      </w:r>
      <w:r w:rsidR="00327D89" w:rsidRPr="009F337B">
        <w:rPr>
          <w:i w:val="0"/>
          <w:szCs w:val="20"/>
          <w:lang w:val="en-US"/>
        </w:rPr>
        <w:t>He now</w:t>
      </w:r>
      <w:r w:rsidR="0015205F" w:rsidRPr="009F337B">
        <w:rPr>
          <w:i w:val="0"/>
          <w:szCs w:val="20"/>
          <w:lang w:val="en-US"/>
        </w:rPr>
        <w:t xml:space="preserve"> work</w:t>
      </w:r>
      <w:r w:rsidR="00327D89" w:rsidRPr="009F337B">
        <w:rPr>
          <w:i w:val="0"/>
          <w:szCs w:val="20"/>
          <w:lang w:val="en-US"/>
        </w:rPr>
        <w:t>s</w:t>
      </w:r>
      <w:r w:rsidR="0015205F" w:rsidRPr="009F337B">
        <w:rPr>
          <w:i w:val="0"/>
          <w:szCs w:val="20"/>
          <w:lang w:val="en-US"/>
        </w:rPr>
        <w:t xml:space="preserve"> in a packing plant. </w:t>
      </w:r>
      <w:r w:rsidRPr="009F337B">
        <w:rPr>
          <w:i w:val="0"/>
          <w:szCs w:val="20"/>
          <w:lang w:val="en-US"/>
        </w:rPr>
        <w:t xml:space="preserve">He </w:t>
      </w:r>
      <w:r w:rsidR="00AE674B" w:rsidRPr="009F337B">
        <w:rPr>
          <w:i w:val="0"/>
          <w:szCs w:val="20"/>
          <w:lang w:val="en-US"/>
        </w:rPr>
        <w:t>was diagnosed with</w:t>
      </w:r>
      <w:r w:rsidR="003C2AC6" w:rsidRPr="009F337B">
        <w:rPr>
          <w:i w:val="0"/>
          <w:szCs w:val="20"/>
          <w:lang w:val="en-US"/>
        </w:rPr>
        <w:t xml:space="preserve"> </w:t>
      </w:r>
      <w:r w:rsidR="00CA11F6" w:rsidRPr="009F337B">
        <w:rPr>
          <w:i w:val="0"/>
          <w:szCs w:val="20"/>
          <w:lang w:val="en-US"/>
        </w:rPr>
        <w:t>HIV</w:t>
      </w:r>
      <w:r w:rsidR="003C2AC6" w:rsidRPr="009F337B">
        <w:rPr>
          <w:i w:val="0"/>
          <w:szCs w:val="20"/>
          <w:lang w:val="en-US"/>
        </w:rPr>
        <w:t xml:space="preserve"> </w:t>
      </w:r>
      <w:r w:rsidR="0015205F" w:rsidRPr="009F337B">
        <w:rPr>
          <w:i w:val="0"/>
          <w:szCs w:val="20"/>
          <w:lang w:val="en-US"/>
        </w:rPr>
        <w:t>i</w:t>
      </w:r>
      <w:r w:rsidR="003C2AC6" w:rsidRPr="009F337B">
        <w:rPr>
          <w:i w:val="0"/>
          <w:szCs w:val="20"/>
          <w:lang w:val="en-US"/>
        </w:rPr>
        <w:t xml:space="preserve">n 2001, </w:t>
      </w:r>
      <w:r w:rsidR="0015205F" w:rsidRPr="009F337B">
        <w:rPr>
          <w:i w:val="0"/>
          <w:szCs w:val="20"/>
          <w:lang w:val="en-US"/>
        </w:rPr>
        <w:t>by MSF’s</w:t>
      </w:r>
      <w:r w:rsidR="003C2AC6" w:rsidRPr="009F337B">
        <w:rPr>
          <w:i w:val="0"/>
          <w:szCs w:val="20"/>
          <w:lang w:val="en-US"/>
        </w:rPr>
        <w:t xml:space="preserve"> </w:t>
      </w:r>
      <w:r w:rsidR="00AE674B" w:rsidRPr="009F337B">
        <w:rPr>
          <w:szCs w:val="20"/>
          <w:lang w:val="en-US"/>
        </w:rPr>
        <w:t>Proyecto Vida</w:t>
      </w:r>
      <w:r w:rsidR="003C2AC6" w:rsidRPr="009F337B">
        <w:rPr>
          <w:i w:val="0"/>
          <w:szCs w:val="20"/>
          <w:lang w:val="en-US"/>
        </w:rPr>
        <w:t xml:space="preserve">. </w:t>
      </w:r>
      <w:r w:rsidR="00A32732" w:rsidRPr="009F337B">
        <w:rPr>
          <w:i w:val="0"/>
          <w:szCs w:val="20"/>
          <w:lang w:val="en-US"/>
        </w:rPr>
        <w:t xml:space="preserve">Subsequently, he was transferred to Clinic No. 12 </w:t>
      </w:r>
      <w:r w:rsidR="00A758A5" w:rsidRPr="009F337B">
        <w:rPr>
          <w:i w:val="0"/>
          <w:szCs w:val="20"/>
          <w:lang w:val="en-US"/>
        </w:rPr>
        <w:t xml:space="preserve">of the </w:t>
      </w:r>
      <w:proofErr w:type="spellStart"/>
      <w:r w:rsidR="00BD5E94" w:rsidRPr="009F337B">
        <w:rPr>
          <w:i w:val="0"/>
          <w:szCs w:val="20"/>
          <w:lang w:val="en-US"/>
        </w:rPr>
        <w:t>Coatepeque</w:t>
      </w:r>
      <w:proofErr w:type="spellEnd"/>
      <w:r w:rsidR="00BD5E94" w:rsidRPr="009F337B">
        <w:rPr>
          <w:i w:val="0"/>
          <w:szCs w:val="20"/>
          <w:lang w:val="en-US"/>
        </w:rPr>
        <w:t xml:space="preserve"> National Hospital</w:t>
      </w:r>
      <w:r w:rsidR="003C2AC6" w:rsidRPr="009F337B">
        <w:rPr>
          <w:i w:val="0"/>
          <w:szCs w:val="20"/>
          <w:lang w:val="en-US"/>
        </w:rPr>
        <w:t xml:space="preserve"> </w:t>
      </w:r>
      <w:r w:rsidR="0015205F" w:rsidRPr="009F337B">
        <w:rPr>
          <w:i w:val="0"/>
          <w:szCs w:val="20"/>
          <w:lang w:val="en-US"/>
        </w:rPr>
        <w:t>but</w:t>
      </w:r>
      <w:r w:rsidR="00327D89" w:rsidRPr="009F337B">
        <w:rPr>
          <w:i w:val="0"/>
          <w:szCs w:val="20"/>
          <w:lang w:val="en-US"/>
        </w:rPr>
        <w:t>,</w:t>
      </w:r>
      <w:r w:rsidR="0015205F" w:rsidRPr="009F337B">
        <w:rPr>
          <w:i w:val="0"/>
          <w:szCs w:val="20"/>
          <w:lang w:val="en-US"/>
        </w:rPr>
        <w:t xml:space="preserve"> </w:t>
      </w:r>
      <w:r w:rsidR="00327D89" w:rsidRPr="009F337B">
        <w:rPr>
          <w:i w:val="0"/>
          <w:szCs w:val="20"/>
          <w:lang w:val="en-US"/>
        </w:rPr>
        <w:t>ultimately, he has been</w:t>
      </w:r>
      <w:r w:rsidR="0015205F" w:rsidRPr="009F337B">
        <w:rPr>
          <w:i w:val="0"/>
          <w:szCs w:val="20"/>
          <w:lang w:val="en-US"/>
        </w:rPr>
        <w:t xml:space="preserve"> treated i</w:t>
      </w:r>
      <w:r w:rsidR="003C2AC6" w:rsidRPr="009F337B">
        <w:rPr>
          <w:i w:val="0"/>
          <w:szCs w:val="20"/>
          <w:lang w:val="en-US"/>
        </w:rPr>
        <w:t xml:space="preserve">n </w:t>
      </w:r>
      <w:proofErr w:type="spellStart"/>
      <w:r w:rsidR="003C2AC6" w:rsidRPr="009F337B">
        <w:rPr>
          <w:i w:val="0"/>
          <w:szCs w:val="20"/>
          <w:lang w:val="en-US"/>
        </w:rPr>
        <w:t>Malacatán</w:t>
      </w:r>
      <w:proofErr w:type="spellEnd"/>
      <w:r w:rsidR="003C2AC6" w:rsidRPr="009F337B">
        <w:rPr>
          <w:i w:val="0"/>
          <w:szCs w:val="20"/>
          <w:lang w:val="en-US"/>
        </w:rPr>
        <w:t>.</w:t>
      </w:r>
      <w:r w:rsidR="003C2AC6" w:rsidRPr="009F337B">
        <w:rPr>
          <w:b/>
          <w:i w:val="0"/>
          <w:szCs w:val="20"/>
          <w:lang w:val="en-US"/>
        </w:rPr>
        <w:t xml:space="preserve"> </w:t>
      </w:r>
      <w:r w:rsidR="0015205F" w:rsidRPr="009F337B">
        <w:rPr>
          <w:i w:val="0"/>
          <w:szCs w:val="20"/>
          <w:lang w:val="en-US"/>
        </w:rPr>
        <w:t>He has undergone CD4 counts and</w:t>
      </w:r>
      <w:r w:rsidR="0015205F" w:rsidRPr="009F337B">
        <w:rPr>
          <w:b/>
          <w:i w:val="0"/>
          <w:szCs w:val="20"/>
          <w:lang w:val="en-US"/>
        </w:rPr>
        <w:t xml:space="preserve"> </w:t>
      </w:r>
      <w:r w:rsidR="00CC4867" w:rsidRPr="009F337B">
        <w:rPr>
          <w:i w:val="0"/>
          <w:szCs w:val="20"/>
          <w:lang w:val="en-US"/>
        </w:rPr>
        <w:t>viral load</w:t>
      </w:r>
      <w:r w:rsidR="0015205F" w:rsidRPr="009F337B">
        <w:rPr>
          <w:i w:val="0"/>
          <w:szCs w:val="20"/>
          <w:lang w:val="en-US"/>
        </w:rPr>
        <w:t xml:space="preserve"> tests, but not</w:t>
      </w:r>
      <w:r w:rsidR="003C2AC6" w:rsidRPr="009F337B">
        <w:rPr>
          <w:i w:val="0"/>
          <w:szCs w:val="20"/>
          <w:lang w:val="en-US"/>
        </w:rPr>
        <w:t xml:space="preserve"> </w:t>
      </w:r>
      <w:r w:rsidR="00B63594" w:rsidRPr="009F337B">
        <w:rPr>
          <w:i w:val="0"/>
          <w:szCs w:val="20"/>
          <w:lang w:val="en-US"/>
        </w:rPr>
        <w:t>genotype and phenotype</w:t>
      </w:r>
      <w:r w:rsidR="0015205F" w:rsidRPr="009F337B">
        <w:rPr>
          <w:i w:val="0"/>
          <w:szCs w:val="20"/>
          <w:lang w:val="en-US"/>
        </w:rPr>
        <w:t xml:space="preserve"> testing</w:t>
      </w:r>
      <w:r w:rsidR="003C2AC6" w:rsidRPr="009F337B">
        <w:rPr>
          <w:i w:val="0"/>
          <w:szCs w:val="20"/>
          <w:lang w:val="en-US"/>
        </w:rPr>
        <w:t xml:space="preserve">. </w:t>
      </w:r>
      <w:r w:rsidR="0015205F" w:rsidRPr="009F337B">
        <w:rPr>
          <w:i w:val="0"/>
          <w:szCs w:val="20"/>
          <w:lang w:val="en-US"/>
        </w:rPr>
        <w:t>He has suffered from pneumonia</w:t>
      </w:r>
      <w:r w:rsidR="003C2AC6" w:rsidRPr="009F337B">
        <w:rPr>
          <w:i w:val="0"/>
          <w:szCs w:val="20"/>
          <w:lang w:val="en-US"/>
        </w:rPr>
        <w:t>, tuberculosis</w:t>
      </w:r>
      <w:r w:rsidR="003C46A3" w:rsidRPr="009F337B">
        <w:rPr>
          <w:i w:val="0"/>
          <w:szCs w:val="20"/>
          <w:lang w:val="en-US"/>
        </w:rPr>
        <w:t xml:space="preserve"> and </w:t>
      </w:r>
      <w:r w:rsidR="00DD7C07" w:rsidRPr="009F337B">
        <w:rPr>
          <w:i w:val="0"/>
          <w:szCs w:val="20"/>
          <w:lang w:val="en-US"/>
        </w:rPr>
        <w:t>cryptococcus</w:t>
      </w:r>
      <w:r w:rsidR="003C2AC6" w:rsidRPr="009F337B">
        <w:rPr>
          <w:i w:val="0"/>
          <w:szCs w:val="20"/>
          <w:lang w:val="en-US"/>
        </w:rPr>
        <w:t xml:space="preserve">. </w:t>
      </w:r>
      <w:r w:rsidR="0015205F" w:rsidRPr="009F337B">
        <w:rPr>
          <w:i w:val="0"/>
          <w:szCs w:val="20"/>
          <w:lang w:val="en-US"/>
        </w:rPr>
        <w:t xml:space="preserve">He has not received either nutritional or social support. A nurse indicated that his son was a person living with HIV even though he does not have the infection and this </w:t>
      </w:r>
      <w:r w:rsidR="00327D89" w:rsidRPr="009F337B">
        <w:rPr>
          <w:i w:val="0"/>
          <w:szCs w:val="20"/>
          <w:lang w:val="en-US"/>
        </w:rPr>
        <w:t>made</w:t>
      </w:r>
      <w:r w:rsidR="0015205F" w:rsidRPr="009F337B">
        <w:rPr>
          <w:i w:val="0"/>
          <w:szCs w:val="20"/>
          <w:lang w:val="en-US"/>
        </w:rPr>
        <w:t xml:space="preserve"> </w:t>
      </w:r>
      <w:r w:rsidRPr="009F337B">
        <w:rPr>
          <w:i w:val="0"/>
          <w:szCs w:val="20"/>
          <w:lang w:val="en-US"/>
        </w:rPr>
        <w:t>Mr.</w:t>
      </w:r>
      <w:r w:rsidR="003C2AC6" w:rsidRPr="009F337B">
        <w:rPr>
          <w:i w:val="0"/>
          <w:szCs w:val="20"/>
          <w:lang w:val="en-US"/>
        </w:rPr>
        <w:t xml:space="preserve"> Hernández </w:t>
      </w:r>
      <w:r w:rsidR="0015205F" w:rsidRPr="009F337B">
        <w:rPr>
          <w:i w:val="0"/>
          <w:szCs w:val="20"/>
          <w:lang w:val="en-US"/>
        </w:rPr>
        <w:t xml:space="preserve">y </w:t>
      </w:r>
      <w:r w:rsidR="003C2AC6" w:rsidRPr="009F337B">
        <w:rPr>
          <w:i w:val="0"/>
          <w:szCs w:val="20"/>
          <w:lang w:val="en-US"/>
        </w:rPr>
        <w:t>Hernández</w:t>
      </w:r>
      <w:r w:rsidR="00327D89" w:rsidRPr="009F337B">
        <w:rPr>
          <w:i w:val="0"/>
          <w:szCs w:val="20"/>
          <w:lang w:val="en-US"/>
        </w:rPr>
        <w:t xml:space="preserve"> feel very guilty</w:t>
      </w:r>
      <w:r w:rsidR="0015205F" w:rsidRPr="009F337B">
        <w:rPr>
          <w:i w:val="0"/>
          <w:szCs w:val="20"/>
          <w:lang w:val="en-US"/>
        </w:rPr>
        <w:t>.</w:t>
      </w:r>
      <w:r w:rsidR="003C2AC6" w:rsidRPr="009F337B">
        <w:rPr>
          <w:rStyle w:val="Refdenotaalpie"/>
          <w:i w:val="0"/>
          <w:lang w:val="en-US"/>
        </w:rPr>
        <w:footnoteReference w:id="323"/>
      </w:r>
    </w:p>
    <w:p w14:paraId="775F972D" w14:textId="77777777" w:rsidR="003C2AC6" w:rsidRPr="009F337B" w:rsidRDefault="003C2AC6" w:rsidP="003C2AC6">
      <w:pPr>
        <w:pStyle w:val="Estilo1"/>
        <w:tabs>
          <w:tab w:val="left" w:pos="709"/>
          <w:tab w:val="left" w:pos="1134"/>
        </w:tabs>
        <w:spacing w:after="0"/>
        <w:ind w:left="0" w:right="-4" w:firstLine="0"/>
        <w:rPr>
          <w:i w:val="0"/>
          <w:szCs w:val="20"/>
          <w:lang w:val="en-US"/>
        </w:rPr>
      </w:pPr>
    </w:p>
    <w:p w14:paraId="2937A0D2" w14:textId="7568BC7D" w:rsidR="003C2AC6" w:rsidRPr="009F337B" w:rsidRDefault="00A758A5" w:rsidP="00593E37">
      <w:pPr>
        <w:pStyle w:val="Estilo1"/>
        <w:numPr>
          <w:ilvl w:val="0"/>
          <w:numId w:val="5"/>
        </w:numPr>
        <w:tabs>
          <w:tab w:val="left" w:pos="709"/>
          <w:tab w:val="left" w:pos="1134"/>
        </w:tabs>
        <w:spacing w:after="0"/>
        <w:ind w:left="0" w:right="-4" w:firstLine="0"/>
        <w:rPr>
          <w:i w:val="0"/>
          <w:szCs w:val="20"/>
          <w:lang w:val="en-US"/>
        </w:rPr>
      </w:pPr>
      <w:r w:rsidRPr="009F337B">
        <w:rPr>
          <w:i w:val="0"/>
          <w:szCs w:val="20"/>
          <w:lang w:val="en-US"/>
        </w:rPr>
        <w:t xml:space="preserve">His family unit consists of his </w:t>
      </w:r>
      <w:r w:rsidR="0010522A" w:rsidRPr="009F337B">
        <w:rPr>
          <w:i w:val="0"/>
          <w:szCs w:val="20"/>
          <w:lang w:val="en-US"/>
        </w:rPr>
        <w:t>wife</w:t>
      </w:r>
      <w:r w:rsidR="003C2AC6" w:rsidRPr="009F337B">
        <w:rPr>
          <w:i w:val="0"/>
          <w:szCs w:val="20"/>
          <w:lang w:val="en-US"/>
        </w:rPr>
        <w:t xml:space="preserve">, </w:t>
      </w:r>
      <w:proofErr w:type="spellStart"/>
      <w:r w:rsidR="003C2AC6" w:rsidRPr="009F337B">
        <w:rPr>
          <w:i w:val="0"/>
          <w:szCs w:val="20"/>
          <w:lang w:val="en-US"/>
        </w:rPr>
        <w:t>Nidya</w:t>
      </w:r>
      <w:proofErr w:type="spellEnd"/>
      <w:r w:rsidR="003C2AC6" w:rsidRPr="009F337B">
        <w:rPr>
          <w:i w:val="0"/>
          <w:szCs w:val="20"/>
          <w:lang w:val="en-US"/>
        </w:rPr>
        <w:t xml:space="preserve"> Roxana </w:t>
      </w:r>
      <w:proofErr w:type="spellStart"/>
      <w:r w:rsidR="003C2AC6" w:rsidRPr="009F337B">
        <w:rPr>
          <w:i w:val="0"/>
          <w:szCs w:val="20"/>
          <w:lang w:val="en-US"/>
        </w:rPr>
        <w:t>Zapet</w:t>
      </w:r>
      <w:proofErr w:type="spellEnd"/>
      <w:r w:rsidR="003C2AC6" w:rsidRPr="009F337B">
        <w:rPr>
          <w:i w:val="0"/>
          <w:szCs w:val="20"/>
          <w:lang w:val="en-US"/>
        </w:rPr>
        <w:t xml:space="preserve"> Gómez, </w:t>
      </w:r>
      <w:r w:rsidR="0015205F" w:rsidRPr="009F337B">
        <w:rPr>
          <w:i w:val="0"/>
          <w:szCs w:val="20"/>
          <w:lang w:val="en-US"/>
        </w:rPr>
        <w:t>his</w:t>
      </w:r>
      <w:r w:rsidR="003C2AC6" w:rsidRPr="009F337B">
        <w:rPr>
          <w:i w:val="0"/>
          <w:szCs w:val="20"/>
          <w:lang w:val="en-US"/>
        </w:rPr>
        <w:t xml:space="preserve"> </w:t>
      </w:r>
      <w:r w:rsidR="0010522A" w:rsidRPr="009F337B">
        <w:rPr>
          <w:i w:val="0"/>
          <w:szCs w:val="20"/>
          <w:lang w:val="en-US"/>
        </w:rPr>
        <w:t>son</w:t>
      </w:r>
      <w:r w:rsidR="003C2AC6" w:rsidRPr="009F337B">
        <w:rPr>
          <w:i w:val="0"/>
          <w:szCs w:val="20"/>
          <w:lang w:val="en-US"/>
        </w:rPr>
        <w:t xml:space="preserve"> </w:t>
      </w:r>
      <w:proofErr w:type="spellStart"/>
      <w:r w:rsidR="003C2AC6" w:rsidRPr="009F337B">
        <w:rPr>
          <w:i w:val="0"/>
          <w:szCs w:val="20"/>
          <w:lang w:val="en-US"/>
        </w:rPr>
        <w:t>Mardo</w:t>
      </w:r>
      <w:proofErr w:type="spellEnd"/>
      <w:r w:rsidR="003C2AC6" w:rsidRPr="009F337B">
        <w:rPr>
          <w:i w:val="0"/>
          <w:szCs w:val="20"/>
          <w:lang w:val="en-US"/>
        </w:rPr>
        <w:t xml:space="preserve"> </w:t>
      </w:r>
      <w:proofErr w:type="spellStart"/>
      <w:r w:rsidR="003C2AC6" w:rsidRPr="009F337B">
        <w:rPr>
          <w:i w:val="0"/>
          <w:szCs w:val="20"/>
          <w:lang w:val="en-US"/>
        </w:rPr>
        <w:t>Kleiber</w:t>
      </w:r>
      <w:proofErr w:type="spellEnd"/>
      <w:r w:rsidR="003C2AC6" w:rsidRPr="009F337B">
        <w:rPr>
          <w:i w:val="0"/>
          <w:szCs w:val="20"/>
          <w:lang w:val="en-US"/>
        </w:rPr>
        <w:t xml:space="preserve"> Hernández </w:t>
      </w:r>
      <w:proofErr w:type="spellStart"/>
      <w:r w:rsidR="003C2AC6" w:rsidRPr="009F337B">
        <w:rPr>
          <w:i w:val="0"/>
          <w:szCs w:val="20"/>
          <w:lang w:val="en-US"/>
        </w:rPr>
        <w:t>Zapet</w:t>
      </w:r>
      <w:proofErr w:type="spellEnd"/>
      <w:r w:rsidR="003C2AC6" w:rsidRPr="009F337B">
        <w:rPr>
          <w:i w:val="0"/>
          <w:szCs w:val="20"/>
          <w:lang w:val="en-US"/>
        </w:rPr>
        <w:t xml:space="preserve">, </w:t>
      </w:r>
      <w:r w:rsidR="0015205F" w:rsidRPr="009F337B">
        <w:rPr>
          <w:i w:val="0"/>
          <w:szCs w:val="20"/>
          <w:lang w:val="en-US"/>
        </w:rPr>
        <w:t>his</w:t>
      </w:r>
      <w:r w:rsidR="003C2AC6" w:rsidRPr="009F337B">
        <w:rPr>
          <w:i w:val="0"/>
          <w:szCs w:val="20"/>
          <w:lang w:val="en-US"/>
        </w:rPr>
        <w:t xml:space="preserve"> </w:t>
      </w:r>
      <w:r w:rsidR="0010522A" w:rsidRPr="009F337B">
        <w:rPr>
          <w:i w:val="0"/>
          <w:szCs w:val="20"/>
          <w:lang w:val="en-US"/>
        </w:rPr>
        <w:t>mother</w:t>
      </w:r>
      <w:r w:rsidR="003C2AC6" w:rsidRPr="009F337B">
        <w:rPr>
          <w:i w:val="0"/>
          <w:szCs w:val="20"/>
          <w:lang w:val="en-US"/>
        </w:rPr>
        <w:t xml:space="preserve"> Irma Erminia Hernández Mérida, </w:t>
      </w:r>
      <w:r w:rsidR="0015205F" w:rsidRPr="009F337B">
        <w:rPr>
          <w:i w:val="0"/>
          <w:szCs w:val="20"/>
          <w:lang w:val="en-US"/>
        </w:rPr>
        <w:t>his</w:t>
      </w:r>
      <w:r w:rsidR="003C2AC6" w:rsidRPr="009F337B">
        <w:rPr>
          <w:i w:val="0"/>
          <w:szCs w:val="20"/>
          <w:lang w:val="en-US"/>
        </w:rPr>
        <w:t xml:space="preserve"> </w:t>
      </w:r>
      <w:r w:rsidR="0010522A" w:rsidRPr="009F337B">
        <w:rPr>
          <w:i w:val="0"/>
          <w:szCs w:val="20"/>
          <w:lang w:val="en-US"/>
        </w:rPr>
        <w:t>father</w:t>
      </w:r>
      <w:r w:rsidR="003C2AC6" w:rsidRPr="009F337B">
        <w:rPr>
          <w:i w:val="0"/>
          <w:szCs w:val="20"/>
          <w:lang w:val="en-US"/>
        </w:rPr>
        <w:t xml:space="preserve"> Francisco Luis Hernández Ramírez, </w:t>
      </w:r>
      <w:r w:rsidR="0015205F" w:rsidRPr="009F337B">
        <w:rPr>
          <w:i w:val="0"/>
          <w:szCs w:val="20"/>
          <w:lang w:val="en-US"/>
        </w:rPr>
        <w:t>his</w:t>
      </w:r>
      <w:r w:rsidR="003C2AC6" w:rsidRPr="009F337B">
        <w:rPr>
          <w:i w:val="0"/>
          <w:szCs w:val="20"/>
          <w:lang w:val="en-US"/>
        </w:rPr>
        <w:t xml:space="preserve"> </w:t>
      </w:r>
      <w:r w:rsidR="0010522A" w:rsidRPr="009F337B">
        <w:rPr>
          <w:i w:val="0"/>
          <w:szCs w:val="20"/>
          <w:lang w:val="en-US"/>
        </w:rPr>
        <w:t>brother</w:t>
      </w:r>
      <w:r w:rsidR="003C2AC6" w:rsidRPr="009F337B">
        <w:rPr>
          <w:i w:val="0"/>
          <w:szCs w:val="20"/>
          <w:lang w:val="en-US"/>
        </w:rPr>
        <w:t xml:space="preserve"> </w:t>
      </w:r>
      <w:proofErr w:type="spellStart"/>
      <w:r w:rsidR="003C2AC6" w:rsidRPr="009F337B">
        <w:rPr>
          <w:i w:val="0"/>
          <w:szCs w:val="20"/>
          <w:lang w:val="en-US"/>
        </w:rPr>
        <w:t>Menfil</w:t>
      </w:r>
      <w:proofErr w:type="spellEnd"/>
      <w:r w:rsidR="003C2AC6" w:rsidRPr="009F337B">
        <w:rPr>
          <w:i w:val="0"/>
          <w:szCs w:val="20"/>
          <w:lang w:val="en-US"/>
        </w:rPr>
        <w:t xml:space="preserve"> </w:t>
      </w:r>
      <w:proofErr w:type="spellStart"/>
      <w:r w:rsidR="003C2AC6" w:rsidRPr="009F337B">
        <w:rPr>
          <w:i w:val="0"/>
          <w:szCs w:val="20"/>
          <w:lang w:val="en-US"/>
        </w:rPr>
        <w:t>Elsido</w:t>
      </w:r>
      <w:proofErr w:type="spellEnd"/>
      <w:r w:rsidR="003C2AC6" w:rsidRPr="009F337B">
        <w:rPr>
          <w:i w:val="0"/>
          <w:szCs w:val="20"/>
          <w:lang w:val="en-US"/>
        </w:rPr>
        <w:t xml:space="preserve"> Hernández</w:t>
      </w:r>
      <w:r w:rsidR="00A30D95" w:rsidRPr="009F337B">
        <w:rPr>
          <w:i w:val="0"/>
          <w:szCs w:val="20"/>
          <w:lang w:val="en-US"/>
        </w:rPr>
        <w:t xml:space="preserve"> </w:t>
      </w:r>
      <w:proofErr w:type="spellStart"/>
      <w:r w:rsidR="00A30D95" w:rsidRPr="009F337B">
        <w:rPr>
          <w:i w:val="0"/>
          <w:szCs w:val="20"/>
          <w:lang w:val="en-US"/>
        </w:rPr>
        <w:t>Hernández</w:t>
      </w:r>
      <w:proofErr w:type="spellEnd"/>
      <w:r w:rsidR="003C2AC6" w:rsidRPr="009F337B">
        <w:rPr>
          <w:i w:val="0"/>
          <w:szCs w:val="20"/>
          <w:lang w:val="en-US"/>
        </w:rPr>
        <w:t>,</w:t>
      </w:r>
      <w:r w:rsidR="003C46A3" w:rsidRPr="009F337B">
        <w:rPr>
          <w:i w:val="0"/>
          <w:szCs w:val="20"/>
          <w:lang w:val="en-US"/>
        </w:rPr>
        <w:t xml:space="preserve"> and </w:t>
      </w:r>
      <w:r w:rsidR="0015205F" w:rsidRPr="009F337B">
        <w:rPr>
          <w:i w:val="0"/>
          <w:szCs w:val="20"/>
          <w:lang w:val="en-US"/>
        </w:rPr>
        <w:t>his</w:t>
      </w:r>
      <w:r w:rsidR="003C2AC6" w:rsidRPr="009F337B">
        <w:rPr>
          <w:i w:val="0"/>
          <w:szCs w:val="20"/>
          <w:lang w:val="en-US"/>
        </w:rPr>
        <w:t xml:space="preserve"> </w:t>
      </w:r>
      <w:r w:rsidR="0010522A" w:rsidRPr="009F337B">
        <w:rPr>
          <w:i w:val="0"/>
          <w:szCs w:val="20"/>
          <w:lang w:val="en-US"/>
        </w:rPr>
        <w:t>sister</w:t>
      </w:r>
      <w:r w:rsidR="003C2AC6" w:rsidRPr="009F337B">
        <w:rPr>
          <w:i w:val="0"/>
          <w:szCs w:val="20"/>
          <w:lang w:val="en-US"/>
        </w:rPr>
        <w:t xml:space="preserve"> Jessica </w:t>
      </w:r>
      <w:proofErr w:type="spellStart"/>
      <w:r w:rsidR="003C2AC6" w:rsidRPr="009F337B">
        <w:rPr>
          <w:i w:val="0"/>
          <w:szCs w:val="20"/>
          <w:lang w:val="en-US"/>
        </w:rPr>
        <w:t>Isenia</w:t>
      </w:r>
      <w:proofErr w:type="spellEnd"/>
      <w:r w:rsidR="003C2AC6" w:rsidRPr="009F337B">
        <w:rPr>
          <w:i w:val="0"/>
          <w:szCs w:val="20"/>
          <w:lang w:val="en-US"/>
        </w:rPr>
        <w:t xml:space="preserve"> Hernández </w:t>
      </w:r>
      <w:proofErr w:type="spellStart"/>
      <w:r w:rsidR="003C2AC6" w:rsidRPr="009F337B">
        <w:rPr>
          <w:i w:val="0"/>
          <w:szCs w:val="20"/>
          <w:lang w:val="en-US"/>
        </w:rPr>
        <w:t>Hernández</w:t>
      </w:r>
      <w:proofErr w:type="spellEnd"/>
      <w:r w:rsidR="0015205F" w:rsidRPr="009F337B">
        <w:rPr>
          <w:i w:val="0"/>
          <w:szCs w:val="20"/>
          <w:lang w:val="en-US"/>
        </w:rPr>
        <w:t>.</w:t>
      </w:r>
      <w:r w:rsidR="003C2AC6" w:rsidRPr="009F337B">
        <w:rPr>
          <w:rStyle w:val="Refdenotaalpie"/>
          <w:i w:val="0"/>
          <w:lang w:val="en-US"/>
        </w:rPr>
        <w:footnoteReference w:id="324"/>
      </w:r>
    </w:p>
    <w:p w14:paraId="56215B59" w14:textId="77777777" w:rsidR="003C2AC6" w:rsidRPr="009F337B" w:rsidRDefault="003C2AC6" w:rsidP="003C2AC6">
      <w:pPr>
        <w:pStyle w:val="PrrafodeSentencia"/>
        <w:rPr>
          <w:lang w:val="en-US"/>
        </w:rPr>
      </w:pPr>
    </w:p>
    <w:p w14:paraId="58BA54F9" w14:textId="77777777" w:rsidR="003C2AC6" w:rsidRPr="009F337B" w:rsidRDefault="003C2AC6" w:rsidP="003C2AC6">
      <w:pPr>
        <w:pStyle w:val="PrrafodeSentencia"/>
        <w:rPr>
          <w:lang w:val="en-US"/>
        </w:rPr>
      </w:pPr>
      <w:r w:rsidRPr="009F337B">
        <w:rPr>
          <w:lang w:val="en-US"/>
        </w:rPr>
        <w:tab/>
        <w:t>B.17. Luis Armando Linares Ruano</w:t>
      </w:r>
    </w:p>
    <w:p w14:paraId="7F5AC705" w14:textId="77777777" w:rsidR="003C2AC6" w:rsidRPr="009F337B" w:rsidRDefault="003C2AC6" w:rsidP="003C2AC6">
      <w:pPr>
        <w:pStyle w:val="PrrafodeSentencia"/>
        <w:rPr>
          <w:lang w:val="en-US"/>
        </w:rPr>
      </w:pPr>
    </w:p>
    <w:p w14:paraId="5892009A" w14:textId="64859E61" w:rsidR="003C2AC6" w:rsidRPr="009F337B" w:rsidRDefault="007F1AEB" w:rsidP="00593E37">
      <w:pPr>
        <w:pStyle w:val="Estilo1"/>
        <w:numPr>
          <w:ilvl w:val="0"/>
          <w:numId w:val="5"/>
        </w:numPr>
        <w:tabs>
          <w:tab w:val="left" w:pos="709"/>
          <w:tab w:val="left" w:pos="1134"/>
        </w:tabs>
        <w:spacing w:after="0"/>
        <w:ind w:left="0" w:right="-4" w:firstLine="0"/>
        <w:rPr>
          <w:i w:val="0"/>
          <w:szCs w:val="20"/>
          <w:lang w:val="en-US"/>
        </w:rPr>
      </w:pPr>
      <w:r w:rsidRPr="009F337B">
        <w:rPr>
          <w:i w:val="0"/>
          <w:szCs w:val="20"/>
          <w:lang w:val="en-US"/>
        </w:rPr>
        <w:t>Mr.</w:t>
      </w:r>
      <w:r w:rsidR="003C2AC6" w:rsidRPr="009F337B">
        <w:rPr>
          <w:i w:val="0"/>
          <w:szCs w:val="20"/>
          <w:lang w:val="en-US"/>
        </w:rPr>
        <w:t xml:space="preserve"> Linares </w:t>
      </w:r>
      <w:proofErr w:type="spellStart"/>
      <w:r w:rsidR="003C2AC6" w:rsidRPr="009F337B">
        <w:rPr>
          <w:i w:val="0"/>
          <w:szCs w:val="20"/>
          <w:lang w:val="en-US"/>
        </w:rPr>
        <w:t>Ruano</w:t>
      </w:r>
      <w:proofErr w:type="spellEnd"/>
      <w:r w:rsidR="003C2AC6" w:rsidRPr="009F337B">
        <w:rPr>
          <w:i w:val="0"/>
          <w:szCs w:val="20"/>
          <w:lang w:val="en-US"/>
        </w:rPr>
        <w:t xml:space="preserve"> </w:t>
      </w:r>
      <w:r w:rsidR="0084040D" w:rsidRPr="009F337B">
        <w:rPr>
          <w:i w:val="0"/>
          <w:szCs w:val="20"/>
          <w:lang w:val="en-US"/>
        </w:rPr>
        <w:t>was born on</w:t>
      </w:r>
      <w:r w:rsidR="003C2AC6" w:rsidRPr="009F337B">
        <w:rPr>
          <w:i w:val="0"/>
          <w:szCs w:val="20"/>
          <w:lang w:val="en-US"/>
        </w:rPr>
        <w:t xml:space="preserve"> </w:t>
      </w:r>
      <w:r w:rsidR="0015205F" w:rsidRPr="009F337B">
        <w:rPr>
          <w:i w:val="0"/>
          <w:szCs w:val="20"/>
          <w:lang w:val="en-US"/>
        </w:rPr>
        <w:t>November 10,</w:t>
      </w:r>
      <w:r w:rsidR="003C2AC6" w:rsidRPr="009F337B">
        <w:rPr>
          <w:i w:val="0"/>
          <w:szCs w:val="20"/>
          <w:lang w:val="en-US"/>
        </w:rPr>
        <w:t xml:space="preserve"> 1969</w:t>
      </w:r>
      <w:r w:rsidR="0015205F" w:rsidRPr="009F337B">
        <w:rPr>
          <w:i w:val="0"/>
          <w:szCs w:val="20"/>
          <w:lang w:val="en-US"/>
        </w:rPr>
        <w:t>,</w:t>
      </w:r>
      <w:r w:rsidR="003C2AC6" w:rsidRPr="009F337B">
        <w:rPr>
          <w:i w:val="0"/>
          <w:szCs w:val="20"/>
          <w:lang w:val="en-US"/>
        </w:rPr>
        <w:t xml:space="preserve"> </w:t>
      </w:r>
      <w:r w:rsidR="00A758A5" w:rsidRPr="009F337B">
        <w:rPr>
          <w:i w:val="0"/>
          <w:szCs w:val="20"/>
          <w:lang w:val="en-US"/>
        </w:rPr>
        <w:t>in the municipality</w:t>
      </w:r>
      <w:r w:rsidR="00D85CA7" w:rsidRPr="009F337B">
        <w:rPr>
          <w:i w:val="0"/>
          <w:szCs w:val="20"/>
          <w:lang w:val="en-US"/>
        </w:rPr>
        <w:t xml:space="preserve"> of</w:t>
      </w:r>
      <w:r w:rsidR="003C2AC6" w:rsidRPr="009F337B">
        <w:rPr>
          <w:i w:val="0"/>
          <w:szCs w:val="20"/>
          <w:lang w:val="en-US"/>
        </w:rPr>
        <w:t xml:space="preserve"> </w:t>
      </w:r>
      <w:proofErr w:type="spellStart"/>
      <w:r w:rsidR="003C2AC6" w:rsidRPr="009F337B">
        <w:rPr>
          <w:i w:val="0"/>
          <w:szCs w:val="20"/>
          <w:lang w:val="en-US"/>
        </w:rPr>
        <w:t>Jalpatagua</w:t>
      </w:r>
      <w:proofErr w:type="spellEnd"/>
      <w:r w:rsidR="003C2AC6" w:rsidRPr="009F337B">
        <w:rPr>
          <w:i w:val="0"/>
          <w:szCs w:val="20"/>
          <w:lang w:val="en-US"/>
        </w:rPr>
        <w:t xml:space="preserve">, </w:t>
      </w:r>
      <w:r w:rsidR="003E1304" w:rsidRPr="009F337B">
        <w:rPr>
          <w:i w:val="0"/>
          <w:szCs w:val="20"/>
          <w:lang w:val="en-US"/>
        </w:rPr>
        <w:t>department of</w:t>
      </w:r>
      <w:r w:rsidR="003C2AC6" w:rsidRPr="009F337B">
        <w:rPr>
          <w:i w:val="0"/>
          <w:szCs w:val="20"/>
          <w:lang w:val="en-US"/>
        </w:rPr>
        <w:t xml:space="preserve"> Jutiapa, Guatemala. </w:t>
      </w:r>
      <w:r w:rsidR="0015205F" w:rsidRPr="009F337B">
        <w:rPr>
          <w:i w:val="0"/>
          <w:szCs w:val="20"/>
          <w:lang w:val="en-US"/>
        </w:rPr>
        <w:t>He l</w:t>
      </w:r>
      <w:r w:rsidR="00D85CA7" w:rsidRPr="009F337B">
        <w:rPr>
          <w:i w:val="0"/>
          <w:szCs w:val="20"/>
          <w:lang w:val="en-US"/>
        </w:rPr>
        <w:t>ives in</w:t>
      </w:r>
      <w:r w:rsidR="003C2AC6" w:rsidRPr="009F337B">
        <w:rPr>
          <w:i w:val="0"/>
          <w:szCs w:val="20"/>
          <w:lang w:val="en-US"/>
        </w:rPr>
        <w:t xml:space="preserve"> </w:t>
      </w:r>
      <w:r w:rsidR="003B5D80" w:rsidRPr="009F337B">
        <w:rPr>
          <w:i w:val="0"/>
          <w:szCs w:val="20"/>
          <w:lang w:val="en-US"/>
        </w:rPr>
        <w:t>Guatemala City</w:t>
      </w:r>
      <w:r w:rsidR="003C2AC6" w:rsidRPr="009F337B">
        <w:rPr>
          <w:i w:val="0"/>
          <w:szCs w:val="20"/>
          <w:lang w:val="en-US"/>
        </w:rPr>
        <w:t xml:space="preserve">, Guatemala. </w:t>
      </w:r>
      <w:r w:rsidRPr="009F337B">
        <w:rPr>
          <w:i w:val="0"/>
          <w:szCs w:val="20"/>
          <w:lang w:val="en-US"/>
        </w:rPr>
        <w:t xml:space="preserve">He </w:t>
      </w:r>
      <w:r w:rsidR="000C0BF0" w:rsidRPr="009F337B">
        <w:rPr>
          <w:i w:val="0"/>
          <w:szCs w:val="20"/>
          <w:lang w:val="en-US"/>
        </w:rPr>
        <w:t>was diagnosed in</w:t>
      </w:r>
      <w:r w:rsidR="003C2AC6" w:rsidRPr="009F337B">
        <w:rPr>
          <w:i w:val="0"/>
          <w:szCs w:val="20"/>
          <w:lang w:val="en-US"/>
        </w:rPr>
        <w:t xml:space="preserve"> 1984, </w:t>
      </w:r>
      <w:r w:rsidR="0015205F" w:rsidRPr="009F337B">
        <w:rPr>
          <w:i w:val="0"/>
          <w:szCs w:val="20"/>
          <w:lang w:val="en-US"/>
        </w:rPr>
        <w:t>by the Guatemalan Sexual Health Care</w:t>
      </w:r>
      <w:r w:rsidR="00327D89" w:rsidRPr="009F337B">
        <w:rPr>
          <w:i w:val="0"/>
          <w:szCs w:val="20"/>
          <w:lang w:val="en-US"/>
        </w:rPr>
        <w:t xml:space="preserve"> Association</w:t>
      </w:r>
      <w:r w:rsidR="0015205F" w:rsidRPr="009F337B">
        <w:rPr>
          <w:i w:val="0"/>
          <w:szCs w:val="20"/>
          <w:lang w:val="en-US"/>
        </w:rPr>
        <w:t xml:space="preserve">. He did not receive medical treatment for around 14 years. He started treatment for the first time in </w:t>
      </w:r>
      <w:r w:rsidR="003C2AC6" w:rsidRPr="009F337B">
        <w:rPr>
          <w:i w:val="0"/>
          <w:szCs w:val="20"/>
          <w:lang w:val="en-US"/>
        </w:rPr>
        <w:t xml:space="preserve"> </w:t>
      </w:r>
      <w:r w:rsidR="00D85CA7" w:rsidRPr="009F337B">
        <w:rPr>
          <w:i w:val="0"/>
          <w:szCs w:val="20"/>
          <w:lang w:val="en-US"/>
        </w:rPr>
        <w:t>the San Juan de Dios Hospital</w:t>
      </w:r>
      <w:r w:rsidR="003C2AC6" w:rsidRPr="009F337B">
        <w:rPr>
          <w:i w:val="0"/>
          <w:szCs w:val="20"/>
          <w:lang w:val="en-US"/>
        </w:rPr>
        <w:t xml:space="preserve">, </w:t>
      </w:r>
      <w:r w:rsidR="0015205F" w:rsidRPr="009F337B">
        <w:rPr>
          <w:i w:val="0"/>
          <w:szCs w:val="20"/>
          <w:lang w:val="en-US"/>
        </w:rPr>
        <w:t>then in the</w:t>
      </w:r>
      <w:r w:rsidR="003C2AC6" w:rsidRPr="009F337B">
        <w:rPr>
          <w:i w:val="0"/>
          <w:szCs w:val="20"/>
          <w:lang w:val="en-US"/>
        </w:rPr>
        <w:t xml:space="preserve"> </w:t>
      </w:r>
      <w:r w:rsidR="00BB39B6" w:rsidRPr="009F337B">
        <w:rPr>
          <w:i w:val="0"/>
          <w:szCs w:val="20"/>
          <w:lang w:val="en-US"/>
        </w:rPr>
        <w:t>Roosevelt Hospital</w:t>
      </w:r>
      <w:r w:rsidR="003C46A3" w:rsidRPr="009F337B">
        <w:rPr>
          <w:i w:val="0"/>
          <w:szCs w:val="20"/>
          <w:lang w:val="en-US"/>
        </w:rPr>
        <w:t xml:space="preserve"> and </w:t>
      </w:r>
      <w:r w:rsidR="0015205F" w:rsidRPr="009F337B">
        <w:rPr>
          <w:i w:val="0"/>
          <w:szCs w:val="20"/>
          <w:lang w:val="en-US"/>
        </w:rPr>
        <w:t>finally</w:t>
      </w:r>
      <w:r w:rsidR="003C2AC6" w:rsidRPr="009F337B">
        <w:rPr>
          <w:i w:val="0"/>
          <w:szCs w:val="20"/>
          <w:lang w:val="en-US"/>
        </w:rPr>
        <w:t xml:space="preserve"> </w:t>
      </w:r>
      <w:r w:rsidR="00CC4867" w:rsidRPr="009F337B">
        <w:rPr>
          <w:i w:val="0"/>
          <w:szCs w:val="20"/>
          <w:lang w:val="en-US"/>
        </w:rPr>
        <w:t>in the IGSS</w:t>
      </w:r>
      <w:r w:rsidR="003C2AC6" w:rsidRPr="009F337B">
        <w:rPr>
          <w:i w:val="0"/>
          <w:szCs w:val="20"/>
          <w:lang w:val="en-US"/>
        </w:rPr>
        <w:t xml:space="preserve">. </w:t>
      </w:r>
      <w:r w:rsidR="0015205F" w:rsidRPr="009F337B">
        <w:rPr>
          <w:i w:val="0"/>
          <w:szCs w:val="20"/>
          <w:lang w:val="en-US"/>
        </w:rPr>
        <w:t xml:space="preserve">His treatment included receiving </w:t>
      </w:r>
      <w:r w:rsidR="00AC2165" w:rsidRPr="009F337B">
        <w:rPr>
          <w:i w:val="0"/>
          <w:szCs w:val="20"/>
          <w:lang w:val="en-US"/>
        </w:rPr>
        <w:t>antiretroviral drugs</w:t>
      </w:r>
      <w:r w:rsidR="003C2AC6" w:rsidRPr="009F337B">
        <w:rPr>
          <w:i w:val="0"/>
          <w:szCs w:val="20"/>
          <w:lang w:val="en-US"/>
        </w:rPr>
        <w:t xml:space="preserve">. </w:t>
      </w:r>
      <w:r w:rsidR="0015205F" w:rsidRPr="009F337B">
        <w:rPr>
          <w:i w:val="0"/>
          <w:szCs w:val="20"/>
          <w:lang w:val="en-US"/>
        </w:rPr>
        <w:t xml:space="preserve">He has undergone CD4 counts </w:t>
      </w:r>
      <w:r w:rsidR="003C46A3" w:rsidRPr="009F337B">
        <w:rPr>
          <w:i w:val="0"/>
          <w:szCs w:val="20"/>
          <w:lang w:val="en-US"/>
        </w:rPr>
        <w:t>and</w:t>
      </w:r>
      <w:r w:rsidR="003C2AC6" w:rsidRPr="009F337B">
        <w:rPr>
          <w:i w:val="0"/>
          <w:szCs w:val="20"/>
          <w:lang w:val="en-US"/>
        </w:rPr>
        <w:t xml:space="preserve"> </w:t>
      </w:r>
      <w:r w:rsidR="00CC4867" w:rsidRPr="009F337B">
        <w:rPr>
          <w:i w:val="0"/>
          <w:szCs w:val="20"/>
          <w:lang w:val="en-US"/>
        </w:rPr>
        <w:t>viral load</w:t>
      </w:r>
      <w:r w:rsidR="0015205F" w:rsidRPr="009F337B">
        <w:rPr>
          <w:i w:val="0"/>
          <w:szCs w:val="20"/>
          <w:lang w:val="en-US"/>
        </w:rPr>
        <w:t xml:space="preserve"> tests</w:t>
      </w:r>
      <w:r w:rsidR="003C2AC6" w:rsidRPr="009F337B">
        <w:rPr>
          <w:i w:val="0"/>
          <w:szCs w:val="20"/>
          <w:lang w:val="en-US"/>
        </w:rPr>
        <w:t xml:space="preserve">. </w:t>
      </w:r>
      <w:r w:rsidR="0015205F" w:rsidRPr="009F337B">
        <w:rPr>
          <w:i w:val="0"/>
          <w:szCs w:val="20"/>
          <w:lang w:val="en-US"/>
        </w:rPr>
        <w:t>On one occasion, in the</w:t>
      </w:r>
      <w:r w:rsidR="003C2AC6" w:rsidRPr="009F337B">
        <w:rPr>
          <w:i w:val="0"/>
          <w:szCs w:val="20"/>
          <w:lang w:val="en-US"/>
        </w:rPr>
        <w:t xml:space="preserve"> </w:t>
      </w:r>
      <w:r w:rsidR="00BB39B6" w:rsidRPr="009F337B">
        <w:rPr>
          <w:i w:val="0"/>
          <w:szCs w:val="20"/>
          <w:lang w:val="en-US"/>
        </w:rPr>
        <w:t>Roosevelt Hospital</w:t>
      </w:r>
      <w:r w:rsidR="003C2AC6" w:rsidRPr="009F337B">
        <w:rPr>
          <w:i w:val="0"/>
          <w:szCs w:val="20"/>
          <w:lang w:val="en-US"/>
        </w:rPr>
        <w:t xml:space="preserve">, </w:t>
      </w:r>
      <w:r w:rsidR="0015205F" w:rsidRPr="009F337B">
        <w:rPr>
          <w:i w:val="0"/>
          <w:szCs w:val="20"/>
          <w:lang w:val="en-US"/>
        </w:rPr>
        <w:t>he underwent</w:t>
      </w:r>
      <w:r w:rsidR="003C2AC6" w:rsidRPr="009F337B">
        <w:rPr>
          <w:i w:val="0"/>
          <w:szCs w:val="20"/>
          <w:lang w:val="en-US"/>
        </w:rPr>
        <w:t xml:space="preserve"> </w:t>
      </w:r>
      <w:r w:rsidR="003B5D80" w:rsidRPr="009F337B">
        <w:rPr>
          <w:i w:val="0"/>
          <w:szCs w:val="20"/>
          <w:lang w:val="en-US"/>
        </w:rPr>
        <w:t>genotype</w:t>
      </w:r>
      <w:r w:rsidR="0015205F" w:rsidRPr="009F337B">
        <w:rPr>
          <w:i w:val="0"/>
          <w:szCs w:val="20"/>
          <w:lang w:val="en-US"/>
        </w:rPr>
        <w:t xml:space="preserve"> testing</w:t>
      </w:r>
      <w:r w:rsidR="003C2AC6" w:rsidRPr="009F337B">
        <w:rPr>
          <w:i w:val="0"/>
          <w:szCs w:val="20"/>
          <w:lang w:val="en-US"/>
        </w:rPr>
        <w:t>. H</w:t>
      </w:r>
      <w:r w:rsidR="0015205F" w:rsidRPr="009F337B">
        <w:rPr>
          <w:i w:val="0"/>
          <w:szCs w:val="20"/>
          <w:lang w:val="en-US"/>
        </w:rPr>
        <w:t>e has suffered from pneumonia</w:t>
      </w:r>
      <w:r w:rsidR="003C2AC6" w:rsidRPr="009F337B">
        <w:rPr>
          <w:i w:val="0"/>
          <w:szCs w:val="20"/>
          <w:lang w:val="en-US"/>
        </w:rPr>
        <w:t xml:space="preserve"> </w:t>
      </w:r>
      <w:r w:rsidR="0015205F" w:rsidRPr="009F337B">
        <w:rPr>
          <w:i w:val="0"/>
          <w:szCs w:val="20"/>
          <w:lang w:val="en-US"/>
        </w:rPr>
        <w:t>and other ailments such as general weakness</w:t>
      </w:r>
      <w:r w:rsidR="003C2AC6" w:rsidRPr="009F337B">
        <w:rPr>
          <w:i w:val="0"/>
          <w:szCs w:val="20"/>
          <w:lang w:val="en-US"/>
        </w:rPr>
        <w:t xml:space="preserve">, </w:t>
      </w:r>
      <w:r w:rsidR="00BB39B6" w:rsidRPr="009F337B">
        <w:rPr>
          <w:i w:val="0"/>
          <w:szCs w:val="20"/>
          <w:lang w:val="en-US"/>
        </w:rPr>
        <w:t>diarrhea</w:t>
      </w:r>
      <w:r w:rsidR="003C2AC6" w:rsidRPr="009F337B">
        <w:rPr>
          <w:i w:val="0"/>
          <w:szCs w:val="20"/>
          <w:lang w:val="en-US"/>
        </w:rPr>
        <w:t xml:space="preserve">, </w:t>
      </w:r>
      <w:r w:rsidR="0015205F" w:rsidRPr="009F337B">
        <w:rPr>
          <w:i w:val="0"/>
          <w:szCs w:val="20"/>
          <w:lang w:val="en-US"/>
        </w:rPr>
        <w:t xml:space="preserve">very intense headaches, dizziness and </w:t>
      </w:r>
      <w:r w:rsidR="003C2AC6" w:rsidRPr="009F337B">
        <w:rPr>
          <w:i w:val="0"/>
          <w:szCs w:val="20"/>
          <w:lang w:val="en-US"/>
        </w:rPr>
        <w:t xml:space="preserve">lipomas </w:t>
      </w:r>
      <w:r w:rsidR="0015205F" w:rsidRPr="009F337B">
        <w:rPr>
          <w:i w:val="0"/>
          <w:szCs w:val="20"/>
          <w:lang w:val="en-US"/>
        </w:rPr>
        <w:t xml:space="preserve">in different parts of his body (arms, legs and waist). He has not received nutritional, social or psychological support or family, community and </w:t>
      </w:r>
      <w:r w:rsidR="00F93469" w:rsidRPr="009F337B">
        <w:rPr>
          <w:i w:val="0"/>
          <w:szCs w:val="20"/>
          <w:lang w:val="en-US"/>
        </w:rPr>
        <w:t>home-based care</w:t>
      </w:r>
      <w:r w:rsidR="0015205F" w:rsidRPr="009F337B">
        <w:rPr>
          <w:i w:val="0"/>
          <w:szCs w:val="20"/>
          <w:lang w:val="en-US"/>
        </w:rPr>
        <w:t xml:space="preserve">. He is provided with condoms on demand. </w:t>
      </w:r>
      <w:r w:rsidRPr="009F337B">
        <w:rPr>
          <w:i w:val="0"/>
          <w:szCs w:val="20"/>
          <w:lang w:val="en-US"/>
        </w:rPr>
        <w:t>Mr.</w:t>
      </w:r>
      <w:r w:rsidR="003C2AC6" w:rsidRPr="009F337B">
        <w:rPr>
          <w:i w:val="0"/>
          <w:szCs w:val="20"/>
          <w:lang w:val="en-US"/>
        </w:rPr>
        <w:t xml:space="preserve"> Linares </w:t>
      </w:r>
      <w:proofErr w:type="spellStart"/>
      <w:r w:rsidR="003C2AC6" w:rsidRPr="009F337B">
        <w:rPr>
          <w:i w:val="0"/>
          <w:szCs w:val="20"/>
          <w:lang w:val="en-US"/>
        </w:rPr>
        <w:t>Ruano</w:t>
      </w:r>
      <w:proofErr w:type="spellEnd"/>
      <w:r w:rsidR="003C2AC6" w:rsidRPr="009F337B">
        <w:rPr>
          <w:i w:val="0"/>
          <w:szCs w:val="20"/>
          <w:lang w:val="en-US"/>
        </w:rPr>
        <w:t xml:space="preserve"> </w:t>
      </w:r>
      <w:r w:rsidR="0015205F" w:rsidRPr="009F337B">
        <w:rPr>
          <w:i w:val="0"/>
          <w:szCs w:val="20"/>
          <w:lang w:val="en-US"/>
        </w:rPr>
        <w:t>indicated that he has not been able to obtain several jobs due to his sexual orientation and because he has to have checkups.</w:t>
      </w:r>
      <w:r w:rsidR="003C2AC6" w:rsidRPr="009F337B">
        <w:rPr>
          <w:rStyle w:val="Refdenotaalpie"/>
          <w:i w:val="0"/>
          <w:lang w:val="en-US"/>
        </w:rPr>
        <w:footnoteReference w:id="325"/>
      </w:r>
    </w:p>
    <w:p w14:paraId="742E0276" w14:textId="77777777" w:rsidR="003C2AC6" w:rsidRPr="009F337B" w:rsidRDefault="003C2AC6" w:rsidP="003C2AC6">
      <w:pPr>
        <w:pStyle w:val="PrrafodeSentencia"/>
        <w:rPr>
          <w:lang w:val="en-US"/>
        </w:rPr>
      </w:pPr>
    </w:p>
    <w:p w14:paraId="24216600" w14:textId="77777777" w:rsidR="003C2AC6" w:rsidRPr="009F337B" w:rsidRDefault="003C2AC6" w:rsidP="003C2AC6">
      <w:pPr>
        <w:pStyle w:val="PrrafodeSentencia"/>
        <w:rPr>
          <w:lang w:val="en-US"/>
        </w:rPr>
      </w:pPr>
      <w:r w:rsidRPr="009F337B">
        <w:rPr>
          <w:lang w:val="en-US"/>
        </w:rPr>
        <w:tab/>
        <w:t>B.18. Marta Alicia Maldonado Paz</w:t>
      </w:r>
    </w:p>
    <w:p w14:paraId="3052CE84" w14:textId="77777777" w:rsidR="003C2AC6" w:rsidRPr="009F337B" w:rsidRDefault="003C2AC6" w:rsidP="003C2AC6">
      <w:pPr>
        <w:pStyle w:val="PrrafodeSentencia"/>
        <w:rPr>
          <w:lang w:val="en-US"/>
        </w:rPr>
      </w:pPr>
    </w:p>
    <w:p w14:paraId="73C9607D" w14:textId="1EBA7DD3" w:rsidR="003C2AC6" w:rsidRPr="009F337B" w:rsidRDefault="007F1AEB" w:rsidP="00593E37">
      <w:pPr>
        <w:pStyle w:val="Estilo1"/>
        <w:numPr>
          <w:ilvl w:val="0"/>
          <w:numId w:val="5"/>
        </w:numPr>
        <w:tabs>
          <w:tab w:val="left" w:pos="709"/>
          <w:tab w:val="left" w:pos="1134"/>
        </w:tabs>
        <w:spacing w:after="0"/>
        <w:ind w:left="0" w:right="-4" w:firstLine="0"/>
        <w:rPr>
          <w:i w:val="0"/>
          <w:szCs w:val="20"/>
          <w:lang w:val="en-US"/>
        </w:rPr>
      </w:pPr>
      <w:r w:rsidRPr="009F337B">
        <w:rPr>
          <w:i w:val="0"/>
          <w:szCs w:val="20"/>
          <w:lang w:val="en-US"/>
        </w:rPr>
        <w:t>Mrs.</w:t>
      </w:r>
      <w:r w:rsidR="003C2AC6" w:rsidRPr="009F337B">
        <w:rPr>
          <w:i w:val="0"/>
          <w:szCs w:val="20"/>
          <w:lang w:val="en-US"/>
        </w:rPr>
        <w:t xml:space="preserve"> Maldonado Paz </w:t>
      </w:r>
      <w:r w:rsidR="0084040D" w:rsidRPr="009F337B">
        <w:rPr>
          <w:i w:val="0"/>
          <w:szCs w:val="20"/>
          <w:lang w:val="en-US"/>
        </w:rPr>
        <w:t>was born on</w:t>
      </w:r>
      <w:r w:rsidR="003C2AC6" w:rsidRPr="009F337B">
        <w:rPr>
          <w:i w:val="0"/>
          <w:szCs w:val="20"/>
          <w:lang w:val="en-US"/>
        </w:rPr>
        <w:t xml:space="preserve"> </w:t>
      </w:r>
      <w:r w:rsidR="003349E5" w:rsidRPr="009F337B">
        <w:rPr>
          <w:i w:val="0"/>
          <w:szCs w:val="20"/>
          <w:lang w:val="en-US"/>
        </w:rPr>
        <w:t>April 27,</w:t>
      </w:r>
      <w:r w:rsidR="003C2AC6" w:rsidRPr="009F337B">
        <w:rPr>
          <w:i w:val="0"/>
          <w:szCs w:val="20"/>
          <w:lang w:val="en-US"/>
        </w:rPr>
        <w:t xml:space="preserve"> 1980.</w:t>
      </w:r>
      <w:r w:rsidR="003349E5" w:rsidRPr="009F337B">
        <w:rPr>
          <w:i w:val="0"/>
          <w:szCs w:val="20"/>
          <w:lang w:val="en-US"/>
        </w:rPr>
        <w:t xml:space="preserve"> Sh</w:t>
      </w:r>
      <w:r w:rsidR="0084040D" w:rsidRPr="009F337B">
        <w:rPr>
          <w:i w:val="0"/>
          <w:szCs w:val="20"/>
          <w:lang w:val="en-US"/>
        </w:rPr>
        <w:t>e was diagnosed</w:t>
      </w:r>
      <w:r w:rsidR="003C2AC6" w:rsidRPr="009F337B">
        <w:rPr>
          <w:i w:val="0"/>
          <w:szCs w:val="20"/>
          <w:lang w:val="en-US"/>
        </w:rPr>
        <w:t xml:space="preserve"> </w:t>
      </w:r>
      <w:r w:rsidR="003349E5" w:rsidRPr="009F337B">
        <w:rPr>
          <w:i w:val="0"/>
          <w:szCs w:val="20"/>
          <w:lang w:val="en-US"/>
        </w:rPr>
        <w:t>on December 4,</w:t>
      </w:r>
      <w:r w:rsidR="003C2AC6" w:rsidRPr="009F337B">
        <w:rPr>
          <w:i w:val="0"/>
          <w:szCs w:val="20"/>
          <w:lang w:val="en-US"/>
        </w:rPr>
        <w:t xml:space="preserve"> 2001, </w:t>
      </w:r>
      <w:r w:rsidR="003349E5" w:rsidRPr="009F337B">
        <w:rPr>
          <w:i w:val="0"/>
          <w:szCs w:val="20"/>
          <w:lang w:val="en-US"/>
        </w:rPr>
        <w:t>by MSF’s</w:t>
      </w:r>
      <w:r w:rsidR="003C2AC6" w:rsidRPr="009F337B">
        <w:rPr>
          <w:i w:val="0"/>
          <w:szCs w:val="20"/>
          <w:lang w:val="en-US"/>
        </w:rPr>
        <w:t xml:space="preserve"> </w:t>
      </w:r>
      <w:r w:rsidR="00AE674B" w:rsidRPr="009F337B">
        <w:rPr>
          <w:szCs w:val="20"/>
          <w:lang w:val="en-US"/>
        </w:rPr>
        <w:t>Proyecto Vida</w:t>
      </w:r>
      <w:r w:rsidR="003C2AC6" w:rsidRPr="009F337B">
        <w:rPr>
          <w:i w:val="0"/>
          <w:szCs w:val="20"/>
          <w:lang w:val="en-US"/>
        </w:rPr>
        <w:t xml:space="preserve">. </w:t>
      </w:r>
      <w:r w:rsidR="003349E5" w:rsidRPr="009F337B">
        <w:rPr>
          <w:i w:val="0"/>
          <w:szCs w:val="20"/>
          <w:lang w:val="en-US"/>
        </w:rPr>
        <w:t xml:space="preserve">She began </w:t>
      </w:r>
      <w:r w:rsidR="00FE1EFF" w:rsidRPr="009F337B">
        <w:rPr>
          <w:i w:val="0"/>
          <w:szCs w:val="20"/>
          <w:lang w:val="en-US"/>
        </w:rPr>
        <w:t>antiretroviral treatment</w:t>
      </w:r>
      <w:r w:rsidR="003C2AC6" w:rsidRPr="009F337B">
        <w:rPr>
          <w:i w:val="0"/>
          <w:szCs w:val="20"/>
          <w:lang w:val="en-US"/>
        </w:rPr>
        <w:t xml:space="preserve"> </w:t>
      </w:r>
      <w:r w:rsidR="003349E5" w:rsidRPr="009F337B">
        <w:rPr>
          <w:i w:val="0"/>
          <w:szCs w:val="20"/>
          <w:lang w:val="en-US"/>
        </w:rPr>
        <w:t>i</w:t>
      </w:r>
      <w:r w:rsidR="003C2AC6" w:rsidRPr="009F337B">
        <w:rPr>
          <w:i w:val="0"/>
          <w:szCs w:val="20"/>
          <w:lang w:val="en-US"/>
        </w:rPr>
        <w:t xml:space="preserve">n 2003, </w:t>
      </w:r>
      <w:r w:rsidR="003349E5" w:rsidRPr="009F337B">
        <w:rPr>
          <w:i w:val="0"/>
          <w:szCs w:val="20"/>
          <w:lang w:val="en-US"/>
        </w:rPr>
        <w:t>through this organization. Subsequently, she was</w:t>
      </w:r>
      <w:r w:rsidR="003C2AC6" w:rsidRPr="009F337B">
        <w:rPr>
          <w:i w:val="0"/>
          <w:szCs w:val="20"/>
          <w:lang w:val="en-US"/>
        </w:rPr>
        <w:t xml:space="preserve"> </w:t>
      </w:r>
      <w:r w:rsidR="001C4CEA" w:rsidRPr="009F337B">
        <w:rPr>
          <w:i w:val="0"/>
          <w:szCs w:val="20"/>
          <w:lang w:val="en-US"/>
        </w:rPr>
        <w:t>transferred to Clinic No. 12</w:t>
      </w:r>
      <w:r w:rsidR="00A758A5" w:rsidRPr="009F337B">
        <w:rPr>
          <w:i w:val="0"/>
          <w:szCs w:val="20"/>
          <w:lang w:val="en-US"/>
        </w:rPr>
        <w:t xml:space="preserve"> of the </w:t>
      </w:r>
      <w:proofErr w:type="spellStart"/>
      <w:r w:rsidR="00BD5E94" w:rsidRPr="009F337B">
        <w:rPr>
          <w:i w:val="0"/>
          <w:szCs w:val="20"/>
          <w:lang w:val="en-US"/>
        </w:rPr>
        <w:t>Coatepeque</w:t>
      </w:r>
      <w:proofErr w:type="spellEnd"/>
      <w:r w:rsidR="00BD5E94" w:rsidRPr="009F337B">
        <w:rPr>
          <w:i w:val="0"/>
          <w:szCs w:val="20"/>
          <w:lang w:val="en-US"/>
        </w:rPr>
        <w:t xml:space="preserve"> National Hospital</w:t>
      </w:r>
      <w:r w:rsidR="003C2AC6" w:rsidRPr="009F337B">
        <w:rPr>
          <w:i w:val="0"/>
          <w:szCs w:val="20"/>
          <w:lang w:val="en-US"/>
        </w:rPr>
        <w:t xml:space="preserve">. </w:t>
      </w:r>
      <w:r w:rsidR="003349E5" w:rsidRPr="009F337B">
        <w:rPr>
          <w:i w:val="0"/>
          <w:szCs w:val="20"/>
          <w:lang w:val="en-US"/>
        </w:rPr>
        <w:t>She has undergone some CD4 counts and viral load tests. She has suffered from anal an</w:t>
      </w:r>
      <w:r w:rsidR="0026068E" w:rsidRPr="009F337B">
        <w:rPr>
          <w:i w:val="0"/>
          <w:szCs w:val="20"/>
          <w:lang w:val="en-US"/>
        </w:rPr>
        <w:t>d</w:t>
      </w:r>
      <w:r w:rsidR="003349E5" w:rsidRPr="009F337B">
        <w:rPr>
          <w:i w:val="0"/>
          <w:szCs w:val="20"/>
          <w:lang w:val="en-US"/>
        </w:rPr>
        <w:t xml:space="preserve"> vulvar papillomatosis</w:t>
      </w:r>
      <w:r w:rsidR="003C2AC6" w:rsidRPr="009F337B">
        <w:rPr>
          <w:i w:val="0"/>
          <w:szCs w:val="20"/>
          <w:lang w:val="en-US"/>
        </w:rPr>
        <w:t xml:space="preserve">, </w:t>
      </w:r>
      <w:r w:rsidR="003349E5" w:rsidRPr="009F337B">
        <w:rPr>
          <w:i w:val="0"/>
          <w:szCs w:val="20"/>
          <w:lang w:val="en-US"/>
        </w:rPr>
        <w:t xml:space="preserve">vaginal and </w:t>
      </w:r>
      <w:r w:rsidR="00B23B9B" w:rsidRPr="009F337B">
        <w:rPr>
          <w:i w:val="0"/>
          <w:szCs w:val="20"/>
          <w:lang w:val="en-US"/>
        </w:rPr>
        <w:t>oral candidiasis</w:t>
      </w:r>
      <w:r w:rsidR="003C2AC6" w:rsidRPr="009F337B">
        <w:rPr>
          <w:i w:val="0"/>
          <w:szCs w:val="20"/>
          <w:lang w:val="en-US"/>
        </w:rPr>
        <w:t xml:space="preserve">, </w:t>
      </w:r>
      <w:r w:rsidR="00B23B9B" w:rsidRPr="009F337B">
        <w:rPr>
          <w:i w:val="0"/>
          <w:szCs w:val="20"/>
          <w:lang w:val="en-US"/>
        </w:rPr>
        <w:t>oral papillomatosis</w:t>
      </w:r>
      <w:r w:rsidR="003C2AC6" w:rsidRPr="009F337B">
        <w:rPr>
          <w:i w:val="0"/>
          <w:szCs w:val="20"/>
          <w:lang w:val="en-US"/>
        </w:rPr>
        <w:t>, tin</w:t>
      </w:r>
      <w:r w:rsidR="003349E5" w:rsidRPr="009F337B">
        <w:rPr>
          <w:i w:val="0"/>
          <w:szCs w:val="20"/>
          <w:lang w:val="en-US"/>
        </w:rPr>
        <w:t>e</w:t>
      </w:r>
      <w:r w:rsidR="003C2AC6" w:rsidRPr="009F337B">
        <w:rPr>
          <w:i w:val="0"/>
          <w:szCs w:val="20"/>
          <w:lang w:val="en-US"/>
        </w:rPr>
        <w:t xml:space="preserve">a pedis, </w:t>
      </w:r>
      <w:r w:rsidR="003349E5" w:rsidRPr="009F337B">
        <w:rPr>
          <w:i w:val="0"/>
          <w:szCs w:val="20"/>
          <w:lang w:val="en-US"/>
        </w:rPr>
        <w:t xml:space="preserve">level II </w:t>
      </w:r>
      <w:r w:rsidR="00DD7C07" w:rsidRPr="009F337B">
        <w:rPr>
          <w:i w:val="0"/>
          <w:szCs w:val="20"/>
          <w:lang w:val="en-US"/>
        </w:rPr>
        <w:t>malnutrition</w:t>
      </w:r>
      <w:r w:rsidR="003C2AC6" w:rsidRPr="009F337B">
        <w:rPr>
          <w:i w:val="0"/>
          <w:szCs w:val="20"/>
          <w:lang w:val="en-US"/>
        </w:rPr>
        <w:t xml:space="preserve"> </w:t>
      </w:r>
      <w:r w:rsidR="003349E5" w:rsidRPr="009F337B">
        <w:rPr>
          <w:i w:val="0"/>
          <w:szCs w:val="20"/>
          <w:lang w:val="en-US"/>
        </w:rPr>
        <w:t xml:space="preserve">and </w:t>
      </w:r>
      <w:r w:rsidR="003C2AC6" w:rsidRPr="009F337B">
        <w:rPr>
          <w:i w:val="0"/>
          <w:szCs w:val="20"/>
          <w:lang w:val="en-US"/>
        </w:rPr>
        <w:t>histoplasmosis.</w:t>
      </w:r>
      <w:r w:rsidR="003349E5" w:rsidRPr="009F337B">
        <w:rPr>
          <w:i w:val="0"/>
          <w:szCs w:val="20"/>
          <w:lang w:val="en-US"/>
        </w:rPr>
        <w:t xml:space="preserve"> She worked in a store before being diagnosed and, subsequently, as a receptionist with</w:t>
      </w:r>
      <w:r w:rsidR="003C2AC6" w:rsidRPr="009F337B">
        <w:rPr>
          <w:i w:val="0"/>
          <w:szCs w:val="20"/>
          <w:lang w:val="en-US"/>
        </w:rPr>
        <w:t xml:space="preserve"> </w:t>
      </w:r>
      <w:r w:rsidR="00AE674B" w:rsidRPr="009F337B">
        <w:rPr>
          <w:szCs w:val="20"/>
          <w:lang w:val="en-US"/>
        </w:rPr>
        <w:t>Proyecto Vida</w:t>
      </w:r>
      <w:r w:rsidR="003349E5" w:rsidRPr="009F337B">
        <w:rPr>
          <w:szCs w:val="20"/>
          <w:lang w:val="en-US"/>
        </w:rPr>
        <w:t>.</w:t>
      </w:r>
      <w:r w:rsidR="003C2AC6" w:rsidRPr="009F337B">
        <w:rPr>
          <w:rStyle w:val="Refdenotaalpie"/>
          <w:i w:val="0"/>
          <w:lang w:val="en-US"/>
        </w:rPr>
        <w:footnoteReference w:id="326"/>
      </w:r>
    </w:p>
    <w:p w14:paraId="0F8780A4" w14:textId="77777777" w:rsidR="003C2AC6" w:rsidRPr="009F337B" w:rsidRDefault="003C2AC6" w:rsidP="003C2AC6">
      <w:pPr>
        <w:pStyle w:val="Estilo1"/>
        <w:tabs>
          <w:tab w:val="left" w:pos="709"/>
          <w:tab w:val="left" w:pos="1134"/>
        </w:tabs>
        <w:spacing w:after="0"/>
        <w:ind w:left="0" w:right="-4" w:firstLine="0"/>
        <w:rPr>
          <w:i w:val="0"/>
          <w:szCs w:val="20"/>
          <w:lang w:val="en-US"/>
        </w:rPr>
      </w:pPr>
    </w:p>
    <w:p w14:paraId="5C5ED656" w14:textId="596A40C3" w:rsidR="003C2AC6" w:rsidRPr="009F337B" w:rsidRDefault="00A758A5" w:rsidP="00593E37">
      <w:pPr>
        <w:pStyle w:val="Estilo1"/>
        <w:numPr>
          <w:ilvl w:val="0"/>
          <w:numId w:val="5"/>
        </w:numPr>
        <w:tabs>
          <w:tab w:val="left" w:pos="709"/>
          <w:tab w:val="left" w:pos="1134"/>
        </w:tabs>
        <w:spacing w:after="0"/>
        <w:ind w:left="0" w:right="-4" w:firstLine="0"/>
        <w:rPr>
          <w:i w:val="0"/>
          <w:szCs w:val="20"/>
          <w:lang w:val="en-US"/>
        </w:rPr>
      </w:pPr>
      <w:r w:rsidRPr="009F337B">
        <w:rPr>
          <w:i w:val="0"/>
          <w:szCs w:val="20"/>
          <w:lang w:val="en-US"/>
        </w:rPr>
        <w:lastRenderedPageBreak/>
        <w:t xml:space="preserve">Her family unit consists of her </w:t>
      </w:r>
      <w:r w:rsidR="0010522A" w:rsidRPr="009F337B">
        <w:rPr>
          <w:i w:val="0"/>
          <w:szCs w:val="20"/>
          <w:lang w:val="en-US"/>
        </w:rPr>
        <w:t>husband</w:t>
      </w:r>
      <w:r w:rsidR="003C2AC6" w:rsidRPr="009F337B">
        <w:rPr>
          <w:i w:val="0"/>
          <w:szCs w:val="20"/>
          <w:lang w:val="en-US"/>
        </w:rPr>
        <w:t xml:space="preserve"> Carlos Humberto Vásquez Pérez, </w:t>
      </w:r>
      <w:r w:rsidR="003349E5" w:rsidRPr="009F337B">
        <w:rPr>
          <w:i w:val="0"/>
          <w:szCs w:val="20"/>
          <w:lang w:val="en-US"/>
        </w:rPr>
        <w:t>her</w:t>
      </w:r>
      <w:r w:rsidR="003C2AC6" w:rsidRPr="009F337B">
        <w:rPr>
          <w:i w:val="0"/>
          <w:szCs w:val="20"/>
          <w:lang w:val="en-US"/>
        </w:rPr>
        <w:t xml:space="preserve"> </w:t>
      </w:r>
      <w:r w:rsidR="0010522A" w:rsidRPr="009F337B">
        <w:rPr>
          <w:i w:val="0"/>
          <w:szCs w:val="20"/>
          <w:lang w:val="en-US"/>
        </w:rPr>
        <w:t>daughter</w:t>
      </w:r>
      <w:r w:rsidR="003C2AC6" w:rsidRPr="009F337B">
        <w:rPr>
          <w:i w:val="0"/>
          <w:szCs w:val="20"/>
          <w:lang w:val="en-US"/>
        </w:rPr>
        <w:t xml:space="preserve">s Delia </w:t>
      </w:r>
      <w:proofErr w:type="spellStart"/>
      <w:r w:rsidR="003C2AC6" w:rsidRPr="009F337B">
        <w:rPr>
          <w:i w:val="0"/>
          <w:szCs w:val="20"/>
          <w:lang w:val="en-US"/>
        </w:rPr>
        <w:t>Marlenee</w:t>
      </w:r>
      <w:proofErr w:type="spellEnd"/>
      <w:r w:rsidR="003C46A3" w:rsidRPr="009F337B">
        <w:rPr>
          <w:i w:val="0"/>
          <w:szCs w:val="20"/>
          <w:lang w:val="en-US"/>
        </w:rPr>
        <w:t xml:space="preserve"> and </w:t>
      </w:r>
      <w:r w:rsidR="003C2AC6" w:rsidRPr="009F337B">
        <w:rPr>
          <w:i w:val="0"/>
          <w:szCs w:val="20"/>
          <w:lang w:val="en-US"/>
        </w:rPr>
        <w:t xml:space="preserve">Adela </w:t>
      </w:r>
      <w:proofErr w:type="spellStart"/>
      <w:r w:rsidR="003C2AC6" w:rsidRPr="009F337B">
        <w:rPr>
          <w:i w:val="0"/>
          <w:szCs w:val="20"/>
          <w:lang w:val="en-US"/>
        </w:rPr>
        <w:t>Nohemí</w:t>
      </w:r>
      <w:proofErr w:type="spellEnd"/>
      <w:r w:rsidR="003C2AC6" w:rsidRPr="009F337B">
        <w:rPr>
          <w:i w:val="0"/>
          <w:szCs w:val="20"/>
          <w:lang w:val="en-US"/>
        </w:rPr>
        <w:t xml:space="preserve"> (</w:t>
      </w:r>
      <w:r w:rsidR="0010522A" w:rsidRPr="009F337B">
        <w:rPr>
          <w:i w:val="0"/>
          <w:szCs w:val="20"/>
          <w:lang w:val="en-US"/>
        </w:rPr>
        <w:t>deceased</w:t>
      </w:r>
      <w:r w:rsidR="003C2AC6" w:rsidRPr="009F337B">
        <w:rPr>
          <w:i w:val="0"/>
          <w:szCs w:val="20"/>
          <w:lang w:val="en-US"/>
        </w:rPr>
        <w:t xml:space="preserve">), </w:t>
      </w:r>
      <w:r w:rsidR="007B07E2" w:rsidRPr="009F337B">
        <w:rPr>
          <w:i w:val="0"/>
          <w:szCs w:val="20"/>
          <w:lang w:val="en-US"/>
        </w:rPr>
        <w:t>both</w:t>
      </w:r>
      <w:r w:rsidR="003C2AC6" w:rsidRPr="009F337B">
        <w:rPr>
          <w:i w:val="0"/>
          <w:szCs w:val="20"/>
          <w:lang w:val="en-US"/>
        </w:rPr>
        <w:t xml:space="preserve"> Pérez Maldonado,</w:t>
      </w:r>
      <w:r w:rsidR="003C46A3" w:rsidRPr="009F337B">
        <w:rPr>
          <w:i w:val="0"/>
          <w:szCs w:val="20"/>
          <w:lang w:val="en-US"/>
        </w:rPr>
        <w:t xml:space="preserve"> and </w:t>
      </w:r>
      <w:r w:rsidR="003349E5" w:rsidRPr="009F337B">
        <w:rPr>
          <w:i w:val="0"/>
          <w:szCs w:val="20"/>
          <w:lang w:val="en-US"/>
        </w:rPr>
        <w:t>her</w:t>
      </w:r>
      <w:r w:rsidR="003C2AC6" w:rsidRPr="009F337B">
        <w:rPr>
          <w:i w:val="0"/>
          <w:szCs w:val="20"/>
          <w:lang w:val="en-US"/>
        </w:rPr>
        <w:t xml:space="preserve"> </w:t>
      </w:r>
      <w:r w:rsidR="0010522A" w:rsidRPr="009F337B">
        <w:rPr>
          <w:i w:val="0"/>
          <w:szCs w:val="20"/>
          <w:lang w:val="en-US"/>
        </w:rPr>
        <w:t>sister</w:t>
      </w:r>
      <w:r w:rsidR="003C2AC6" w:rsidRPr="009F337B">
        <w:rPr>
          <w:i w:val="0"/>
          <w:szCs w:val="20"/>
          <w:lang w:val="en-US"/>
        </w:rPr>
        <w:t xml:space="preserve"> </w:t>
      </w:r>
      <w:proofErr w:type="spellStart"/>
      <w:r w:rsidR="003C2AC6" w:rsidRPr="009F337B">
        <w:rPr>
          <w:i w:val="0"/>
          <w:szCs w:val="20"/>
          <w:lang w:val="en-US"/>
        </w:rPr>
        <w:t>Telma</w:t>
      </w:r>
      <w:proofErr w:type="spellEnd"/>
      <w:r w:rsidR="003C2AC6" w:rsidRPr="009F337B">
        <w:rPr>
          <w:i w:val="0"/>
          <w:szCs w:val="20"/>
          <w:lang w:val="en-US"/>
        </w:rPr>
        <w:t xml:space="preserve"> Maldonado Andrade</w:t>
      </w:r>
      <w:r w:rsidR="003349E5" w:rsidRPr="009F337B">
        <w:rPr>
          <w:i w:val="0"/>
          <w:szCs w:val="20"/>
          <w:lang w:val="en-US"/>
        </w:rPr>
        <w:t>.</w:t>
      </w:r>
      <w:r w:rsidR="003C2AC6" w:rsidRPr="009F337B">
        <w:rPr>
          <w:rStyle w:val="Refdenotaalpie"/>
          <w:i w:val="0"/>
          <w:lang w:val="en-US"/>
        </w:rPr>
        <w:footnoteReference w:id="327"/>
      </w:r>
    </w:p>
    <w:p w14:paraId="3D519B60" w14:textId="77777777" w:rsidR="003C2AC6" w:rsidRPr="009F337B" w:rsidRDefault="003C2AC6" w:rsidP="003C2AC6">
      <w:pPr>
        <w:pStyle w:val="PrrafodeSentencia"/>
        <w:rPr>
          <w:lang w:val="en-US"/>
        </w:rPr>
      </w:pPr>
    </w:p>
    <w:p w14:paraId="7EC28E8F" w14:textId="77777777" w:rsidR="003C2AC6" w:rsidRPr="009F337B" w:rsidRDefault="003C2AC6" w:rsidP="003C2AC6">
      <w:pPr>
        <w:pStyle w:val="PrrafodeSentencia"/>
        <w:rPr>
          <w:lang w:val="en-US"/>
        </w:rPr>
      </w:pPr>
      <w:r w:rsidRPr="009F337B">
        <w:rPr>
          <w:lang w:val="en-US"/>
        </w:rPr>
        <w:tab/>
        <w:t>B.19. Dora Marina Martínez Sofoifa</w:t>
      </w:r>
    </w:p>
    <w:p w14:paraId="08E3F83E" w14:textId="77777777" w:rsidR="003C2AC6" w:rsidRPr="009F337B" w:rsidRDefault="003C2AC6" w:rsidP="003C2AC6">
      <w:pPr>
        <w:pStyle w:val="PrrafodeSentencia"/>
        <w:rPr>
          <w:lang w:val="en-US"/>
        </w:rPr>
      </w:pPr>
    </w:p>
    <w:p w14:paraId="2CB71267" w14:textId="13DCF624" w:rsidR="003C2AC6" w:rsidRPr="009F337B" w:rsidRDefault="007F1AEB" w:rsidP="00593E37">
      <w:pPr>
        <w:pStyle w:val="Estilo1"/>
        <w:numPr>
          <w:ilvl w:val="0"/>
          <w:numId w:val="5"/>
        </w:numPr>
        <w:tabs>
          <w:tab w:val="left" w:pos="709"/>
          <w:tab w:val="left" w:pos="1134"/>
        </w:tabs>
        <w:spacing w:after="0"/>
        <w:ind w:left="0" w:right="-4" w:firstLine="0"/>
        <w:rPr>
          <w:i w:val="0"/>
          <w:szCs w:val="20"/>
          <w:lang w:val="en-US"/>
        </w:rPr>
      </w:pPr>
      <w:r w:rsidRPr="009F337B">
        <w:rPr>
          <w:i w:val="0"/>
          <w:szCs w:val="20"/>
          <w:lang w:val="en-US"/>
        </w:rPr>
        <w:t>Mrs.</w:t>
      </w:r>
      <w:r w:rsidR="003C2AC6" w:rsidRPr="009F337B">
        <w:rPr>
          <w:i w:val="0"/>
          <w:szCs w:val="20"/>
          <w:lang w:val="en-US"/>
        </w:rPr>
        <w:t xml:space="preserve"> Martínez </w:t>
      </w:r>
      <w:proofErr w:type="spellStart"/>
      <w:r w:rsidR="003C2AC6" w:rsidRPr="009F337B">
        <w:rPr>
          <w:i w:val="0"/>
          <w:szCs w:val="20"/>
          <w:lang w:val="en-US"/>
        </w:rPr>
        <w:t>Sofoifa</w:t>
      </w:r>
      <w:proofErr w:type="spellEnd"/>
      <w:r w:rsidR="003C2AC6" w:rsidRPr="009F337B">
        <w:rPr>
          <w:i w:val="0"/>
          <w:szCs w:val="20"/>
          <w:lang w:val="en-US"/>
        </w:rPr>
        <w:t xml:space="preserve"> </w:t>
      </w:r>
      <w:r w:rsidR="0084040D" w:rsidRPr="009F337B">
        <w:rPr>
          <w:i w:val="0"/>
          <w:szCs w:val="20"/>
          <w:lang w:val="en-US"/>
        </w:rPr>
        <w:t>was born on</w:t>
      </w:r>
      <w:r w:rsidR="003C2AC6" w:rsidRPr="009F337B">
        <w:rPr>
          <w:i w:val="0"/>
          <w:szCs w:val="20"/>
          <w:lang w:val="en-US"/>
        </w:rPr>
        <w:t xml:space="preserve"> </w:t>
      </w:r>
      <w:r w:rsidR="003349E5" w:rsidRPr="009F337B">
        <w:rPr>
          <w:i w:val="0"/>
          <w:szCs w:val="20"/>
          <w:lang w:val="en-US"/>
        </w:rPr>
        <w:t>Septemb</w:t>
      </w:r>
      <w:r w:rsidR="0026068E" w:rsidRPr="009F337B">
        <w:rPr>
          <w:i w:val="0"/>
          <w:szCs w:val="20"/>
          <w:lang w:val="en-US"/>
        </w:rPr>
        <w:t>e</w:t>
      </w:r>
      <w:r w:rsidR="003349E5" w:rsidRPr="009F337B">
        <w:rPr>
          <w:i w:val="0"/>
          <w:szCs w:val="20"/>
          <w:lang w:val="en-US"/>
        </w:rPr>
        <w:t>r 10,</w:t>
      </w:r>
      <w:r w:rsidR="003C2AC6" w:rsidRPr="009F337B">
        <w:rPr>
          <w:i w:val="0"/>
          <w:szCs w:val="20"/>
          <w:lang w:val="en-US"/>
        </w:rPr>
        <w:t xml:space="preserve"> 1971</w:t>
      </w:r>
      <w:r w:rsidR="003349E5" w:rsidRPr="009F337B">
        <w:rPr>
          <w:i w:val="0"/>
          <w:szCs w:val="20"/>
          <w:lang w:val="en-US"/>
        </w:rPr>
        <w:t>,</w:t>
      </w:r>
      <w:r w:rsidR="003C2AC6" w:rsidRPr="009F337B">
        <w:rPr>
          <w:i w:val="0"/>
          <w:szCs w:val="20"/>
          <w:lang w:val="en-US"/>
        </w:rPr>
        <w:t xml:space="preserve"> </w:t>
      </w:r>
      <w:r w:rsidR="00A758A5" w:rsidRPr="009F337B">
        <w:rPr>
          <w:i w:val="0"/>
          <w:szCs w:val="20"/>
          <w:lang w:val="en-US"/>
        </w:rPr>
        <w:t>in the municipality</w:t>
      </w:r>
      <w:r w:rsidR="00D85CA7" w:rsidRPr="009F337B">
        <w:rPr>
          <w:i w:val="0"/>
          <w:szCs w:val="20"/>
          <w:lang w:val="en-US"/>
        </w:rPr>
        <w:t xml:space="preserve"> of</w:t>
      </w:r>
      <w:r w:rsidR="003C2AC6" w:rsidRPr="009F337B">
        <w:rPr>
          <w:i w:val="0"/>
          <w:szCs w:val="20"/>
          <w:lang w:val="en-US"/>
        </w:rPr>
        <w:t xml:space="preserve"> </w:t>
      </w:r>
      <w:proofErr w:type="spellStart"/>
      <w:r w:rsidR="003C2AC6" w:rsidRPr="009F337B">
        <w:rPr>
          <w:i w:val="0"/>
          <w:szCs w:val="20"/>
          <w:lang w:val="en-US"/>
        </w:rPr>
        <w:t>Ocos</w:t>
      </w:r>
      <w:proofErr w:type="spellEnd"/>
      <w:r w:rsidR="003C2AC6" w:rsidRPr="009F337B">
        <w:rPr>
          <w:i w:val="0"/>
          <w:szCs w:val="20"/>
          <w:lang w:val="en-US"/>
        </w:rPr>
        <w:t xml:space="preserve">, </w:t>
      </w:r>
      <w:r w:rsidR="003E1304" w:rsidRPr="009F337B">
        <w:rPr>
          <w:i w:val="0"/>
          <w:szCs w:val="20"/>
          <w:lang w:val="en-US"/>
        </w:rPr>
        <w:t>department of</w:t>
      </w:r>
      <w:r w:rsidR="003C2AC6" w:rsidRPr="009F337B">
        <w:rPr>
          <w:i w:val="0"/>
          <w:szCs w:val="20"/>
          <w:lang w:val="en-US"/>
        </w:rPr>
        <w:t xml:space="preserve"> San Marcos, Guatemala. </w:t>
      </w:r>
      <w:r w:rsidR="003349E5" w:rsidRPr="009F337B">
        <w:rPr>
          <w:i w:val="0"/>
          <w:szCs w:val="20"/>
          <w:lang w:val="en-US"/>
        </w:rPr>
        <w:t>She l</w:t>
      </w:r>
      <w:r w:rsidR="00D85CA7" w:rsidRPr="009F337B">
        <w:rPr>
          <w:i w:val="0"/>
          <w:szCs w:val="20"/>
          <w:lang w:val="en-US"/>
        </w:rPr>
        <w:t>ives in</w:t>
      </w:r>
      <w:r w:rsidR="003C2AC6" w:rsidRPr="009F337B">
        <w:rPr>
          <w:i w:val="0"/>
          <w:szCs w:val="20"/>
          <w:lang w:val="en-US"/>
        </w:rPr>
        <w:t xml:space="preserve"> </w:t>
      </w:r>
      <w:proofErr w:type="spellStart"/>
      <w:r w:rsidR="003C2AC6" w:rsidRPr="009F337B">
        <w:rPr>
          <w:i w:val="0"/>
          <w:szCs w:val="20"/>
          <w:lang w:val="en-US"/>
        </w:rPr>
        <w:t>Caserío</w:t>
      </w:r>
      <w:proofErr w:type="spellEnd"/>
      <w:r w:rsidR="003C2AC6" w:rsidRPr="009F337B">
        <w:rPr>
          <w:i w:val="0"/>
          <w:szCs w:val="20"/>
          <w:lang w:val="en-US"/>
        </w:rPr>
        <w:t xml:space="preserve"> Silencio, </w:t>
      </w:r>
      <w:r w:rsidR="003349E5" w:rsidRPr="009F337B">
        <w:rPr>
          <w:i w:val="0"/>
          <w:szCs w:val="20"/>
          <w:lang w:val="en-US"/>
        </w:rPr>
        <w:t>municipality of</w:t>
      </w:r>
      <w:r w:rsidR="003C2AC6" w:rsidRPr="009F337B">
        <w:rPr>
          <w:i w:val="0"/>
          <w:szCs w:val="20"/>
          <w:lang w:val="en-US"/>
        </w:rPr>
        <w:t xml:space="preserve"> </w:t>
      </w:r>
      <w:proofErr w:type="spellStart"/>
      <w:r w:rsidR="003C2AC6" w:rsidRPr="009F337B">
        <w:rPr>
          <w:i w:val="0"/>
          <w:szCs w:val="20"/>
          <w:lang w:val="en-US"/>
        </w:rPr>
        <w:t>Coatepeque</w:t>
      </w:r>
      <w:proofErr w:type="spellEnd"/>
      <w:r w:rsidR="003C2AC6" w:rsidRPr="009F337B">
        <w:rPr>
          <w:i w:val="0"/>
          <w:szCs w:val="20"/>
          <w:lang w:val="en-US"/>
        </w:rPr>
        <w:t xml:space="preserve">, </w:t>
      </w:r>
      <w:r w:rsidR="003E1304" w:rsidRPr="009F337B">
        <w:rPr>
          <w:i w:val="0"/>
          <w:szCs w:val="20"/>
          <w:lang w:val="en-US"/>
        </w:rPr>
        <w:t>department of</w:t>
      </w:r>
      <w:r w:rsidR="003C2AC6" w:rsidRPr="009F337B">
        <w:rPr>
          <w:i w:val="0"/>
          <w:szCs w:val="20"/>
          <w:lang w:val="en-US"/>
        </w:rPr>
        <w:t xml:space="preserve"> Quetzaltenango, Guatemala. S</w:t>
      </w:r>
      <w:r w:rsidR="003349E5" w:rsidRPr="009F337B">
        <w:rPr>
          <w:i w:val="0"/>
          <w:szCs w:val="20"/>
          <w:lang w:val="en-US"/>
        </w:rPr>
        <w:t xml:space="preserve">he </w:t>
      </w:r>
      <w:r w:rsidR="0026068E" w:rsidRPr="009F337B">
        <w:rPr>
          <w:i w:val="0"/>
          <w:szCs w:val="20"/>
          <w:lang w:val="en-US"/>
        </w:rPr>
        <w:t>does</w:t>
      </w:r>
      <w:r w:rsidR="003349E5" w:rsidRPr="009F337B">
        <w:rPr>
          <w:i w:val="0"/>
          <w:szCs w:val="20"/>
          <w:lang w:val="en-US"/>
        </w:rPr>
        <w:t xml:space="preserve"> domestic work. She was </w:t>
      </w:r>
      <w:r w:rsidR="001071B4" w:rsidRPr="009F337B">
        <w:rPr>
          <w:i w:val="0"/>
          <w:szCs w:val="20"/>
          <w:lang w:val="en-US"/>
        </w:rPr>
        <w:t>diagnosed</w:t>
      </w:r>
      <w:r w:rsidR="003C2AC6" w:rsidRPr="009F337B">
        <w:rPr>
          <w:i w:val="0"/>
          <w:szCs w:val="20"/>
          <w:lang w:val="en-US"/>
        </w:rPr>
        <w:t xml:space="preserve"> </w:t>
      </w:r>
      <w:r w:rsidR="003349E5" w:rsidRPr="009F337B">
        <w:rPr>
          <w:i w:val="0"/>
          <w:szCs w:val="20"/>
          <w:lang w:val="en-US"/>
        </w:rPr>
        <w:t>i</w:t>
      </w:r>
      <w:r w:rsidR="003C2AC6" w:rsidRPr="009F337B">
        <w:rPr>
          <w:i w:val="0"/>
          <w:szCs w:val="20"/>
          <w:lang w:val="en-US"/>
        </w:rPr>
        <w:t xml:space="preserve">n 1998 </w:t>
      </w:r>
      <w:r w:rsidR="003349E5" w:rsidRPr="009F337B">
        <w:rPr>
          <w:i w:val="0"/>
          <w:szCs w:val="20"/>
          <w:lang w:val="en-US"/>
        </w:rPr>
        <w:t>i</w:t>
      </w:r>
      <w:r w:rsidR="003C2AC6" w:rsidRPr="009F337B">
        <w:rPr>
          <w:i w:val="0"/>
          <w:szCs w:val="20"/>
          <w:lang w:val="en-US"/>
        </w:rPr>
        <w:t xml:space="preserve">n </w:t>
      </w:r>
      <w:r w:rsidR="00BD5E94" w:rsidRPr="009F337B">
        <w:rPr>
          <w:i w:val="0"/>
          <w:szCs w:val="20"/>
          <w:lang w:val="en-US"/>
        </w:rPr>
        <w:t xml:space="preserve">the </w:t>
      </w:r>
      <w:proofErr w:type="spellStart"/>
      <w:r w:rsidR="00BD5E94" w:rsidRPr="009F337B">
        <w:rPr>
          <w:i w:val="0"/>
          <w:szCs w:val="20"/>
          <w:lang w:val="en-US"/>
        </w:rPr>
        <w:t>Coatepeque</w:t>
      </w:r>
      <w:proofErr w:type="spellEnd"/>
      <w:r w:rsidR="00BD5E94" w:rsidRPr="009F337B">
        <w:rPr>
          <w:i w:val="0"/>
          <w:szCs w:val="20"/>
          <w:lang w:val="en-US"/>
        </w:rPr>
        <w:t xml:space="preserve"> National Hospital</w:t>
      </w:r>
      <w:r w:rsidR="003C2AC6" w:rsidRPr="009F337B">
        <w:rPr>
          <w:i w:val="0"/>
          <w:szCs w:val="20"/>
          <w:lang w:val="en-US"/>
        </w:rPr>
        <w:t xml:space="preserve">, </w:t>
      </w:r>
      <w:r w:rsidR="003349E5" w:rsidRPr="009F337B">
        <w:rPr>
          <w:i w:val="0"/>
          <w:szCs w:val="20"/>
          <w:lang w:val="en-US"/>
        </w:rPr>
        <w:t>where she went because she was suffering from a fever and malnutrition. She did not receive medical treatment for HIV for the first few years after her diagnosis because</w:t>
      </w:r>
      <w:r w:rsidR="0026068E" w:rsidRPr="009F337B">
        <w:rPr>
          <w:i w:val="0"/>
          <w:szCs w:val="20"/>
          <w:lang w:val="en-US"/>
        </w:rPr>
        <w:t>, in</w:t>
      </w:r>
      <w:r w:rsidR="003349E5" w:rsidRPr="009F337B">
        <w:rPr>
          <w:i w:val="0"/>
          <w:szCs w:val="20"/>
          <w:lang w:val="en-US"/>
        </w:rPr>
        <w:t xml:space="preserve"> the hospital, they </w:t>
      </w:r>
      <w:r w:rsidR="0026068E" w:rsidRPr="009F337B">
        <w:rPr>
          <w:i w:val="0"/>
          <w:szCs w:val="20"/>
          <w:lang w:val="en-US"/>
        </w:rPr>
        <w:t>told her</w:t>
      </w:r>
      <w:r w:rsidR="003349E5" w:rsidRPr="009F337B">
        <w:rPr>
          <w:i w:val="0"/>
          <w:szCs w:val="20"/>
          <w:lang w:val="en-US"/>
        </w:rPr>
        <w:t xml:space="preserve"> that </w:t>
      </w:r>
      <w:r w:rsidR="0026068E" w:rsidRPr="009F337B">
        <w:rPr>
          <w:i w:val="0"/>
          <w:szCs w:val="20"/>
          <w:lang w:val="en-US"/>
        </w:rPr>
        <w:t>they</w:t>
      </w:r>
      <w:r w:rsidR="003349E5" w:rsidRPr="009F337B">
        <w:rPr>
          <w:i w:val="0"/>
          <w:szCs w:val="20"/>
          <w:lang w:val="en-US"/>
        </w:rPr>
        <w:t xml:space="preserve"> did not have the drugs required to treat her. In 2004, she was treated by MSF, where she underwent CD4 counts and was prescribed </w:t>
      </w:r>
      <w:r w:rsidR="00FE1EFF" w:rsidRPr="009F337B">
        <w:rPr>
          <w:i w:val="0"/>
          <w:szCs w:val="20"/>
          <w:lang w:val="en-US"/>
        </w:rPr>
        <w:t>antiretroviral treatment</w:t>
      </w:r>
      <w:r w:rsidR="003C2AC6" w:rsidRPr="009F337B">
        <w:rPr>
          <w:i w:val="0"/>
          <w:szCs w:val="20"/>
          <w:lang w:val="en-US"/>
        </w:rPr>
        <w:t xml:space="preserve">. </w:t>
      </w:r>
      <w:r w:rsidR="003349E5" w:rsidRPr="009F337B">
        <w:rPr>
          <w:i w:val="0"/>
          <w:szCs w:val="20"/>
          <w:lang w:val="en-US"/>
        </w:rPr>
        <w:t>I</w:t>
      </w:r>
      <w:r w:rsidR="003C2AC6" w:rsidRPr="009F337B">
        <w:rPr>
          <w:i w:val="0"/>
          <w:szCs w:val="20"/>
          <w:lang w:val="en-US"/>
        </w:rPr>
        <w:t>n 2010</w:t>
      </w:r>
      <w:r w:rsidR="003349E5" w:rsidRPr="009F337B">
        <w:rPr>
          <w:i w:val="0"/>
          <w:szCs w:val="20"/>
          <w:lang w:val="en-US"/>
        </w:rPr>
        <w:t xml:space="preserve">, she was again transferred to the </w:t>
      </w:r>
      <w:proofErr w:type="spellStart"/>
      <w:r w:rsidR="005F10B1" w:rsidRPr="009F337B">
        <w:rPr>
          <w:i w:val="0"/>
          <w:szCs w:val="20"/>
          <w:lang w:val="en-US"/>
        </w:rPr>
        <w:t>Coatepeque</w:t>
      </w:r>
      <w:proofErr w:type="spellEnd"/>
      <w:r w:rsidR="005F10B1" w:rsidRPr="009F337B">
        <w:rPr>
          <w:i w:val="0"/>
          <w:szCs w:val="20"/>
          <w:lang w:val="en-US"/>
        </w:rPr>
        <w:t xml:space="preserve"> National Hospital</w:t>
      </w:r>
      <w:r w:rsidR="003C2AC6" w:rsidRPr="009F337B">
        <w:rPr>
          <w:i w:val="0"/>
          <w:szCs w:val="20"/>
          <w:lang w:val="en-US"/>
        </w:rPr>
        <w:t>. CD4</w:t>
      </w:r>
      <w:r w:rsidR="003C46A3" w:rsidRPr="009F337B">
        <w:rPr>
          <w:i w:val="0"/>
          <w:szCs w:val="20"/>
          <w:lang w:val="en-US"/>
        </w:rPr>
        <w:t xml:space="preserve"> </w:t>
      </w:r>
      <w:r w:rsidR="003349E5" w:rsidRPr="009F337B">
        <w:rPr>
          <w:i w:val="0"/>
          <w:szCs w:val="20"/>
          <w:lang w:val="en-US"/>
        </w:rPr>
        <w:t xml:space="preserve">counts </w:t>
      </w:r>
      <w:r w:rsidR="003C46A3" w:rsidRPr="009F337B">
        <w:rPr>
          <w:i w:val="0"/>
          <w:szCs w:val="20"/>
          <w:lang w:val="en-US"/>
        </w:rPr>
        <w:t>and</w:t>
      </w:r>
      <w:r w:rsidR="003C2AC6" w:rsidRPr="009F337B">
        <w:rPr>
          <w:i w:val="0"/>
          <w:szCs w:val="20"/>
          <w:lang w:val="en-US"/>
        </w:rPr>
        <w:t xml:space="preserve"> </w:t>
      </w:r>
      <w:r w:rsidR="00CC4867" w:rsidRPr="009F337B">
        <w:rPr>
          <w:i w:val="0"/>
          <w:szCs w:val="20"/>
          <w:lang w:val="en-US"/>
        </w:rPr>
        <w:t>viral load</w:t>
      </w:r>
      <w:r w:rsidR="003C2AC6" w:rsidRPr="009F337B">
        <w:rPr>
          <w:i w:val="0"/>
          <w:szCs w:val="20"/>
          <w:lang w:val="en-US"/>
        </w:rPr>
        <w:t xml:space="preserve"> </w:t>
      </w:r>
      <w:r w:rsidR="003349E5" w:rsidRPr="009F337B">
        <w:rPr>
          <w:i w:val="0"/>
          <w:szCs w:val="20"/>
          <w:lang w:val="en-US"/>
        </w:rPr>
        <w:t>tests are irregular. I</w:t>
      </w:r>
      <w:r w:rsidR="003C2AC6" w:rsidRPr="009F337B">
        <w:rPr>
          <w:i w:val="0"/>
          <w:szCs w:val="20"/>
          <w:lang w:val="en-US"/>
        </w:rPr>
        <w:t>n 2014</w:t>
      </w:r>
      <w:r w:rsidR="003349E5" w:rsidRPr="009F337B">
        <w:rPr>
          <w:i w:val="0"/>
          <w:szCs w:val="20"/>
          <w:lang w:val="en-US"/>
        </w:rPr>
        <w:t xml:space="preserve">, there were no </w:t>
      </w:r>
      <w:r w:rsidR="00AC2165" w:rsidRPr="009F337B">
        <w:rPr>
          <w:i w:val="0"/>
          <w:szCs w:val="20"/>
          <w:lang w:val="en-US"/>
        </w:rPr>
        <w:t>antiretroviral drugs</w:t>
      </w:r>
      <w:r w:rsidR="003349E5" w:rsidRPr="009F337B">
        <w:rPr>
          <w:i w:val="0"/>
          <w:szCs w:val="20"/>
          <w:lang w:val="en-US"/>
        </w:rPr>
        <w:t xml:space="preserve"> for several months</w:t>
      </w:r>
      <w:r w:rsidR="003C2AC6" w:rsidRPr="009F337B">
        <w:rPr>
          <w:i w:val="0"/>
          <w:szCs w:val="20"/>
          <w:lang w:val="en-US"/>
        </w:rPr>
        <w:t xml:space="preserve">. </w:t>
      </w:r>
      <w:r w:rsidR="003349E5" w:rsidRPr="009F337B">
        <w:rPr>
          <w:i w:val="0"/>
          <w:szCs w:val="20"/>
          <w:lang w:val="en-US"/>
        </w:rPr>
        <w:t>She has suffered from high</w:t>
      </w:r>
      <w:r w:rsidR="003C2AC6" w:rsidRPr="009F337B">
        <w:rPr>
          <w:i w:val="0"/>
          <w:szCs w:val="20"/>
          <w:lang w:val="en-US"/>
        </w:rPr>
        <w:t xml:space="preserve"> </w:t>
      </w:r>
      <w:r w:rsidR="003349E5" w:rsidRPr="009F337B">
        <w:rPr>
          <w:i w:val="0"/>
          <w:szCs w:val="20"/>
          <w:lang w:val="en-US"/>
        </w:rPr>
        <w:t>cholesterol</w:t>
      </w:r>
      <w:r w:rsidR="003C46A3" w:rsidRPr="009F337B">
        <w:rPr>
          <w:i w:val="0"/>
          <w:szCs w:val="20"/>
          <w:lang w:val="en-US"/>
        </w:rPr>
        <w:t xml:space="preserve"> and </w:t>
      </w:r>
      <w:r w:rsidR="00297F0B" w:rsidRPr="009F337B">
        <w:rPr>
          <w:i w:val="0"/>
          <w:szCs w:val="20"/>
          <w:lang w:val="en-US"/>
        </w:rPr>
        <w:t>lipodystrophy</w:t>
      </w:r>
      <w:r w:rsidR="003349E5" w:rsidRPr="009F337B">
        <w:rPr>
          <w:i w:val="0"/>
          <w:szCs w:val="20"/>
          <w:lang w:val="en-US"/>
        </w:rPr>
        <w:t>.</w:t>
      </w:r>
      <w:r w:rsidR="003C2AC6" w:rsidRPr="009F337B">
        <w:rPr>
          <w:rStyle w:val="Refdenotaalpie"/>
          <w:i w:val="0"/>
          <w:lang w:val="en-US"/>
        </w:rPr>
        <w:footnoteReference w:id="328"/>
      </w:r>
    </w:p>
    <w:p w14:paraId="0649D5E2" w14:textId="77777777" w:rsidR="003C2AC6" w:rsidRPr="009F337B" w:rsidRDefault="003C2AC6" w:rsidP="003C2AC6">
      <w:pPr>
        <w:pStyle w:val="Estilo1"/>
        <w:tabs>
          <w:tab w:val="left" w:pos="709"/>
          <w:tab w:val="left" w:pos="1134"/>
        </w:tabs>
        <w:spacing w:after="0"/>
        <w:ind w:left="0" w:right="-4" w:firstLine="0"/>
        <w:rPr>
          <w:i w:val="0"/>
          <w:szCs w:val="20"/>
          <w:lang w:val="en-US"/>
        </w:rPr>
      </w:pPr>
    </w:p>
    <w:p w14:paraId="599EF81F" w14:textId="7B474E82" w:rsidR="003C2AC6" w:rsidRPr="009F337B" w:rsidRDefault="007F1AEB" w:rsidP="00593E37">
      <w:pPr>
        <w:pStyle w:val="Estilo1"/>
        <w:numPr>
          <w:ilvl w:val="0"/>
          <w:numId w:val="5"/>
        </w:numPr>
        <w:tabs>
          <w:tab w:val="left" w:pos="709"/>
          <w:tab w:val="left" w:pos="1134"/>
        </w:tabs>
        <w:spacing w:after="0"/>
        <w:ind w:left="0" w:right="-4" w:firstLine="0"/>
        <w:rPr>
          <w:i w:val="0"/>
          <w:szCs w:val="20"/>
          <w:lang w:val="en-US"/>
        </w:rPr>
      </w:pPr>
      <w:r w:rsidRPr="009F337B">
        <w:rPr>
          <w:i w:val="0"/>
          <w:szCs w:val="20"/>
          <w:lang w:val="en-US"/>
        </w:rPr>
        <w:t>Mrs.</w:t>
      </w:r>
      <w:r w:rsidR="003C2AC6" w:rsidRPr="009F337B">
        <w:rPr>
          <w:i w:val="0"/>
          <w:szCs w:val="20"/>
          <w:lang w:val="en-US"/>
        </w:rPr>
        <w:t xml:space="preserve"> Martínez </w:t>
      </w:r>
      <w:proofErr w:type="spellStart"/>
      <w:r w:rsidR="003C2AC6" w:rsidRPr="009F337B">
        <w:rPr>
          <w:i w:val="0"/>
          <w:szCs w:val="20"/>
          <w:lang w:val="en-US"/>
        </w:rPr>
        <w:t>Sofoifa</w:t>
      </w:r>
      <w:proofErr w:type="spellEnd"/>
      <w:r w:rsidR="003C2AC6" w:rsidRPr="009F337B">
        <w:rPr>
          <w:i w:val="0"/>
          <w:szCs w:val="20"/>
          <w:lang w:val="en-US"/>
        </w:rPr>
        <w:t xml:space="preserve"> </w:t>
      </w:r>
      <w:r w:rsidR="003349E5" w:rsidRPr="009F337B">
        <w:rPr>
          <w:i w:val="0"/>
          <w:szCs w:val="20"/>
          <w:lang w:val="en-US"/>
        </w:rPr>
        <w:t>indicated that the</w:t>
      </w:r>
      <w:r w:rsidR="0026068E" w:rsidRPr="009F337B">
        <w:rPr>
          <w:i w:val="0"/>
          <w:szCs w:val="20"/>
          <w:lang w:val="en-US"/>
        </w:rPr>
        <w:t xml:space="preserve"> way she was treated</w:t>
      </w:r>
      <w:r w:rsidR="003349E5" w:rsidRPr="009F337B">
        <w:rPr>
          <w:i w:val="0"/>
          <w:szCs w:val="20"/>
          <w:lang w:val="en-US"/>
        </w:rPr>
        <w:t xml:space="preserve"> by the hospital personnel changed after her diagnosis became known. She also indicated that the clinic where she is treated is four kilometers from her home and that, due to the distance, transport costs, and the dangers of the area where she lives, she has to travel to her appointments in the early morning hours and wait outside the emergency ward.</w:t>
      </w:r>
      <w:r w:rsidR="003C2AC6" w:rsidRPr="009F337B">
        <w:rPr>
          <w:rStyle w:val="Refdenotaalpie"/>
          <w:i w:val="0"/>
          <w:lang w:val="en-US"/>
        </w:rPr>
        <w:footnoteReference w:id="329"/>
      </w:r>
    </w:p>
    <w:p w14:paraId="42A19FDE" w14:textId="77777777" w:rsidR="003C2AC6" w:rsidRPr="009F337B" w:rsidRDefault="003C2AC6" w:rsidP="003C2AC6">
      <w:pPr>
        <w:pStyle w:val="PrrafodeSentencia"/>
        <w:rPr>
          <w:lang w:val="en-US"/>
        </w:rPr>
      </w:pPr>
    </w:p>
    <w:p w14:paraId="4D7EE2FC" w14:textId="77777777" w:rsidR="003C2AC6" w:rsidRPr="00542AB5" w:rsidRDefault="003C2AC6" w:rsidP="003C2AC6">
      <w:pPr>
        <w:pStyle w:val="PrrafodeSentencia"/>
        <w:rPr>
          <w:lang w:val="es-CR"/>
        </w:rPr>
      </w:pPr>
      <w:r w:rsidRPr="009F337B">
        <w:rPr>
          <w:lang w:val="en-US"/>
        </w:rPr>
        <w:tab/>
      </w:r>
      <w:r w:rsidRPr="00542AB5">
        <w:rPr>
          <w:lang w:val="es-CR"/>
        </w:rPr>
        <w:t>B.20. Pascuala de Jesús Mérida Rodríguez</w:t>
      </w:r>
    </w:p>
    <w:p w14:paraId="17D6C780" w14:textId="77777777" w:rsidR="003C2AC6" w:rsidRPr="00542AB5" w:rsidRDefault="003C2AC6" w:rsidP="003C2AC6">
      <w:pPr>
        <w:pStyle w:val="PrrafodeSentencia"/>
        <w:rPr>
          <w:lang w:val="es-CR"/>
        </w:rPr>
      </w:pPr>
    </w:p>
    <w:p w14:paraId="25B026D5" w14:textId="23A5127E" w:rsidR="003C2AC6" w:rsidRPr="009F337B" w:rsidRDefault="007F1AEB" w:rsidP="00593E37">
      <w:pPr>
        <w:pStyle w:val="Estilo1"/>
        <w:numPr>
          <w:ilvl w:val="0"/>
          <w:numId w:val="5"/>
        </w:numPr>
        <w:tabs>
          <w:tab w:val="left" w:pos="709"/>
          <w:tab w:val="left" w:pos="1134"/>
        </w:tabs>
        <w:spacing w:after="0"/>
        <w:ind w:left="0" w:right="-4" w:firstLine="0"/>
        <w:rPr>
          <w:i w:val="0"/>
          <w:szCs w:val="20"/>
          <w:lang w:val="en-US"/>
        </w:rPr>
      </w:pPr>
      <w:r w:rsidRPr="009F337B">
        <w:rPr>
          <w:i w:val="0"/>
          <w:szCs w:val="20"/>
          <w:lang w:val="en-US"/>
        </w:rPr>
        <w:t>Mrs.</w:t>
      </w:r>
      <w:r w:rsidR="003C2AC6" w:rsidRPr="009F337B">
        <w:rPr>
          <w:i w:val="0"/>
          <w:szCs w:val="20"/>
          <w:lang w:val="en-US"/>
        </w:rPr>
        <w:t xml:space="preserve"> Mérida Rodríguez </w:t>
      </w:r>
      <w:r w:rsidR="0084040D" w:rsidRPr="009F337B">
        <w:rPr>
          <w:i w:val="0"/>
          <w:szCs w:val="20"/>
          <w:lang w:val="en-US"/>
        </w:rPr>
        <w:t>was born on</w:t>
      </w:r>
      <w:r w:rsidR="003C2AC6" w:rsidRPr="009F337B">
        <w:rPr>
          <w:i w:val="0"/>
          <w:szCs w:val="20"/>
          <w:lang w:val="en-US"/>
        </w:rPr>
        <w:t xml:space="preserve"> </w:t>
      </w:r>
      <w:r w:rsidR="00A062AC" w:rsidRPr="009F337B">
        <w:rPr>
          <w:i w:val="0"/>
          <w:szCs w:val="20"/>
          <w:lang w:val="en-US"/>
        </w:rPr>
        <w:t>April 25,</w:t>
      </w:r>
      <w:r w:rsidR="003C2AC6" w:rsidRPr="009F337B">
        <w:rPr>
          <w:i w:val="0"/>
          <w:szCs w:val="20"/>
          <w:lang w:val="en-US"/>
        </w:rPr>
        <w:t xml:space="preserve"> 1975</w:t>
      </w:r>
      <w:r w:rsidR="003349E5" w:rsidRPr="009F337B">
        <w:rPr>
          <w:i w:val="0"/>
          <w:szCs w:val="20"/>
          <w:lang w:val="en-US"/>
        </w:rPr>
        <w:t xml:space="preserve">, </w:t>
      </w:r>
      <w:r w:rsidR="00A758A5" w:rsidRPr="009F337B">
        <w:rPr>
          <w:i w:val="0"/>
          <w:szCs w:val="20"/>
          <w:lang w:val="en-US"/>
        </w:rPr>
        <w:t>in the municipality</w:t>
      </w:r>
      <w:r w:rsidR="00D85CA7" w:rsidRPr="009F337B">
        <w:rPr>
          <w:i w:val="0"/>
          <w:szCs w:val="20"/>
          <w:lang w:val="en-US"/>
        </w:rPr>
        <w:t xml:space="preserve"> of</w:t>
      </w:r>
      <w:r w:rsidR="003C2AC6" w:rsidRPr="009F337B">
        <w:rPr>
          <w:i w:val="0"/>
          <w:szCs w:val="20"/>
          <w:lang w:val="en-US"/>
        </w:rPr>
        <w:t xml:space="preserve"> San Sebastián, </w:t>
      </w:r>
      <w:r w:rsidR="003E1304" w:rsidRPr="009F337B">
        <w:rPr>
          <w:i w:val="0"/>
          <w:szCs w:val="20"/>
          <w:lang w:val="en-US"/>
        </w:rPr>
        <w:t>department of</w:t>
      </w:r>
      <w:r w:rsidR="003C2AC6" w:rsidRPr="009F337B">
        <w:rPr>
          <w:i w:val="0"/>
          <w:szCs w:val="20"/>
          <w:lang w:val="en-US"/>
        </w:rPr>
        <w:t xml:space="preserve"> Retalhuleu, Guatemala. </w:t>
      </w:r>
      <w:r w:rsidR="003349E5" w:rsidRPr="009F337B">
        <w:rPr>
          <w:i w:val="0"/>
          <w:szCs w:val="20"/>
          <w:lang w:val="en-US"/>
        </w:rPr>
        <w:t>She l</w:t>
      </w:r>
      <w:r w:rsidR="00D85CA7" w:rsidRPr="009F337B">
        <w:rPr>
          <w:i w:val="0"/>
          <w:szCs w:val="20"/>
          <w:lang w:val="en-US"/>
        </w:rPr>
        <w:t>ives in</w:t>
      </w:r>
      <w:r w:rsidR="003C2AC6" w:rsidRPr="009F337B">
        <w:rPr>
          <w:i w:val="0"/>
          <w:szCs w:val="20"/>
          <w:lang w:val="en-US"/>
        </w:rPr>
        <w:t xml:space="preserve"> </w:t>
      </w:r>
      <w:r w:rsidR="003349E5" w:rsidRPr="009F337B">
        <w:rPr>
          <w:i w:val="0"/>
          <w:szCs w:val="20"/>
          <w:lang w:val="en-US"/>
        </w:rPr>
        <w:t xml:space="preserve">the village of </w:t>
      </w:r>
      <w:r w:rsidR="003C2AC6" w:rsidRPr="009F337B">
        <w:rPr>
          <w:i w:val="0"/>
          <w:szCs w:val="20"/>
          <w:lang w:val="en-US"/>
        </w:rPr>
        <w:t xml:space="preserve">Granados, Sector 2, Nuevo San Carlos, Retalhuleu, Guatemala. </w:t>
      </w:r>
      <w:r w:rsidR="003349E5" w:rsidRPr="009F337B">
        <w:rPr>
          <w:i w:val="0"/>
          <w:szCs w:val="20"/>
          <w:lang w:val="en-US"/>
        </w:rPr>
        <w:t xml:space="preserve">She completed third year of </w:t>
      </w:r>
      <w:r w:rsidR="00327D89" w:rsidRPr="009F337B">
        <w:rPr>
          <w:i w:val="0"/>
          <w:szCs w:val="20"/>
          <w:lang w:val="en-US"/>
        </w:rPr>
        <w:t>primary education</w:t>
      </w:r>
      <w:r w:rsidR="003349E5" w:rsidRPr="009F337B">
        <w:rPr>
          <w:i w:val="0"/>
          <w:szCs w:val="20"/>
          <w:lang w:val="en-US"/>
        </w:rPr>
        <w:t xml:space="preserve">. When she was </w:t>
      </w:r>
      <w:r w:rsidR="001071B4" w:rsidRPr="009F337B">
        <w:rPr>
          <w:i w:val="0"/>
          <w:szCs w:val="20"/>
          <w:lang w:val="en-US"/>
        </w:rPr>
        <w:t>diagnosed with HIV</w:t>
      </w:r>
      <w:r w:rsidR="003C2AC6" w:rsidRPr="009F337B">
        <w:rPr>
          <w:i w:val="0"/>
          <w:szCs w:val="20"/>
          <w:lang w:val="en-US"/>
        </w:rPr>
        <w:t xml:space="preserve"> </w:t>
      </w:r>
      <w:r w:rsidR="003349E5" w:rsidRPr="009F337B">
        <w:rPr>
          <w:i w:val="0"/>
          <w:szCs w:val="20"/>
          <w:lang w:val="en-US"/>
        </w:rPr>
        <w:t>she was not employed. She was</w:t>
      </w:r>
      <w:r w:rsidR="001071B4" w:rsidRPr="009F337B">
        <w:rPr>
          <w:i w:val="0"/>
          <w:szCs w:val="20"/>
          <w:lang w:val="en-US"/>
        </w:rPr>
        <w:t xml:space="preserve"> diagnosed</w:t>
      </w:r>
      <w:r w:rsidR="003C2AC6" w:rsidRPr="009F337B">
        <w:rPr>
          <w:i w:val="0"/>
          <w:szCs w:val="20"/>
          <w:lang w:val="en-US"/>
        </w:rPr>
        <w:t xml:space="preserve"> </w:t>
      </w:r>
      <w:r w:rsidR="00BD15B0" w:rsidRPr="009F337B">
        <w:rPr>
          <w:i w:val="0"/>
          <w:szCs w:val="20"/>
          <w:lang w:val="en-US"/>
        </w:rPr>
        <w:t>i</w:t>
      </w:r>
      <w:r w:rsidR="003C2AC6" w:rsidRPr="009F337B">
        <w:rPr>
          <w:i w:val="0"/>
          <w:szCs w:val="20"/>
          <w:lang w:val="en-US"/>
        </w:rPr>
        <w:t xml:space="preserve">n 2001 </w:t>
      </w:r>
      <w:r w:rsidR="003349E5" w:rsidRPr="009F337B">
        <w:rPr>
          <w:i w:val="0"/>
          <w:szCs w:val="20"/>
          <w:lang w:val="en-US"/>
        </w:rPr>
        <w:t>by MSF’s</w:t>
      </w:r>
      <w:r w:rsidR="003C2AC6" w:rsidRPr="009F337B">
        <w:rPr>
          <w:i w:val="0"/>
          <w:szCs w:val="20"/>
          <w:lang w:val="en-US"/>
        </w:rPr>
        <w:t xml:space="preserve"> </w:t>
      </w:r>
      <w:r w:rsidR="00AE674B" w:rsidRPr="009F337B">
        <w:rPr>
          <w:szCs w:val="20"/>
          <w:lang w:val="en-US"/>
        </w:rPr>
        <w:t>Proyecto Vida</w:t>
      </w:r>
      <w:r w:rsidR="003C2AC6" w:rsidRPr="009F337B">
        <w:rPr>
          <w:i w:val="0"/>
          <w:szCs w:val="20"/>
          <w:lang w:val="en-US"/>
        </w:rPr>
        <w:t xml:space="preserve">, </w:t>
      </w:r>
      <w:r w:rsidR="003349E5" w:rsidRPr="009F337B">
        <w:rPr>
          <w:i w:val="0"/>
          <w:szCs w:val="20"/>
          <w:lang w:val="en-US"/>
        </w:rPr>
        <w:t xml:space="preserve">when she was five months pregnant. MSF provided her with </w:t>
      </w:r>
      <w:r w:rsidR="003C2AC6" w:rsidRPr="009F337B">
        <w:rPr>
          <w:i w:val="0"/>
          <w:szCs w:val="20"/>
          <w:lang w:val="en-US"/>
        </w:rPr>
        <w:t xml:space="preserve"> </w:t>
      </w:r>
      <w:r w:rsidR="00BD15B0" w:rsidRPr="009F337B">
        <w:rPr>
          <w:i w:val="0"/>
          <w:szCs w:val="20"/>
          <w:lang w:val="en-US"/>
        </w:rPr>
        <w:t>trimethoprim</w:t>
      </w:r>
      <w:r w:rsidR="003C46A3" w:rsidRPr="009F337B">
        <w:rPr>
          <w:i w:val="0"/>
          <w:szCs w:val="20"/>
          <w:lang w:val="en-US"/>
        </w:rPr>
        <w:t xml:space="preserve"> and </w:t>
      </w:r>
      <w:r w:rsidR="00BD15B0" w:rsidRPr="009F337B">
        <w:rPr>
          <w:i w:val="0"/>
          <w:szCs w:val="20"/>
          <w:lang w:val="en-US"/>
        </w:rPr>
        <w:t xml:space="preserve">she received antiretroviral treatment for four months until her son was born. She has undergone CD4 counts and viral load tests irregularly. She was transferred to the </w:t>
      </w:r>
      <w:proofErr w:type="spellStart"/>
      <w:r w:rsidR="005F10B1" w:rsidRPr="009F337B">
        <w:rPr>
          <w:i w:val="0"/>
          <w:szCs w:val="20"/>
          <w:lang w:val="en-US"/>
        </w:rPr>
        <w:t>Coatepeque</w:t>
      </w:r>
      <w:proofErr w:type="spellEnd"/>
      <w:r w:rsidR="005F10B1" w:rsidRPr="009F337B">
        <w:rPr>
          <w:i w:val="0"/>
          <w:szCs w:val="20"/>
          <w:lang w:val="en-US"/>
        </w:rPr>
        <w:t xml:space="preserve"> National Hospital</w:t>
      </w:r>
      <w:r w:rsidR="003C2AC6" w:rsidRPr="009F337B">
        <w:rPr>
          <w:i w:val="0"/>
          <w:szCs w:val="20"/>
          <w:lang w:val="en-US"/>
        </w:rPr>
        <w:t>,</w:t>
      </w:r>
      <w:r w:rsidR="003C46A3" w:rsidRPr="009F337B">
        <w:rPr>
          <w:i w:val="0"/>
          <w:szCs w:val="20"/>
          <w:lang w:val="en-US"/>
        </w:rPr>
        <w:t xml:space="preserve"> and </w:t>
      </w:r>
      <w:r w:rsidR="00BD15B0" w:rsidRPr="009F337B">
        <w:rPr>
          <w:i w:val="0"/>
          <w:szCs w:val="20"/>
          <w:lang w:val="en-US"/>
        </w:rPr>
        <w:t>subsequently to the</w:t>
      </w:r>
      <w:r w:rsidR="003C2AC6" w:rsidRPr="009F337B">
        <w:rPr>
          <w:i w:val="0"/>
          <w:szCs w:val="20"/>
          <w:lang w:val="en-US"/>
        </w:rPr>
        <w:t xml:space="preserve"> </w:t>
      </w:r>
      <w:r w:rsidR="00F87540" w:rsidRPr="009F337B">
        <w:rPr>
          <w:i w:val="0"/>
          <w:szCs w:val="20"/>
          <w:lang w:val="en-US"/>
        </w:rPr>
        <w:t>Retalhuleu</w:t>
      </w:r>
      <w:r w:rsidR="00BD15B0" w:rsidRPr="009F337B">
        <w:rPr>
          <w:i w:val="0"/>
          <w:szCs w:val="20"/>
          <w:lang w:val="en-US"/>
        </w:rPr>
        <w:t xml:space="preserve"> Hospital</w:t>
      </w:r>
      <w:r w:rsidR="003C2AC6" w:rsidRPr="009F337B">
        <w:rPr>
          <w:i w:val="0"/>
          <w:szCs w:val="20"/>
          <w:lang w:val="en-US"/>
        </w:rPr>
        <w:t xml:space="preserve">. </w:t>
      </w:r>
      <w:r w:rsidR="00BD15B0" w:rsidRPr="009F337B">
        <w:rPr>
          <w:i w:val="0"/>
          <w:szCs w:val="20"/>
          <w:lang w:val="en-US"/>
        </w:rPr>
        <w:t>She has not undergone</w:t>
      </w:r>
      <w:r w:rsidR="003C2AC6" w:rsidRPr="009F337B">
        <w:rPr>
          <w:i w:val="0"/>
          <w:szCs w:val="20"/>
          <w:lang w:val="en-US"/>
        </w:rPr>
        <w:t xml:space="preserve"> </w:t>
      </w:r>
      <w:r w:rsidR="003B5D80" w:rsidRPr="009F337B">
        <w:rPr>
          <w:i w:val="0"/>
          <w:szCs w:val="20"/>
          <w:lang w:val="en-US"/>
        </w:rPr>
        <w:t>genotype</w:t>
      </w:r>
      <w:r w:rsidR="00BD15B0" w:rsidRPr="009F337B">
        <w:rPr>
          <w:i w:val="0"/>
          <w:szCs w:val="20"/>
          <w:lang w:val="en-US"/>
        </w:rPr>
        <w:t xml:space="preserve"> testing</w:t>
      </w:r>
      <w:r w:rsidR="003C2AC6" w:rsidRPr="009F337B">
        <w:rPr>
          <w:i w:val="0"/>
          <w:szCs w:val="20"/>
          <w:lang w:val="en-US"/>
        </w:rPr>
        <w:t xml:space="preserve">. </w:t>
      </w:r>
      <w:r w:rsidR="00BD15B0" w:rsidRPr="009F337B">
        <w:rPr>
          <w:i w:val="0"/>
          <w:szCs w:val="20"/>
          <w:lang w:val="en-US"/>
        </w:rPr>
        <w:t>She has suffered from</w:t>
      </w:r>
      <w:r w:rsidR="003C2AC6" w:rsidRPr="009F337B">
        <w:rPr>
          <w:i w:val="0"/>
          <w:szCs w:val="20"/>
          <w:lang w:val="en-US"/>
        </w:rPr>
        <w:t xml:space="preserve"> </w:t>
      </w:r>
      <w:r w:rsidR="00BB39B6" w:rsidRPr="009F337B">
        <w:rPr>
          <w:i w:val="0"/>
          <w:szCs w:val="20"/>
          <w:lang w:val="en-US"/>
        </w:rPr>
        <w:t>diarrhea</w:t>
      </w:r>
      <w:r w:rsidR="003C46A3" w:rsidRPr="009F337B">
        <w:rPr>
          <w:i w:val="0"/>
          <w:szCs w:val="20"/>
          <w:lang w:val="en-US"/>
        </w:rPr>
        <w:t xml:space="preserve"> and </w:t>
      </w:r>
      <w:proofErr w:type="spellStart"/>
      <w:r w:rsidR="006E2DCF" w:rsidRPr="009F337B">
        <w:rPr>
          <w:i w:val="0"/>
          <w:szCs w:val="20"/>
          <w:lang w:val="en-US"/>
        </w:rPr>
        <w:t>cephalea</w:t>
      </w:r>
      <w:proofErr w:type="spellEnd"/>
      <w:r w:rsidR="006E2DCF" w:rsidRPr="009F337B">
        <w:rPr>
          <w:i w:val="0"/>
          <w:szCs w:val="20"/>
          <w:lang w:val="en-US"/>
        </w:rPr>
        <w:t>.</w:t>
      </w:r>
      <w:r w:rsidR="003C2AC6" w:rsidRPr="009F337B">
        <w:rPr>
          <w:i w:val="0"/>
          <w:szCs w:val="20"/>
          <w:lang w:val="en-US"/>
        </w:rPr>
        <w:t xml:space="preserve"> </w:t>
      </w:r>
      <w:r w:rsidR="00BD15B0" w:rsidRPr="009F337B">
        <w:rPr>
          <w:i w:val="0"/>
          <w:szCs w:val="20"/>
          <w:lang w:val="en-US"/>
        </w:rPr>
        <w:t xml:space="preserve">She indicated that </w:t>
      </w:r>
      <w:r w:rsidR="00AC2165" w:rsidRPr="009F337B">
        <w:rPr>
          <w:i w:val="0"/>
          <w:szCs w:val="20"/>
          <w:lang w:val="en-US"/>
        </w:rPr>
        <w:t>antiretroviral drugs</w:t>
      </w:r>
      <w:r w:rsidR="003C46A3" w:rsidRPr="009F337B">
        <w:rPr>
          <w:i w:val="0"/>
          <w:szCs w:val="20"/>
          <w:lang w:val="en-US"/>
        </w:rPr>
        <w:t xml:space="preserve"> </w:t>
      </w:r>
      <w:r w:rsidR="00BD15B0" w:rsidRPr="009F337B">
        <w:rPr>
          <w:i w:val="0"/>
          <w:szCs w:val="20"/>
          <w:lang w:val="en-US"/>
        </w:rPr>
        <w:t>were unavailable at times and sometimes she was given children’s medicines. When MSF was treating her, she received nutritional support and she attends a self-help group, whe</w:t>
      </w:r>
      <w:r w:rsidR="0026068E" w:rsidRPr="009F337B">
        <w:rPr>
          <w:i w:val="0"/>
          <w:szCs w:val="20"/>
          <w:lang w:val="en-US"/>
        </w:rPr>
        <w:t>re</w:t>
      </w:r>
      <w:r w:rsidR="00BD15B0" w:rsidRPr="009F337B">
        <w:rPr>
          <w:i w:val="0"/>
          <w:szCs w:val="20"/>
          <w:lang w:val="en-US"/>
        </w:rPr>
        <w:t xml:space="preserve"> she is given condoms. She does not receive social or psychological support or family, community and </w:t>
      </w:r>
      <w:r w:rsidR="00F93469" w:rsidRPr="009F337B">
        <w:rPr>
          <w:i w:val="0"/>
          <w:szCs w:val="20"/>
          <w:lang w:val="en-US"/>
        </w:rPr>
        <w:t>home-based care</w:t>
      </w:r>
      <w:r w:rsidR="00BD15B0" w:rsidRPr="009F337B">
        <w:rPr>
          <w:i w:val="0"/>
          <w:szCs w:val="20"/>
          <w:lang w:val="en-US"/>
        </w:rPr>
        <w:t>. She indicated that her mother-in-law “turned her out” of the house in which she lived with her children and her husband</w:t>
      </w:r>
      <w:r w:rsidR="0026068E" w:rsidRPr="009F337B">
        <w:rPr>
          <w:i w:val="0"/>
          <w:szCs w:val="20"/>
          <w:lang w:val="en-US"/>
        </w:rPr>
        <w:t xml:space="preserve">, </w:t>
      </w:r>
      <w:r w:rsidR="00BD15B0" w:rsidRPr="009F337B">
        <w:rPr>
          <w:i w:val="0"/>
          <w:szCs w:val="20"/>
          <w:lang w:val="en-US"/>
        </w:rPr>
        <w:t xml:space="preserve">before he died. Her daughters </w:t>
      </w:r>
      <w:r w:rsidR="00F93469" w:rsidRPr="009F337B">
        <w:rPr>
          <w:i w:val="0"/>
          <w:szCs w:val="20"/>
          <w:lang w:val="en-US"/>
        </w:rPr>
        <w:t>had problems</w:t>
      </w:r>
      <w:r w:rsidR="00BD15B0" w:rsidRPr="009F337B">
        <w:rPr>
          <w:i w:val="0"/>
          <w:szCs w:val="20"/>
          <w:lang w:val="en-US"/>
        </w:rPr>
        <w:t xml:space="preserve"> in primary school, because they were told that “they also had AIDS,” until she went to speak to the head of the school.</w:t>
      </w:r>
      <w:r w:rsidR="003C2AC6" w:rsidRPr="009F337B">
        <w:rPr>
          <w:rStyle w:val="Refdenotaalpie"/>
          <w:i w:val="0"/>
          <w:lang w:val="en-US"/>
        </w:rPr>
        <w:footnoteReference w:id="330"/>
      </w:r>
    </w:p>
    <w:p w14:paraId="71CE8F18" w14:textId="77777777" w:rsidR="003C2AC6" w:rsidRPr="009F337B" w:rsidRDefault="003C2AC6" w:rsidP="003C2AC6">
      <w:pPr>
        <w:pStyle w:val="Estilo1"/>
        <w:tabs>
          <w:tab w:val="left" w:pos="709"/>
          <w:tab w:val="left" w:pos="1134"/>
        </w:tabs>
        <w:spacing w:after="0"/>
        <w:ind w:left="0" w:right="-4" w:firstLine="0"/>
        <w:rPr>
          <w:i w:val="0"/>
          <w:szCs w:val="20"/>
          <w:lang w:val="en-US"/>
        </w:rPr>
      </w:pPr>
    </w:p>
    <w:p w14:paraId="1C548422" w14:textId="4AAC5B55" w:rsidR="003C2AC6" w:rsidRPr="009F337B" w:rsidRDefault="00A758A5" w:rsidP="00593E37">
      <w:pPr>
        <w:pStyle w:val="Estilo1"/>
        <w:numPr>
          <w:ilvl w:val="0"/>
          <w:numId w:val="5"/>
        </w:numPr>
        <w:tabs>
          <w:tab w:val="left" w:pos="709"/>
          <w:tab w:val="left" w:pos="1134"/>
        </w:tabs>
        <w:spacing w:after="0"/>
        <w:ind w:left="0" w:right="-4" w:firstLine="0"/>
        <w:rPr>
          <w:i w:val="0"/>
          <w:szCs w:val="20"/>
          <w:lang w:val="en-US"/>
        </w:rPr>
      </w:pPr>
      <w:r w:rsidRPr="009F337B">
        <w:rPr>
          <w:i w:val="0"/>
          <w:szCs w:val="20"/>
          <w:lang w:val="en-US"/>
        </w:rPr>
        <w:lastRenderedPageBreak/>
        <w:t xml:space="preserve">Her family unit consists of the </w:t>
      </w:r>
      <w:r w:rsidR="0010522A" w:rsidRPr="009F337B">
        <w:rPr>
          <w:i w:val="0"/>
          <w:szCs w:val="20"/>
          <w:lang w:val="en-US"/>
        </w:rPr>
        <w:t>father</w:t>
      </w:r>
      <w:r w:rsidR="003C2AC6" w:rsidRPr="009F337B">
        <w:rPr>
          <w:i w:val="0"/>
          <w:szCs w:val="20"/>
          <w:lang w:val="en-US"/>
        </w:rPr>
        <w:t xml:space="preserve"> </w:t>
      </w:r>
      <w:r w:rsidR="00BD15B0" w:rsidRPr="009F337B">
        <w:rPr>
          <w:i w:val="0"/>
          <w:szCs w:val="20"/>
          <w:lang w:val="en-US"/>
        </w:rPr>
        <w:t>of</w:t>
      </w:r>
      <w:r w:rsidR="003C2AC6" w:rsidRPr="009F337B">
        <w:rPr>
          <w:i w:val="0"/>
          <w:szCs w:val="20"/>
          <w:lang w:val="en-US"/>
        </w:rPr>
        <w:t xml:space="preserve"> </w:t>
      </w:r>
      <w:r w:rsidR="00BD15B0" w:rsidRPr="009F337B">
        <w:rPr>
          <w:i w:val="0"/>
          <w:szCs w:val="20"/>
          <w:lang w:val="en-US"/>
        </w:rPr>
        <w:t>her</w:t>
      </w:r>
      <w:r w:rsidR="003C2AC6" w:rsidRPr="009F337B">
        <w:rPr>
          <w:i w:val="0"/>
          <w:szCs w:val="20"/>
          <w:lang w:val="en-US"/>
        </w:rPr>
        <w:t xml:space="preserve"> </w:t>
      </w:r>
      <w:r w:rsidR="00BD15B0" w:rsidRPr="009F337B">
        <w:rPr>
          <w:i w:val="0"/>
          <w:szCs w:val="20"/>
          <w:lang w:val="en-US"/>
        </w:rPr>
        <w:t>children</w:t>
      </w:r>
      <w:r w:rsidR="003C2AC6" w:rsidRPr="009F337B">
        <w:rPr>
          <w:i w:val="0"/>
          <w:szCs w:val="20"/>
          <w:lang w:val="en-US"/>
        </w:rPr>
        <w:t xml:space="preserve"> </w:t>
      </w:r>
      <w:proofErr w:type="spellStart"/>
      <w:r w:rsidR="003C2AC6" w:rsidRPr="009F337B">
        <w:rPr>
          <w:i w:val="0"/>
          <w:szCs w:val="20"/>
          <w:lang w:val="en-US"/>
        </w:rPr>
        <w:t>Baudillo</w:t>
      </w:r>
      <w:proofErr w:type="spellEnd"/>
      <w:r w:rsidR="003C2AC6" w:rsidRPr="009F337B">
        <w:rPr>
          <w:i w:val="0"/>
          <w:szCs w:val="20"/>
          <w:lang w:val="en-US"/>
        </w:rPr>
        <w:t xml:space="preserve"> Soto de León (</w:t>
      </w:r>
      <w:r w:rsidR="0010522A" w:rsidRPr="009F337B">
        <w:rPr>
          <w:i w:val="0"/>
          <w:szCs w:val="20"/>
          <w:lang w:val="en-US"/>
        </w:rPr>
        <w:t>deceased</w:t>
      </w:r>
      <w:r w:rsidR="003C2AC6" w:rsidRPr="009F337B">
        <w:rPr>
          <w:i w:val="0"/>
          <w:szCs w:val="20"/>
          <w:lang w:val="en-US"/>
        </w:rPr>
        <w:t xml:space="preserve">), </w:t>
      </w:r>
      <w:r w:rsidR="00BD15B0" w:rsidRPr="009F337B">
        <w:rPr>
          <w:i w:val="0"/>
          <w:szCs w:val="20"/>
          <w:lang w:val="en-US"/>
        </w:rPr>
        <w:t xml:space="preserve">her </w:t>
      </w:r>
      <w:r w:rsidR="0010522A" w:rsidRPr="009F337B">
        <w:rPr>
          <w:i w:val="0"/>
          <w:szCs w:val="20"/>
          <w:lang w:val="en-US"/>
        </w:rPr>
        <w:t>daughter</w:t>
      </w:r>
      <w:r w:rsidR="003C2AC6" w:rsidRPr="009F337B">
        <w:rPr>
          <w:i w:val="0"/>
          <w:szCs w:val="20"/>
          <w:lang w:val="en-US"/>
        </w:rPr>
        <w:t>s Karla de Jesús Coronado Mérida</w:t>
      </w:r>
      <w:r w:rsidR="003C46A3" w:rsidRPr="009F337B">
        <w:rPr>
          <w:i w:val="0"/>
          <w:szCs w:val="20"/>
          <w:lang w:val="en-US"/>
        </w:rPr>
        <w:t xml:space="preserve"> and </w:t>
      </w:r>
      <w:r w:rsidR="003C2AC6" w:rsidRPr="009F337B">
        <w:rPr>
          <w:i w:val="0"/>
          <w:szCs w:val="20"/>
          <w:lang w:val="en-US"/>
        </w:rPr>
        <w:t>Benita del Rosario Soto Mérida</w:t>
      </w:r>
      <w:r w:rsidR="003C46A3" w:rsidRPr="009F337B">
        <w:rPr>
          <w:i w:val="0"/>
          <w:szCs w:val="20"/>
          <w:lang w:val="en-US"/>
        </w:rPr>
        <w:t xml:space="preserve"> and </w:t>
      </w:r>
      <w:r w:rsidR="00BD15B0" w:rsidRPr="009F337B">
        <w:rPr>
          <w:i w:val="0"/>
          <w:szCs w:val="20"/>
          <w:lang w:val="en-US"/>
        </w:rPr>
        <w:t>her</w:t>
      </w:r>
      <w:r w:rsidR="003C2AC6" w:rsidRPr="009F337B">
        <w:rPr>
          <w:i w:val="0"/>
          <w:szCs w:val="20"/>
          <w:lang w:val="en-US"/>
        </w:rPr>
        <w:t xml:space="preserve"> </w:t>
      </w:r>
      <w:r w:rsidR="0010522A" w:rsidRPr="009F337B">
        <w:rPr>
          <w:i w:val="0"/>
          <w:szCs w:val="20"/>
          <w:lang w:val="en-US"/>
        </w:rPr>
        <w:t>son</w:t>
      </w:r>
      <w:r w:rsidR="003C2AC6" w:rsidRPr="009F337B">
        <w:rPr>
          <w:i w:val="0"/>
          <w:szCs w:val="20"/>
          <w:lang w:val="en-US"/>
        </w:rPr>
        <w:t xml:space="preserve"> Erick Alexander Maldonado Mérida, </w:t>
      </w:r>
      <w:r w:rsidR="00BD15B0" w:rsidRPr="009F337B">
        <w:rPr>
          <w:i w:val="0"/>
          <w:szCs w:val="20"/>
          <w:lang w:val="en-US"/>
        </w:rPr>
        <w:t>her</w:t>
      </w:r>
      <w:r w:rsidR="003C2AC6" w:rsidRPr="009F337B">
        <w:rPr>
          <w:i w:val="0"/>
          <w:szCs w:val="20"/>
          <w:lang w:val="en-US"/>
        </w:rPr>
        <w:t xml:space="preserve"> </w:t>
      </w:r>
      <w:r w:rsidR="0010522A" w:rsidRPr="009F337B">
        <w:rPr>
          <w:i w:val="0"/>
          <w:szCs w:val="20"/>
          <w:lang w:val="en-US"/>
        </w:rPr>
        <w:t>father</w:t>
      </w:r>
      <w:r w:rsidR="003C2AC6" w:rsidRPr="009F337B">
        <w:rPr>
          <w:i w:val="0"/>
          <w:szCs w:val="20"/>
          <w:lang w:val="en-US"/>
        </w:rPr>
        <w:t xml:space="preserve"> </w:t>
      </w:r>
      <w:proofErr w:type="spellStart"/>
      <w:r w:rsidR="003C2AC6" w:rsidRPr="009F337B">
        <w:rPr>
          <w:i w:val="0"/>
          <w:szCs w:val="20"/>
          <w:lang w:val="en-US"/>
        </w:rPr>
        <w:t>Sixto</w:t>
      </w:r>
      <w:proofErr w:type="spellEnd"/>
      <w:r w:rsidR="003C2AC6" w:rsidRPr="009F337B">
        <w:rPr>
          <w:i w:val="0"/>
          <w:szCs w:val="20"/>
          <w:lang w:val="en-US"/>
        </w:rPr>
        <w:t xml:space="preserve"> Mérida Mendoza (</w:t>
      </w:r>
      <w:r w:rsidR="0010522A" w:rsidRPr="009F337B">
        <w:rPr>
          <w:i w:val="0"/>
          <w:szCs w:val="20"/>
          <w:lang w:val="en-US"/>
        </w:rPr>
        <w:t>deceased</w:t>
      </w:r>
      <w:r w:rsidR="003C2AC6" w:rsidRPr="009F337B">
        <w:rPr>
          <w:i w:val="0"/>
          <w:szCs w:val="20"/>
          <w:lang w:val="en-US"/>
        </w:rPr>
        <w:t xml:space="preserve">), </w:t>
      </w:r>
      <w:r w:rsidR="00BD15B0" w:rsidRPr="009F337B">
        <w:rPr>
          <w:i w:val="0"/>
          <w:szCs w:val="20"/>
          <w:lang w:val="en-US"/>
        </w:rPr>
        <w:t>her</w:t>
      </w:r>
      <w:r w:rsidR="003C2AC6" w:rsidRPr="009F337B">
        <w:rPr>
          <w:i w:val="0"/>
          <w:szCs w:val="20"/>
          <w:lang w:val="en-US"/>
        </w:rPr>
        <w:t xml:space="preserve"> </w:t>
      </w:r>
      <w:r w:rsidR="0010522A" w:rsidRPr="009F337B">
        <w:rPr>
          <w:i w:val="0"/>
          <w:szCs w:val="20"/>
          <w:lang w:val="en-US"/>
        </w:rPr>
        <w:t>mother</w:t>
      </w:r>
      <w:r w:rsidR="003C2AC6" w:rsidRPr="009F337B">
        <w:rPr>
          <w:i w:val="0"/>
          <w:szCs w:val="20"/>
          <w:lang w:val="en-US"/>
        </w:rPr>
        <w:t xml:space="preserve"> Herminia Rodríguez </w:t>
      </w:r>
      <w:proofErr w:type="spellStart"/>
      <w:r w:rsidR="003C2AC6" w:rsidRPr="009F337B">
        <w:rPr>
          <w:i w:val="0"/>
          <w:szCs w:val="20"/>
          <w:lang w:val="en-US"/>
        </w:rPr>
        <w:t>Coculista</w:t>
      </w:r>
      <w:proofErr w:type="spellEnd"/>
      <w:r w:rsidR="003C2AC6" w:rsidRPr="009F337B">
        <w:rPr>
          <w:i w:val="0"/>
          <w:szCs w:val="20"/>
          <w:lang w:val="en-US"/>
        </w:rPr>
        <w:t xml:space="preserve">, </w:t>
      </w:r>
      <w:r w:rsidR="00BD15B0" w:rsidRPr="009F337B">
        <w:rPr>
          <w:i w:val="0"/>
          <w:szCs w:val="20"/>
          <w:lang w:val="en-US"/>
        </w:rPr>
        <w:t>her</w:t>
      </w:r>
      <w:r w:rsidR="003C2AC6" w:rsidRPr="009F337B">
        <w:rPr>
          <w:i w:val="0"/>
          <w:szCs w:val="20"/>
          <w:lang w:val="en-US"/>
        </w:rPr>
        <w:t xml:space="preserve"> </w:t>
      </w:r>
      <w:r w:rsidR="0010522A" w:rsidRPr="009F337B">
        <w:rPr>
          <w:i w:val="0"/>
          <w:szCs w:val="20"/>
          <w:lang w:val="en-US"/>
        </w:rPr>
        <w:t>sister</w:t>
      </w:r>
      <w:r w:rsidR="003C2AC6" w:rsidRPr="009F337B">
        <w:rPr>
          <w:i w:val="0"/>
          <w:szCs w:val="20"/>
          <w:lang w:val="en-US"/>
        </w:rPr>
        <w:t xml:space="preserve"> Mercedes Patricia Mérida Rodríguez,</w:t>
      </w:r>
      <w:r w:rsidR="003C46A3" w:rsidRPr="009F337B">
        <w:rPr>
          <w:i w:val="0"/>
          <w:szCs w:val="20"/>
          <w:lang w:val="en-US"/>
        </w:rPr>
        <w:t xml:space="preserve"> and </w:t>
      </w:r>
      <w:r w:rsidR="00BD15B0" w:rsidRPr="009F337B">
        <w:rPr>
          <w:i w:val="0"/>
          <w:szCs w:val="20"/>
          <w:lang w:val="en-US"/>
        </w:rPr>
        <w:t>her current</w:t>
      </w:r>
      <w:r w:rsidR="003C2AC6" w:rsidRPr="009F337B">
        <w:rPr>
          <w:i w:val="0"/>
          <w:szCs w:val="20"/>
          <w:lang w:val="en-US"/>
        </w:rPr>
        <w:t xml:space="preserve"> </w:t>
      </w:r>
      <w:r w:rsidR="0010522A" w:rsidRPr="009F337B">
        <w:rPr>
          <w:i w:val="0"/>
          <w:szCs w:val="20"/>
          <w:lang w:val="en-US"/>
        </w:rPr>
        <w:t>partner</w:t>
      </w:r>
      <w:r w:rsidR="003C2AC6" w:rsidRPr="009F337B">
        <w:rPr>
          <w:i w:val="0"/>
          <w:szCs w:val="20"/>
          <w:lang w:val="en-US"/>
        </w:rPr>
        <w:t xml:space="preserve"> </w:t>
      </w:r>
      <w:proofErr w:type="spellStart"/>
      <w:r w:rsidR="003C2AC6" w:rsidRPr="009F337B">
        <w:rPr>
          <w:i w:val="0"/>
          <w:szCs w:val="20"/>
          <w:lang w:val="en-US"/>
        </w:rPr>
        <w:t>Alejo</w:t>
      </w:r>
      <w:proofErr w:type="spellEnd"/>
      <w:r w:rsidR="003C2AC6" w:rsidRPr="009F337B">
        <w:rPr>
          <w:i w:val="0"/>
          <w:szCs w:val="20"/>
          <w:lang w:val="en-US"/>
        </w:rPr>
        <w:t xml:space="preserve"> </w:t>
      </w:r>
      <w:proofErr w:type="spellStart"/>
      <w:r w:rsidR="003C2AC6" w:rsidRPr="009F337B">
        <w:rPr>
          <w:i w:val="0"/>
          <w:szCs w:val="20"/>
          <w:lang w:val="en-US"/>
        </w:rPr>
        <w:t>Ranferí</w:t>
      </w:r>
      <w:proofErr w:type="spellEnd"/>
      <w:r w:rsidR="003C2AC6" w:rsidRPr="009F337B">
        <w:rPr>
          <w:i w:val="0"/>
          <w:szCs w:val="20"/>
          <w:lang w:val="en-US"/>
        </w:rPr>
        <w:t xml:space="preserve"> Maldonado </w:t>
      </w:r>
      <w:proofErr w:type="spellStart"/>
      <w:r w:rsidR="003C2AC6" w:rsidRPr="009F337B">
        <w:rPr>
          <w:i w:val="0"/>
          <w:szCs w:val="20"/>
          <w:lang w:val="en-US"/>
        </w:rPr>
        <w:t>Oxlaj</w:t>
      </w:r>
      <w:proofErr w:type="spellEnd"/>
      <w:r w:rsidR="003C2AC6" w:rsidRPr="009F337B">
        <w:rPr>
          <w:rStyle w:val="Refdenotaalpie"/>
          <w:i w:val="0"/>
          <w:lang w:val="en-US"/>
        </w:rPr>
        <w:footnoteReference w:id="331"/>
      </w:r>
      <w:r w:rsidR="003C2AC6" w:rsidRPr="009F337B">
        <w:rPr>
          <w:i w:val="0"/>
          <w:szCs w:val="20"/>
          <w:lang w:val="en-US"/>
        </w:rPr>
        <w:t>.</w:t>
      </w:r>
    </w:p>
    <w:p w14:paraId="715DBBEE" w14:textId="77777777" w:rsidR="003C2AC6" w:rsidRPr="009F337B" w:rsidRDefault="003C2AC6" w:rsidP="003C2AC6">
      <w:pPr>
        <w:pStyle w:val="PrrafodeSentencia"/>
        <w:rPr>
          <w:lang w:val="en-US"/>
        </w:rPr>
      </w:pPr>
    </w:p>
    <w:p w14:paraId="33FF806A" w14:textId="77777777" w:rsidR="003C2AC6" w:rsidRPr="009F337B" w:rsidRDefault="003C2AC6" w:rsidP="003C2AC6">
      <w:pPr>
        <w:pStyle w:val="PrrafodeSentencia"/>
        <w:rPr>
          <w:lang w:val="en-US"/>
        </w:rPr>
      </w:pPr>
      <w:r w:rsidRPr="009F337B">
        <w:rPr>
          <w:lang w:val="en-US"/>
        </w:rPr>
        <w:tab/>
        <w:t>B.21. Darinel López Montes de Oca</w:t>
      </w:r>
    </w:p>
    <w:p w14:paraId="6BEE2C03" w14:textId="77777777" w:rsidR="003C2AC6" w:rsidRPr="009F337B" w:rsidRDefault="003C2AC6" w:rsidP="003C2AC6">
      <w:pPr>
        <w:pStyle w:val="PrrafodeSentencia"/>
        <w:rPr>
          <w:lang w:val="en-US"/>
        </w:rPr>
      </w:pPr>
    </w:p>
    <w:p w14:paraId="2B1B5033" w14:textId="1B1CA603" w:rsidR="003C2AC6" w:rsidRPr="009F337B" w:rsidRDefault="007F1AEB" w:rsidP="00593E37">
      <w:pPr>
        <w:pStyle w:val="Estilo1"/>
        <w:numPr>
          <w:ilvl w:val="0"/>
          <w:numId w:val="5"/>
        </w:numPr>
        <w:tabs>
          <w:tab w:val="left" w:pos="709"/>
          <w:tab w:val="left" w:pos="1134"/>
        </w:tabs>
        <w:spacing w:after="0"/>
        <w:ind w:left="0" w:right="-4" w:firstLine="0"/>
        <w:rPr>
          <w:i w:val="0"/>
          <w:szCs w:val="20"/>
          <w:lang w:val="en-US"/>
        </w:rPr>
      </w:pPr>
      <w:r w:rsidRPr="009F337B">
        <w:rPr>
          <w:i w:val="0"/>
          <w:szCs w:val="20"/>
          <w:lang w:val="en-US"/>
        </w:rPr>
        <w:t>Mr.</w:t>
      </w:r>
      <w:r w:rsidR="003C2AC6" w:rsidRPr="009F337B">
        <w:rPr>
          <w:i w:val="0"/>
          <w:szCs w:val="20"/>
          <w:lang w:val="en-US"/>
        </w:rPr>
        <w:t xml:space="preserve"> López Montes de </w:t>
      </w:r>
      <w:proofErr w:type="spellStart"/>
      <w:r w:rsidR="003C2AC6" w:rsidRPr="009F337B">
        <w:rPr>
          <w:i w:val="0"/>
          <w:szCs w:val="20"/>
          <w:lang w:val="en-US"/>
        </w:rPr>
        <w:t>Oca</w:t>
      </w:r>
      <w:proofErr w:type="spellEnd"/>
      <w:r w:rsidR="003C2AC6" w:rsidRPr="009F337B">
        <w:rPr>
          <w:i w:val="0"/>
          <w:szCs w:val="20"/>
          <w:lang w:val="en-US"/>
        </w:rPr>
        <w:t xml:space="preserve"> </w:t>
      </w:r>
      <w:r w:rsidR="0084040D" w:rsidRPr="009F337B">
        <w:rPr>
          <w:i w:val="0"/>
          <w:szCs w:val="20"/>
          <w:lang w:val="en-US"/>
        </w:rPr>
        <w:t>was born on</w:t>
      </w:r>
      <w:r w:rsidR="003C2AC6" w:rsidRPr="009F337B">
        <w:rPr>
          <w:i w:val="0"/>
          <w:szCs w:val="20"/>
          <w:lang w:val="en-US"/>
        </w:rPr>
        <w:t xml:space="preserve"> </w:t>
      </w:r>
      <w:r w:rsidR="00BD15B0" w:rsidRPr="009F337B">
        <w:rPr>
          <w:i w:val="0"/>
          <w:szCs w:val="20"/>
          <w:lang w:val="en-US"/>
        </w:rPr>
        <w:t>July 14,</w:t>
      </w:r>
      <w:r w:rsidR="003C2AC6" w:rsidRPr="009F337B">
        <w:rPr>
          <w:i w:val="0"/>
          <w:szCs w:val="20"/>
          <w:lang w:val="en-US"/>
        </w:rPr>
        <w:t xml:space="preserve"> 1964</w:t>
      </w:r>
      <w:r w:rsidR="00BD15B0" w:rsidRPr="009F337B">
        <w:rPr>
          <w:i w:val="0"/>
          <w:szCs w:val="20"/>
          <w:lang w:val="en-US"/>
        </w:rPr>
        <w:t>,</w:t>
      </w:r>
      <w:r w:rsidR="003C2AC6" w:rsidRPr="009F337B">
        <w:rPr>
          <w:i w:val="0"/>
          <w:szCs w:val="20"/>
          <w:lang w:val="en-US"/>
        </w:rPr>
        <w:t xml:space="preserve"> </w:t>
      </w:r>
      <w:r w:rsidR="00A758A5" w:rsidRPr="009F337B">
        <w:rPr>
          <w:i w:val="0"/>
          <w:szCs w:val="20"/>
          <w:lang w:val="en-US"/>
        </w:rPr>
        <w:t>in the municipality</w:t>
      </w:r>
      <w:r w:rsidR="00D85CA7" w:rsidRPr="009F337B">
        <w:rPr>
          <w:i w:val="0"/>
          <w:szCs w:val="20"/>
          <w:lang w:val="en-US"/>
        </w:rPr>
        <w:t xml:space="preserve"> of</w:t>
      </w:r>
      <w:r w:rsidR="003C2AC6" w:rsidRPr="009F337B">
        <w:rPr>
          <w:i w:val="0"/>
          <w:szCs w:val="20"/>
          <w:lang w:val="en-US"/>
        </w:rPr>
        <w:t xml:space="preserve"> </w:t>
      </w:r>
      <w:proofErr w:type="spellStart"/>
      <w:r w:rsidR="003C2AC6" w:rsidRPr="009F337B">
        <w:rPr>
          <w:i w:val="0"/>
          <w:szCs w:val="20"/>
          <w:lang w:val="en-US"/>
        </w:rPr>
        <w:t>Ocos</w:t>
      </w:r>
      <w:proofErr w:type="spellEnd"/>
      <w:r w:rsidR="003C2AC6" w:rsidRPr="009F337B">
        <w:rPr>
          <w:i w:val="0"/>
          <w:szCs w:val="20"/>
          <w:lang w:val="en-US"/>
        </w:rPr>
        <w:t xml:space="preserve">, </w:t>
      </w:r>
      <w:r w:rsidR="003E1304" w:rsidRPr="009F337B">
        <w:rPr>
          <w:i w:val="0"/>
          <w:szCs w:val="20"/>
          <w:lang w:val="en-US"/>
        </w:rPr>
        <w:t>department of</w:t>
      </w:r>
      <w:r w:rsidR="003C2AC6" w:rsidRPr="009F337B">
        <w:rPr>
          <w:i w:val="0"/>
          <w:szCs w:val="20"/>
          <w:lang w:val="en-US"/>
        </w:rPr>
        <w:t xml:space="preserve"> San Marcos, Guatemala. </w:t>
      </w:r>
      <w:r w:rsidR="00BD15B0" w:rsidRPr="009F337B">
        <w:rPr>
          <w:i w:val="0"/>
          <w:szCs w:val="20"/>
          <w:lang w:val="en-US"/>
        </w:rPr>
        <w:t>He l</w:t>
      </w:r>
      <w:r w:rsidR="00D85CA7" w:rsidRPr="009F337B">
        <w:rPr>
          <w:i w:val="0"/>
          <w:szCs w:val="20"/>
          <w:lang w:val="en-US"/>
        </w:rPr>
        <w:t>ives in</w:t>
      </w:r>
      <w:r w:rsidR="003C2AC6" w:rsidRPr="009F337B">
        <w:rPr>
          <w:i w:val="0"/>
          <w:szCs w:val="20"/>
          <w:lang w:val="en-US"/>
        </w:rPr>
        <w:t xml:space="preserve"> </w:t>
      </w:r>
      <w:r w:rsidR="00BD15B0" w:rsidRPr="009F337B">
        <w:rPr>
          <w:i w:val="0"/>
          <w:szCs w:val="20"/>
          <w:lang w:val="en-US"/>
        </w:rPr>
        <w:t>the village of</w:t>
      </w:r>
      <w:r w:rsidR="003C2AC6" w:rsidRPr="009F337B">
        <w:rPr>
          <w:i w:val="0"/>
          <w:szCs w:val="20"/>
          <w:lang w:val="en-US"/>
        </w:rPr>
        <w:t xml:space="preserve"> Dolores </w:t>
      </w:r>
      <w:proofErr w:type="spellStart"/>
      <w:r w:rsidR="003C2AC6" w:rsidRPr="009F337B">
        <w:rPr>
          <w:i w:val="0"/>
          <w:szCs w:val="20"/>
          <w:lang w:val="en-US"/>
        </w:rPr>
        <w:t>Ocos</w:t>
      </w:r>
      <w:proofErr w:type="spellEnd"/>
      <w:r w:rsidR="003C2AC6" w:rsidRPr="009F337B">
        <w:rPr>
          <w:i w:val="0"/>
          <w:szCs w:val="20"/>
          <w:lang w:val="en-US"/>
        </w:rPr>
        <w:t xml:space="preserve"> San Marcos, Guatemala.</w:t>
      </w:r>
      <w:r w:rsidR="00F87540" w:rsidRPr="009F337B">
        <w:rPr>
          <w:i w:val="0"/>
          <w:szCs w:val="20"/>
          <w:lang w:val="en-US"/>
        </w:rPr>
        <w:t xml:space="preserve"> </w:t>
      </w:r>
      <w:r w:rsidR="00BD15B0" w:rsidRPr="009F337B">
        <w:rPr>
          <w:i w:val="0"/>
          <w:szCs w:val="20"/>
          <w:lang w:val="en-US"/>
        </w:rPr>
        <w:t xml:space="preserve">He completed fifth year of secondary </w:t>
      </w:r>
      <w:r w:rsidR="0026068E" w:rsidRPr="009F337B">
        <w:rPr>
          <w:i w:val="0"/>
          <w:szCs w:val="20"/>
          <w:lang w:val="en-US"/>
        </w:rPr>
        <w:t>education</w:t>
      </w:r>
      <w:r w:rsidR="00BD15B0" w:rsidRPr="009F337B">
        <w:rPr>
          <w:i w:val="0"/>
          <w:szCs w:val="20"/>
          <w:lang w:val="en-US"/>
        </w:rPr>
        <w:t>. Before his diagnosis, he sold plantains, and now he works selling shoes, clothes, perfumery products, snacks</w:t>
      </w:r>
      <w:r w:rsidR="007D6A85" w:rsidRPr="009F337B">
        <w:rPr>
          <w:i w:val="0"/>
          <w:szCs w:val="20"/>
          <w:lang w:val="en-US"/>
        </w:rPr>
        <w:t xml:space="preserve"> and street food</w:t>
      </w:r>
      <w:r w:rsidR="00BD15B0" w:rsidRPr="009F337B">
        <w:rPr>
          <w:i w:val="0"/>
          <w:szCs w:val="20"/>
          <w:lang w:val="en-US"/>
        </w:rPr>
        <w:t xml:space="preserve">. </w:t>
      </w:r>
      <w:r w:rsidRPr="009F337B">
        <w:rPr>
          <w:i w:val="0"/>
          <w:szCs w:val="20"/>
          <w:lang w:val="en-US"/>
        </w:rPr>
        <w:t xml:space="preserve">He </w:t>
      </w:r>
      <w:r w:rsidR="000C0BF0" w:rsidRPr="009F337B">
        <w:rPr>
          <w:i w:val="0"/>
          <w:szCs w:val="20"/>
          <w:lang w:val="en-US"/>
        </w:rPr>
        <w:t>was diagnosed in</w:t>
      </w:r>
      <w:r w:rsidR="003C2AC6" w:rsidRPr="009F337B">
        <w:rPr>
          <w:i w:val="0"/>
          <w:szCs w:val="20"/>
          <w:lang w:val="en-US"/>
        </w:rPr>
        <w:t xml:space="preserve"> 2002 </w:t>
      </w:r>
      <w:r w:rsidR="00BD15B0" w:rsidRPr="009F337B">
        <w:rPr>
          <w:i w:val="0"/>
          <w:szCs w:val="20"/>
          <w:lang w:val="en-US"/>
        </w:rPr>
        <w:t>by MSF’s</w:t>
      </w:r>
      <w:r w:rsidR="003C2AC6" w:rsidRPr="009F337B">
        <w:rPr>
          <w:i w:val="0"/>
          <w:szCs w:val="20"/>
          <w:lang w:val="en-US"/>
        </w:rPr>
        <w:t xml:space="preserve"> </w:t>
      </w:r>
      <w:r w:rsidR="00AE674B" w:rsidRPr="009F337B">
        <w:rPr>
          <w:szCs w:val="20"/>
          <w:lang w:val="en-US"/>
        </w:rPr>
        <w:t>Proyecto Vida</w:t>
      </w:r>
      <w:r w:rsidR="003C46A3" w:rsidRPr="009F337B">
        <w:rPr>
          <w:i w:val="0"/>
          <w:szCs w:val="20"/>
          <w:lang w:val="en-US"/>
        </w:rPr>
        <w:t xml:space="preserve"> and </w:t>
      </w:r>
      <w:r w:rsidR="00BD15B0" w:rsidRPr="009F337B">
        <w:rPr>
          <w:i w:val="0"/>
          <w:szCs w:val="20"/>
          <w:lang w:val="en-US"/>
        </w:rPr>
        <w:t>began</w:t>
      </w:r>
      <w:r w:rsidR="003C2AC6" w:rsidRPr="009F337B">
        <w:rPr>
          <w:i w:val="0"/>
          <w:szCs w:val="20"/>
          <w:lang w:val="en-US"/>
        </w:rPr>
        <w:t xml:space="preserve"> </w:t>
      </w:r>
      <w:r w:rsidR="00FE1EFF" w:rsidRPr="009F337B">
        <w:rPr>
          <w:i w:val="0"/>
          <w:szCs w:val="20"/>
          <w:lang w:val="en-US"/>
        </w:rPr>
        <w:t>antiretroviral treatment</w:t>
      </w:r>
      <w:r w:rsidR="003C2AC6" w:rsidRPr="009F337B">
        <w:rPr>
          <w:i w:val="0"/>
          <w:szCs w:val="20"/>
          <w:lang w:val="en-US"/>
        </w:rPr>
        <w:t xml:space="preserve"> </w:t>
      </w:r>
      <w:r w:rsidR="00BD15B0" w:rsidRPr="009F337B">
        <w:rPr>
          <w:i w:val="0"/>
          <w:szCs w:val="20"/>
          <w:lang w:val="en-US"/>
        </w:rPr>
        <w:t>in</w:t>
      </w:r>
      <w:r w:rsidR="003C2AC6" w:rsidRPr="009F337B">
        <w:rPr>
          <w:i w:val="0"/>
          <w:szCs w:val="20"/>
          <w:lang w:val="en-US"/>
        </w:rPr>
        <w:t xml:space="preserve"> 2004. </w:t>
      </w:r>
      <w:r w:rsidR="00BD15B0" w:rsidRPr="009F337B">
        <w:rPr>
          <w:i w:val="0"/>
          <w:szCs w:val="20"/>
          <w:lang w:val="en-US"/>
        </w:rPr>
        <w:t xml:space="preserve">Later, he was transferred to the </w:t>
      </w:r>
      <w:proofErr w:type="spellStart"/>
      <w:r w:rsidR="005F10B1" w:rsidRPr="009F337B">
        <w:rPr>
          <w:i w:val="0"/>
          <w:szCs w:val="20"/>
          <w:lang w:val="en-US"/>
        </w:rPr>
        <w:t>Coatepeque</w:t>
      </w:r>
      <w:proofErr w:type="spellEnd"/>
      <w:r w:rsidR="005F10B1" w:rsidRPr="009F337B">
        <w:rPr>
          <w:i w:val="0"/>
          <w:szCs w:val="20"/>
          <w:lang w:val="en-US"/>
        </w:rPr>
        <w:t xml:space="preserve"> National Hospital</w:t>
      </w:r>
      <w:r w:rsidR="003C46A3" w:rsidRPr="009F337B">
        <w:rPr>
          <w:i w:val="0"/>
          <w:szCs w:val="20"/>
          <w:lang w:val="en-US"/>
        </w:rPr>
        <w:t xml:space="preserve"> and </w:t>
      </w:r>
      <w:r w:rsidR="00BD15B0" w:rsidRPr="009F337B">
        <w:rPr>
          <w:i w:val="0"/>
          <w:szCs w:val="20"/>
          <w:lang w:val="en-US"/>
        </w:rPr>
        <w:t>received treatment from MSF’s</w:t>
      </w:r>
      <w:r w:rsidR="00F87540" w:rsidRPr="009F337B">
        <w:rPr>
          <w:i w:val="0"/>
          <w:szCs w:val="20"/>
          <w:lang w:val="en-US"/>
        </w:rPr>
        <w:t xml:space="preserve"> </w:t>
      </w:r>
      <w:r w:rsidR="00AE674B" w:rsidRPr="009F337B">
        <w:rPr>
          <w:szCs w:val="20"/>
          <w:lang w:val="en-US"/>
        </w:rPr>
        <w:t>Proyecto Vida</w:t>
      </w:r>
      <w:r w:rsidR="003C2AC6" w:rsidRPr="009F337B">
        <w:rPr>
          <w:i w:val="0"/>
          <w:szCs w:val="20"/>
          <w:lang w:val="en-US"/>
        </w:rPr>
        <w:t xml:space="preserve">. </w:t>
      </w:r>
      <w:r w:rsidR="00BD15B0" w:rsidRPr="009F337B">
        <w:rPr>
          <w:i w:val="0"/>
          <w:szCs w:val="20"/>
          <w:lang w:val="en-US"/>
        </w:rPr>
        <w:t>He indicated that there were insufficient medicines in</w:t>
      </w:r>
      <w:r w:rsidR="003C2AC6" w:rsidRPr="009F337B">
        <w:rPr>
          <w:i w:val="0"/>
          <w:szCs w:val="20"/>
          <w:lang w:val="en-US"/>
        </w:rPr>
        <w:t xml:space="preserve"> </w:t>
      </w:r>
      <w:r w:rsidR="003B5D80" w:rsidRPr="009F337B">
        <w:rPr>
          <w:i w:val="0"/>
          <w:szCs w:val="20"/>
          <w:lang w:val="en-US"/>
        </w:rPr>
        <w:t xml:space="preserve">the </w:t>
      </w:r>
      <w:proofErr w:type="spellStart"/>
      <w:r w:rsidR="003B5D80" w:rsidRPr="009F337B">
        <w:rPr>
          <w:i w:val="0"/>
          <w:szCs w:val="20"/>
          <w:lang w:val="en-US"/>
        </w:rPr>
        <w:t>Coatepeque</w:t>
      </w:r>
      <w:proofErr w:type="spellEnd"/>
      <w:r w:rsidR="003B5D80" w:rsidRPr="009F337B">
        <w:rPr>
          <w:i w:val="0"/>
          <w:szCs w:val="20"/>
          <w:lang w:val="en-US"/>
        </w:rPr>
        <w:t xml:space="preserve"> Hospital</w:t>
      </w:r>
      <w:r w:rsidR="003C2AC6" w:rsidRPr="009F337B">
        <w:rPr>
          <w:i w:val="0"/>
          <w:szCs w:val="20"/>
          <w:lang w:val="en-US"/>
        </w:rPr>
        <w:t xml:space="preserve"> </w:t>
      </w:r>
      <w:r w:rsidR="00BD15B0" w:rsidRPr="009F337B">
        <w:rPr>
          <w:i w:val="0"/>
          <w:szCs w:val="20"/>
          <w:lang w:val="en-US"/>
        </w:rPr>
        <w:t xml:space="preserve">and CD4 counts, </w:t>
      </w:r>
      <w:r w:rsidR="00CC4867" w:rsidRPr="009F337B">
        <w:rPr>
          <w:i w:val="0"/>
          <w:szCs w:val="20"/>
          <w:lang w:val="en-US"/>
        </w:rPr>
        <w:t>viral load</w:t>
      </w:r>
      <w:r w:rsidR="003C46A3" w:rsidRPr="009F337B">
        <w:rPr>
          <w:i w:val="0"/>
          <w:szCs w:val="20"/>
          <w:lang w:val="en-US"/>
        </w:rPr>
        <w:t xml:space="preserve"> and </w:t>
      </w:r>
      <w:r w:rsidR="003B5D80" w:rsidRPr="009F337B">
        <w:rPr>
          <w:i w:val="0"/>
          <w:szCs w:val="20"/>
          <w:lang w:val="en-US"/>
        </w:rPr>
        <w:t>genotype</w:t>
      </w:r>
      <w:r w:rsidR="00BD15B0" w:rsidRPr="009F337B">
        <w:rPr>
          <w:i w:val="0"/>
          <w:szCs w:val="20"/>
          <w:lang w:val="en-US"/>
        </w:rPr>
        <w:t xml:space="preserve"> tests were performed irregularly; as a result, he contracted </w:t>
      </w:r>
      <w:r w:rsidR="0081563D" w:rsidRPr="009F337B">
        <w:rPr>
          <w:i w:val="0"/>
          <w:szCs w:val="20"/>
          <w:lang w:val="en-US"/>
        </w:rPr>
        <w:t>opportunistic diseases</w:t>
      </w:r>
      <w:r w:rsidR="003C2AC6" w:rsidRPr="009F337B">
        <w:rPr>
          <w:i w:val="0"/>
          <w:szCs w:val="20"/>
          <w:lang w:val="en-US"/>
        </w:rPr>
        <w:t xml:space="preserve">. </w:t>
      </w:r>
      <w:r w:rsidR="00BD15B0" w:rsidRPr="009F337B">
        <w:rPr>
          <w:i w:val="0"/>
          <w:szCs w:val="20"/>
          <w:lang w:val="en-US"/>
        </w:rPr>
        <w:t>He h</w:t>
      </w:r>
      <w:r w:rsidR="00CB1D32" w:rsidRPr="009F337B">
        <w:rPr>
          <w:i w:val="0"/>
          <w:szCs w:val="20"/>
          <w:lang w:val="en-US"/>
        </w:rPr>
        <w:t>a</w:t>
      </w:r>
      <w:r w:rsidR="0026068E" w:rsidRPr="009F337B">
        <w:rPr>
          <w:i w:val="0"/>
          <w:szCs w:val="20"/>
          <w:lang w:val="en-US"/>
        </w:rPr>
        <w:t>s</w:t>
      </w:r>
      <w:r w:rsidR="00CB1D32" w:rsidRPr="009F337B">
        <w:rPr>
          <w:i w:val="0"/>
          <w:szCs w:val="20"/>
          <w:lang w:val="en-US"/>
        </w:rPr>
        <w:t xml:space="preserve"> suffered from</w:t>
      </w:r>
      <w:r w:rsidR="003C2AC6" w:rsidRPr="009F337B">
        <w:rPr>
          <w:i w:val="0"/>
          <w:szCs w:val="20"/>
          <w:lang w:val="en-US"/>
        </w:rPr>
        <w:t xml:space="preserve"> </w:t>
      </w:r>
      <w:r w:rsidR="00BD15B0" w:rsidRPr="009F337B">
        <w:rPr>
          <w:i w:val="0"/>
          <w:szCs w:val="20"/>
          <w:lang w:val="en-US"/>
        </w:rPr>
        <w:t xml:space="preserve">skin allergies, chronic </w:t>
      </w:r>
      <w:r w:rsidR="00DD7C07" w:rsidRPr="009F337B">
        <w:rPr>
          <w:i w:val="0"/>
          <w:szCs w:val="20"/>
          <w:lang w:val="en-US"/>
        </w:rPr>
        <w:t>malnutrition</w:t>
      </w:r>
      <w:r w:rsidR="003C2AC6" w:rsidRPr="009F337B">
        <w:rPr>
          <w:i w:val="0"/>
          <w:szCs w:val="20"/>
          <w:lang w:val="en-US"/>
        </w:rPr>
        <w:t xml:space="preserve">, anemia </w:t>
      </w:r>
      <w:r w:rsidR="00BD15B0" w:rsidRPr="009F337B">
        <w:rPr>
          <w:i w:val="0"/>
          <w:szCs w:val="20"/>
          <w:lang w:val="en-US"/>
        </w:rPr>
        <w:t>due to the</w:t>
      </w:r>
      <w:r w:rsidR="003C2AC6" w:rsidRPr="009F337B">
        <w:rPr>
          <w:i w:val="0"/>
          <w:szCs w:val="20"/>
          <w:lang w:val="en-US"/>
        </w:rPr>
        <w:t xml:space="preserve"> </w:t>
      </w:r>
      <w:r w:rsidR="00AC2165" w:rsidRPr="009F337B">
        <w:rPr>
          <w:i w:val="0"/>
          <w:szCs w:val="20"/>
          <w:lang w:val="en-US"/>
        </w:rPr>
        <w:t>antiretroviral drugs</w:t>
      </w:r>
      <w:r w:rsidR="00BD15B0" w:rsidRPr="009F337B">
        <w:rPr>
          <w:i w:val="0"/>
          <w:szCs w:val="20"/>
          <w:lang w:val="en-US"/>
        </w:rPr>
        <w:t>,</w:t>
      </w:r>
      <w:r w:rsidR="003C46A3" w:rsidRPr="009F337B">
        <w:rPr>
          <w:i w:val="0"/>
          <w:szCs w:val="20"/>
          <w:lang w:val="en-US"/>
        </w:rPr>
        <w:t xml:space="preserve"> and </w:t>
      </w:r>
      <w:r w:rsidR="00DD7C07" w:rsidRPr="009F337B">
        <w:rPr>
          <w:i w:val="0"/>
          <w:szCs w:val="20"/>
          <w:lang w:val="en-US"/>
        </w:rPr>
        <w:t>cryptococc</w:t>
      </w:r>
      <w:r w:rsidR="00F93469" w:rsidRPr="009F337B">
        <w:rPr>
          <w:i w:val="0"/>
          <w:szCs w:val="20"/>
          <w:lang w:val="en-US"/>
        </w:rPr>
        <w:t>al meningitis</w:t>
      </w:r>
      <w:r w:rsidR="003C2AC6" w:rsidRPr="009F337B">
        <w:rPr>
          <w:i w:val="0"/>
          <w:szCs w:val="20"/>
          <w:lang w:val="en-US"/>
        </w:rPr>
        <w:t>. H</w:t>
      </w:r>
      <w:r w:rsidR="00F93469" w:rsidRPr="009F337B">
        <w:rPr>
          <w:i w:val="0"/>
          <w:szCs w:val="20"/>
          <w:lang w:val="en-US"/>
        </w:rPr>
        <w:t xml:space="preserve">e has received psychological care. He only received nutritional support in MSF. He has not been provided with social support or family, community and home-based care. He has been </w:t>
      </w:r>
      <w:r w:rsidR="0026068E" w:rsidRPr="009F337B">
        <w:rPr>
          <w:i w:val="0"/>
          <w:szCs w:val="20"/>
          <w:lang w:val="en-US"/>
        </w:rPr>
        <w:t>given</w:t>
      </w:r>
      <w:r w:rsidR="00F93469" w:rsidRPr="009F337B">
        <w:rPr>
          <w:i w:val="0"/>
          <w:szCs w:val="20"/>
          <w:lang w:val="en-US"/>
        </w:rPr>
        <w:t xml:space="preserve"> condoms. </w:t>
      </w:r>
      <w:r w:rsidRPr="009F337B">
        <w:rPr>
          <w:i w:val="0"/>
          <w:szCs w:val="20"/>
          <w:lang w:val="en-US"/>
        </w:rPr>
        <w:t>Mr.</w:t>
      </w:r>
      <w:r w:rsidR="003C2AC6" w:rsidRPr="009F337B">
        <w:rPr>
          <w:i w:val="0"/>
          <w:szCs w:val="20"/>
          <w:lang w:val="en-US"/>
        </w:rPr>
        <w:t xml:space="preserve"> Montes de </w:t>
      </w:r>
      <w:proofErr w:type="spellStart"/>
      <w:r w:rsidR="003C2AC6" w:rsidRPr="009F337B">
        <w:rPr>
          <w:i w:val="0"/>
          <w:szCs w:val="20"/>
          <w:lang w:val="en-US"/>
        </w:rPr>
        <w:t>Oca</w:t>
      </w:r>
      <w:proofErr w:type="spellEnd"/>
      <w:r w:rsidR="003C2AC6" w:rsidRPr="009F337B">
        <w:rPr>
          <w:i w:val="0"/>
          <w:szCs w:val="20"/>
          <w:lang w:val="en-US"/>
        </w:rPr>
        <w:t xml:space="preserve"> a</w:t>
      </w:r>
      <w:r w:rsidR="00F93469" w:rsidRPr="009F337B">
        <w:rPr>
          <w:i w:val="0"/>
          <w:szCs w:val="20"/>
          <w:lang w:val="en-US"/>
        </w:rPr>
        <w:t>sserted that he has felt discriminated against by his family, his friends and society, and that he has to sell food in other villages, because if people know that he is a person living with HIV, they do not buy from him.</w:t>
      </w:r>
      <w:r w:rsidR="003C2AC6" w:rsidRPr="009F337B">
        <w:rPr>
          <w:rStyle w:val="Refdenotaalpie"/>
          <w:i w:val="0"/>
          <w:lang w:val="en-US"/>
        </w:rPr>
        <w:footnoteReference w:id="332"/>
      </w:r>
    </w:p>
    <w:p w14:paraId="51E07796" w14:textId="77777777" w:rsidR="003C2AC6" w:rsidRPr="009F337B" w:rsidRDefault="003C2AC6" w:rsidP="003C2AC6">
      <w:pPr>
        <w:pStyle w:val="Estilo1"/>
        <w:tabs>
          <w:tab w:val="left" w:pos="709"/>
          <w:tab w:val="left" w:pos="1134"/>
        </w:tabs>
        <w:spacing w:after="0"/>
        <w:ind w:left="0" w:right="-4" w:firstLine="0"/>
        <w:rPr>
          <w:i w:val="0"/>
          <w:szCs w:val="20"/>
          <w:lang w:val="en-US"/>
        </w:rPr>
      </w:pPr>
    </w:p>
    <w:p w14:paraId="2B58A523" w14:textId="57BC4240" w:rsidR="003C2AC6" w:rsidRPr="009F337B" w:rsidRDefault="00A758A5" w:rsidP="00593E37">
      <w:pPr>
        <w:pStyle w:val="Estilo1"/>
        <w:numPr>
          <w:ilvl w:val="0"/>
          <w:numId w:val="5"/>
        </w:numPr>
        <w:tabs>
          <w:tab w:val="left" w:pos="709"/>
          <w:tab w:val="left" w:pos="1134"/>
        </w:tabs>
        <w:spacing w:after="0"/>
        <w:ind w:left="0" w:right="-4" w:firstLine="0"/>
        <w:rPr>
          <w:i w:val="0"/>
          <w:szCs w:val="20"/>
          <w:lang w:val="en-US"/>
        </w:rPr>
      </w:pPr>
      <w:r w:rsidRPr="009F337B">
        <w:rPr>
          <w:i w:val="0"/>
          <w:szCs w:val="20"/>
          <w:lang w:val="en-US"/>
        </w:rPr>
        <w:t xml:space="preserve">His family unit consists of his </w:t>
      </w:r>
      <w:r w:rsidR="00F93469" w:rsidRPr="009F337B">
        <w:rPr>
          <w:i w:val="0"/>
          <w:szCs w:val="20"/>
          <w:lang w:val="en-US"/>
        </w:rPr>
        <w:t>cousin</w:t>
      </w:r>
      <w:r w:rsidR="003C2AC6" w:rsidRPr="009F337B">
        <w:rPr>
          <w:i w:val="0"/>
          <w:szCs w:val="20"/>
          <w:lang w:val="en-US"/>
        </w:rPr>
        <w:t xml:space="preserve"> Ana Castillo López</w:t>
      </w:r>
      <w:r w:rsidR="003C46A3" w:rsidRPr="009F337B">
        <w:rPr>
          <w:i w:val="0"/>
          <w:szCs w:val="20"/>
          <w:lang w:val="en-US"/>
        </w:rPr>
        <w:t xml:space="preserve"> and </w:t>
      </w:r>
      <w:r w:rsidR="00F93469" w:rsidRPr="009F337B">
        <w:rPr>
          <w:i w:val="0"/>
          <w:szCs w:val="20"/>
          <w:lang w:val="en-US"/>
        </w:rPr>
        <w:t>his</w:t>
      </w:r>
      <w:r w:rsidR="003C2AC6" w:rsidRPr="009F337B">
        <w:rPr>
          <w:i w:val="0"/>
          <w:szCs w:val="20"/>
          <w:lang w:val="en-US"/>
        </w:rPr>
        <w:t xml:space="preserve"> </w:t>
      </w:r>
      <w:r w:rsidR="0010522A" w:rsidRPr="009F337B">
        <w:rPr>
          <w:i w:val="0"/>
          <w:szCs w:val="20"/>
          <w:lang w:val="en-US"/>
        </w:rPr>
        <w:t>niece</w:t>
      </w:r>
      <w:r w:rsidR="003C2AC6" w:rsidRPr="009F337B">
        <w:rPr>
          <w:i w:val="0"/>
          <w:szCs w:val="20"/>
          <w:lang w:val="en-US"/>
        </w:rPr>
        <w:t xml:space="preserve"> Aracely Méndez Castillo</w:t>
      </w:r>
      <w:r w:rsidR="003C2AC6" w:rsidRPr="009F337B">
        <w:rPr>
          <w:rStyle w:val="Refdenotaalpie"/>
          <w:i w:val="0"/>
          <w:lang w:val="en-US"/>
        </w:rPr>
        <w:footnoteReference w:id="333"/>
      </w:r>
      <w:r w:rsidR="003C2AC6" w:rsidRPr="009F337B">
        <w:rPr>
          <w:i w:val="0"/>
          <w:szCs w:val="20"/>
          <w:lang w:val="en-US"/>
        </w:rPr>
        <w:t>.</w:t>
      </w:r>
    </w:p>
    <w:p w14:paraId="02C3FBEC" w14:textId="77777777" w:rsidR="003C2AC6" w:rsidRPr="009F337B" w:rsidRDefault="003C2AC6" w:rsidP="003C2AC6">
      <w:pPr>
        <w:pStyle w:val="PrrafodeSentencia"/>
        <w:rPr>
          <w:lang w:val="en-US"/>
        </w:rPr>
      </w:pPr>
    </w:p>
    <w:p w14:paraId="33A435CC" w14:textId="77777777" w:rsidR="003C2AC6" w:rsidRPr="009F337B" w:rsidRDefault="003C2AC6" w:rsidP="003C2AC6">
      <w:pPr>
        <w:pStyle w:val="PrrafodeSentencia"/>
        <w:rPr>
          <w:lang w:val="en-US"/>
        </w:rPr>
      </w:pPr>
      <w:r w:rsidRPr="009F337B">
        <w:rPr>
          <w:lang w:val="en-US"/>
        </w:rPr>
        <w:tab/>
        <w:t>B.22. Israel Perez Charal</w:t>
      </w:r>
    </w:p>
    <w:p w14:paraId="3DB09B45" w14:textId="77777777" w:rsidR="003C2AC6" w:rsidRPr="009F337B" w:rsidRDefault="003C2AC6" w:rsidP="003C2AC6">
      <w:pPr>
        <w:pStyle w:val="PrrafodeSentencia"/>
        <w:rPr>
          <w:lang w:val="en-US"/>
        </w:rPr>
      </w:pPr>
    </w:p>
    <w:p w14:paraId="3B416D79" w14:textId="6540C884" w:rsidR="003C2AC6" w:rsidRPr="009F337B" w:rsidRDefault="007F1AEB" w:rsidP="00593E37">
      <w:pPr>
        <w:pStyle w:val="Estilo1"/>
        <w:numPr>
          <w:ilvl w:val="0"/>
          <w:numId w:val="5"/>
        </w:numPr>
        <w:tabs>
          <w:tab w:val="left" w:pos="709"/>
          <w:tab w:val="left" w:pos="1134"/>
        </w:tabs>
        <w:spacing w:after="0"/>
        <w:ind w:left="0" w:right="-4" w:firstLine="0"/>
        <w:rPr>
          <w:i w:val="0"/>
          <w:szCs w:val="20"/>
          <w:lang w:val="en-US"/>
        </w:rPr>
      </w:pPr>
      <w:r w:rsidRPr="009F337B">
        <w:rPr>
          <w:i w:val="0"/>
          <w:szCs w:val="20"/>
          <w:lang w:val="en-US"/>
        </w:rPr>
        <w:t>Mr.</w:t>
      </w:r>
      <w:r w:rsidR="003C2AC6" w:rsidRPr="009F337B">
        <w:rPr>
          <w:i w:val="0"/>
          <w:szCs w:val="20"/>
          <w:lang w:val="en-US"/>
        </w:rPr>
        <w:t xml:space="preserve"> Pérez </w:t>
      </w:r>
      <w:proofErr w:type="spellStart"/>
      <w:r w:rsidR="003C2AC6" w:rsidRPr="009F337B">
        <w:rPr>
          <w:i w:val="0"/>
          <w:szCs w:val="20"/>
          <w:lang w:val="en-US"/>
        </w:rPr>
        <w:t>Charal</w:t>
      </w:r>
      <w:proofErr w:type="spellEnd"/>
      <w:r w:rsidR="003C2AC6" w:rsidRPr="009F337B">
        <w:rPr>
          <w:i w:val="0"/>
          <w:szCs w:val="20"/>
          <w:lang w:val="en-US"/>
        </w:rPr>
        <w:t xml:space="preserve"> </w:t>
      </w:r>
      <w:r w:rsidR="00A52C6F" w:rsidRPr="009F337B">
        <w:rPr>
          <w:i w:val="0"/>
          <w:szCs w:val="20"/>
          <w:lang w:val="en-US"/>
        </w:rPr>
        <w:t>was born in</w:t>
      </w:r>
      <w:r w:rsidR="00805FE9" w:rsidRPr="009F337B">
        <w:rPr>
          <w:i w:val="0"/>
          <w:szCs w:val="20"/>
          <w:lang w:val="en-US"/>
        </w:rPr>
        <w:t xml:space="preserve"> the </w:t>
      </w:r>
      <w:r w:rsidR="00D85CA7" w:rsidRPr="009F337B">
        <w:rPr>
          <w:i w:val="0"/>
          <w:szCs w:val="20"/>
          <w:lang w:val="en-US"/>
        </w:rPr>
        <w:t>municipality of</w:t>
      </w:r>
      <w:r w:rsidR="003C2AC6" w:rsidRPr="009F337B">
        <w:rPr>
          <w:i w:val="0"/>
          <w:szCs w:val="20"/>
          <w:lang w:val="en-US"/>
        </w:rPr>
        <w:t xml:space="preserve"> San Juan </w:t>
      </w:r>
      <w:proofErr w:type="spellStart"/>
      <w:r w:rsidR="003C2AC6" w:rsidRPr="009F337B">
        <w:rPr>
          <w:i w:val="0"/>
          <w:szCs w:val="20"/>
          <w:lang w:val="en-US"/>
        </w:rPr>
        <w:t>Alotenango</w:t>
      </w:r>
      <w:proofErr w:type="spellEnd"/>
      <w:r w:rsidR="003C2AC6" w:rsidRPr="009F337B">
        <w:rPr>
          <w:i w:val="0"/>
          <w:szCs w:val="20"/>
          <w:lang w:val="en-US"/>
        </w:rPr>
        <w:t xml:space="preserve">, </w:t>
      </w:r>
      <w:r w:rsidR="003E1304" w:rsidRPr="009F337B">
        <w:rPr>
          <w:i w:val="0"/>
          <w:szCs w:val="20"/>
          <w:lang w:val="en-US"/>
        </w:rPr>
        <w:t>department of</w:t>
      </w:r>
      <w:r w:rsidR="003C2AC6" w:rsidRPr="009F337B">
        <w:rPr>
          <w:i w:val="0"/>
          <w:szCs w:val="20"/>
          <w:lang w:val="en-US"/>
        </w:rPr>
        <w:t xml:space="preserve"> Sacatepéquez, Guatemala</w:t>
      </w:r>
      <w:r w:rsidR="00A52C6F" w:rsidRPr="009F337B">
        <w:rPr>
          <w:i w:val="0"/>
          <w:szCs w:val="20"/>
          <w:lang w:val="en-US"/>
        </w:rPr>
        <w:t xml:space="preserve">, </w:t>
      </w:r>
      <w:r w:rsidR="0084040D" w:rsidRPr="009F337B">
        <w:rPr>
          <w:i w:val="0"/>
          <w:szCs w:val="20"/>
          <w:lang w:val="en-US"/>
        </w:rPr>
        <w:t>on</w:t>
      </w:r>
      <w:r w:rsidR="003C2AC6" w:rsidRPr="009F337B">
        <w:rPr>
          <w:i w:val="0"/>
          <w:szCs w:val="20"/>
          <w:lang w:val="en-US"/>
        </w:rPr>
        <w:t xml:space="preserve"> </w:t>
      </w:r>
      <w:r w:rsidR="00A52C6F" w:rsidRPr="009F337B">
        <w:rPr>
          <w:i w:val="0"/>
          <w:szCs w:val="20"/>
          <w:lang w:val="en-US"/>
        </w:rPr>
        <w:t>January 23,</w:t>
      </w:r>
      <w:r w:rsidR="003C2AC6" w:rsidRPr="009F337B">
        <w:rPr>
          <w:i w:val="0"/>
          <w:szCs w:val="20"/>
          <w:lang w:val="en-US"/>
        </w:rPr>
        <w:t xml:space="preserve"> 1953. </w:t>
      </w:r>
      <w:r w:rsidR="00A52C6F" w:rsidRPr="009F337B">
        <w:rPr>
          <w:i w:val="0"/>
          <w:szCs w:val="20"/>
          <w:lang w:val="en-US"/>
        </w:rPr>
        <w:t>He l</w:t>
      </w:r>
      <w:r w:rsidR="00D85CA7" w:rsidRPr="009F337B">
        <w:rPr>
          <w:i w:val="0"/>
          <w:szCs w:val="20"/>
          <w:lang w:val="en-US"/>
        </w:rPr>
        <w:t>ives in</w:t>
      </w:r>
      <w:r w:rsidR="003C2AC6" w:rsidRPr="009F337B">
        <w:rPr>
          <w:i w:val="0"/>
          <w:szCs w:val="20"/>
          <w:lang w:val="en-US"/>
        </w:rPr>
        <w:t xml:space="preserve"> Antigua Guatemala, </w:t>
      </w:r>
      <w:r w:rsidR="00A52C6F" w:rsidRPr="009F337B">
        <w:rPr>
          <w:i w:val="0"/>
          <w:szCs w:val="20"/>
          <w:lang w:val="en-US"/>
        </w:rPr>
        <w:t>d</w:t>
      </w:r>
      <w:r w:rsidR="003C2AC6" w:rsidRPr="009F337B">
        <w:rPr>
          <w:i w:val="0"/>
          <w:szCs w:val="20"/>
          <w:lang w:val="en-US"/>
        </w:rPr>
        <w:t>epartment</w:t>
      </w:r>
      <w:r w:rsidR="00A52C6F" w:rsidRPr="009F337B">
        <w:rPr>
          <w:i w:val="0"/>
          <w:szCs w:val="20"/>
          <w:lang w:val="en-US"/>
        </w:rPr>
        <w:t xml:space="preserve"> of</w:t>
      </w:r>
      <w:r w:rsidR="003C2AC6" w:rsidRPr="009F337B">
        <w:rPr>
          <w:i w:val="0"/>
          <w:szCs w:val="20"/>
          <w:lang w:val="en-US"/>
        </w:rPr>
        <w:t xml:space="preserve"> Sacatepéquez, Guatemala. </w:t>
      </w:r>
      <w:r w:rsidR="00A52C6F" w:rsidRPr="009F337B">
        <w:rPr>
          <w:i w:val="0"/>
          <w:szCs w:val="20"/>
          <w:lang w:val="en-US"/>
        </w:rPr>
        <w:t xml:space="preserve">He went to night school. He is a truck driver. </w:t>
      </w:r>
      <w:r w:rsidRPr="009F337B">
        <w:rPr>
          <w:i w:val="0"/>
          <w:szCs w:val="20"/>
          <w:lang w:val="en-US"/>
        </w:rPr>
        <w:t>He was diagnose</w:t>
      </w:r>
      <w:r w:rsidR="00A52C6F" w:rsidRPr="009F337B">
        <w:rPr>
          <w:i w:val="0"/>
          <w:szCs w:val="20"/>
          <w:lang w:val="en-US"/>
        </w:rPr>
        <w:t>d</w:t>
      </w:r>
      <w:r w:rsidR="003C2AC6" w:rsidRPr="009F337B">
        <w:rPr>
          <w:i w:val="0"/>
          <w:szCs w:val="20"/>
          <w:lang w:val="en-US"/>
        </w:rPr>
        <w:t xml:space="preserve"> </w:t>
      </w:r>
      <w:r w:rsidR="001C4CEA" w:rsidRPr="009F337B">
        <w:rPr>
          <w:i w:val="0"/>
          <w:szCs w:val="20"/>
          <w:lang w:val="en-US"/>
        </w:rPr>
        <w:t>in 2002</w:t>
      </w:r>
      <w:r w:rsidR="003C2AC6" w:rsidRPr="009F337B">
        <w:rPr>
          <w:i w:val="0"/>
          <w:szCs w:val="20"/>
          <w:lang w:val="en-US"/>
        </w:rPr>
        <w:t xml:space="preserve"> </w:t>
      </w:r>
      <w:r w:rsidR="00A52C6F" w:rsidRPr="009F337B">
        <w:rPr>
          <w:i w:val="0"/>
          <w:szCs w:val="20"/>
          <w:lang w:val="en-US"/>
        </w:rPr>
        <w:t>at</w:t>
      </w:r>
      <w:r w:rsidR="003C2AC6" w:rsidRPr="009F337B">
        <w:rPr>
          <w:i w:val="0"/>
          <w:szCs w:val="20"/>
          <w:lang w:val="en-US"/>
        </w:rPr>
        <w:t xml:space="preserve"> </w:t>
      </w:r>
      <w:r w:rsidR="00D85CA7" w:rsidRPr="009F337B">
        <w:rPr>
          <w:i w:val="0"/>
          <w:szCs w:val="20"/>
          <w:lang w:val="en-US"/>
        </w:rPr>
        <w:t>the San Juan de Dios Hospital</w:t>
      </w:r>
      <w:r w:rsidR="003C2AC6" w:rsidRPr="009F337B">
        <w:rPr>
          <w:i w:val="0"/>
          <w:szCs w:val="20"/>
          <w:lang w:val="en-US"/>
        </w:rPr>
        <w:t xml:space="preserve">, </w:t>
      </w:r>
      <w:r w:rsidR="00A52C6F" w:rsidRPr="009F337B">
        <w:rPr>
          <w:i w:val="0"/>
          <w:szCs w:val="20"/>
          <w:lang w:val="en-US"/>
        </w:rPr>
        <w:t>because he was going to donate blood and was told that he was a</w:t>
      </w:r>
      <w:r w:rsidR="0026068E" w:rsidRPr="009F337B">
        <w:rPr>
          <w:i w:val="0"/>
          <w:szCs w:val="20"/>
          <w:lang w:val="en-US"/>
        </w:rPr>
        <w:t xml:space="preserve"> carrier of</w:t>
      </w:r>
      <w:r w:rsidR="00A52C6F" w:rsidRPr="009F337B">
        <w:rPr>
          <w:i w:val="0"/>
          <w:szCs w:val="20"/>
          <w:lang w:val="en-US"/>
        </w:rPr>
        <w:t xml:space="preserve"> HIV and referred to MSF. In </w:t>
      </w:r>
      <w:r w:rsidR="003C2AC6" w:rsidRPr="009F337B">
        <w:rPr>
          <w:i w:val="0"/>
          <w:szCs w:val="20"/>
          <w:lang w:val="en-US"/>
        </w:rPr>
        <w:t>2003</w:t>
      </w:r>
      <w:r w:rsidR="00A52C6F" w:rsidRPr="009F337B">
        <w:rPr>
          <w:i w:val="0"/>
          <w:szCs w:val="20"/>
          <w:lang w:val="en-US"/>
        </w:rPr>
        <w:t>, he began</w:t>
      </w:r>
      <w:r w:rsidR="003C2AC6" w:rsidRPr="009F337B">
        <w:rPr>
          <w:i w:val="0"/>
          <w:szCs w:val="20"/>
          <w:lang w:val="en-US"/>
        </w:rPr>
        <w:t xml:space="preserve"> </w:t>
      </w:r>
      <w:r w:rsidR="00FE1EFF" w:rsidRPr="009F337B">
        <w:rPr>
          <w:i w:val="0"/>
          <w:szCs w:val="20"/>
          <w:lang w:val="en-US"/>
        </w:rPr>
        <w:t>antiretroviral treatment</w:t>
      </w:r>
      <w:r w:rsidR="003C2AC6" w:rsidRPr="009F337B">
        <w:rPr>
          <w:i w:val="0"/>
          <w:szCs w:val="20"/>
          <w:lang w:val="en-US"/>
        </w:rPr>
        <w:t xml:space="preserve">. </w:t>
      </w:r>
      <w:r w:rsidR="00A52C6F" w:rsidRPr="009F337B">
        <w:rPr>
          <w:i w:val="0"/>
          <w:szCs w:val="20"/>
          <w:lang w:val="en-US"/>
        </w:rPr>
        <w:t>In</w:t>
      </w:r>
      <w:r w:rsidR="003C2AC6" w:rsidRPr="009F337B">
        <w:rPr>
          <w:i w:val="0"/>
          <w:szCs w:val="20"/>
          <w:lang w:val="en-US"/>
        </w:rPr>
        <w:t xml:space="preserve"> 2004</w:t>
      </w:r>
      <w:r w:rsidR="003C46A3" w:rsidRPr="009F337B">
        <w:rPr>
          <w:i w:val="0"/>
          <w:szCs w:val="20"/>
          <w:lang w:val="en-US"/>
        </w:rPr>
        <w:t xml:space="preserve"> and </w:t>
      </w:r>
      <w:r w:rsidR="003C2AC6" w:rsidRPr="009F337B">
        <w:rPr>
          <w:i w:val="0"/>
          <w:szCs w:val="20"/>
          <w:lang w:val="en-US"/>
        </w:rPr>
        <w:t xml:space="preserve">2005 </w:t>
      </w:r>
      <w:r w:rsidR="00A52C6F" w:rsidRPr="009F337B">
        <w:rPr>
          <w:i w:val="0"/>
          <w:szCs w:val="20"/>
          <w:lang w:val="en-US"/>
        </w:rPr>
        <w:t xml:space="preserve">he attended the Luis </w:t>
      </w:r>
      <w:proofErr w:type="spellStart"/>
      <w:r w:rsidR="00A52C6F" w:rsidRPr="009F337B">
        <w:rPr>
          <w:i w:val="0"/>
          <w:szCs w:val="20"/>
          <w:lang w:val="en-US"/>
        </w:rPr>
        <w:t>Ángel</w:t>
      </w:r>
      <w:proofErr w:type="spellEnd"/>
      <w:r w:rsidR="00A52C6F" w:rsidRPr="009F337B">
        <w:rPr>
          <w:i w:val="0"/>
          <w:szCs w:val="20"/>
          <w:lang w:val="en-US"/>
        </w:rPr>
        <w:t xml:space="preserve"> García Family Clinic of the </w:t>
      </w:r>
      <w:proofErr w:type="spellStart"/>
      <w:r w:rsidR="0026068E" w:rsidRPr="009F337B">
        <w:rPr>
          <w:szCs w:val="20"/>
          <w:lang w:val="en-US"/>
        </w:rPr>
        <w:t>Asociación</w:t>
      </w:r>
      <w:proofErr w:type="spellEnd"/>
      <w:r w:rsidR="0026068E" w:rsidRPr="009F337B">
        <w:rPr>
          <w:szCs w:val="20"/>
          <w:lang w:val="en-US"/>
        </w:rPr>
        <w:t xml:space="preserve"> de </w:t>
      </w:r>
      <w:proofErr w:type="spellStart"/>
      <w:r w:rsidR="0026068E" w:rsidRPr="009F337B">
        <w:rPr>
          <w:szCs w:val="20"/>
          <w:lang w:val="en-US"/>
        </w:rPr>
        <w:t>Salud</w:t>
      </w:r>
      <w:proofErr w:type="spellEnd"/>
      <w:r w:rsidR="0026068E" w:rsidRPr="009F337B">
        <w:rPr>
          <w:szCs w:val="20"/>
          <w:lang w:val="en-US"/>
        </w:rPr>
        <w:t xml:space="preserve"> Integral</w:t>
      </w:r>
      <w:r w:rsidR="00A52C6F" w:rsidRPr="009F337B">
        <w:rPr>
          <w:i w:val="0"/>
          <w:szCs w:val="20"/>
          <w:lang w:val="en-US"/>
        </w:rPr>
        <w:t xml:space="preserve"> </w:t>
      </w:r>
      <w:r w:rsidR="003C2AC6" w:rsidRPr="009F337B">
        <w:rPr>
          <w:i w:val="0"/>
          <w:szCs w:val="20"/>
          <w:lang w:val="en-US"/>
        </w:rPr>
        <w:t>(</w:t>
      </w:r>
      <w:r w:rsidR="00AE5F9E" w:rsidRPr="009F337B">
        <w:rPr>
          <w:i w:val="0"/>
          <w:szCs w:val="20"/>
          <w:lang w:val="en-US"/>
        </w:rPr>
        <w:t>hereinafter</w:t>
      </w:r>
      <w:r w:rsidR="003C2AC6" w:rsidRPr="009F337B">
        <w:rPr>
          <w:i w:val="0"/>
          <w:szCs w:val="20"/>
          <w:lang w:val="en-US"/>
        </w:rPr>
        <w:t xml:space="preserve"> “</w:t>
      </w:r>
      <w:r w:rsidR="0026068E" w:rsidRPr="009F337B">
        <w:rPr>
          <w:i w:val="0"/>
          <w:szCs w:val="20"/>
          <w:lang w:val="en-US"/>
        </w:rPr>
        <w:t xml:space="preserve">the </w:t>
      </w:r>
      <w:r w:rsidR="00A52C6F" w:rsidRPr="009F337B">
        <w:rPr>
          <w:i w:val="0"/>
          <w:szCs w:val="20"/>
          <w:lang w:val="en-US"/>
        </w:rPr>
        <w:t xml:space="preserve">Luis </w:t>
      </w:r>
      <w:proofErr w:type="spellStart"/>
      <w:r w:rsidR="00A52C6F" w:rsidRPr="009F337B">
        <w:rPr>
          <w:i w:val="0"/>
          <w:szCs w:val="20"/>
          <w:lang w:val="en-US"/>
        </w:rPr>
        <w:t>Ángel</w:t>
      </w:r>
      <w:proofErr w:type="spellEnd"/>
      <w:r w:rsidR="00A52C6F" w:rsidRPr="009F337B">
        <w:rPr>
          <w:i w:val="0"/>
          <w:szCs w:val="20"/>
          <w:lang w:val="en-US"/>
        </w:rPr>
        <w:t xml:space="preserve"> García Clinic</w:t>
      </w:r>
      <w:r w:rsidR="003C2AC6" w:rsidRPr="009F337B">
        <w:rPr>
          <w:i w:val="0"/>
          <w:szCs w:val="20"/>
          <w:lang w:val="en-US"/>
        </w:rPr>
        <w:t xml:space="preserve">”) </w:t>
      </w:r>
      <w:r w:rsidR="00A52C6F" w:rsidRPr="009F337B">
        <w:rPr>
          <w:i w:val="0"/>
          <w:szCs w:val="20"/>
          <w:lang w:val="en-US"/>
        </w:rPr>
        <w:t>where he received testing and medicines. The</w:t>
      </w:r>
      <w:r w:rsidR="0026068E" w:rsidRPr="009F337B">
        <w:rPr>
          <w:i w:val="0"/>
          <w:szCs w:val="20"/>
          <w:lang w:val="en-US"/>
        </w:rPr>
        <w:t>n</w:t>
      </w:r>
      <w:r w:rsidR="00A52C6F" w:rsidRPr="009F337B">
        <w:rPr>
          <w:i w:val="0"/>
          <w:szCs w:val="20"/>
          <w:lang w:val="en-US"/>
        </w:rPr>
        <w:t>, for work-related reasons, he asked to be transferred to the IGSS from 2006 to 2010. H</w:t>
      </w:r>
      <w:r w:rsidR="0026068E" w:rsidRPr="009F337B">
        <w:rPr>
          <w:i w:val="0"/>
          <w:szCs w:val="20"/>
          <w:lang w:val="en-US"/>
        </w:rPr>
        <w:t>e</w:t>
      </w:r>
      <w:r w:rsidR="00A52C6F" w:rsidRPr="009F337B">
        <w:rPr>
          <w:i w:val="0"/>
          <w:szCs w:val="20"/>
          <w:lang w:val="en-US"/>
        </w:rPr>
        <w:t xml:space="preserve"> suffered from herpes, but did not re</w:t>
      </w:r>
      <w:r w:rsidR="00586BB8" w:rsidRPr="009F337B">
        <w:rPr>
          <w:i w:val="0"/>
          <w:szCs w:val="20"/>
          <w:lang w:val="en-US"/>
        </w:rPr>
        <w:t>c</w:t>
      </w:r>
      <w:r w:rsidR="00A52C6F" w:rsidRPr="009F337B">
        <w:rPr>
          <w:i w:val="0"/>
          <w:szCs w:val="20"/>
          <w:lang w:val="en-US"/>
        </w:rPr>
        <w:t>eive treatment. From</w:t>
      </w:r>
      <w:r w:rsidR="003C2AC6" w:rsidRPr="009F337B">
        <w:rPr>
          <w:i w:val="0"/>
          <w:szCs w:val="20"/>
          <w:lang w:val="en-US"/>
        </w:rPr>
        <w:t xml:space="preserve"> 2010 </w:t>
      </w:r>
      <w:r w:rsidR="00A52C6F" w:rsidRPr="009F337B">
        <w:rPr>
          <w:i w:val="0"/>
          <w:szCs w:val="20"/>
          <w:lang w:val="en-US"/>
        </w:rPr>
        <w:t>to</w:t>
      </w:r>
      <w:r w:rsidR="003C2AC6" w:rsidRPr="009F337B">
        <w:rPr>
          <w:i w:val="0"/>
          <w:szCs w:val="20"/>
          <w:lang w:val="en-US"/>
        </w:rPr>
        <w:t xml:space="preserve"> 2016 </w:t>
      </w:r>
      <w:r w:rsidR="00A52C6F" w:rsidRPr="009F337B">
        <w:rPr>
          <w:i w:val="0"/>
          <w:szCs w:val="20"/>
          <w:lang w:val="en-US"/>
        </w:rPr>
        <w:t xml:space="preserve">he returned to the Luis </w:t>
      </w:r>
      <w:proofErr w:type="spellStart"/>
      <w:r w:rsidR="00A52C6F" w:rsidRPr="009F337B">
        <w:rPr>
          <w:i w:val="0"/>
          <w:szCs w:val="20"/>
          <w:lang w:val="en-US"/>
        </w:rPr>
        <w:t>Ángel</w:t>
      </w:r>
      <w:proofErr w:type="spellEnd"/>
      <w:r w:rsidR="00A52C6F" w:rsidRPr="009F337B">
        <w:rPr>
          <w:i w:val="0"/>
          <w:szCs w:val="20"/>
          <w:lang w:val="en-US"/>
        </w:rPr>
        <w:t xml:space="preserve"> García Clinic</w:t>
      </w:r>
      <w:r w:rsidR="003C2AC6" w:rsidRPr="009F337B">
        <w:rPr>
          <w:i w:val="0"/>
          <w:szCs w:val="20"/>
          <w:lang w:val="en-US"/>
        </w:rPr>
        <w:t xml:space="preserve">, </w:t>
      </w:r>
      <w:r w:rsidR="00A52C6F" w:rsidRPr="009F337B">
        <w:rPr>
          <w:i w:val="0"/>
          <w:szCs w:val="20"/>
          <w:lang w:val="en-US"/>
        </w:rPr>
        <w:t xml:space="preserve">where he is currently being treated. </w:t>
      </w:r>
      <w:r w:rsidR="00586BB8" w:rsidRPr="009F337B">
        <w:rPr>
          <w:i w:val="0"/>
          <w:szCs w:val="20"/>
          <w:lang w:val="en-US"/>
        </w:rPr>
        <w:t>He has undergone CD4 counts and viral load tests irregularly. H</w:t>
      </w:r>
      <w:r w:rsidR="0026068E" w:rsidRPr="009F337B">
        <w:rPr>
          <w:i w:val="0"/>
          <w:szCs w:val="20"/>
          <w:lang w:val="en-US"/>
        </w:rPr>
        <w:t>e</w:t>
      </w:r>
      <w:r w:rsidR="00586BB8" w:rsidRPr="009F337B">
        <w:rPr>
          <w:i w:val="0"/>
          <w:szCs w:val="20"/>
          <w:lang w:val="en-US"/>
        </w:rPr>
        <w:t xml:space="preserve"> has suffered from obesity and herpes. H</w:t>
      </w:r>
      <w:r w:rsidR="0026068E" w:rsidRPr="009F337B">
        <w:rPr>
          <w:i w:val="0"/>
          <w:szCs w:val="20"/>
          <w:lang w:val="en-US"/>
        </w:rPr>
        <w:t>e</w:t>
      </w:r>
      <w:r w:rsidR="00586BB8" w:rsidRPr="009F337B">
        <w:rPr>
          <w:i w:val="0"/>
          <w:szCs w:val="20"/>
          <w:lang w:val="en-US"/>
        </w:rPr>
        <w:t xml:space="preserve"> stated that there were insufficient drugs for everyone. He also </w:t>
      </w:r>
      <w:r w:rsidR="00586BB8" w:rsidRPr="009F337B">
        <w:rPr>
          <w:i w:val="0"/>
          <w:szCs w:val="20"/>
          <w:lang w:val="en-US"/>
        </w:rPr>
        <w:lastRenderedPageBreak/>
        <w:t xml:space="preserve">indicated that he had been rejected </w:t>
      </w:r>
      <w:r w:rsidR="00B13678" w:rsidRPr="009F337B">
        <w:rPr>
          <w:i w:val="0"/>
          <w:szCs w:val="20"/>
          <w:lang w:val="en-US"/>
        </w:rPr>
        <w:t>b</w:t>
      </w:r>
      <w:r w:rsidR="00586BB8" w:rsidRPr="009F337B">
        <w:rPr>
          <w:i w:val="0"/>
          <w:szCs w:val="20"/>
          <w:lang w:val="en-US"/>
        </w:rPr>
        <w:t xml:space="preserve">y the family of his former partner, </w:t>
      </w:r>
      <w:r w:rsidR="003C2AC6" w:rsidRPr="009F337B">
        <w:rPr>
          <w:i w:val="0"/>
          <w:szCs w:val="20"/>
          <w:lang w:val="en-US"/>
        </w:rPr>
        <w:t xml:space="preserve">Judith </w:t>
      </w:r>
      <w:proofErr w:type="spellStart"/>
      <w:r w:rsidR="003C2AC6" w:rsidRPr="009F337B">
        <w:rPr>
          <w:i w:val="0"/>
          <w:szCs w:val="20"/>
          <w:lang w:val="en-US"/>
        </w:rPr>
        <w:t>Samayoa</w:t>
      </w:r>
      <w:proofErr w:type="spellEnd"/>
      <w:r w:rsidR="003C2AC6" w:rsidRPr="009F337B">
        <w:rPr>
          <w:i w:val="0"/>
          <w:szCs w:val="20"/>
          <w:lang w:val="en-US"/>
        </w:rPr>
        <w:t xml:space="preserve"> Vásquez</w:t>
      </w:r>
      <w:r w:rsidR="003C2AC6" w:rsidRPr="009F337B">
        <w:rPr>
          <w:rStyle w:val="Refdenotaalpie"/>
          <w:i w:val="0"/>
          <w:lang w:val="en-US"/>
        </w:rPr>
        <w:footnoteReference w:id="334"/>
      </w:r>
      <w:r w:rsidR="003C2AC6" w:rsidRPr="009F337B">
        <w:rPr>
          <w:i w:val="0"/>
          <w:szCs w:val="20"/>
          <w:lang w:val="en-US"/>
        </w:rPr>
        <w:t>.</w:t>
      </w:r>
    </w:p>
    <w:p w14:paraId="581198C4" w14:textId="77777777" w:rsidR="003C2AC6" w:rsidRPr="009F337B" w:rsidRDefault="003C2AC6" w:rsidP="003C2AC6">
      <w:pPr>
        <w:pStyle w:val="Estilo1"/>
        <w:tabs>
          <w:tab w:val="left" w:pos="709"/>
          <w:tab w:val="left" w:pos="1134"/>
        </w:tabs>
        <w:spacing w:after="0"/>
        <w:ind w:left="0" w:right="-4" w:firstLine="0"/>
        <w:rPr>
          <w:i w:val="0"/>
          <w:szCs w:val="20"/>
          <w:lang w:val="en-US"/>
        </w:rPr>
      </w:pPr>
    </w:p>
    <w:p w14:paraId="361E80EE" w14:textId="77777777" w:rsidR="003C2AC6" w:rsidRPr="009F337B" w:rsidRDefault="003C2AC6" w:rsidP="003C2AC6">
      <w:pPr>
        <w:pStyle w:val="PrrafodeSentencia"/>
        <w:rPr>
          <w:lang w:val="en-US"/>
        </w:rPr>
      </w:pPr>
      <w:r w:rsidRPr="009F337B">
        <w:rPr>
          <w:lang w:val="en-US"/>
        </w:rPr>
        <w:tab/>
        <w:t>B.23. Corina Dianeth Robledo Alvarado</w:t>
      </w:r>
    </w:p>
    <w:p w14:paraId="4B44E940" w14:textId="77777777" w:rsidR="003C2AC6" w:rsidRPr="009F337B" w:rsidRDefault="003C2AC6" w:rsidP="003C2AC6">
      <w:pPr>
        <w:pStyle w:val="PrrafodeSentencia"/>
        <w:rPr>
          <w:lang w:val="en-US"/>
        </w:rPr>
      </w:pPr>
    </w:p>
    <w:p w14:paraId="2DB51E55" w14:textId="288FC6CB" w:rsidR="003C2AC6" w:rsidRPr="009F337B" w:rsidRDefault="007F1AEB" w:rsidP="00593E37">
      <w:pPr>
        <w:pStyle w:val="Estilo1"/>
        <w:numPr>
          <w:ilvl w:val="0"/>
          <w:numId w:val="5"/>
        </w:numPr>
        <w:tabs>
          <w:tab w:val="left" w:pos="709"/>
          <w:tab w:val="left" w:pos="1134"/>
        </w:tabs>
        <w:spacing w:after="0"/>
        <w:ind w:left="0" w:right="-4" w:firstLine="0"/>
        <w:rPr>
          <w:i w:val="0"/>
          <w:szCs w:val="20"/>
          <w:lang w:val="en-US"/>
        </w:rPr>
      </w:pPr>
      <w:r w:rsidRPr="009F337B">
        <w:rPr>
          <w:i w:val="0"/>
          <w:szCs w:val="20"/>
          <w:lang w:val="en-US"/>
        </w:rPr>
        <w:t>Mrs.</w:t>
      </w:r>
      <w:r w:rsidR="003C2AC6" w:rsidRPr="009F337B">
        <w:rPr>
          <w:i w:val="0"/>
          <w:szCs w:val="20"/>
          <w:lang w:val="en-US"/>
        </w:rPr>
        <w:t xml:space="preserve"> Robledo Alvarado </w:t>
      </w:r>
      <w:r w:rsidR="00586BB8" w:rsidRPr="009F337B">
        <w:rPr>
          <w:i w:val="0"/>
          <w:szCs w:val="20"/>
          <w:lang w:val="en-US"/>
        </w:rPr>
        <w:t xml:space="preserve">was born on November 4, 1973, in </w:t>
      </w:r>
      <w:r w:rsidR="00805FE9" w:rsidRPr="009F337B">
        <w:rPr>
          <w:i w:val="0"/>
          <w:szCs w:val="20"/>
          <w:lang w:val="en-US"/>
        </w:rPr>
        <w:t xml:space="preserve">the </w:t>
      </w:r>
      <w:r w:rsidR="00D85CA7" w:rsidRPr="009F337B">
        <w:rPr>
          <w:i w:val="0"/>
          <w:szCs w:val="20"/>
          <w:lang w:val="en-US"/>
        </w:rPr>
        <w:t>municipality of</w:t>
      </w:r>
      <w:r w:rsidR="003C2AC6" w:rsidRPr="009F337B">
        <w:rPr>
          <w:i w:val="0"/>
          <w:szCs w:val="20"/>
          <w:lang w:val="en-US"/>
        </w:rPr>
        <w:t xml:space="preserve"> </w:t>
      </w:r>
      <w:proofErr w:type="spellStart"/>
      <w:r w:rsidR="003C2AC6" w:rsidRPr="009F337B">
        <w:rPr>
          <w:i w:val="0"/>
          <w:szCs w:val="20"/>
          <w:lang w:val="en-US"/>
        </w:rPr>
        <w:t>Pajapita</w:t>
      </w:r>
      <w:proofErr w:type="spellEnd"/>
      <w:r w:rsidR="003C2AC6" w:rsidRPr="009F337B">
        <w:rPr>
          <w:i w:val="0"/>
          <w:szCs w:val="20"/>
          <w:lang w:val="en-US"/>
        </w:rPr>
        <w:t xml:space="preserve">, </w:t>
      </w:r>
      <w:r w:rsidR="003E1304" w:rsidRPr="009F337B">
        <w:rPr>
          <w:i w:val="0"/>
          <w:szCs w:val="20"/>
          <w:lang w:val="en-US"/>
        </w:rPr>
        <w:t>department of</w:t>
      </w:r>
      <w:r w:rsidR="003C2AC6" w:rsidRPr="009F337B">
        <w:rPr>
          <w:i w:val="0"/>
          <w:szCs w:val="20"/>
          <w:lang w:val="en-US"/>
        </w:rPr>
        <w:t xml:space="preserve"> San Marcos, Guatemala</w:t>
      </w:r>
      <w:r w:rsidR="00586BB8" w:rsidRPr="009F337B">
        <w:rPr>
          <w:i w:val="0"/>
          <w:szCs w:val="20"/>
          <w:lang w:val="en-US"/>
        </w:rPr>
        <w:t>, and lives there now</w:t>
      </w:r>
      <w:r w:rsidR="003C2AC6" w:rsidRPr="009F337B">
        <w:rPr>
          <w:i w:val="0"/>
          <w:szCs w:val="20"/>
          <w:lang w:val="en-US"/>
        </w:rPr>
        <w:t>.</w:t>
      </w:r>
      <w:r w:rsidR="003C2AC6" w:rsidRPr="009F337B">
        <w:rPr>
          <w:b/>
          <w:i w:val="0"/>
          <w:szCs w:val="20"/>
          <w:lang w:val="en-US"/>
        </w:rPr>
        <w:t xml:space="preserve"> </w:t>
      </w:r>
      <w:r w:rsidR="003620D0" w:rsidRPr="009F337B">
        <w:rPr>
          <w:i w:val="0"/>
          <w:szCs w:val="20"/>
          <w:lang w:val="en-US"/>
        </w:rPr>
        <w:t xml:space="preserve">She is a primary school teacher in the village of </w:t>
      </w:r>
      <w:r w:rsidR="003C2AC6" w:rsidRPr="009F337B">
        <w:rPr>
          <w:i w:val="0"/>
          <w:szCs w:val="20"/>
          <w:lang w:val="en-US"/>
        </w:rPr>
        <w:t xml:space="preserve">San Antonio Las Flores, </w:t>
      </w:r>
      <w:proofErr w:type="spellStart"/>
      <w:r w:rsidR="003C2AC6" w:rsidRPr="009F337B">
        <w:rPr>
          <w:i w:val="0"/>
          <w:szCs w:val="20"/>
          <w:lang w:val="en-US"/>
        </w:rPr>
        <w:t>Pajapita</w:t>
      </w:r>
      <w:proofErr w:type="spellEnd"/>
      <w:r w:rsidR="003C2AC6" w:rsidRPr="009F337B">
        <w:rPr>
          <w:i w:val="0"/>
          <w:szCs w:val="20"/>
          <w:lang w:val="en-US"/>
        </w:rPr>
        <w:t xml:space="preserve">. </w:t>
      </w:r>
      <w:r w:rsidR="003620D0" w:rsidRPr="009F337B">
        <w:rPr>
          <w:i w:val="0"/>
          <w:szCs w:val="20"/>
          <w:lang w:val="en-US"/>
        </w:rPr>
        <w:t xml:space="preserve">She became infected through sexual transmission by her husband and, in turn, her son L.A.L. was infected by </w:t>
      </w:r>
      <w:r w:rsidR="006F51E1" w:rsidRPr="009F337B">
        <w:rPr>
          <w:i w:val="0"/>
          <w:szCs w:val="20"/>
          <w:lang w:val="en-US"/>
        </w:rPr>
        <w:t xml:space="preserve">vertical </w:t>
      </w:r>
      <w:r w:rsidR="003620D0" w:rsidRPr="009F337B">
        <w:rPr>
          <w:i w:val="0"/>
          <w:szCs w:val="20"/>
          <w:lang w:val="en-US"/>
        </w:rPr>
        <w:t xml:space="preserve">transmission, being diagnosed with HIV at the age of 3. Mrs. Robledo Álvarez was diagnosed in 2001 in the </w:t>
      </w:r>
      <w:proofErr w:type="spellStart"/>
      <w:r w:rsidR="003C2AC6" w:rsidRPr="009F337B">
        <w:rPr>
          <w:i w:val="0"/>
          <w:szCs w:val="20"/>
          <w:lang w:val="en-US"/>
        </w:rPr>
        <w:t>Malacatán</w:t>
      </w:r>
      <w:proofErr w:type="spellEnd"/>
      <w:r w:rsidR="003620D0" w:rsidRPr="009F337B">
        <w:rPr>
          <w:i w:val="0"/>
          <w:szCs w:val="20"/>
          <w:lang w:val="en-US"/>
        </w:rPr>
        <w:t xml:space="preserve"> Hospital</w:t>
      </w:r>
      <w:r w:rsidR="003C2AC6" w:rsidRPr="009F337B">
        <w:rPr>
          <w:i w:val="0"/>
          <w:szCs w:val="20"/>
          <w:lang w:val="en-US"/>
        </w:rPr>
        <w:t xml:space="preserve">. </w:t>
      </w:r>
      <w:r w:rsidR="003620D0" w:rsidRPr="009F337B">
        <w:rPr>
          <w:i w:val="0"/>
          <w:szCs w:val="20"/>
          <w:lang w:val="en-US"/>
        </w:rPr>
        <w:t xml:space="preserve">She was treated for the first time by the MSF’s </w:t>
      </w:r>
      <w:r w:rsidR="00AE674B" w:rsidRPr="009F337B">
        <w:rPr>
          <w:szCs w:val="20"/>
          <w:lang w:val="en-US"/>
        </w:rPr>
        <w:t>Proyecto Vida</w:t>
      </w:r>
      <w:r w:rsidR="003C2AC6" w:rsidRPr="009F337B">
        <w:rPr>
          <w:i w:val="0"/>
          <w:szCs w:val="20"/>
          <w:lang w:val="en-US"/>
        </w:rPr>
        <w:t xml:space="preserve">. </w:t>
      </w:r>
      <w:r w:rsidR="003620D0" w:rsidRPr="009F337B">
        <w:rPr>
          <w:i w:val="0"/>
          <w:szCs w:val="20"/>
          <w:lang w:val="en-US"/>
        </w:rPr>
        <w:t>Subsequently, she was</w:t>
      </w:r>
      <w:r w:rsidR="003C2AC6" w:rsidRPr="009F337B">
        <w:rPr>
          <w:i w:val="0"/>
          <w:szCs w:val="20"/>
          <w:lang w:val="en-US"/>
        </w:rPr>
        <w:t xml:space="preserve"> </w:t>
      </w:r>
      <w:r w:rsidR="001C4CEA" w:rsidRPr="009F337B">
        <w:rPr>
          <w:i w:val="0"/>
          <w:szCs w:val="20"/>
          <w:lang w:val="en-US"/>
        </w:rPr>
        <w:t>transferred to Clinic No. 12</w:t>
      </w:r>
      <w:r w:rsidR="00A758A5" w:rsidRPr="009F337B">
        <w:rPr>
          <w:i w:val="0"/>
          <w:szCs w:val="20"/>
          <w:lang w:val="en-US"/>
        </w:rPr>
        <w:t xml:space="preserve"> of the </w:t>
      </w:r>
      <w:proofErr w:type="spellStart"/>
      <w:r w:rsidR="00BD5E94" w:rsidRPr="009F337B">
        <w:rPr>
          <w:i w:val="0"/>
          <w:szCs w:val="20"/>
          <w:lang w:val="en-US"/>
        </w:rPr>
        <w:t>Coatepeque</w:t>
      </w:r>
      <w:proofErr w:type="spellEnd"/>
      <w:r w:rsidR="00BD5E94" w:rsidRPr="009F337B">
        <w:rPr>
          <w:i w:val="0"/>
          <w:szCs w:val="20"/>
          <w:lang w:val="en-US"/>
        </w:rPr>
        <w:t xml:space="preserve"> National Hospital</w:t>
      </w:r>
      <w:r w:rsidR="003C2AC6" w:rsidRPr="009F337B">
        <w:rPr>
          <w:i w:val="0"/>
          <w:szCs w:val="20"/>
          <w:lang w:val="en-US"/>
        </w:rPr>
        <w:t xml:space="preserve">. </w:t>
      </w:r>
      <w:r w:rsidR="003620D0" w:rsidRPr="009F337B">
        <w:rPr>
          <w:i w:val="0"/>
          <w:szCs w:val="20"/>
          <w:lang w:val="en-US"/>
        </w:rPr>
        <w:t>She has had permanent regular access to</w:t>
      </w:r>
      <w:r w:rsidR="003C2AC6" w:rsidRPr="009F337B">
        <w:rPr>
          <w:i w:val="0"/>
          <w:szCs w:val="20"/>
          <w:lang w:val="en-US"/>
        </w:rPr>
        <w:t xml:space="preserve"> </w:t>
      </w:r>
      <w:r w:rsidR="00FE1EFF" w:rsidRPr="009F337B">
        <w:rPr>
          <w:i w:val="0"/>
          <w:szCs w:val="20"/>
          <w:lang w:val="en-US"/>
        </w:rPr>
        <w:t>antiretroviral treatment</w:t>
      </w:r>
      <w:r w:rsidR="003C2AC6" w:rsidRPr="009F337B">
        <w:rPr>
          <w:i w:val="0"/>
          <w:szCs w:val="20"/>
          <w:lang w:val="en-US"/>
        </w:rPr>
        <w:t xml:space="preserve"> </w:t>
      </w:r>
      <w:r w:rsidR="003620D0" w:rsidRPr="009F337B">
        <w:rPr>
          <w:i w:val="0"/>
          <w:szCs w:val="20"/>
          <w:lang w:val="en-US"/>
        </w:rPr>
        <w:t xml:space="preserve">and </w:t>
      </w:r>
      <w:r w:rsidR="008D144A" w:rsidRPr="009F337B">
        <w:rPr>
          <w:i w:val="0"/>
          <w:szCs w:val="20"/>
          <w:lang w:val="en-US"/>
        </w:rPr>
        <w:t xml:space="preserve">undergone CD4 counts and viral load tests. She has not received nutritional or psychological support. </w:t>
      </w:r>
      <w:r w:rsidRPr="009F337B">
        <w:rPr>
          <w:i w:val="0"/>
          <w:szCs w:val="20"/>
          <w:lang w:val="en-US"/>
        </w:rPr>
        <w:t>Mrs.</w:t>
      </w:r>
      <w:r w:rsidR="003C2AC6" w:rsidRPr="009F337B">
        <w:rPr>
          <w:i w:val="0"/>
          <w:szCs w:val="20"/>
          <w:lang w:val="en-US"/>
        </w:rPr>
        <w:t xml:space="preserve"> Robledo</w:t>
      </w:r>
      <w:r w:rsidR="003C46A3" w:rsidRPr="009F337B">
        <w:rPr>
          <w:i w:val="0"/>
          <w:szCs w:val="20"/>
          <w:lang w:val="en-US"/>
        </w:rPr>
        <w:t xml:space="preserve"> and </w:t>
      </w:r>
      <w:r w:rsidR="008D144A" w:rsidRPr="009F337B">
        <w:rPr>
          <w:i w:val="0"/>
          <w:szCs w:val="20"/>
          <w:lang w:val="en-US"/>
        </w:rPr>
        <w:t>her</w:t>
      </w:r>
      <w:r w:rsidR="003C2AC6" w:rsidRPr="009F337B">
        <w:rPr>
          <w:i w:val="0"/>
          <w:szCs w:val="20"/>
          <w:lang w:val="en-US"/>
        </w:rPr>
        <w:t xml:space="preserve"> </w:t>
      </w:r>
      <w:r w:rsidR="0010522A" w:rsidRPr="009F337B">
        <w:rPr>
          <w:i w:val="0"/>
          <w:szCs w:val="20"/>
          <w:lang w:val="en-US"/>
        </w:rPr>
        <w:t>son</w:t>
      </w:r>
      <w:r w:rsidR="003C2AC6" w:rsidRPr="009F337B">
        <w:rPr>
          <w:i w:val="0"/>
          <w:szCs w:val="20"/>
          <w:lang w:val="en-US"/>
        </w:rPr>
        <w:t xml:space="preserve"> L.A.L. </w:t>
      </w:r>
      <w:r w:rsidR="008D144A" w:rsidRPr="009F337B">
        <w:rPr>
          <w:i w:val="0"/>
          <w:szCs w:val="20"/>
          <w:lang w:val="en-US"/>
        </w:rPr>
        <w:t>were pointed at by people outside Clinic No. 12 because they consider that this health center is for “</w:t>
      </w:r>
      <w:proofErr w:type="spellStart"/>
      <w:r w:rsidR="008D144A" w:rsidRPr="009F337B">
        <w:rPr>
          <w:szCs w:val="20"/>
          <w:lang w:val="en-US"/>
        </w:rPr>
        <w:t>sidosos</w:t>
      </w:r>
      <w:proofErr w:type="spellEnd"/>
      <w:r w:rsidR="008D144A" w:rsidRPr="009F337B">
        <w:rPr>
          <w:i w:val="0"/>
          <w:szCs w:val="20"/>
          <w:lang w:val="en-US"/>
        </w:rPr>
        <w:t>.” It took her five hours to travel from her home to the Roosevelt Clinic, which resulted in expenses that obliged her to go into debt.</w:t>
      </w:r>
      <w:r w:rsidR="003C2AC6" w:rsidRPr="009F337B">
        <w:rPr>
          <w:rStyle w:val="Refdenotaalpie"/>
          <w:i w:val="0"/>
          <w:lang w:val="en-US"/>
        </w:rPr>
        <w:footnoteReference w:id="335"/>
      </w:r>
    </w:p>
    <w:p w14:paraId="185973CE" w14:textId="77777777" w:rsidR="003C2AC6" w:rsidRPr="009F337B" w:rsidRDefault="003C2AC6" w:rsidP="003C2AC6">
      <w:pPr>
        <w:pStyle w:val="Estilo1"/>
        <w:tabs>
          <w:tab w:val="left" w:pos="709"/>
          <w:tab w:val="left" w:pos="1134"/>
        </w:tabs>
        <w:spacing w:after="0"/>
        <w:ind w:left="0" w:right="-4" w:firstLine="0"/>
        <w:rPr>
          <w:i w:val="0"/>
          <w:szCs w:val="20"/>
          <w:lang w:val="en-US"/>
        </w:rPr>
      </w:pPr>
    </w:p>
    <w:p w14:paraId="3ABC5FE8" w14:textId="0756E9B3" w:rsidR="003C2AC6" w:rsidRPr="009F337B" w:rsidRDefault="00A758A5" w:rsidP="00593E37">
      <w:pPr>
        <w:pStyle w:val="Estilo1"/>
        <w:numPr>
          <w:ilvl w:val="0"/>
          <w:numId w:val="5"/>
        </w:numPr>
        <w:tabs>
          <w:tab w:val="left" w:pos="709"/>
          <w:tab w:val="left" w:pos="1134"/>
        </w:tabs>
        <w:spacing w:after="0"/>
        <w:ind w:left="0" w:right="-4" w:firstLine="0"/>
        <w:rPr>
          <w:i w:val="0"/>
          <w:szCs w:val="20"/>
          <w:lang w:val="en-US"/>
        </w:rPr>
      </w:pPr>
      <w:r w:rsidRPr="009F337B">
        <w:rPr>
          <w:i w:val="0"/>
          <w:szCs w:val="20"/>
          <w:lang w:val="en-US"/>
        </w:rPr>
        <w:t xml:space="preserve">Her family unit consists of her </w:t>
      </w:r>
      <w:r w:rsidR="0010522A" w:rsidRPr="009F337B">
        <w:rPr>
          <w:i w:val="0"/>
          <w:szCs w:val="20"/>
          <w:lang w:val="en-US"/>
        </w:rPr>
        <w:t>husband</w:t>
      </w:r>
      <w:r w:rsidR="003C2AC6" w:rsidRPr="009F337B">
        <w:rPr>
          <w:i w:val="0"/>
          <w:szCs w:val="20"/>
          <w:lang w:val="en-US"/>
        </w:rPr>
        <w:t xml:space="preserve"> Luis de León, </w:t>
      </w:r>
      <w:r w:rsidR="008D144A" w:rsidRPr="009F337B">
        <w:rPr>
          <w:i w:val="0"/>
          <w:szCs w:val="20"/>
          <w:lang w:val="en-US"/>
        </w:rPr>
        <w:t>her</w:t>
      </w:r>
      <w:r w:rsidR="003C2AC6" w:rsidRPr="009F337B">
        <w:rPr>
          <w:i w:val="0"/>
          <w:szCs w:val="20"/>
          <w:lang w:val="en-US"/>
        </w:rPr>
        <w:t xml:space="preserve"> </w:t>
      </w:r>
      <w:r w:rsidR="0010522A" w:rsidRPr="009F337B">
        <w:rPr>
          <w:i w:val="0"/>
          <w:szCs w:val="20"/>
          <w:lang w:val="en-US"/>
        </w:rPr>
        <w:t>son</w:t>
      </w:r>
      <w:r w:rsidR="003C2AC6" w:rsidRPr="009F337B">
        <w:rPr>
          <w:i w:val="0"/>
          <w:szCs w:val="20"/>
          <w:lang w:val="en-US"/>
        </w:rPr>
        <w:t xml:space="preserve"> L.A.L., </w:t>
      </w:r>
      <w:r w:rsidR="008D144A" w:rsidRPr="009F337B">
        <w:rPr>
          <w:i w:val="0"/>
          <w:szCs w:val="20"/>
          <w:lang w:val="en-US"/>
        </w:rPr>
        <w:t>her</w:t>
      </w:r>
      <w:r w:rsidR="003C2AC6" w:rsidRPr="009F337B">
        <w:rPr>
          <w:i w:val="0"/>
          <w:szCs w:val="20"/>
          <w:lang w:val="en-US"/>
        </w:rPr>
        <w:t xml:space="preserve"> </w:t>
      </w:r>
      <w:r w:rsidR="0010522A" w:rsidRPr="009F337B">
        <w:rPr>
          <w:i w:val="0"/>
          <w:szCs w:val="20"/>
          <w:lang w:val="en-US"/>
        </w:rPr>
        <w:t>father</w:t>
      </w:r>
      <w:r w:rsidR="003C2AC6" w:rsidRPr="009F337B">
        <w:rPr>
          <w:i w:val="0"/>
          <w:szCs w:val="20"/>
          <w:lang w:val="en-US"/>
        </w:rPr>
        <w:t xml:space="preserve"> Virgilio </w:t>
      </w:r>
      <w:proofErr w:type="spellStart"/>
      <w:r w:rsidR="003C2AC6" w:rsidRPr="009F337B">
        <w:rPr>
          <w:i w:val="0"/>
          <w:szCs w:val="20"/>
          <w:lang w:val="en-US"/>
        </w:rPr>
        <w:t>Ladislao</w:t>
      </w:r>
      <w:proofErr w:type="spellEnd"/>
      <w:r w:rsidR="003C2AC6" w:rsidRPr="009F337B">
        <w:rPr>
          <w:i w:val="0"/>
          <w:szCs w:val="20"/>
          <w:lang w:val="en-US"/>
        </w:rPr>
        <w:t xml:space="preserve"> Robledo Rodríguez</w:t>
      </w:r>
      <w:r w:rsidR="003C46A3" w:rsidRPr="009F337B">
        <w:rPr>
          <w:i w:val="0"/>
          <w:szCs w:val="20"/>
          <w:lang w:val="en-US"/>
        </w:rPr>
        <w:t xml:space="preserve"> and </w:t>
      </w:r>
      <w:r w:rsidR="008D144A" w:rsidRPr="009F337B">
        <w:rPr>
          <w:i w:val="0"/>
          <w:szCs w:val="20"/>
          <w:lang w:val="en-US"/>
        </w:rPr>
        <w:t>her</w:t>
      </w:r>
      <w:r w:rsidR="003C2AC6" w:rsidRPr="009F337B">
        <w:rPr>
          <w:i w:val="0"/>
          <w:szCs w:val="20"/>
          <w:lang w:val="en-US"/>
        </w:rPr>
        <w:t xml:space="preserve"> </w:t>
      </w:r>
      <w:r w:rsidR="0010522A" w:rsidRPr="009F337B">
        <w:rPr>
          <w:i w:val="0"/>
          <w:szCs w:val="20"/>
          <w:lang w:val="en-US"/>
        </w:rPr>
        <w:t>mother</w:t>
      </w:r>
      <w:r w:rsidR="003C2AC6" w:rsidRPr="009F337B">
        <w:rPr>
          <w:i w:val="0"/>
          <w:szCs w:val="20"/>
          <w:lang w:val="en-US"/>
        </w:rPr>
        <w:t xml:space="preserve"> Katarina Alvarado </w:t>
      </w:r>
      <w:proofErr w:type="spellStart"/>
      <w:r w:rsidR="003C2AC6" w:rsidRPr="009F337B">
        <w:rPr>
          <w:i w:val="0"/>
          <w:szCs w:val="20"/>
          <w:lang w:val="en-US"/>
        </w:rPr>
        <w:t>Mazariegos</w:t>
      </w:r>
      <w:proofErr w:type="spellEnd"/>
      <w:r w:rsidR="003C2AC6" w:rsidRPr="009F337B">
        <w:rPr>
          <w:i w:val="0"/>
          <w:szCs w:val="20"/>
          <w:lang w:val="en-US"/>
        </w:rPr>
        <w:t xml:space="preserve"> (</w:t>
      </w:r>
      <w:r w:rsidR="0010522A" w:rsidRPr="009F337B">
        <w:rPr>
          <w:i w:val="0"/>
          <w:szCs w:val="20"/>
          <w:lang w:val="en-US"/>
        </w:rPr>
        <w:t>deceased</w:t>
      </w:r>
      <w:r w:rsidR="003C2AC6" w:rsidRPr="009F337B">
        <w:rPr>
          <w:i w:val="0"/>
          <w:szCs w:val="20"/>
          <w:lang w:val="en-US"/>
        </w:rPr>
        <w:t xml:space="preserve">), </w:t>
      </w:r>
      <w:r w:rsidR="008D144A" w:rsidRPr="009F337B">
        <w:rPr>
          <w:i w:val="0"/>
          <w:szCs w:val="20"/>
          <w:lang w:val="en-US"/>
        </w:rPr>
        <w:t>her</w:t>
      </w:r>
      <w:r w:rsidR="003C2AC6" w:rsidRPr="009F337B">
        <w:rPr>
          <w:i w:val="0"/>
          <w:szCs w:val="20"/>
          <w:lang w:val="en-US"/>
        </w:rPr>
        <w:t xml:space="preserve"> </w:t>
      </w:r>
      <w:r w:rsidR="0010522A" w:rsidRPr="009F337B">
        <w:rPr>
          <w:i w:val="0"/>
          <w:szCs w:val="20"/>
          <w:lang w:val="en-US"/>
        </w:rPr>
        <w:t>brother</w:t>
      </w:r>
      <w:r w:rsidR="003C2AC6" w:rsidRPr="009F337B">
        <w:rPr>
          <w:i w:val="0"/>
          <w:szCs w:val="20"/>
          <w:lang w:val="en-US"/>
        </w:rPr>
        <w:t xml:space="preserve">s Osvaldo Romeo, </w:t>
      </w:r>
      <w:proofErr w:type="spellStart"/>
      <w:r w:rsidR="003C2AC6" w:rsidRPr="009F337B">
        <w:rPr>
          <w:i w:val="0"/>
          <w:szCs w:val="20"/>
          <w:lang w:val="en-US"/>
        </w:rPr>
        <w:t>Gelber</w:t>
      </w:r>
      <w:proofErr w:type="spellEnd"/>
      <w:r w:rsidR="003C2AC6" w:rsidRPr="009F337B">
        <w:rPr>
          <w:i w:val="0"/>
          <w:szCs w:val="20"/>
          <w:lang w:val="en-US"/>
        </w:rPr>
        <w:t xml:space="preserve"> Manuel, </w:t>
      </w:r>
      <w:proofErr w:type="spellStart"/>
      <w:r w:rsidR="003C2AC6" w:rsidRPr="009F337B">
        <w:rPr>
          <w:i w:val="0"/>
          <w:szCs w:val="20"/>
          <w:lang w:val="en-US"/>
        </w:rPr>
        <w:t>Kener</w:t>
      </w:r>
      <w:proofErr w:type="spellEnd"/>
      <w:r w:rsidR="003C2AC6" w:rsidRPr="009F337B">
        <w:rPr>
          <w:i w:val="0"/>
          <w:szCs w:val="20"/>
          <w:lang w:val="en-US"/>
        </w:rPr>
        <w:t xml:space="preserve"> </w:t>
      </w:r>
      <w:proofErr w:type="spellStart"/>
      <w:r w:rsidR="003C2AC6" w:rsidRPr="009F337B">
        <w:rPr>
          <w:i w:val="0"/>
          <w:szCs w:val="20"/>
          <w:lang w:val="en-US"/>
        </w:rPr>
        <w:t>Guilfredo</w:t>
      </w:r>
      <w:proofErr w:type="spellEnd"/>
      <w:r w:rsidR="003C2AC6" w:rsidRPr="009F337B">
        <w:rPr>
          <w:i w:val="0"/>
          <w:szCs w:val="20"/>
          <w:lang w:val="en-US"/>
        </w:rPr>
        <w:t xml:space="preserve">, Boanerges </w:t>
      </w:r>
      <w:proofErr w:type="spellStart"/>
      <w:r w:rsidR="003C2AC6" w:rsidRPr="009F337B">
        <w:rPr>
          <w:i w:val="0"/>
          <w:szCs w:val="20"/>
          <w:lang w:val="en-US"/>
        </w:rPr>
        <w:t>Onelio</w:t>
      </w:r>
      <w:proofErr w:type="spellEnd"/>
      <w:r w:rsidR="003C2AC6" w:rsidRPr="009F337B">
        <w:rPr>
          <w:i w:val="0"/>
          <w:szCs w:val="20"/>
          <w:lang w:val="en-US"/>
        </w:rPr>
        <w:t>,</w:t>
      </w:r>
      <w:r w:rsidR="003C46A3" w:rsidRPr="009F337B">
        <w:rPr>
          <w:i w:val="0"/>
          <w:szCs w:val="20"/>
          <w:lang w:val="en-US"/>
        </w:rPr>
        <w:t xml:space="preserve"> and </w:t>
      </w:r>
      <w:r w:rsidR="008D144A" w:rsidRPr="009F337B">
        <w:rPr>
          <w:i w:val="0"/>
          <w:szCs w:val="20"/>
          <w:lang w:val="en-US"/>
        </w:rPr>
        <w:t>her</w:t>
      </w:r>
      <w:r w:rsidR="003C2AC6" w:rsidRPr="009F337B">
        <w:rPr>
          <w:i w:val="0"/>
          <w:szCs w:val="20"/>
          <w:lang w:val="en-US"/>
        </w:rPr>
        <w:t xml:space="preserve"> </w:t>
      </w:r>
      <w:r w:rsidR="0010522A" w:rsidRPr="009F337B">
        <w:rPr>
          <w:i w:val="0"/>
          <w:szCs w:val="20"/>
          <w:lang w:val="en-US"/>
        </w:rPr>
        <w:t>sister</w:t>
      </w:r>
      <w:r w:rsidR="003C2AC6" w:rsidRPr="009F337B">
        <w:rPr>
          <w:i w:val="0"/>
          <w:szCs w:val="20"/>
          <w:lang w:val="en-US"/>
        </w:rPr>
        <w:t>s Bertha Luz</w:t>
      </w:r>
      <w:r w:rsidR="003C46A3" w:rsidRPr="009F337B">
        <w:rPr>
          <w:i w:val="0"/>
          <w:szCs w:val="20"/>
          <w:lang w:val="en-US"/>
        </w:rPr>
        <w:t xml:space="preserve"> and </w:t>
      </w:r>
      <w:r w:rsidR="003C2AC6" w:rsidRPr="009F337B">
        <w:rPr>
          <w:i w:val="0"/>
          <w:szCs w:val="20"/>
          <w:lang w:val="en-US"/>
        </w:rPr>
        <w:t xml:space="preserve">Leticia, </w:t>
      </w:r>
      <w:r w:rsidR="007B07E2" w:rsidRPr="009F337B">
        <w:rPr>
          <w:i w:val="0"/>
          <w:szCs w:val="20"/>
          <w:lang w:val="en-US"/>
        </w:rPr>
        <w:t>all</w:t>
      </w:r>
      <w:r w:rsidR="003C2AC6" w:rsidRPr="009F337B">
        <w:rPr>
          <w:i w:val="0"/>
          <w:szCs w:val="20"/>
          <w:lang w:val="en-US"/>
        </w:rPr>
        <w:t xml:space="preserve"> Robledo Alvarado,</w:t>
      </w:r>
      <w:r w:rsidR="003C46A3" w:rsidRPr="009F337B">
        <w:rPr>
          <w:i w:val="0"/>
          <w:szCs w:val="20"/>
          <w:lang w:val="en-US"/>
        </w:rPr>
        <w:t xml:space="preserve"> and </w:t>
      </w:r>
      <w:r w:rsidR="008D144A" w:rsidRPr="009F337B">
        <w:rPr>
          <w:i w:val="0"/>
          <w:szCs w:val="20"/>
          <w:lang w:val="en-US"/>
        </w:rPr>
        <w:t>her</w:t>
      </w:r>
      <w:r w:rsidR="003C2AC6" w:rsidRPr="009F337B">
        <w:rPr>
          <w:i w:val="0"/>
          <w:szCs w:val="20"/>
          <w:lang w:val="en-US"/>
        </w:rPr>
        <w:t xml:space="preserve"> </w:t>
      </w:r>
      <w:r w:rsidR="0010522A" w:rsidRPr="009F337B">
        <w:rPr>
          <w:i w:val="0"/>
          <w:szCs w:val="20"/>
          <w:lang w:val="en-US"/>
        </w:rPr>
        <w:t>nephew</w:t>
      </w:r>
      <w:r w:rsidR="003C2AC6" w:rsidRPr="009F337B">
        <w:rPr>
          <w:i w:val="0"/>
          <w:szCs w:val="20"/>
          <w:lang w:val="en-US"/>
        </w:rPr>
        <w:t xml:space="preserve"> Edvin </w:t>
      </w:r>
      <w:proofErr w:type="spellStart"/>
      <w:r w:rsidR="003C2AC6" w:rsidRPr="009F337B">
        <w:rPr>
          <w:i w:val="0"/>
          <w:szCs w:val="20"/>
          <w:lang w:val="en-US"/>
        </w:rPr>
        <w:t>Otoniel</w:t>
      </w:r>
      <w:proofErr w:type="spellEnd"/>
      <w:r w:rsidR="003C2AC6" w:rsidRPr="009F337B">
        <w:rPr>
          <w:i w:val="0"/>
          <w:szCs w:val="20"/>
          <w:lang w:val="en-US"/>
        </w:rPr>
        <w:t xml:space="preserve"> Gómez Robledo Alvarado</w:t>
      </w:r>
      <w:r w:rsidR="008D144A" w:rsidRPr="009F337B">
        <w:rPr>
          <w:i w:val="0"/>
          <w:szCs w:val="20"/>
          <w:lang w:val="en-US"/>
        </w:rPr>
        <w:t>.</w:t>
      </w:r>
      <w:r w:rsidR="003C2AC6" w:rsidRPr="009F337B">
        <w:rPr>
          <w:rStyle w:val="Refdenotaalpie"/>
          <w:i w:val="0"/>
          <w:lang w:val="en-US"/>
        </w:rPr>
        <w:footnoteReference w:id="336"/>
      </w:r>
    </w:p>
    <w:p w14:paraId="67B8185A" w14:textId="77777777" w:rsidR="003C2AC6" w:rsidRPr="009F337B" w:rsidRDefault="003C2AC6" w:rsidP="003C2AC6">
      <w:pPr>
        <w:pStyle w:val="PrrafodeSentencia"/>
        <w:rPr>
          <w:lang w:val="en-US"/>
        </w:rPr>
      </w:pPr>
    </w:p>
    <w:p w14:paraId="1C8B2311" w14:textId="77777777" w:rsidR="003C2AC6" w:rsidRPr="009F337B" w:rsidRDefault="003C2AC6" w:rsidP="003C2AC6">
      <w:pPr>
        <w:pStyle w:val="PrrafodeSentencia"/>
        <w:rPr>
          <w:lang w:val="en-US"/>
        </w:rPr>
      </w:pPr>
      <w:r w:rsidRPr="009F337B">
        <w:rPr>
          <w:lang w:val="en-US"/>
        </w:rPr>
        <w:tab/>
        <w:t>B.24. Audencio Rodas Rodríguez</w:t>
      </w:r>
    </w:p>
    <w:p w14:paraId="20CD0C02" w14:textId="77777777" w:rsidR="003C2AC6" w:rsidRPr="009F337B" w:rsidRDefault="003C2AC6" w:rsidP="003C2AC6">
      <w:pPr>
        <w:pStyle w:val="PrrafodeSentencia"/>
        <w:rPr>
          <w:lang w:val="en-US"/>
        </w:rPr>
      </w:pPr>
    </w:p>
    <w:p w14:paraId="7552717B" w14:textId="4F6D302B" w:rsidR="003C2AC6" w:rsidRPr="009F337B" w:rsidRDefault="007F1AEB" w:rsidP="00593E37">
      <w:pPr>
        <w:pStyle w:val="Estilo1"/>
        <w:numPr>
          <w:ilvl w:val="0"/>
          <w:numId w:val="5"/>
        </w:numPr>
        <w:tabs>
          <w:tab w:val="left" w:pos="709"/>
          <w:tab w:val="left" w:pos="1134"/>
        </w:tabs>
        <w:spacing w:after="0"/>
        <w:ind w:left="0" w:right="-4" w:firstLine="0"/>
        <w:rPr>
          <w:i w:val="0"/>
          <w:szCs w:val="20"/>
          <w:lang w:val="en-US"/>
        </w:rPr>
      </w:pPr>
      <w:r w:rsidRPr="009F337B">
        <w:rPr>
          <w:i w:val="0"/>
          <w:szCs w:val="20"/>
          <w:lang w:val="en-US"/>
        </w:rPr>
        <w:t>Mr.</w:t>
      </w:r>
      <w:r w:rsidR="003C2AC6" w:rsidRPr="009F337B">
        <w:rPr>
          <w:i w:val="0"/>
          <w:szCs w:val="20"/>
          <w:lang w:val="en-US"/>
        </w:rPr>
        <w:t xml:space="preserve"> </w:t>
      </w:r>
      <w:proofErr w:type="spellStart"/>
      <w:r w:rsidR="003C2AC6" w:rsidRPr="009F337B">
        <w:rPr>
          <w:i w:val="0"/>
          <w:szCs w:val="20"/>
          <w:lang w:val="en-US"/>
        </w:rPr>
        <w:t>Rodas</w:t>
      </w:r>
      <w:proofErr w:type="spellEnd"/>
      <w:r w:rsidR="003C2AC6" w:rsidRPr="009F337B">
        <w:rPr>
          <w:i w:val="0"/>
          <w:szCs w:val="20"/>
          <w:lang w:val="en-US"/>
        </w:rPr>
        <w:t xml:space="preserve"> Rodríguez </w:t>
      </w:r>
      <w:r w:rsidR="008D144A" w:rsidRPr="009F337B">
        <w:rPr>
          <w:i w:val="0"/>
          <w:szCs w:val="20"/>
          <w:lang w:val="en-US"/>
        </w:rPr>
        <w:t xml:space="preserve">was born on May 22, 1942, in </w:t>
      </w:r>
      <w:r w:rsidR="00805FE9" w:rsidRPr="009F337B">
        <w:rPr>
          <w:i w:val="0"/>
          <w:szCs w:val="20"/>
          <w:lang w:val="en-US"/>
        </w:rPr>
        <w:t xml:space="preserve">the </w:t>
      </w:r>
      <w:r w:rsidR="00D85CA7" w:rsidRPr="009F337B">
        <w:rPr>
          <w:i w:val="0"/>
          <w:szCs w:val="20"/>
          <w:lang w:val="en-US"/>
        </w:rPr>
        <w:t>municipality of</w:t>
      </w:r>
      <w:r w:rsidR="003C2AC6" w:rsidRPr="009F337B">
        <w:rPr>
          <w:i w:val="0"/>
          <w:szCs w:val="20"/>
          <w:lang w:val="en-US"/>
        </w:rPr>
        <w:t xml:space="preserve"> </w:t>
      </w:r>
      <w:proofErr w:type="spellStart"/>
      <w:r w:rsidR="003C2AC6" w:rsidRPr="009F337B">
        <w:rPr>
          <w:i w:val="0"/>
          <w:szCs w:val="20"/>
          <w:lang w:val="en-US"/>
        </w:rPr>
        <w:t>Malacatán</w:t>
      </w:r>
      <w:proofErr w:type="spellEnd"/>
      <w:r w:rsidR="003C2AC6" w:rsidRPr="009F337B">
        <w:rPr>
          <w:i w:val="0"/>
          <w:szCs w:val="20"/>
          <w:lang w:val="en-US"/>
        </w:rPr>
        <w:t xml:space="preserve">, </w:t>
      </w:r>
      <w:r w:rsidR="003E1304" w:rsidRPr="009F337B">
        <w:rPr>
          <w:i w:val="0"/>
          <w:szCs w:val="20"/>
          <w:lang w:val="en-US"/>
        </w:rPr>
        <w:t>department of</w:t>
      </w:r>
      <w:r w:rsidR="003C2AC6" w:rsidRPr="009F337B">
        <w:rPr>
          <w:i w:val="0"/>
          <w:szCs w:val="20"/>
          <w:lang w:val="en-US"/>
        </w:rPr>
        <w:t xml:space="preserve"> San Marcos, Guatemala</w:t>
      </w:r>
      <w:r w:rsidR="008D144A" w:rsidRPr="009F337B">
        <w:rPr>
          <w:i w:val="0"/>
          <w:szCs w:val="20"/>
          <w:lang w:val="en-US"/>
        </w:rPr>
        <w:t xml:space="preserve">, and lives there now. He completed the first year of </w:t>
      </w:r>
      <w:r w:rsidR="00327D89" w:rsidRPr="009F337B">
        <w:rPr>
          <w:i w:val="0"/>
          <w:szCs w:val="20"/>
          <w:lang w:val="en-US"/>
        </w:rPr>
        <w:t>primary education</w:t>
      </w:r>
      <w:r w:rsidR="008D144A" w:rsidRPr="009F337B">
        <w:rPr>
          <w:i w:val="0"/>
          <w:szCs w:val="20"/>
          <w:lang w:val="en-US"/>
        </w:rPr>
        <w:t xml:space="preserve">. He worked in carpentry. </w:t>
      </w:r>
      <w:r w:rsidRPr="009F337B">
        <w:rPr>
          <w:i w:val="0"/>
          <w:szCs w:val="20"/>
          <w:lang w:val="en-US"/>
        </w:rPr>
        <w:t xml:space="preserve">He </w:t>
      </w:r>
      <w:r w:rsidR="00AE674B" w:rsidRPr="009F337B">
        <w:rPr>
          <w:i w:val="0"/>
          <w:szCs w:val="20"/>
          <w:lang w:val="en-US"/>
        </w:rPr>
        <w:t>was diagnosed with</w:t>
      </w:r>
      <w:r w:rsidR="003C2AC6" w:rsidRPr="009F337B">
        <w:rPr>
          <w:i w:val="0"/>
          <w:szCs w:val="20"/>
          <w:lang w:val="en-US"/>
        </w:rPr>
        <w:t xml:space="preserve"> </w:t>
      </w:r>
      <w:r w:rsidR="00CA11F6" w:rsidRPr="009F337B">
        <w:rPr>
          <w:i w:val="0"/>
          <w:szCs w:val="20"/>
          <w:lang w:val="en-US"/>
        </w:rPr>
        <w:t>HIV</w:t>
      </w:r>
      <w:r w:rsidR="003C2AC6" w:rsidRPr="009F337B">
        <w:rPr>
          <w:i w:val="0"/>
          <w:szCs w:val="20"/>
          <w:lang w:val="en-US"/>
        </w:rPr>
        <w:t xml:space="preserve"> </w:t>
      </w:r>
      <w:r w:rsidR="008D144A" w:rsidRPr="009F337B">
        <w:rPr>
          <w:i w:val="0"/>
          <w:szCs w:val="20"/>
          <w:lang w:val="en-US"/>
        </w:rPr>
        <w:t>in</w:t>
      </w:r>
      <w:r w:rsidR="003C2AC6" w:rsidRPr="009F337B">
        <w:rPr>
          <w:i w:val="0"/>
          <w:szCs w:val="20"/>
          <w:lang w:val="en-US"/>
        </w:rPr>
        <w:t xml:space="preserve"> 1998.</w:t>
      </w:r>
      <w:r w:rsidR="003C2AC6" w:rsidRPr="009F337B">
        <w:rPr>
          <w:rStyle w:val="Refdenotaalpie"/>
          <w:i w:val="0"/>
          <w:lang w:val="en-US"/>
        </w:rPr>
        <w:t xml:space="preserve"> </w:t>
      </w:r>
      <w:r w:rsidR="008D144A" w:rsidRPr="009F337B">
        <w:rPr>
          <w:i w:val="0"/>
          <w:szCs w:val="20"/>
          <w:lang w:val="en-US"/>
        </w:rPr>
        <w:t>He abandoned his job owing to the</w:t>
      </w:r>
      <w:r w:rsidR="003C2AC6" w:rsidRPr="009F337B">
        <w:rPr>
          <w:i w:val="0"/>
          <w:szCs w:val="20"/>
          <w:lang w:val="en-US"/>
        </w:rPr>
        <w:t xml:space="preserve"> </w:t>
      </w:r>
      <w:r w:rsidR="00BB39B6" w:rsidRPr="009F337B">
        <w:rPr>
          <w:i w:val="0"/>
          <w:szCs w:val="20"/>
          <w:lang w:val="en-US"/>
        </w:rPr>
        <w:t>diarrhea</w:t>
      </w:r>
      <w:r w:rsidR="003C2AC6" w:rsidRPr="009F337B">
        <w:rPr>
          <w:i w:val="0"/>
          <w:szCs w:val="20"/>
          <w:lang w:val="en-US"/>
        </w:rPr>
        <w:t xml:space="preserve">, </w:t>
      </w:r>
      <w:r w:rsidR="008D144A" w:rsidRPr="009F337B">
        <w:rPr>
          <w:i w:val="0"/>
          <w:szCs w:val="20"/>
          <w:lang w:val="en-US"/>
        </w:rPr>
        <w:t>fevers</w:t>
      </w:r>
      <w:r w:rsidR="003C46A3" w:rsidRPr="009F337B">
        <w:rPr>
          <w:i w:val="0"/>
          <w:szCs w:val="20"/>
          <w:lang w:val="en-US"/>
        </w:rPr>
        <w:t xml:space="preserve"> and </w:t>
      </w:r>
      <w:r w:rsidR="008D144A" w:rsidRPr="009F337B">
        <w:rPr>
          <w:i w:val="0"/>
          <w:szCs w:val="20"/>
          <w:lang w:val="en-US"/>
        </w:rPr>
        <w:t>fungi</w:t>
      </w:r>
      <w:r w:rsidR="003C2AC6" w:rsidRPr="009F337B">
        <w:rPr>
          <w:i w:val="0"/>
          <w:szCs w:val="20"/>
          <w:lang w:val="en-US"/>
        </w:rPr>
        <w:t xml:space="preserve"> </w:t>
      </w:r>
      <w:r w:rsidR="008D144A" w:rsidRPr="009F337B">
        <w:rPr>
          <w:i w:val="0"/>
          <w:szCs w:val="20"/>
          <w:lang w:val="en-US"/>
        </w:rPr>
        <w:t xml:space="preserve">caused by the infection. In 2001, he began treatment with MSF’s </w:t>
      </w:r>
      <w:r w:rsidR="00AE674B" w:rsidRPr="009F337B">
        <w:rPr>
          <w:szCs w:val="20"/>
          <w:lang w:val="en-US"/>
        </w:rPr>
        <w:t>Proyecto Vida</w:t>
      </w:r>
      <w:r w:rsidR="003C2AC6" w:rsidRPr="009F337B">
        <w:rPr>
          <w:i w:val="0"/>
          <w:szCs w:val="20"/>
          <w:lang w:val="en-US"/>
        </w:rPr>
        <w:t xml:space="preserve">, </w:t>
      </w:r>
      <w:r w:rsidR="008D144A" w:rsidRPr="009F337B">
        <w:rPr>
          <w:i w:val="0"/>
          <w:szCs w:val="20"/>
          <w:lang w:val="en-US"/>
        </w:rPr>
        <w:t>where he was provided with</w:t>
      </w:r>
      <w:r w:rsidR="003C2AC6" w:rsidRPr="009F337B">
        <w:rPr>
          <w:i w:val="0"/>
          <w:szCs w:val="20"/>
          <w:lang w:val="en-US"/>
        </w:rPr>
        <w:t xml:space="preserve"> </w:t>
      </w:r>
      <w:r w:rsidR="00FE1EFF" w:rsidRPr="009F337B">
        <w:rPr>
          <w:i w:val="0"/>
          <w:szCs w:val="20"/>
          <w:lang w:val="en-US"/>
        </w:rPr>
        <w:t>antiretroviral treatment</w:t>
      </w:r>
      <w:r w:rsidR="003C2AC6" w:rsidRPr="009F337B">
        <w:rPr>
          <w:i w:val="0"/>
          <w:szCs w:val="20"/>
          <w:lang w:val="en-US"/>
        </w:rPr>
        <w:t>, medica</w:t>
      </w:r>
      <w:r w:rsidR="008D144A" w:rsidRPr="009F337B">
        <w:rPr>
          <w:i w:val="0"/>
          <w:szCs w:val="20"/>
          <w:lang w:val="en-US"/>
        </w:rPr>
        <w:t xml:space="preserve">tion for the fungal infections and CD4 counts, but not viral load testing. </w:t>
      </w:r>
      <w:r w:rsidR="00A32732" w:rsidRPr="009F337B">
        <w:rPr>
          <w:i w:val="0"/>
          <w:szCs w:val="20"/>
          <w:lang w:val="en-US"/>
        </w:rPr>
        <w:t xml:space="preserve">Subsequently, he was transferred to Clinic No. 12 </w:t>
      </w:r>
      <w:r w:rsidR="00A758A5" w:rsidRPr="009F337B">
        <w:rPr>
          <w:i w:val="0"/>
          <w:szCs w:val="20"/>
          <w:lang w:val="en-US"/>
        </w:rPr>
        <w:t xml:space="preserve">of the </w:t>
      </w:r>
      <w:proofErr w:type="spellStart"/>
      <w:r w:rsidR="00BD5E94" w:rsidRPr="009F337B">
        <w:rPr>
          <w:i w:val="0"/>
          <w:szCs w:val="20"/>
          <w:lang w:val="en-US"/>
        </w:rPr>
        <w:t>Coatepeque</w:t>
      </w:r>
      <w:proofErr w:type="spellEnd"/>
      <w:r w:rsidR="00BD5E94" w:rsidRPr="009F337B">
        <w:rPr>
          <w:i w:val="0"/>
          <w:szCs w:val="20"/>
          <w:lang w:val="en-US"/>
        </w:rPr>
        <w:t xml:space="preserve"> National Hospital</w:t>
      </w:r>
      <w:r w:rsidR="003C2AC6" w:rsidRPr="009F337B">
        <w:rPr>
          <w:i w:val="0"/>
          <w:szCs w:val="20"/>
          <w:lang w:val="en-US"/>
        </w:rPr>
        <w:t>,</w:t>
      </w:r>
      <w:r w:rsidR="003C46A3" w:rsidRPr="009F337B">
        <w:rPr>
          <w:i w:val="0"/>
          <w:szCs w:val="20"/>
          <w:lang w:val="en-US"/>
        </w:rPr>
        <w:t xml:space="preserve"> and </w:t>
      </w:r>
      <w:r w:rsidR="008D144A" w:rsidRPr="009F337B">
        <w:rPr>
          <w:i w:val="0"/>
          <w:szCs w:val="20"/>
          <w:lang w:val="en-US"/>
        </w:rPr>
        <w:t>finally to the</w:t>
      </w:r>
      <w:r w:rsidR="003C2AC6" w:rsidRPr="009F337B">
        <w:rPr>
          <w:i w:val="0"/>
          <w:szCs w:val="20"/>
          <w:lang w:val="en-US"/>
        </w:rPr>
        <w:t xml:space="preserve"> </w:t>
      </w:r>
      <w:proofErr w:type="spellStart"/>
      <w:r w:rsidR="003C2AC6" w:rsidRPr="009F337B">
        <w:rPr>
          <w:i w:val="0"/>
          <w:szCs w:val="20"/>
          <w:lang w:val="en-US"/>
        </w:rPr>
        <w:t>Malacatán</w:t>
      </w:r>
      <w:proofErr w:type="spellEnd"/>
      <w:r w:rsidR="008D144A" w:rsidRPr="009F337B">
        <w:rPr>
          <w:i w:val="0"/>
          <w:szCs w:val="20"/>
          <w:lang w:val="en-US"/>
        </w:rPr>
        <w:t xml:space="preserve"> Hospital</w:t>
      </w:r>
      <w:r w:rsidR="003C2AC6" w:rsidRPr="009F337B">
        <w:rPr>
          <w:i w:val="0"/>
          <w:szCs w:val="20"/>
          <w:lang w:val="en-US"/>
        </w:rPr>
        <w:t xml:space="preserve">. </w:t>
      </w:r>
      <w:r w:rsidR="008D144A" w:rsidRPr="009F337B">
        <w:rPr>
          <w:i w:val="0"/>
          <w:szCs w:val="20"/>
          <w:lang w:val="en-US"/>
        </w:rPr>
        <w:t xml:space="preserve">He has undergone CD4 counts </w:t>
      </w:r>
      <w:r w:rsidR="003C46A3" w:rsidRPr="009F337B">
        <w:rPr>
          <w:i w:val="0"/>
          <w:szCs w:val="20"/>
          <w:lang w:val="en-US"/>
        </w:rPr>
        <w:t xml:space="preserve">and </w:t>
      </w:r>
      <w:r w:rsidR="00CC4867" w:rsidRPr="009F337B">
        <w:rPr>
          <w:i w:val="0"/>
          <w:szCs w:val="20"/>
          <w:lang w:val="en-US"/>
        </w:rPr>
        <w:t>viral load</w:t>
      </w:r>
      <w:r w:rsidR="003C2AC6" w:rsidRPr="009F337B">
        <w:rPr>
          <w:i w:val="0"/>
          <w:szCs w:val="20"/>
          <w:lang w:val="en-US"/>
        </w:rPr>
        <w:t xml:space="preserve"> </w:t>
      </w:r>
      <w:r w:rsidR="008D144A" w:rsidRPr="009F337B">
        <w:rPr>
          <w:i w:val="0"/>
          <w:szCs w:val="20"/>
          <w:lang w:val="en-US"/>
        </w:rPr>
        <w:t xml:space="preserve">tests irregularly, but not </w:t>
      </w:r>
      <w:r w:rsidR="003B5D80" w:rsidRPr="009F337B">
        <w:rPr>
          <w:i w:val="0"/>
          <w:szCs w:val="20"/>
          <w:lang w:val="en-US"/>
        </w:rPr>
        <w:t>genotype</w:t>
      </w:r>
      <w:r w:rsidR="003C2AC6" w:rsidRPr="009F337B">
        <w:rPr>
          <w:i w:val="0"/>
          <w:szCs w:val="20"/>
          <w:lang w:val="en-US"/>
        </w:rPr>
        <w:t xml:space="preserve"> </w:t>
      </w:r>
      <w:r w:rsidR="008D144A" w:rsidRPr="009F337B">
        <w:rPr>
          <w:i w:val="0"/>
          <w:szCs w:val="20"/>
          <w:lang w:val="en-US"/>
        </w:rPr>
        <w:t>or</w:t>
      </w:r>
      <w:r w:rsidR="003C2AC6" w:rsidRPr="009F337B">
        <w:rPr>
          <w:i w:val="0"/>
          <w:szCs w:val="20"/>
          <w:lang w:val="en-US"/>
        </w:rPr>
        <w:t xml:space="preserve"> </w:t>
      </w:r>
      <w:r w:rsidR="003B5D80" w:rsidRPr="009F337B">
        <w:rPr>
          <w:i w:val="0"/>
          <w:szCs w:val="20"/>
          <w:lang w:val="en-US"/>
        </w:rPr>
        <w:t>phenotype</w:t>
      </w:r>
      <w:r w:rsidR="008D144A" w:rsidRPr="009F337B">
        <w:rPr>
          <w:i w:val="0"/>
          <w:szCs w:val="20"/>
          <w:lang w:val="en-US"/>
        </w:rPr>
        <w:t xml:space="preserve"> test</w:t>
      </w:r>
      <w:r w:rsidR="00C13A2E" w:rsidRPr="009F337B">
        <w:rPr>
          <w:i w:val="0"/>
          <w:szCs w:val="20"/>
          <w:lang w:val="en-US"/>
        </w:rPr>
        <w:t>ing</w:t>
      </w:r>
      <w:r w:rsidR="003C2AC6" w:rsidRPr="009F337B">
        <w:rPr>
          <w:i w:val="0"/>
          <w:szCs w:val="20"/>
          <w:lang w:val="en-US"/>
        </w:rPr>
        <w:t xml:space="preserve">. </w:t>
      </w:r>
      <w:r w:rsidR="008D144A" w:rsidRPr="009F337B">
        <w:rPr>
          <w:i w:val="0"/>
          <w:szCs w:val="20"/>
          <w:lang w:val="en-US"/>
        </w:rPr>
        <w:t>H</w:t>
      </w:r>
      <w:r w:rsidR="00C13A2E" w:rsidRPr="009F337B">
        <w:rPr>
          <w:i w:val="0"/>
          <w:szCs w:val="20"/>
          <w:lang w:val="en-US"/>
        </w:rPr>
        <w:t>e</w:t>
      </w:r>
      <w:r w:rsidR="008D144A" w:rsidRPr="009F337B">
        <w:rPr>
          <w:i w:val="0"/>
          <w:szCs w:val="20"/>
          <w:lang w:val="en-US"/>
        </w:rPr>
        <w:t xml:space="preserve"> has suffered from</w:t>
      </w:r>
      <w:r w:rsidR="003C2AC6" w:rsidRPr="009F337B">
        <w:rPr>
          <w:i w:val="0"/>
          <w:szCs w:val="20"/>
          <w:lang w:val="en-US"/>
        </w:rPr>
        <w:t xml:space="preserve"> </w:t>
      </w:r>
      <w:r w:rsidR="008D144A" w:rsidRPr="009F337B">
        <w:rPr>
          <w:i w:val="0"/>
          <w:szCs w:val="20"/>
          <w:lang w:val="en-US"/>
        </w:rPr>
        <w:t>o</w:t>
      </w:r>
      <w:r w:rsidR="00B23B9B" w:rsidRPr="009F337B">
        <w:rPr>
          <w:i w:val="0"/>
          <w:szCs w:val="20"/>
          <w:lang w:val="en-US"/>
        </w:rPr>
        <w:t>ral hairy leukoplakia</w:t>
      </w:r>
      <w:r w:rsidR="003C2AC6" w:rsidRPr="009F337B">
        <w:rPr>
          <w:i w:val="0"/>
          <w:szCs w:val="20"/>
          <w:lang w:val="en-US"/>
        </w:rPr>
        <w:t xml:space="preserve">, </w:t>
      </w:r>
      <w:r w:rsidR="008D144A" w:rsidRPr="009F337B">
        <w:rPr>
          <w:i w:val="0"/>
          <w:szCs w:val="20"/>
          <w:lang w:val="en-US"/>
        </w:rPr>
        <w:t xml:space="preserve">severe bacterial </w:t>
      </w:r>
      <w:r w:rsidR="0015205F" w:rsidRPr="009F337B">
        <w:rPr>
          <w:i w:val="0"/>
          <w:szCs w:val="20"/>
          <w:lang w:val="en-US"/>
        </w:rPr>
        <w:t>pneumonia</w:t>
      </w:r>
      <w:r w:rsidR="003C2AC6" w:rsidRPr="009F337B">
        <w:rPr>
          <w:i w:val="0"/>
          <w:szCs w:val="20"/>
          <w:lang w:val="en-US"/>
        </w:rPr>
        <w:t>, herpes zoster</w:t>
      </w:r>
      <w:r w:rsidR="003C46A3" w:rsidRPr="009F337B">
        <w:rPr>
          <w:i w:val="0"/>
          <w:szCs w:val="20"/>
          <w:lang w:val="en-US"/>
        </w:rPr>
        <w:t xml:space="preserve"> and </w:t>
      </w:r>
      <w:r w:rsidR="00BB39B6" w:rsidRPr="009F337B">
        <w:rPr>
          <w:i w:val="0"/>
          <w:szCs w:val="20"/>
          <w:lang w:val="en-US"/>
        </w:rPr>
        <w:t>diarrhea</w:t>
      </w:r>
      <w:r w:rsidR="003C2AC6" w:rsidRPr="009F337B">
        <w:rPr>
          <w:i w:val="0"/>
          <w:szCs w:val="20"/>
          <w:lang w:val="en-US"/>
        </w:rPr>
        <w:t xml:space="preserve">. </w:t>
      </w:r>
      <w:r w:rsidR="008D144A" w:rsidRPr="009F337B">
        <w:rPr>
          <w:i w:val="0"/>
          <w:szCs w:val="20"/>
          <w:lang w:val="en-US"/>
        </w:rPr>
        <w:t xml:space="preserve">He has not received nutritional or psychological support, or </w:t>
      </w:r>
      <w:r w:rsidR="00F93469" w:rsidRPr="009F337B">
        <w:rPr>
          <w:i w:val="0"/>
          <w:szCs w:val="20"/>
          <w:lang w:val="en-US"/>
        </w:rPr>
        <w:t>family, community and home-based care</w:t>
      </w:r>
      <w:r w:rsidR="008D144A" w:rsidRPr="009F337B">
        <w:rPr>
          <w:i w:val="0"/>
          <w:szCs w:val="20"/>
          <w:lang w:val="en-US"/>
        </w:rPr>
        <w:t xml:space="preserve">. He has been provided with condoms and lubricants. Owing to the deterioration of the health of </w:t>
      </w:r>
      <w:r w:rsidRPr="009F337B">
        <w:rPr>
          <w:i w:val="0"/>
          <w:szCs w:val="20"/>
          <w:lang w:val="en-US"/>
        </w:rPr>
        <w:t>Mr.</w:t>
      </w:r>
      <w:r w:rsidR="003C2AC6" w:rsidRPr="009F337B">
        <w:rPr>
          <w:i w:val="0"/>
          <w:szCs w:val="20"/>
          <w:lang w:val="en-US"/>
        </w:rPr>
        <w:t xml:space="preserve"> </w:t>
      </w:r>
      <w:proofErr w:type="spellStart"/>
      <w:r w:rsidR="003C2AC6" w:rsidRPr="009F337B">
        <w:rPr>
          <w:i w:val="0"/>
          <w:szCs w:val="20"/>
          <w:lang w:val="en-US"/>
        </w:rPr>
        <w:t>Rodas</w:t>
      </w:r>
      <w:proofErr w:type="spellEnd"/>
      <w:r w:rsidR="003C2AC6" w:rsidRPr="009F337B">
        <w:rPr>
          <w:i w:val="0"/>
          <w:szCs w:val="20"/>
          <w:lang w:val="en-US"/>
        </w:rPr>
        <w:t xml:space="preserve"> Rodríguez</w:t>
      </w:r>
      <w:r w:rsidR="008D144A" w:rsidRPr="009F337B">
        <w:rPr>
          <w:i w:val="0"/>
          <w:szCs w:val="20"/>
          <w:lang w:val="en-US"/>
        </w:rPr>
        <w:t>,</w:t>
      </w:r>
      <w:r w:rsidR="003C2AC6" w:rsidRPr="009F337B">
        <w:rPr>
          <w:i w:val="0"/>
          <w:szCs w:val="20"/>
          <w:lang w:val="en-US"/>
        </w:rPr>
        <w:t xml:space="preserve"> </w:t>
      </w:r>
      <w:r w:rsidR="008D144A" w:rsidRPr="009F337B">
        <w:rPr>
          <w:i w:val="0"/>
          <w:szCs w:val="20"/>
          <w:lang w:val="en-US"/>
        </w:rPr>
        <w:t>his</w:t>
      </w:r>
      <w:r w:rsidR="003C2AC6" w:rsidRPr="009F337B">
        <w:rPr>
          <w:i w:val="0"/>
          <w:szCs w:val="20"/>
          <w:lang w:val="en-US"/>
        </w:rPr>
        <w:t xml:space="preserve"> </w:t>
      </w:r>
      <w:r w:rsidR="0010522A" w:rsidRPr="009F337B">
        <w:rPr>
          <w:i w:val="0"/>
          <w:szCs w:val="20"/>
          <w:lang w:val="en-US"/>
        </w:rPr>
        <w:t>wife</w:t>
      </w:r>
      <w:r w:rsidR="003C46A3" w:rsidRPr="009F337B">
        <w:rPr>
          <w:i w:val="0"/>
          <w:szCs w:val="20"/>
          <w:lang w:val="en-US"/>
        </w:rPr>
        <w:t xml:space="preserve"> and </w:t>
      </w:r>
      <w:r w:rsidR="008D144A" w:rsidRPr="009F337B">
        <w:rPr>
          <w:i w:val="0"/>
          <w:szCs w:val="20"/>
          <w:lang w:val="en-US"/>
        </w:rPr>
        <w:t>his</w:t>
      </w:r>
      <w:r w:rsidR="003C2AC6" w:rsidRPr="009F337B">
        <w:rPr>
          <w:i w:val="0"/>
          <w:szCs w:val="20"/>
          <w:lang w:val="en-US"/>
        </w:rPr>
        <w:t xml:space="preserve"> </w:t>
      </w:r>
      <w:r w:rsidR="0010522A" w:rsidRPr="009F337B">
        <w:rPr>
          <w:i w:val="0"/>
          <w:szCs w:val="20"/>
          <w:lang w:val="en-US"/>
        </w:rPr>
        <w:t>daughter</w:t>
      </w:r>
      <w:r w:rsidR="003C2AC6" w:rsidRPr="009F337B">
        <w:rPr>
          <w:i w:val="0"/>
          <w:szCs w:val="20"/>
          <w:lang w:val="en-US"/>
        </w:rPr>
        <w:t xml:space="preserve">s </w:t>
      </w:r>
      <w:r w:rsidR="008D144A" w:rsidRPr="009F337B">
        <w:rPr>
          <w:i w:val="0"/>
          <w:szCs w:val="20"/>
          <w:lang w:val="en-US"/>
        </w:rPr>
        <w:t>were obliged to work to maintain the family, which</w:t>
      </w:r>
      <w:r w:rsidR="001325FB" w:rsidRPr="009F337B">
        <w:rPr>
          <w:i w:val="0"/>
          <w:szCs w:val="20"/>
          <w:lang w:val="en-US"/>
        </w:rPr>
        <w:t xml:space="preserve">, in the words of </w:t>
      </w:r>
      <w:r w:rsidRPr="009F337B">
        <w:rPr>
          <w:i w:val="0"/>
          <w:szCs w:val="20"/>
          <w:lang w:val="en-US"/>
        </w:rPr>
        <w:t>Mr.</w:t>
      </w:r>
      <w:r w:rsidR="003C2AC6" w:rsidRPr="009F337B">
        <w:rPr>
          <w:i w:val="0"/>
          <w:szCs w:val="20"/>
          <w:lang w:val="en-US"/>
        </w:rPr>
        <w:t xml:space="preserve"> </w:t>
      </w:r>
      <w:proofErr w:type="spellStart"/>
      <w:r w:rsidR="003C2AC6" w:rsidRPr="009F337B">
        <w:rPr>
          <w:i w:val="0"/>
          <w:szCs w:val="20"/>
          <w:lang w:val="en-US"/>
        </w:rPr>
        <w:t>Rodas</w:t>
      </w:r>
      <w:proofErr w:type="spellEnd"/>
      <w:r w:rsidR="003C2AC6" w:rsidRPr="009F337B">
        <w:rPr>
          <w:i w:val="0"/>
          <w:szCs w:val="20"/>
          <w:lang w:val="en-US"/>
        </w:rPr>
        <w:t xml:space="preserve"> Rodríguez</w:t>
      </w:r>
      <w:r w:rsidR="001325FB" w:rsidRPr="009F337B">
        <w:rPr>
          <w:i w:val="0"/>
          <w:szCs w:val="20"/>
          <w:lang w:val="en-US"/>
        </w:rPr>
        <w:t>, caused him</w:t>
      </w:r>
      <w:r w:rsidR="003C2AC6" w:rsidRPr="009F337B">
        <w:rPr>
          <w:i w:val="0"/>
          <w:szCs w:val="20"/>
          <w:lang w:val="en-US"/>
        </w:rPr>
        <w:t>: “</w:t>
      </w:r>
      <w:r w:rsidR="001325FB" w:rsidRPr="009F337B">
        <w:rPr>
          <w:i w:val="0"/>
          <w:szCs w:val="20"/>
          <w:lang w:val="en-US"/>
        </w:rPr>
        <w:t>a lot of sadness and worry, because we had to change our way of life; I could not pay for my young daughters schooling, and they and my wife had to work to maintain our home.</w:t>
      </w:r>
      <w:r w:rsidR="003C2AC6" w:rsidRPr="009F337B">
        <w:rPr>
          <w:i w:val="0"/>
          <w:szCs w:val="20"/>
          <w:lang w:val="en-US"/>
        </w:rPr>
        <w:t>”</w:t>
      </w:r>
      <w:r w:rsidR="003C2AC6" w:rsidRPr="009F337B">
        <w:rPr>
          <w:rStyle w:val="Refdenotaalpie"/>
          <w:i w:val="0"/>
          <w:lang w:val="en-US"/>
        </w:rPr>
        <w:footnoteReference w:id="337"/>
      </w:r>
    </w:p>
    <w:p w14:paraId="76D863D5" w14:textId="77777777" w:rsidR="003C2AC6" w:rsidRPr="009F337B" w:rsidRDefault="003C2AC6" w:rsidP="003C2AC6">
      <w:pPr>
        <w:pStyle w:val="Estilo1"/>
        <w:tabs>
          <w:tab w:val="left" w:pos="709"/>
          <w:tab w:val="left" w:pos="1134"/>
        </w:tabs>
        <w:spacing w:after="0"/>
        <w:ind w:left="0" w:right="-4" w:firstLine="0"/>
        <w:rPr>
          <w:i w:val="0"/>
          <w:szCs w:val="20"/>
          <w:lang w:val="en-US"/>
        </w:rPr>
      </w:pPr>
    </w:p>
    <w:p w14:paraId="667ACEA6" w14:textId="2ADDB624" w:rsidR="003C2AC6" w:rsidRPr="009F337B" w:rsidRDefault="00A758A5" w:rsidP="00593E37">
      <w:pPr>
        <w:pStyle w:val="Estilo1"/>
        <w:numPr>
          <w:ilvl w:val="0"/>
          <w:numId w:val="5"/>
        </w:numPr>
        <w:tabs>
          <w:tab w:val="left" w:pos="709"/>
          <w:tab w:val="left" w:pos="1134"/>
        </w:tabs>
        <w:spacing w:after="0"/>
        <w:ind w:left="0" w:right="-4" w:firstLine="0"/>
        <w:rPr>
          <w:i w:val="0"/>
          <w:szCs w:val="20"/>
          <w:lang w:val="en-US"/>
        </w:rPr>
      </w:pPr>
      <w:r w:rsidRPr="009F337B">
        <w:rPr>
          <w:i w:val="0"/>
          <w:szCs w:val="20"/>
          <w:lang w:val="en-US"/>
        </w:rPr>
        <w:t xml:space="preserve">His family unit consists of his </w:t>
      </w:r>
      <w:r w:rsidR="0010522A" w:rsidRPr="009F337B">
        <w:rPr>
          <w:i w:val="0"/>
          <w:szCs w:val="20"/>
          <w:lang w:val="en-US"/>
        </w:rPr>
        <w:t>wife</w:t>
      </w:r>
      <w:r w:rsidR="003C2AC6" w:rsidRPr="009F337B">
        <w:rPr>
          <w:i w:val="0"/>
          <w:szCs w:val="20"/>
          <w:lang w:val="en-US"/>
        </w:rPr>
        <w:t xml:space="preserve"> Carmen Mérida Coronado,</w:t>
      </w:r>
      <w:r w:rsidR="00702232" w:rsidRPr="009F337B">
        <w:rPr>
          <w:i w:val="0"/>
          <w:szCs w:val="20"/>
          <w:lang w:val="en-US"/>
        </w:rPr>
        <w:t xml:space="preserve"> </w:t>
      </w:r>
      <w:r w:rsidR="001325FB" w:rsidRPr="009F337B">
        <w:rPr>
          <w:i w:val="0"/>
          <w:szCs w:val="20"/>
          <w:lang w:val="en-US"/>
        </w:rPr>
        <w:t>his</w:t>
      </w:r>
      <w:r w:rsidR="00702232" w:rsidRPr="009F337B">
        <w:rPr>
          <w:i w:val="0"/>
          <w:szCs w:val="20"/>
          <w:lang w:val="en-US"/>
        </w:rPr>
        <w:t xml:space="preserve"> </w:t>
      </w:r>
      <w:r w:rsidR="0010522A" w:rsidRPr="009F337B">
        <w:rPr>
          <w:i w:val="0"/>
          <w:szCs w:val="20"/>
          <w:lang w:val="en-US"/>
        </w:rPr>
        <w:t>daughter</w:t>
      </w:r>
      <w:r w:rsidR="00702232" w:rsidRPr="009F337B">
        <w:rPr>
          <w:i w:val="0"/>
          <w:szCs w:val="20"/>
          <w:lang w:val="en-US"/>
        </w:rPr>
        <w:t>s Flor de Marí</w:t>
      </w:r>
      <w:r w:rsidR="003C2AC6" w:rsidRPr="009F337B">
        <w:rPr>
          <w:i w:val="0"/>
          <w:szCs w:val="20"/>
          <w:lang w:val="en-US"/>
        </w:rPr>
        <w:t>a, Clara Verónica, Sonia Maribel</w:t>
      </w:r>
      <w:r w:rsidR="003C46A3" w:rsidRPr="009F337B">
        <w:rPr>
          <w:i w:val="0"/>
          <w:szCs w:val="20"/>
          <w:lang w:val="en-US"/>
        </w:rPr>
        <w:t xml:space="preserve"> and </w:t>
      </w:r>
      <w:r w:rsidR="003C2AC6" w:rsidRPr="009F337B">
        <w:rPr>
          <w:i w:val="0"/>
          <w:szCs w:val="20"/>
          <w:lang w:val="en-US"/>
        </w:rPr>
        <w:t>Maria Magdalena, a</w:t>
      </w:r>
      <w:r w:rsidR="001325FB" w:rsidRPr="009F337B">
        <w:rPr>
          <w:i w:val="0"/>
          <w:szCs w:val="20"/>
          <w:lang w:val="en-US"/>
        </w:rPr>
        <w:t xml:space="preserve">nd his </w:t>
      </w:r>
      <w:r w:rsidR="0010522A" w:rsidRPr="009F337B">
        <w:rPr>
          <w:i w:val="0"/>
          <w:szCs w:val="20"/>
          <w:lang w:val="en-US"/>
        </w:rPr>
        <w:t>son</w:t>
      </w:r>
      <w:r w:rsidR="003C2AC6" w:rsidRPr="009F337B">
        <w:rPr>
          <w:i w:val="0"/>
          <w:szCs w:val="20"/>
          <w:lang w:val="en-US"/>
        </w:rPr>
        <w:t xml:space="preserve">s </w:t>
      </w:r>
      <w:proofErr w:type="spellStart"/>
      <w:r w:rsidR="003C2AC6" w:rsidRPr="009F337B">
        <w:rPr>
          <w:i w:val="0"/>
          <w:szCs w:val="20"/>
          <w:lang w:val="en-US"/>
        </w:rPr>
        <w:t>Aníbal</w:t>
      </w:r>
      <w:proofErr w:type="spellEnd"/>
      <w:r w:rsidR="003C2AC6" w:rsidRPr="009F337B">
        <w:rPr>
          <w:i w:val="0"/>
          <w:szCs w:val="20"/>
          <w:lang w:val="en-US"/>
        </w:rPr>
        <w:t xml:space="preserve"> Leonel, Braulio </w:t>
      </w:r>
      <w:proofErr w:type="spellStart"/>
      <w:r w:rsidR="003C2AC6" w:rsidRPr="009F337B">
        <w:rPr>
          <w:i w:val="0"/>
          <w:szCs w:val="20"/>
          <w:lang w:val="en-US"/>
        </w:rPr>
        <w:t>Adán</w:t>
      </w:r>
      <w:proofErr w:type="spellEnd"/>
      <w:r w:rsidR="003C2AC6" w:rsidRPr="009F337B">
        <w:rPr>
          <w:i w:val="0"/>
          <w:szCs w:val="20"/>
          <w:lang w:val="en-US"/>
        </w:rPr>
        <w:t>, Andy Alberto</w:t>
      </w:r>
      <w:r w:rsidR="003C46A3" w:rsidRPr="009F337B">
        <w:rPr>
          <w:i w:val="0"/>
          <w:szCs w:val="20"/>
          <w:lang w:val="en-US"/>
        </w:rPr>
        <w:t xml:space="preserve"> and </w:t>
      </w:r>
      <w:r w:rsidR="003C2AC6" w:rsidRPr="009F337B">
        <w:rPr>
          <w:i w:val="0"/>
          <w:szCs w:val="20"/>
          <w:lang w:val="en-US"/>
        </w:rPr>
        <w:t xml:space="preserve">Walter </w:t>
      </w:r>
      <w:proofErr w:type="spellStart"/>
      <w:r w:rsidR="003C2AC6" w:rsidRPr="009F337B">
        <w:rPr>
          <w:i w:val="0"/>
          <w:szCs w:val="20"/>
          <w:lang w:val="en-US"/>
        </w:rPr>
        <w:t>Audencio</w:t>
      </w:r>
      <w:proofErr w:type="spellEnd"/>
      <w:r w:rsidR="003C2AC6" w:rsidRPr="009F337B">
        <w:rPr>
          <w:i w:val="0"/>
          <w:szCs w:val="20"/>
          <w:lang w:val="en-US"/>
        </w:rPr>
        <w:t xml:space="preserve">, </w:t>
      </w:r>
      <w:r w:rsidR="007B07E2" w:rsidRPr="009F337B">
        <w:rPr>
          <w:i w:val="0"/>
          <w:szCs w:val="20"/>
          <w:lang w:val="en-US"/>
        </w:rPr>
        <w:t>all</w:t>
      </w:r>
      <w:r w:rsidR="003C2AC6" w:rsidRPr="009F337B">
        <w:rPr>
          <w:i w:val="0"/>
          <w:szCs w:val="20"/>
          <w:lang w:val="en-US"/>
        </w:rPr>
        <w:t xml:space="preserve"> </w:t>
      </w:r>
      <w:proofErr w:type="spellStart"/>
      <w:r w:rsidR="003C2AC6" w:rsidRPr="009F337B">
        <w:rPr>
          <w:i w:val="0"/>
          <w:szCs w:val="20"/>
          <w:lang w:val="en-US"/>
        </w:rPr>
        <w:t>Rodas</w:t>
      </w:r>
      <w:proofErr w:type="spellEnd"/>
      <w:r w:rsidR="003C2AC6" w:rsidRPr="009F337B">
        <w:rPr>
          <w:i w:val="0"/>
          <w:szCs w:val="20"/>
          <w:lang w:val="en-US"/>
        </w:rPr>
        <w:t xml:space="preserve"> Mérida, </w:t>
      </w:r>
      <w:r w:rsidR="001325FB" w:rsidRPr="009F337B">
        <w:rPr>
          <w:i w:val="0"/>
          <w:szCs w:val="20"/>
          <w:lang w:val="en-US"/>
        </w:rPr>
        <w:t>his</w:t>
      </w:r>
      <w:r w:rsidR="003C2AC6" w:rsidRPr="009F337B">
        <w:rPr>
          <w:i w:val="0"/>
          <w:szCs w:val="20"/>
          <w:lang w:val="en-US"/>
        </w:rPr>
        <w:t xml:space="preserve"> </w:t>
      </w:r>
      <w:r w:rsidR="0010522A" w:rsidRPr="009F337B">
        <w:rPr>
          <w:i w:val="0"/>
          <w:szCs w:val="20"/>
          <w:lang w:val="en-US"/>
        </w:rPr>
        <w:t>granddaughter</w:t>
      </w:r>
      <w:r w:rsidR="003C2AC6" w:rsidRPr="009F337B">
        <w:rPr>
          <w:i w:val="0"/>
          <w:szCs w:val="20"/>
          <w:lang w:val="en-US"/>
        </w:rPr>
        <w:t xml:space="preserve">s </w:t>
      </w:r>
      <w:proofErr w:type="spellStart"/>
      <w:r w:rsidR="003C2AC6" w:rsidRPr="009F337B">
        <w:rPr>
          <w:i w:val="0"/>
          <w:szCs w:val="20"/>
          <w:lang w:val="en-US"/>
        </w:rPr>
        <w:t>Cecia</w:t>
      </w:r>
      <w:proofErr w:type="spellEnd"/>
      <w:r w:rsidR="003C2AC6" w:rsidRPr="009F337B">
        <w:rPr>
          <w:i w:val="0"/>
          <w:szCs w:val="20"/>
          <w:lang w:val="en-US"/>
        </w:rPr>
        <w:t xml:space="preserve"> Verónica Barrios </w:t>
      </w:r>
      <w:proofErr w:type="spellStart"/>
      <w:r w:rsidR="003C2AC6" w:rsidRPr="009F337B">
        <w:rPr>
          <w:i w:val="0"/>
          <w:szCs w:val="20"/>
          <w:lang w:val="en-US"/>
        </w:rPr>
        <w:t>Rodas</w:t>
      </w:r>
      <w:proofErr w:type="spellEnd"/>
      <w:r w:rsidR="003C2AC6" w:rsidRPr="009F337B">
        <w:rPr>
          <w:i w:val="0"/>
          <w:szCs w:val="20"/>
          <w:lang w:val="en-US"/>
        </w:rPr>
        <w:t xml:space="preserve">, </w:t>
      </w:r>
      <w:proofErr w:type="spellStart"/>
      <w:r w:rsidR="003C2AC6" w:rsidRPr="009F337B">
        <w:rPr>
          <w:i w:val="0"/>
          <w:szCs w:val="20"/>
          <w:lang w:val="en-US"/>
        </w:rPr>
        <w:t>Susely</w:t>
      </w:r>
      <w:proofErr w:type="spellEnd"/>
      <w:r w:rsidR="003C2AC6" w:rsidRPr="009F337B">
        <w:rPr>
          <w:i w:val="0"/>
          <w:szCs w:val="20"/>
          <w:lang w:val="en-US"/>
        </w:rPr>
        <w:t xml:space="preserve"> Berenice </w:t>
      </w:r>
      <w:proofErr w:type="spellStart"/>
      <w:r w:rsidR="003C2AC6" w:rsidRPr="009F337B">
        <w:rPr>
          <w:i w:val="0"/>
          <w:szCs w:val="20"/>
          <w:lang w:val="en-US"/>
        </w:rPr>
        <w:t>Rodas</w:t>
      </w:r>
      <w:proofErr w:type="spellEnd"/>
      <w:r w:rsidR="003C2AC6" w:rsidRPr="009F337B">
        <w:rPr>
          <w:i w:val="0"/>
          <w:szCs w:val="20"/>
          <w:lang w:val="en-US"/>
        </w:rPr>
        <w:t xml:space="preserve"> Mérida, Tania </w:t>
      </w:r>
      <w:proofErr w:type="spellStart"/>
      <w:r w:rsidR="003C2AC6" w:rsidRPr="009F337B">
        <w:rPr>
          <w:i w:val="0"/>
          <w:szCs w:val="20"/>
          <w:lang w:val="en-US"/>
        </w:rPr>
        <w:t>Briseidy</w:t>
      </w:r>
      <w:proofErr w:type="spellEnd"/>
      <w:r w:rsidR="003C2AC6" w:rsidRPr="009F337B">
        <w:rPr>
          <w:i w:val="0"/>
          <w:szCs w:val="20"/>
          <w:lang w:val="en-US"/>
        </w:rPr>
        <w:t xml:space="preserve"> Velasco </w:t>
      </w:r>
      <w:proofErr w:type="spellStart"/>
      <w:r w:rsidR="003C2AC6" w:rsidRPr="009F337B">
        <w:rPr>
          <w:i w:val="0"/>
          <w:szCs w:val="20"/>
          <w:lang w:val="en-US"/>
        </w:rPr>
        <w:t>Rodas</w:t>
      </w:r>
      <w:proofErr w:type="spellEnd"/>
      <w:r w:rsidR="003C2AC6" w:rsidRPr="009F337B">
        <w:rPr>
          <w:i w:val="0"/>
          <w:szCs w:val="20"/>
          <w:lang w:val="en-US"/>
        </w:rPr>
        <w:t>,</w:t>
      </w:r>
      <w:r w:rsidR="003C46A3" w:rsidRPr="009F337B">
        <w:rPr>
          <w:i w:val="0"/>
          <w:szCs w:val="20"/>
          <w:lang w:val="en-US"/>
        </w:rPr>
        <w:t xml:space="preserve"> and </w:t>
      </w:r>
      <w:r w:rsidR="001325FB" w:rsidRPr="009F337B">
        <w:rPr>
          <w:i w:val="0"/>
          <w:szCs w:val="20"/>
          <w:lang w:val="en-US"/>
        </w:rPr>
        <w:t>his</w:t>
      </w:r>
      <w:r w:rsidR="003C2AC6" w:rsidRPr="009F337B">
        <w:rPr>
          <w:i w:val="0"/>
          <w:szCs w:val="20"/>
          <w:lang w:val="en-US"/>
        </w:rPr>
        <w:t xml:space="preserve"> </w:t>
      </w:r>
      <w:r w:rsidR="0010522A" w:rsidRPr="009F337B">
        <w:rPr>
          <w:i w:val="0"/>
          <w:szCs w:val="20"/>
          <w:lang w:val="en-US"/>
        </w:rPr>
        <w:t>grandson</w:t>
      </w:r>
      <w:r w:rsidR="003C2AC6" w:rsidRPr="009F337B">
        <w:rPr>
          <w:i w:val="0"/>
          <w:szCs w:val="20"/>
          <w:lang w:val="en-US"/>
        </w:rPr>
        <w:t xml:space="preserve">s </w:t>
      </w:r>
      <w:proofErr w:type="spellStart"/>
      <w:r w:rsidR="003C2AC6" w:rsidRPr="009F337B">
        <w:rPr>
          <w:i w:val="0"/>
          <w:szCs w:val="20"/>
          <w:lang w:val="en-US"/>
        </w:rPr>
        <w:t>Abni</w:t>
      </w:r>
      <w:proofErr w:type="spellEnd"/>
      <w:r w:rsidR="003C2AC6" w:rsidRPr="009F337B">
        <w:rPr>
          <w:i w:val="0"/>
          <w:szCs w:val="20"/>
          <w:lang w:val="en-US"/>
        </w:rPr>
        <w:t xml:space="preserve"> Eliezer Barrios </w:t>
      </w:r>
      <w:proofErr w:type="spellStart"/>
      <w:r w:rsidR="003C2AC6" w:rsidRPr="009F337B">
        <w:rPr>
          <w:i w:val="0"/>
          <w:szCs w:val="20"/>
          <w:lang w:val="en-US"/>
        </w:rPr>
        <w:t>Rodas</w:t>
      </w:r>
      <w:proofErr w:type="spellEnd"/>
      <w:r w:rsidR="003C2AC6" w:rsidRPr="009F337B">
        <w:rPr>
          <w:i w:val="0"/>
          <w:szCs w:val="20"/>
          <w:lang w:val="en-US"/>
        </w:rPr>
        <w:t xml:space="preserve">, Christian </w:t>
      </w:r>
      <w:proofErr w:type="spellStart"/>
      <w:r w:rsidR="003C2AC6" w:rsidRPr="009F337B">
        <w:rPr>
          <w:i w:val="0"/>
          <w:szCs w:val="20"/>
          <w:lang w:val="en-US"/>
        </w:rPr>
        <w:t>Obdulio</w:t>
      </w:r>
      <w:proofErr w:type="spellEnd"/>
      <w:r w:rsidR="003C2AC6" w:rsidRPr="009F337B">
        <w:rPr>
          <w:i w:val="0"/>
          <w:szCs w:val="20"/>
          <w:lang w:val="en-US"/>
        </w:rPr>
        <w:t xml:space="preserve"> Barrios </w:t>
      </w:r>
      <w:proofErr w:type="spellStart"/>
      <w:r w:rsidR="003C2AC6" w:rsidRPr="009F337B">
        <w:rPr>
          <w:i w:val="0"/>
          <w:szCs w:val="20"/>
          <w:lang w:val="en-US"/>
        </w:rPr>
        <w:t>Rodas</w:t>
      </w:r>
      <w:proofErr w:type="spellEnd"/>
      <w:r w:rsidR="003C2AC6" w:rsidRPr="009F337B">
        <w:rPr>
          <w:i w:val="0"/>
          <w:szCs w:val="20"/>
          <w:lang w:val="en-US"/>
        </w:rPr>
        <w:t xml:space="preserve">, Brandon Isaac </w:t>
      </w:r>
      <w:proofErr w:type="spellStart"/>
      <w:r w:rsidR="003C2AC6" w:rsidRPr="009F337B">
        <w:rPr>
          <w:i w:val="0"/>
          <w:szCs w:val="20"/>
          <w:lang w:val="en-US"/>
        </w:rPr>
        <w:t>Rodas</w:t>
      </w:r>
      <w:proofErr w:type="spellEnd"/>
      <w:r w:rsidR="003C2AC6" w:rsidRPr="009F337B">
        <w:rPr>
          <w:i w:val="0"/>
          <w:szCs w:val="20"/>
          <w:lang w:val="en-US"/>
        </w:rPr>
        <w:t xml:space="preserve"> Mus, Nehemias </w:t>
      </w:r>
      <w:proofErr w:type="spellStart"/>
      <w:r w:rsidR="003C2AC6" w:rsidRPr="009F337B">
        <w:rPr>
          <w:i w:val="0"/>
          <w:szCs w:val="20"/>
          <w:lang w:val="en-US"/>
        </w:rPr>
        <w:t>Audecio</w:t>
      </w:r>
      <w:proofErr w:type="spellEnd"/>
      <w:r w:rsidR="003C2AC6" w:rsidRPr="009F337B">
        <w:rPr>
          <w:i w:val="0"/>
          <w:szCs w:val="20"/>
          <w:lang w:val="en-US"/>
        </w:rPr>
        <w:t xml:space="preserve"> </w:t>
      </w:r>
      <w:proofErr w:type="spellStart"/>
      <w:r w:rsidR="003C2AC6" w:rsidRPr="009F337B">
        <w:rPr>
          <w:i w:val="0"/>
          <w:szCs w:val="20"/>
          <w:lang w:val="en-US"/>
        </w:rPr>
        <w:t>Rodas</w:t>
      </w:r>
      <w:proofErr w:type="spellEnd"/>
      <w:r w:rsidR="003C2AC6" w:rsidRPr="009F337B">
        <w:rPr>
          <w:i w:val="0"/>
          <w:szCs w:val="20"/>
          <w:lang w:val="en-US"/>
        </w:rPr>
        <w:t xml:space="preserve"> </w:t>
      </w:r>
      <w:proofErr w:type="spellStart"/>
      <w:r w:rsidR="003C2AC6" w:rsidRPr="009F337B">
        <w:rPr>
          <w:i w:val="0"/>
          <w:szCs w:val="20"/>
          <w:lang w:val="en-US"/>
        </w:rPr>
        <w:t>Chile</w:t>
      </w:r>
      <w:r w:rsidR="001325FB" w:rsidRPr="009F337B">
        <w:rPr>
          <w:i w:val="0"/>
          <w:szCs w:val="20"/>
          <w:lang w:val="en-US"/>
        </w:rPr>
        <w:t>l</w:t>
      </w:r>
      <w:proofErr w:type="spellEnd"/>
      <w:r w:rsidR="003C46A3" w:rsidRPr="009F337B">
        <w:rPr>
          <w:i w:val="0"/>
          <w:szCs w:val="20"/>
          <w:lang w:val="en-US"/>
        </w:rPr>
        <w:t xml:space="preserve"> and </w:t>
      </w:r>
      <w:r w:rsidR="003C2AC6" w:rsidRPr="009F337B">
        <w:rPr>
          <w:i w:val="0"/>
          <w:szCs w:val="20"/>
          <w:lang w:val="en-US"/>
        </w:rPr>
        <w:t xml:space="preserve">Esdras </w:t>
      </w:r>
      <w:proofErr w:type="spellStart"/>
      <w:r w:rsidR="003C2AC6" w:rsidRPr="009F337B">
        <w:rPr>
          <w:i w:val="0"/>
          <w:szCs w:val="20"/>
          <w:lang w:val="en-US"/>
        </w:rPr>
        <w:t>Avisai</w:t>
      </w:r>
      <w:proofErr w:type="spellEnd"/>
      <w:r w:rsidR="003C2AC6" w:rsidRPr="009F337B">
        <w:rPr>
          <w:i w:val="0"/>
          <w:szCs w:val="20"/>
          <w:lang w:val="en-US"/>
        </w:rPr>
        <w:t xml:space="preserve"> </w:t>
      </w:r>
      <w:proofErr w:type="spellStart"/>
      <w:r w:rsidR="003C2AC6" w:rsidRPr="009F337B">
        <w:rPr>
          <w:i w:val="0"/>
          <w:szCs w:val="20"/>
          <w:lang w:val="en-US"/>
        </w:rPr>
        <w:t>Rodas</w:t>
      </w:r>
      <w:proofErr w:type="spellEnd"/>
      <w:r w:rsidR="003C2AC6" w:rsidRPr="009F337B">
        <w:rPr>
          <w:i w:val="0"/>
          <w:szCs w:val="20"/>
          <w:lang w:val="en-US"/>
        </w:rPr>
        <w:t xml:space="preserve"> </w:t>
      </w:r>
      <w:proofErr w:type="spellStart"/>
      <w:r w:rsidR="003C2AC6" w:rsidRPr="009F337B">
        <w:rPr>
          <w:i w:val="0"/>
          <w:szCs w:val="20"/>
          <w:lang w:val="en-US"/>
        </w:rPr>
        <w:t>Chile</w:t>
      </w:r>
      <w:r w:rsidR="001325FB" w:rsidRPr="009F337B">
        <w:rPr>
          <w:i w:val="0"/>
          <w:szCs w:val="20"/>
          <w:lang w:val="en-US"/>
        </w:rPr>
        <w:t>l</w:t>
      </w:r>
      <w:proofErr w:type="spellEnd"/>
      <w:r w:rsidR="001325FB" w:rsidRPr="009F337B">
        <w:rPr>
          <w:i w:val="0"/>
          <w:szCs w:val="20"/>
          <w:lang w:val="en-US"/>
        </w:rPr>
        <w:t>.</w:t>
      </w:r>
      <w:r w:rsidR="003C2AC6" w:rsidRPr="009F337B">
        <w:rPr>
          <w:rStyle w:val="Refdenotaalpie"/>
          <w:i w:val="0"/>
          <w:lang w:val="en-US"/>
        </w:rPr>
        <w:footnoteReference w:id="338"/>
      </w:r>
    </w:p>
    <w:p w14:paraId="1056A248" w14:textId="77777777" w:rsidR="003C2AC6" w:rsidRPr="009F337B" w:rsidRDefault="003C2AC6" w:rsidP="003C2AC6">
      <w:pPr>
        <w:pStyle w:val="PrrafodeSentencia"/>
        <w:rPr>
          <w:lang w:val="en-US"/>
        </w:rPr>
      </w:pPr>
    </w:p>
    <w:p w14:paraId="669C4DD0" w14:textId="77777777" w:rsidR="003C2AC6" w:rsidRPr="009F337B" w:rsidRDefault="003C2AC6" w:rsidP="003C2AC6">
      <w:pPr>
        <w:pStyle w:val="PrrafodeSentencia"/>
        <w:rPr>
          <w:lang w:val="en-US"/>
        </w:rPr>
      </w:pPr>
      <w:r w:rsidRPr="009F337B">
        <w:rPr>
          <w:lang w:val="en-US"/>
        </w:rPr>
        <w:tab/>
        <w:t>B.25. Zoila Marina Pérez Ruíz</w:t>
      </w:r>
    </w:p>
    <w:p w14:paraId="15622478" w14:textId="77777777" w:rsidR="003C2AC6" w:rsidRPr="009F337B" w:rsidRDefault="003C2AC6" w:rsidP="003C2AC6">
      <w:pPr>
        <w:pStyle w:val="PrrafodeSentencia"/>
        <w:rPr>
          <w:lang w:val="en-US"/>
        </w:rPr>
      </w:pPr>
    </w:p>
    <w:p w14:paraId="711DC564" w14:textId="422579E0" w:rsidR="003C2AC6" w:rsidRPr="009F337B" w:rsidRDefault="007F1AEB" w:rsidP="00593E37">
      <w:pPr>
        <w:pStyle w:val="Estilo1"/>
        <w:numPr>
          <w:ilvl w:val="0"/>
          <w:numId w:val="5"/>
        </w:numPr>
        <w:tabs>
          <w:tab w:val="left" w:pos="709"/>
          <w:tab w:val="left" w:pos="1134"/>
        </w:tabs>
        <w:spacing w:after="0"/>
        <w:ind w:left="0" w:right="-4" w:firstLine="0"/>
        <w:rPr>
          <w:i w:val="0"/>
          <w:szCs w:val="20"/>
          <w:lang w:val="en-US"/>
        </w:rPr>
      </w:pPr>
      <w:r w:rsidRPr="009F337B">
        <w:rPr>
          <w:i w:val="0"/>
          <w:szCs w:val="20"/>
          <w:lang w:val="en-US"/>
        </w:rPr>
        <w:t>Mrs.</w:t>
      </w:r>
      <w:r w:rsidR="003C2AC6" w:rsidRPr="009F337B">
        <w:rPr>
          <w:i w:val="0"/>
          <w:szCs w:val="20"/>
          <w:lang w:val="en-US"/>
        </w:rPr>
        <w:t xml:space="preserve"> Pérez </w:t>
      </w:r>
      <w:proofErr w:type="spellStart"/>
      <w:r w:rsidR="003C2AC6" w:rsidRPr="009F337B">
        <w:rPr>
          <w:i w:val="0"/>
          <w:szCs w:val="20"/>
          <w:lang w:val="en-US"/>
        </w:rPr>
        <w:t>Ruíz</w:t>
      </w:r>
      <w:proofErr w:type="spellEnd"/>
      <w:r w:rsidR="003C2AC6" w:rsidRPr="009F337B">
        <w:rPr>
          <w:i w:val="0"/>
          <w:szCs w:val="20"/>
          <w:lang w:val="en-US"/>
        </w:rPr>
        <w:t xml:space="preserve"> </w:t>
      </w:r>
      <w:r w:rsidR="001325FB" w:rsidRPr="009F337B">
        <w:rPr>
          <w:i w:val="0"/>
          <w:szCs w:val="20"/>
          <w:lang w:val="en-US"/>
        </w:rPr>
        <w:t>was born in</w:t>
      </w:r>
      <w:r w:rsidR="00805FE9" w:rsidRPr="009F337B">
        <w:rPr>
          <w:i w:val="0"/>
          <w:szCs w:val="20"/>
          <w:lang w:val="en-US"/>
        </w:rPr>
        <w:t xml:space="preserve"> the </w:t>
      </w:r>
      <w:r w:rsidR="00D85CA7" w:rsidRPr="009F337B">
        <w:rPr>
          <w:i w:val="0"/>
          <w:szCs w:val="20"/>
          <w:lang w:val="en-US"/>
        </w:rPr>
        <w:t>municipality of</w:t>
      </w:r>
      <w:r w:rsidR="003C2AC6" w:rsidRPr="009F337B">
        <w:rPr>
          <w:i w:val="0"/>
          <w:szCs w:val="20"/>
          <w:lang w:val="en-US"/>
        </w:rPr>
        <w:t xml:space="preserve"> El Quetzal, </w:t>
      </w:r>
      <w:r w:rsidR="003E1304" w:rsidRPr="009F337B">
        <w:rPr>
          <w:i w:val="0"/>
          <w:szCs w:val="20"/>
          <w:lang w:val="en-US"/>
        </w:rPr>
        <w:t>department of</w:t>
      </w:r>
      <w:r w:rsidR="003C2AC6" w:rsidRPr="009F337B">
        <w:rPr>
          <w:i w:val="0"/>
          <w:szCs w:val="20"/>
          <w:lang w:val="en-US"/>
        </w:rPr>
        <w:t xml:space="preserve"> San Marcos, Guatemala</w:t>
      </w:r>
      <w:r w:rsidR="001325FB" w:rsidRPr="009F337B">
        <w:rPr>
          <w:i w:val="0"/>
          <w:szCs w:val="20"/>
          <w:lang w:val="en-US"/>
        </w:rPr>
        <w:t xml:space="preserve">, </w:t>
      </w:r>
      <w:r w:rsidR="0084040D" w:rsidRPr="009F337B">
        <w:rPr>
          <w:i w:val="0"/>
          <w:szCs w:val="20"/>
          <w:lang w:val="en-US"/>
        </w:rPr>
        <w:t>on</w:t>
      </w:r>
      <w:r w:rsidR="003C2AC6" w:rsidRPr="009F337B">
        <w:rPr>
          <w:i w:val="0"/>
          <w:szCs w:val="20"/>
          <w:lang w:val="en-US"/>
        </w:rPr>
        <w:t xml:space="preserve"> </w:t>
      </w:r>
      <w:r w:rsidR="001325FB" w:rsidRPr="009F337B">
        <w:rPr>
          <w:i w:val="0"/>
          <w:szCs w:val="20"/>
          <w:lang w:val="en-US"/>
        </w:rPr>
        <w:t>October 20,</w:t>
      </w:r>
      <w:r w:rsidR="003C2AC6" w:rsidRPr="009F337B">
        <w:rPr>
          <w:i w:val="0"/>
          <w:szCs w:val="20"/>
          <w:lang w:val="en-US"/>
        </w:rPr>
        <w:t xml:space="preserve"> 1960. </w:t>
      </w:r>
      <w:r w:rsidR="001325FB" w:rsidRPr="009F337B">
        <w:rPr>
          <w:i w:val="0"/>
          <w:szCs w:val="20"/>
          <w:lang w:val="en-US"/>
        </w:rPr>
        <w:t>She l</w:t>
      </w:r>
      <w:r w:rsidR="00D85CA7" w:rsidRPr="009F337B">
        <w:rPr>
          <w:i w:val="0"/>
          <w:szCs w:val="20"/>
          <w:lang w:val="en-US"/>
        </w:rPr>
        <w:t>ives in</w:t>
      </w:r>
      <w:r w:rsidR="003C2AC6" w:rsidRPr="009F337B">
        <w:rPr>
          <w:i w:val="0"/>
          <w:szCs w:val="20"/>
          <w:lang w:val="en-US"/>
        </w:rPr>
        <w:t xml:space="preserve"> </w:t>
      </w:r>
      <w:r w:rsidR="00C13A2E" w:rsidRPr="009F337B">
        <w:rPr>
          <w:i w:val="0"/>
          <w:szCs w:val="20"/>
          <w:lang w:val="en-US"/>
        </w:rPr>
        <w:t>t</w:t>
      </w:r>
      <w:r w:rsidR="001325FB" w:rsidRPr="009F337B">
        <w:rPr>
          <w:i w:val="0"/>
          <w:szCs w:val="20"/>
          <w:lang w:val="en-US"/>
        </w:rPr>
        <w:t>he village of</w:t>
      </w:r>
      <w:r w:rsidR="003C2AC6" w:rsidRPr="009F337B">
        <w:rPr>
          <w:i w:val="0"/>
          <w:szCs w:val="20"/>
          <w:lang w:val="en-US"/>
        </w:rPr>
        <w:t xml:space="preserve"> </w:t>
      </w:r>
      <w:proofErr w:type="spellStart"/>
      <w:r w:rsidR="003C2AC6" w:rsidRPr="009F337B">
        <w:rPr>
          <w:i w:val="0"/>
          <w:szCs w:val="20"/>
          <w:lang w:val="en-US"/>
        </w:rPr>
        <w:t>Cintaná</w:t>
      </w:r>
      <w:proofErr w:type="spellEnd"/>
      <w:r w:rsidR="003C2AC6" w:rsidRPr="009F337B">
        <w:rPr>
          <w:i w:val="0"/>
          <w:szCs w:val="20"/>
          <w:lang w:val="en-US"/>
        </w:rPr>
        <w:t>,</w:t>
      </w:r>
      <w:r w:rsidR="00805FE9" w:rsidRPr="009F337B">
        <w:rPr>
          <w:i w:val="0"/>
          <w:szCs w:val="20"/>
          <w:lang w:val="en-US"/>
        </w:rPr>
        <w:t xml:space="preserve"> </w:t>
      </w:r>
      <w:r w:rsidR="003E1304" w:rsidRPr="009F337B">
        <w:rPr>
          <w:i w:val="0"/>
          <w:szCs w:val="20"/>
          <w:lang w:val="en-US"/>
        </w:rPr>
        <w:t>municipality</w:t>
      </w:r>
      <w:r w:rsidR="003C2AC6" w:rsidRPr="009F337B">
        <w:rPr>
          <w:i w:val="0"/>
          <w:szCs w:val="20"/>
          <w:lang w:val="en-US"/>
        </w:rPr>
        <w:t xml:space="preserve"> </w:t>
      </w:r>
      <w:r w:rsidR="001325FB" w:rsidRPr="009F337B">
        <w:rPr>
          <w:i w:val="0"/>
          <w:szCs w:val="20"/>
          <w:lang w:val="en-US"/>
        </w:rPr>
        <w:t xml:space="preserve">of </w:t>
      </w:r>
      <w:r w:rsidR="003C2AC6" w:rsidRPr="009F337B">
        <w:rPr>
          <w:i w:val="0"/>
          <w:szCs w:val="20"/>
          <w:lang w:val="en-US"/>
        </w:rPr>
        <w:t xml:space="preserve">El Quetzal, </w:t>
      </w:r>
      <w:r w:rsidR="003E1304" w:rsidRPr="009F337B">
        <w:rPr>
          <w:i w:val="0"/>
          <w:szCs w:val="20"/>
          <w:lang w:val="en-US"/>
        </w:rPr>
        <w:t>department of</w:t>
      </w:r>
      <w:r w:rsidR="003C2AC6" w:rsidRPr="009F337B">
        <w:rPr>
          <w:i w:val="0"/>
          <w:szCs w:val="20"/>
          <w:lang w:val="en-US"/>
        </w:rPr>
        <w:t xml:space="preserve"> San Marcos, Guatemala. </w:t>
      </w:r>
      <w:r w:rsidR="001325FB" w:rsidRPr="009F337B">
        <w:rPr>
          <w:i w:val="0"/>
          <w:szCs w:val="20"/>
          <w:lang w:val="en-US"/>
        </w:rPr>
        <w:t>She has no schooling, is illiterate, and is a housewife. Before being diagnosed, she worked selling fruit. She w</w:t>
      </w:r>
      <w:r w:rsidR="001071B4" w:rsidRPr="009F337B">
        <w:rPr>
          <w:i w:val="0"/>
          <w:szCs w:val="20"/>
          <w:lang w:val="en-US"/>
        </w:rPr>
        <w:t>as diagnosed with HIV</w:t>
      </w:r>
      <w:r w:rsidR="003C2AC6" w:rsidRPr="009F337B">
        <w:rPr>
          <w:i w:val="0"/>
          <w:szCs w:val="20"/>
          <w:lang w:val="en-US"/>
        </w:rPr>
        <w:t xml:space="preserve"> </w:t>
      </w:r>
      <w:r w:rsidR="001C4CEA" w:rsidRPr="009F337B">
        <w:rPr>
          <w:i w:val="0"/>
          <w:szCs w:val="20"/>
          <w:lang w:val="en-US"/>
        </w:rPr>
        <w:t>in 2002</w:t>
      </w:r>
      <w:r w:rsidR="003C2AC6" w:rsidRPr="009F337B">
        <w:rPr>
          <w:i w:val="0"/>
          <w:szCs w:val="20"/>
          <w:lang w:val="en-US"/>
        </w:rPr>
        <w:t xml:space="preserve">, </w:t>
      </w:r>
      <w:r w:rsidR="001325FB" w:rsidRPr="009F337B">
        <w:rPr>
          <w:i w:val="0"/>
          <w:szCs w:val="20"/>
          <w:lang w:val="en-US"/>
        </w:rPr>
        <w:t>but did not receive medical treatment until 2004</w:t>
      </w:r>
      <w:r w:rsidR="00C13A2E" w:rsidRPr="009F337B">
        <w:rPr>
          <w:i w:val="0"/>
          <w:szCs w:val="20"/>
          <w:lang w:val="en-US"/>
        </w:rPr>
        <w:t xml:space="preserve">; however, </w:t>
      </w:r>
      <w:r w:rsidR="001325FB" w:rsidRPr="009F337B">
        <w:rPr>
          <w:i w:val="0"/>
          <w:szCs w:val="20"/>
          <w:lang w:val="en-US"/>
        </w:rPr>
        <w:t xml:space="preserve">without access to CD4 counts and </w:t>
      </w:r>
      <w:r w:rsidR="00CC4867" w:rsidRPr="009F337B">
        <w:rPr>
          <w:i w:val="0"/>
          <w:szCs w:val="20"/>
          <w:lang w:val="en-US"/>
        </w:rPr>
        <w:t>viral load</w:t>
      </w:r>
      <w:r w:rsidR="001325FB" w:rsidRPr="009F337B">
        <w:rPr>
          <w:i w:val="0"/>
          <w:szCs w:val="20"/>
          <w:lang w:val="en-US"/>
        </w:rPr>
        <w:t xml:space="preserve"> testing</w:t>
      </w:r>
      <w:r w:rsidR="003C2AC6" w:rsidRPr="009F337B">
        <w:rPr>
          <w:i w:val="0"/>
          <w:szCs w:val="20"/>
          <w:lang w:val="en-US"/>
        </w:rPr>
        <w:t>. Ini</w:t>
      </w:r>
      <w:r w:rsidR="001325FB" w:rsidRPr="009F337B">
        <w:rPr>
          <w:i w:val="0"/>
          <w:szCs w:val="20"/>
          <w:lang w:val="en-US"/>
        </w:rPr>
        <w:t xml:space="preserve">tially, she received medical care from MSF, and </w:t>
      </w:r>
      <w:r w:rsidR="00C13A2E" w:rsidRPr="009F337B">
        <w:rPr>
          <w:i w:val="0"/>
          <w:szCs w:val="20"/>
          <w:lang w:val="en-US"/>
        </w:rPr>
        <w:t>later</w:t>
      </w:r>
      <w:r w:rsidR="001325FB" w:rsidRPr="009F337B">
        <w:rPr>
          <w:i w:val="0"/>
          <w:szCs w:val="20"/>
          <w:lang w:val="en-US"/>
        </w:rPr>
        <w:t xml:space="preserve"> was transferred to the </w:t>
      </w:r>
      <w:proofErr w:type="spellStart"/>
      <w:r w:rsidR="005F10B1" w:rsidRPr="009F337B">
        <w:rPr>
          <w:i w:val="0"/>
          <w:szCs w:val="20"/>
          <w:lang w:val="en-US"/>
        </w:rPr>
        <w:t>Coatepeque</w:t>
      </w:r>
      <w:proofErr w:type="spellEnd"/>
      <w:r w:rsidR="005F10B1" w:rsidRPr="009F337B">
        <w:rPr>
          <w:i w:val="0"/>
          <w:szCs w:val="20"/>
          <w:lang w:val="en-US"/>
        </w:rPr>
        <w:t xml:space="preserve"> National Hospital</w:t>
      </w:r>
      <w:r w:rsidR="003C2AC6" w:rsidRPr="009F337B">
        <w:rPr>
          <w:i w:val="0"/>
          <w:szCs w:val="20"/>
          <w:lang w:val="en-US"/>
        </w:rPr>
        <w:t xml:space="preserve">. </w:t>
      </w:r>
      <w:r w:rsidR="001325FB" w:rsidRPr="009F337B">
        <w:rPr>
          <w:i w:val="0"/>
          <w:szCs w:val="20"/>
          <w:lang w:val="en-US"/>
        </w:rPr>
        <w:t>By</w:t>
      </w:r>
      <w:r w:rsidR="003C2AC6" w:rsidRPr="009F337B">
        <w:rPr>
          <w:i w:val="0"/>
          <w:szCs w:val="20"/>
          <w:lang w:val="en-US"/>
        </w:rPr>
        <w:t xml:space="preserve"> 2009</w:t>
      </w:r>
      <w:r w:rsidR="001325FB" w:rsidRPr="009F337B">
        <w:rPr>
          <w:i w:val="0"/>
          <w:szCs w:val="20"/>
          <w:lang w:val="en-US"/>
        </w:rPr>
        <w:t>, she had undergone CD4 counts on four occasions and viral load testing twice. By 2015, she had had five more viral load tests and five more CD4 counts. She has suffered from the following</w:t>
      </w:r>
      <w:r w:rsidR="003C2AC6" w:rsidRPr="009F337B">
        <w:rPr>
          <w:i w:val="0"/>
          <w:szCs w:val="20"/>
          <w:lang w:val="en-US"/>
        </w:rPr>
        <w:t xml:space="preserve"> </w:t>
      </w:r>
      <w:r w:rsidR="0081563D" w:rsidRPr="009F337B">
        <w:rPr>
          <w:i w:val="0"/>
          <w:szCs w:val="20"/>
          <w:lang w:val="en-US"/>
        </w:rPr>
        <w:t>opportunistic diseases</w:t>
      </w:r>
      <w:r w:rsidR="003C2AC6" w:rsidRPr="009F337B">
        <w:rPr>
          <w:i w:val="0"/>
          <w:szCs w:val="20"/>
          <w:lang w:val="en-US"/>
        </w:rPr>
        <w:t xml:space="preserve">: </w:t>
      </w:r>
      <w:r w:rsidR="001325FB" w:rsidRPr="009F337B">
        <w:rPr>
          <w:rStyle w:val="nfasis"/>
          <w:lang w:val="en-US"/>
        </w:rPr>
        <w:t>cervical lymphadenopathy</w:t>
      </w:r>
      <w:r w:rsidR="003C2AC6" w:rsidRPr="009F337B">
        <w:rPr>
          <w:i w:val="0"/>
          <w:szCs w:val="20"/>
          <w:lang w:val="en-US"/>
        </w:rPr>
        <w:t xml:space="preserve">, </w:t>
      </w:r>
      <w:r w:rsidR="001325FB" w:rsidRPr="009F337B">
        <w:rPr>
          <w:i w:val="0"/>
          <w:szCs w:val="20"/>
          <w:lang w:val="en-US"/>
        </w:rPr>
        <w:t xml:space="preserve">vaginal </w:t>
      </w:r>
      <w:r w:rsidR="003C2AC6" w:rsidRPr="009F337B">
        <w:rPr>
          <w:i w:val="0"/>
          <w:szCs w:val="20"/>
          <w:lang w:val="en-US"/>
        </w:rPr>
        <w:t xml:space="preserve">candidiasis, </w:t>
      </w:r>
      <w:r w:rsidR="00DD7C07" w:rsidRPr="009F337B">
        <w:rPr>
          <w:i w:val="0"/>
          <w:szCs w:val="20"/>
          <w:lang w:val="en-US"/>
        </w:rPr>
        <w:t>sarcoidosis</w:t>
      </w:r>
      <w:r w:rsidR="003C2AC6" w:rsidRPr="009F337B">
        <w:rPr>
          <w:i w:val="0"/>
          <w:szCs w:val="20"/>
          <w:lang w:val="en-US"/>
        </w:rPr>
        <w:t xml:space="preserve">, </w:t>
      </w:r>
      <w:r w:rsidR="001325FB" w:rsidRPr="009F337B">
        <w:rPr>
          <w:i w:val="0"/>
          <w:szCs w:val="20"/>
          <w:lang w:val="en-US"/>
        </w:rPr>
        <w:t xml:space="preserve">disseminated </w:t>
      </w:r>
      <w:r w:rsidR="003C2AC6" w:rsidRPr="009F337B">
        <w:rPr>
          <w:i w:val="0"/>
          <w:szCs w:val="20"/>
          <w:lang w:val="en-US"/>
        </w:rPr>
        <w:t xml:space="preserve">tuberculosis, </w:t>
      </w:r>
      <w:r w:rsidR="00C0501F" w:rsidRPr="009F337B">
        <w:rPr>
          <w:i w:val="0"/>
          <w:szCs w:val="20"/>
          <w:lang w:val="en-US"/>
        </w:rPr>
        <w:t>tonsillitis</w:t>
      </w:r>
      <w:r w:rsidR="003C2AC6" w:rsidRPr="009F337B">
        <w:rPr>
          <w:i w:val="0"/>
          <w:szCs w:val="20"/>
          <w:lang w:val="en-US"/>
        </w:rPr>
        <w:t xml:space="preserve">, </w:t>
      </w:r>
      <w:r w:rsidR="001325FB" w:rsidRPr="009F337B">
        <w:rPr>
          <w:i w:val="0"/>
          <w:szCs w:val="20"/>
          <w:lang w:val="en-US"/>
        </w:rPr>
        <w:t>backpain</w:t>
      </w:r>
      <w:r w:rsidR="003C2AC6" w:rsidRPr="009F337B">
        <w:rPr>
          <w:i w:val="0"/>
          <w:szCs w:val="20"/>
          <w:lang w:val="en-US"/>
        </w:rPr>
        <w:t xml:space="preserve">, herpes, </w:t>
      </w:r>
      <w:r w:rsidR="0015205F" w:rsidRPr="009F337B">
        <w:rPr>
          <w:i w:val="0"/>
          <w:szCs w:val="20"/>
          <w:lang w:val="en-US"/>
        </w:rPr>
        <w:t>pneumonia</w:t>
      </w:r>
      <w:r w:rsidR="003C2AC6" w:rsidRPr="009F337B">
        <w:rPr>
          <w:i w:val="0"/>
          <w:szCs w:val="20"/>
          <w:lang w:val="en-US"/>
        </w:rPr>
        <w:t xml:space="preserve">, </w:t>
      </w:r>
      <w:r w:rsidR="001325FB" w:rsidRPr="009F337B">
        <w:rPr>
          <w:i w:val="0"/>
          <w:szCs w:val="20"/>
          <w:lang w:val="en-US"/>
        </w:rPr>
        <w:t xml:space="preserve">peripheral </w:t>
      </w:r>
      <w:r w:rsidR="00BB39B6" w:rsidRPr="009F337B">
        <w:rPr>
          <w:i w:val="0"/>
          <w:szCs w:val="20"/>
          <w:lang w:val="en-US"/>
        </w:rPr>
        <w:t>neuropathy</w:t>
      </w:r>
      <w:r w:rsidR="003C2AC6" w:rsidRPr="009F337B">
        <w:rPr>
          <w:i w:val="0"/>
          <w:szCs w:val="20"/>
          <w:lang w:val="en-US"/>
        </w:rPr>
        <w:t xml:space="preserve">, </w:t>
      </w:r>
      <w:r w:rsidR="00C0501F" w:rsidRPr="009F337B">
        <w:rPr>
          <w:i w:val="0"/>
          <w:szCs w:val="20"/>
          <w:lang w:val="en-US"/>
        </w:rPr>
        <w:t xml:space="preserve">growth in the neck, and mycosis in both feet. She has received talks on </w:t>
      </w:r>
      <w:r w:rsidR="00CA11F6" w:rsidRPr="009F337B">
        <w:rPr>
          <w:i w:val="0"/>
          <w:szCs w:val="20"/>
          <w:lang w:val="en-US"/>
        </w:rPr>
        <w:t>HIV/AIDS</w:t>
      </w:r>
      <w:r w:rsidR="003C2AC6" w:rsidRPr="009F337B">
        <w:rPr>
          <w:i w:val="0"/>
          <w:szCs w:val="20"/>
          <w:lang w:val="en-US"/>
        </w:rPr>
        <w:t xml:space="preserve"> </w:t>
      </w:r>
      <w:r w:rsidR="00C0501F" w:rsidRPr="009F337B">
        <w:rPr>
          <w:i w:val="0"/>
          <w:szCs w:val="20"/>
          <w:lang w:val="en-US"/>
        </w:rPr>
        <w:t>by MSF’s</w:t>
      </w:r>
      <w:r w:rsidR="003C2AC6" w:rsidRPr="009F337B">
        <w:rPr>
          <w:i w:val="0"/>
          <w:szCs w:val="20"/>
          <w:lang w:val="en-US"/>
        </w:rPr>
        <w:t xml:space="preserve"> </w:t>
      </w:r>
      <w:r w:rsidR="00AE674B" w:rsidRPr="009F337B">
        <w:rPr>
          <w:szCs w:val="20"/>
          <w:lang w:val="en-US"/>
        </w:rPr>
        <w:t>Proyecto Vida</w:t>
      </w:r>
      <w:r w:rsidR="003C2AC6" w:rsidRPr="009F337B">
        <w:rPr>
          <w:i w:val="0"/>
          <w:szCs w:val="20"/>
          <w:lang w:val="en-US"/>
        </w:rPr>
        <w:t xml:space="preserve"> </w:t>
      </w:r>
      <w:r w:rsidR="00C0501F" w:rsidRPr="009F337B">
        <w:rPr>
          <w:i w:val="0"/>
          <w:szCs w:val="20"/>
          <w:lang w:val="en-US"/>
        </w:rPr>
        <w:t>that have helped her move forward.</w:t>
      </w:r>
      <w:r w:rsidR="003C2AC6" w:rsidRPr="009F337B">
        <w:rPr>
          <w:rStyle w:val="Refdenotaalpie"/>
          <w:i w:val="0"/>
          <w:lang w:val="en-US"/>
        </w:rPr>
        <w:footnoteReference w:id="339"/>
      </w:r>
    </w:p>
    <w:p w14:paraId="1E2A7734" w14:textId="77777777" w:rsidR="003C2AC6" w:rsidRPr="009F337B" w:rsidRDefault="003C2AC6" w:rsidP="003C2AC6">
      <w:pPr>
        <w:pStyle w:val="Estilo1"/>
        <w:tabs>
          <w:tab w:val="left" w:pos="709"/>
          <w:tab w:val="left" w:pos="1134"/>
        </w:tabs>
        <w:spacing w:after="0"/>
        <w:ind w:left="0" w:right="-4" w:firstLine="0"/>
        <w:rPr>
          <w:i w:val="0"/>
          <w:szCs w:val="20"/>
          <w:lang w:val="en-US"/>
        </w:rPr>
      </w:pPr>
    </w:p>
    <w:p w14:paraId="5E2BD2B1" w14:textId="5DF1ED21" w:rsidR="003C2AC6" w:rsidRPr="009F337B" w:rsidRDefault="007F1AEB" w:rsidP="00593E37">
      <w:pPr>
        <w:pStyle w:val="Estilo1"/>
        <w:numPr>
          <w:ilvl w:val="0"/>
          <w:numId w:val="5"/>
        </w:numPr>
        <w:tabs>
          <w:tab w:val="left" w:pos="709"/>
          <w:tab w:val="left" w:pos="1134"/>
        </w:tabs>
        <w:spacing w:after="0"/>
        <w:ind w:left="0" w:right="-4" w:firstLine="0"/>
        <w:rPr>
          <w:i w:val="0"/>
          <w:szCs w:val="20"/>
          <w:lang w:val="en-US"/>
        </w:rPr>
      </w:pPr>
      <w:r w:rsidRPr="009F337B">
        <w:rPr>
          <w:i w:val="0"/>
          <w:szCs w:val="20"/>
          <w:lang w:val="en-US"/>
        </w:rPr>
        <w:t>Mrs.</w:t>
      </w:r>
      <w:r w:rsidR="003C2AC6" w:rsidRPr="009F337B">
        <w:rPr>
          <w:i w:val="0"/>
          <w:szCs w:val="20"/>
          <w:lang w:val="en-US"/>
        </w:rPr>
        <w:t xml:space="preserve"> Pérez </w:t>
      </w:r>
      <w:proofErr w:type="spellStart"/>
      <w:r w:rsidR="003C2AC6" w:rsidRPr="009F337B">
        <w:rPr>
          <w:i w:val="0"/>
          <w:szCs w:val="20"/>
          <w:lang w:val="en-US"/>
        </w:rPr>
        <w:t>Ruíz</w:t>
      </w:r>
      <w:proofErr w:type="spellEnd"/>
      <w:r w:rsidR="003C2AC6" w:rsidRPr="009F337B">
        <w:rPr>
          <w:i w:val="0"/>
          <w:szCs w:val="20"/>
          <w:lang w:val="en-US"/>
        </w:rPr>
        <w:t xml:space="preserve"> </w:t>
      </w:r>
      <w:r w:rsidR="00C0501F" w:rsidRPr="009F337B">
        <w:rPr>
          <w:i w:val="0"/>
          <w:szCs w:val="20"/>
          <w:lang w:val="en-US"/>
        </w:rPr>
        <w:t xml:space="preserve">indicated that she had been discriminated against in the </w:t>
      </w:r>
      <w:r w:rsidR="00BB39B6" w:rsidRPr="009F337B">
        <w:rPr>
          <w:i w:val="0"/>
          <w:szCs w:val="20"/>
          <w:lang w:val="en-US"/>
        </w:rPr>
        <w:t>Roosevelt Hospital</w:t>
      </w:r>
      <w:r w:rsidR="003C2AC6" w:rsidRPr="009F337B">
        <w:rPr>
          <w:i w:val="0"/>
          <w:szCs w:val="20"/>
          <w:lang w:val="en-US"/>
        </w:rPr>
        <w:t xml:space="preserve"> </w:t>
      </w:r>
      <w:r w:rsidR="00C0501F" w:rsidRPr="009F337B">
        <w:rPr>
          <w:i w:val="0"/>
          <w:szCs w:val="20"/>
          <w:lang w:val="en-US"/>
        </w:rPr>
        <w:t>because the nurses avoiding coming near her when they left her food</w:t>
      </w:r>
      <w:r w:rsidR="00C13A2E" w:rsidRPr="009F337B">
        <w:rPr>
          <w:i w:val="0"/>
          <w:szCs w:val="20"/>
          <w:lang w:val="en-US"/>
        </w:rPr>
        <w:t xml:space="preserve">; </w:t>
      </w:r>
      <w:r w:rsidR="00C0501F" w:rsidRPr="009F337B">
        <w:rPr>
          <w:i w:val="0"/>
          <w:szCs w:val="20"/>
          <w:lang w:val="en-US"/>
        </w:rPr>
        <w:t xml:space="preserve">they said that “it was a contagious disease and they did not want to be contaminated.” Her financial situation is precarious and, consequently, two of her sons abandoned their studies to obtain work </w:t>
      </w:r>
      <w:r w:rsidR="00C13A2E" w:rsidRPr="009F337B">
        <w:rPr>
          <w:i w:val="0"/>
          <w:szCs w:val="20"/>
          <w:lang w:val="en-US"/>
        </w:rPr>
        <w:t>in order to</w:t>
      </w:r>
      <w:r w:rsidR="00C0501F" w:rsidRPr="009F337B">
        <w:rPr>
          <w:i w:val="0"/>
          <w:szCs w:val="20"/>
          <w:lang w:val="en-US"/>
        </w:rPr>
        <w:t xml:space="preserve"> help her obtain her treatments and </w:t>
      </w:r>
      <w:r w:rsidR="00C13A2E" w:rsidRPr="009F337B">
        <w:rPr>
          <w:i w:val="0"/>
          <w:szCs w:val="20"/>
          <w:lang w:val="en-US"/>
        </w:rPr>
        <w:t xml:space="preserve">to </w:t>
      </w:r>
      <w:r w:rsidR="00C0501F" w:rsidRPr="009F337B">
        <w:rPr>
          <w:i w:val="0"/>
          <w:szCs w:val="20"/>
          <w:lang w:val="en-US"/>
        </w:rPr>
        <w:t xml:space="preserve">pay for the schooling of their younger siblings. She </w:t>
      </w:r>
      <w:r w:rsidR="00C13A2E" w:rsidRPr="009F337B">
        <w:rPr>
          <w:i w:val="0"/>
          <w:szCs w:val="20"/>
          <w:lang w:val="en-US"/>
        </w:rPr>
        <w:t>s</w:t>
      </w:r>
      <w:r w:rsidR="00C0501F" w:rsidRPr="009F337B">
        <w:rPr>
          <w:i w:val="0"/>
          <w:szCs w:val="20"/>
          <w:lang w:val="en-US"/>
        </w:rPr>
        <w:t>tated that the journey from her home to the hospital cost approximately 500 quetzals for each trip, because she had to take one of her sons with her</w:t>
      </w:r>
      <w:r w:rsidR="00A71A86" w:rsidRPr="009F337B">
        <w:rPr>
          <w:i w:val="0"/>
          <w:szCs w:val="20"/>
          <w:lang w:val="en-US"/>
        </w:rPr>
        <w:t xml:space="preserve">; this was why she had not followed up on the plastic surgery she required to correct the </w:t>
      </w:r>
      <w:r w:rsidR="00297F0B" w:rsidRPr="009F337B">
        <w:rPr>
          <w:i w:val="0"/>
          <w:szCs w:val="20"/>
          <w:lang w:val="en-US"/>
        </w:rPr>
        <w:t>lipodystrophy</w:t>
      </w:r>
      <w:r w:rsidR="003C2AC6" w:rsidRPr="009F337B">
        <w:rPr>
          <w:i w:val="0"/>
          <w:szCs w:val="20"/>
          <w:lang w:val="en-US"/>
        </w:rPr>
        <w:t xml:space="preserve"> </w:t>
      </w:r>
      <w:r w:rsidR="00A71A86" w:rsidRPr="009F337B">
        <w:rPr>
          <w:i w:val="0"/>
          <w:szCs w:val="20"/>
          <w:lang w:val="en-US"/>
        </w:rPr>
        <w:t>in her neck</w:t>
      </w:r>
      <w:r w:rsidR="003C2AC6" w:rsidRPr="009F337B">
        <w:rPr>
          <w:i w:val="0"/>
          <w:szCs w:val="20"/>
          <w:lang w:val="en-US"/>
        </w:rPr>
        <w:t>.</w:t>
      </w:r>
      <w:r w:rsidR="003C2AC6" w:rsidRPr="009F337B">
        <w:rPr>
          <w:rStyle w:val="Refdenotaalpie"/>
          <w:i w:val="0"/>
          <w:lang w:val="en-US"/>
        </w:rPr>
        <w:footnoteReference w:id="340"/>
      </w:r>
    </w:p>
    <w:p w14:paraId="523EB11B" w14:textId="77777777" w:rsidR="003C2AC6" w:rsidRPr="009F337B" w:rsidRDefault="003C2AC6" w:rsidP="003C2AC6">
      <w:pPr>
        <w:pStyle w:val="Estilo1"/>
        <w:tabs>
          <w:tab w:val="left" w:pos="709"/>
          <w:tab w:val="left" w:pos="1134"/>
        </w:tabs>
        <w:spacing w:after="0"/>
        <w:ind w:left="0" w:right="-4" w:firstLine="0"/>
        <w:rPr>
          <w:i w:val="0"/>
          <w:szCs w:val="20"/>
          <w:lang w:val="en-US"/>
        </w:rPr>
      </w:pPr>
    </w:p>
    <w:p w14:paraId="4A1D4CB9" w14:textId="46E5285C" w:rsidR="003C2AC6" w:rsidRPr="009F337B" w:rsidRDefault="00A758A5" w:rsidP="00593E37">
      <w:pPr>
        <w:pStyle w:val="Estilo1"/>
        <w:numPr>
          <w:ilvl w:val="0"/>
          <w:numId w:val="5"/>
        </w:numPr>
        <w:tabs>
          <w:tab w:val="left" w:pos="709"/>
          <w:tab w:val="left" w:pos="1134"/>
        </w:tabs>
        <w:spacing w:after="0"/>
        <w:ind w:left="0" w:right="-4" w:firstLine="0"/>
        <w:rPr>
          <w:i w:val="0"/>
          <w:szCs w:val="20"/>
          <w:lang w:val="en-US"/>
        </w:rPr>
      </w:pPr>
      <w:r w:rsidRPr="009F337B">
        <w:rPr>
          <w:i w:val="0"/>
          <w:szCs w:val="20"/>
          <w:lang w:val="en-US"/>
        </w:rPr>
        <w:t xml:space="preserve">Her family unit consists of her </w:t>
      </w:r>
      <w:r w:rsidR="0010522A" w:rsidRPr="009F337B">
        <w:rPr>
          <w:i w:val="0"/>
          <w:szCs w:val="20"/>
          <w:lang w:val="en-US"/>
        </w:rPr>
        <w:t>husband</w:t>
      </w:r>
      <w:r w:rsidR="003C2AC6" w:rsidRPr="009F337B">
        <w:rPr>
          <w:i w:val="0"/>
          <w:szCs w:val="20"/>
          <w:lang w:val="en-US"/>
        </w:rPr>
        <w:t xml:space="preserve">, Santiago Francisco </w:t>
      </w:r>
      <w:proofErr w:type="spellStart"/>
      <w:r w:rsidR="003C2AC6" w:rsidRPr="009F337B">
        <w:rPr>
          <w:i w:val="0"/>
          <w:szCs w:val="20"/>
          <w:lang w:val="en-US"/>
        </w:rPr>
        <w:t>Valdéz</w:t>
      </w:r>
      <w:proofErr w:type="spellEnd"/>
      <w:r w:rsidR="003C2AC6" w:rsidRPr="009F337B">
        <w:rPr>
          <w:i w:val="0"/>
          <w:szCs w:val="20"/>
          <w:lang w:val="en-US"/>
        </w:rPr>
        <w:t xml:space="preserve"> Aguilar</w:t>
      </w:r>
      <w:r w:rsidR="00A71A86" w:rsidRPr="009F337B">
        <w:rPr>
          <w:i w:val="0"/>
          <w:szCs w:val="20"/>
          <w:lang w:val="en-US"/>
        </w:rPr>
        <w:t xml:space="preserve"> her </w:t>
      </w:r>
      <w:r w:rsidR="0010522A" w:rsidRPr="009F337B">
        <w:rPr>
          <w:i w:val="0"/>
          <w:szCs w:val="20"/>
          <w:lang w:val="en-US"/>
        </w:rPr>
        <w:t>son</w:t>
      </w:r>
      <w:r w:rsidR="003C2AC6" w:rsidRPr="009F337B">
        <w:rPr>
          <w:i w:val="0"/>
          <w:szCs w:val="20"/>
          <w:lang w:val="en-US"/>
        </w:rPr>
        <w:t xml:space="preserve">s </w:t>
      </w:r>
      <w:r w:rsidR="00A71A86" w:rsidRPr="009F337B">
        <w:rPr>
          <w:i w:val="0"/>
          <w:szCs w:val="20"/>
          <w:lang w:val="en-US"/>
        </w:rPr>
        <w:t>a</w:t>
      </w:r>
      <w:r w:rsidR="00C13A2E" w:rsidRPr="009F337B">
        <w:rPr>
          <w:i w:val="0"/>
          <w:szCs w:val="20"/>
          <w:lang w:val="en-US"/>
        </w:rPr>
        <w:t>n</w:t>
      </w:r>
      <w:r w:rsidR="00A71A86" w:rsidRPr="009F337B">
        <w:rPr>
          <w:i w:val="0"/>
          <w:szCs w:val="20"/>
          <w:lang w:val="en-US"/>
        </w:rPr>
        <w:t>d</w:t>
      </w:r>
      <w:r w:rsidR="003C2AC6" w:rsidRPr="009F337B">
        <w:rPr>
          <w:i w:val="0"/>
          <w:szCs w:val="20"/>
          <w:lang w:val="en-US"/>
        </w:rPr>
        <w:t xml:space="preserve"> </w:t>
      </w:r>
      <w:r w:rsidR="0010522A" w:rsidRPr="009F337B">
        <w:rPr>
          <w:i w:val="0"/>
          <w:szCs w:val="20"/>
          <w:lang w:val="en-US"/>
        </w:rPr>
        <w:t>daughter</w:t>
      </w:r>
      <w:r w:rsidR="003C2AC6" w:rsidRPr="009F337B">
        <w:rPr>
          <w:i w:val="0"/>
          <w:szCs w:val="20"/>
          <w:lang w:val="en-US"/>
        </w:rPr>
        <w:t xml:space="preserve">s, </w:t>
      </w:r>
      <w:proofErr w:type="spellStart"/>
      <w:r w:rsidR="003C2AC6" w:rsidRPr="009F337B">
        <w:rPr>
          <w:i w:val="0"/>
          <w:szCs w:val="20"/>
          <w:lang w:val="en-US"/>
        </w:rPr>
        <w:t>Jhony</w:t>
      </w:r>
      <w:proofErr w:type="spellEnd"/>
      <w:r w:rsidR="003C2AC6" w:rsidRPr="009F337B">
        <w:rPr>
          <w:i w:val="0"/>
          <w:szCs w:val="20"/>
          <w:lang w:val="en-US"/>
        </w:rPr>
        <w:t xml:space="preserve"> Francisco, </w:t>
      </w:r>
      <w:proofErr w:type="spellStart"/>
      <w:r w:rsidR="003C2AC6" w:rsidRPr="009F337B">
        <w:rPr>
          <w:i w:val="0"/>
          <w:szCs w:val="20"/>
          <w:lang w:val="en-US"/>
        </w:rPr>
        <w:t>Boni</w:t>
      </w:r>
      <w:proofErr w:type="spellEnd"/>
      <w:r w:rsidR="003C2AC6" w:rsidRPr="009F337B">
        <w:rPr>
          <w:i w:val="0"/>
          <w:szCs w:val="20"/>
          <w:lang w:val="en-US"/>
        </w:rPr>
        <w:t xml:space="preserve"> Kennedy, Nancy </w:t>
      </w:r>
      <w:proofErr w:type="spellStart"/>
      <w:r w:rsidR="003C2AC6" w:rsidRPr="009F337B">
        <w:rPr>
          <w:i w:val="0"/>
          <w:szCs w:val="20"/>
          <w:lang w:val="en-US"/>
        </w:rPr>
        <w:t>Beatríz</w:t>
      </w:r>
      <w:proofErr w:type="spellEnd"/>
      <w:r w:rsidR="003C2AC6" w:rsidRPr="009F337B">
        <w:rPr>
          <w:i w:val="0"/>
          <w:szCs w:val="20"/>
          <w:lang w:val="en-US"/>
        </w:rPr>
        <w:t xml:space="preserve">, </w:t>
      </w:r>
      <w:proofErr w:type="spellStart"/>
      <w:r w:rsidR="003C2AC6" w:rsidRPr="009F337B">
        <w:rPr>
          <w:i w:val="0"/>
          <w:szCs w:val="20"/>
          <w:lang w:val="en-US"/>
        </w:rPr>
        <w:t>Glendi</w:t>
      </w:r>
      <w:proofErr w:type="spellEnd"/>
      <w:r w:rsidR="003C2AC6" w:rsidRPr="009F337B">
        <w:rPr>
          <w:i w:val="0"/>
          <w:szCs w:val="20"/>
          <w:lang w:val="en-US"/>
        </w:rPr>
        <w:t xml:space="preserve"> </w:t>
      </w:r>
      <w:proofErr w:type="spellStart"/>
      <w:r w:rsidR="003C2AC6" w:rsidRPr="009F337B">
        <w:rPr>
          <w:i w:val="0"/>
          <w:szCs w:val="20"/>
          <w:lang w:val="en-US"/>
        </w:rPr>
        <w:t>Betsaida</w:t>
      </w:r>
      <w:proofErr w:type="spellEnd"/>
      <w:r w:rsidR="003C2AC6" w:rsidRPr="009F337B">
        <w:rPr>
          <w:i w:val="0"/>
          <w:szCs w:val="20"/>
          <w:lang w:val="en-US"/>
        </w:rPr>
        <w:t>, Mildred Odalis, Zoila Argentina</w:t>
      </w:r>
      <w:r w:rsidR="003C46A3" w:rsidRPr="009F337B">
        <w:rPr>
          <w:i w:val="0"/>
          <w:szCs w:val="20"/>
          <w:lang w:val="en-US"/>
        </w:rPr>
        <w:t xml:space="preserve"> and </w:t>
      </w:r>
      <w:r w:rsidR="003C2AC6" w:rsidRPr="009F337B">
        <w:rPr>
          <w:i w:val="0"/>
          <w:szCs w:val="20"/>
          <w:lang w:val="en-US"/>
        </w:rPr>
        <w:t xml:space="preserve">Nelson </w:t>
      </w:r>
      <w:proofErr w:type="spellStart"/>
      <w:r w:rsidR="003C2AC6" w:rsidRPr="009F337B">
        <w:rPr>
          <w:i w:val="0"/>
          <w:szCs w:val="20"/>
          <w:lang w:val="en-US"/>
        </w:rPr>
        <w:t>Gudiel</w:t>
      </w:r>
      <w:proofErr w:type="spellEnd"/>
      <w:r w:rsidR="003C2AC6" w:rsidRPr="009F337B">
        <w:rPr>
          <w:i w:val="0"/>
          <w:szCs w:val="20"/>
          <w:lang w:val="en-US"/>
        </w:rPr>
        <w:t xml:space="preserve">, </w:t>
      </w:r>
      <w:r w:rsidR="007B07E2" w:rsidRPr="009F337B">
        <w:rPr>
          <w:i w:val="0"/>
          <w:szCs w:val="20"/>
          <w:lang w:val="en-US"/>
        </w:rPr>
        <w:t>all</w:t>
      </w:r>
      <w:r w:rsidR="003C2AC6" w:rsidRPr="009F337B">
        <w:rPr>
          <w:i w:val="0"/>
          <w:szCs w:val="20"/>
          <w:lang w:val="en-US"/>
        </w:rPr>
        <w:t xml:space="preserve"> </w:t>
      </w:r>
      <w:proofErr w:type="spellStart"/>
      <w:r w:rsidR="003C2AC6" w:rsidRPr="009F337B">
        <w:rPr>
          <w:i w:val="0"/>
          <w:szCs w:val="20"/>
          <w:lang w:val="en-US"/>
        </w:rPr>
        <w:t>Valdéz</w:t>
      </w:r>
      <w:proofErr w:type="spellEnd"/>
      <w:r w:rsidR="003C2AC6" w:rsidRPr="009F337B">
        <w:rPr>
          <w:i w:val="0"/>
          <w:szCs w:val="20"/>
          <w:lang w:val="en-US"/>
        </w:rPr>
        <w:t xml:space="preserve"> Pérez, </w:t>
      </w:r>
      <w:r w:rsidR="00A71A86" w:rsidRPr="009F337B">
        <w:rPr>
          <w:i w:val="0"/>
          <w:szCs w:val="20"/>
          <w:lang w:val="en-US"/>
        </w:rPr>
        <w:t>her</w:t>
      </w:r>
      <w:r w:rsidR="003C2AC6" w:rsidRPr="009F337B">
        <w:rPr>
          <w:i w:val="0"/>
          <w:szCs w:val="20"/>
          <w:lang w:val="en-US"/>
        </w:rPr>
        <w:t xml:space="preserve"> </w:t>
      </w:r>
      <w:r w:rsidR="0010522A" w:rsidRPr="009F337B">
        <w:rPr>
          <w:i w:val="0"/>
          <w:szCs w:val="20"/>
          <w:lang w:val="en-US"/>
        </w:rPr>
        <w:t>mother</w:t>
      </w:r>
      <w:r w:rsidR="003C2AC6" w:rsidRPr="009F337B">
        <w:rPr>
          <w:i w:val="0"/>
          <w:szCs w:val="20"/>
          <w:lang w:val="en-US"/>
        </w:rPr>
        <w:t xml:space="preserve"> Rosario </w:t>
      </w:r>
      <w:proofErr w:type="spellStart"/>
      <w:r w:rsidR="003C2AC6" w:rsidRPr="009F337B">
        <w:rPr>
          <w:i w:val="0"/>
          <w:szCs w:val="20"/>
          <w:lang w:val="en-US"/>
        </w:rPr>
        <w:t>Ruíz</w:t>
      </w:r>
      <w:proofErr w:type="spellEnd"/>
      <w:r w:rsidR="003C2AC6" w:rsidRPr="009F337B">
        <w:rPr>
          <w:i w:val="0"/>
          <w:szCs w:val="20"/>
          <w:lang w:val="en-US"/>
        </w:rPr>
        <w:t>,</w:t>
      </w:r>
      <w:r w:rsidR="003C46A3" w:rsidRPr="009F337B">
        <w:rPr>
          <w:i w:val="0"/>
          <w:szCs w:val="20"/>
          <w:lang w:val="en-US"/>
        </w:rPr>
        <w:t xml:space="preserve"> and </w:t>
      </w:r>
      <w:r w:rsidR="00A71A86" w:rsidRPr="009F337B">
        <w:rPr>
          <w:i w:val="0"/>
          <w:szCs w:val="20"/>
          <w:lang w:val="en-US"/>
        </w:rPr>
        <w:t>her</w:t>
      </w:r>
      <w:r w:rsidR="003C2AC6" w:rsidRPr="009F337B">
        <w:rPr>
          <w:i w:val="0"/>
          <w:szCs w:val="20"/>
          <w:lang w:val="en-US"/>
        </w:rPr>
        <w:t xml:space="preserve"> </w:t>
      </w:r>
      <w:r w:rsidR="0010522A" w:rsidRPr="009F337B">
        <w:rPr>
          <w:i w:val="0"/>
          <w:szCs w:val="20"/>
          <w:lang w:val="en-US"/>
        </w:rPr>
        <w:t>brother</w:t>
      </w:r>
      <w:r w:rsidR="003C2AC6" w:rsidRPr="009F337B">
        <w:rPr>
          <w:i w:val="0"/>
          <w:szCs w:val="20"/>
          <w:lang w:val="en-US"/>
        </w:rPr>
        <w:t xml:space="preserve"> Edgar Gilberto Pérez </w:t>
      </w:r>
      <w:proofErr w:type="spellStart"/>
      <w:r w:rsidR="003C2AC6" w:rsidRPr="009F337B">
        <w:rPr>
          <w:i w:val="0"/>
          <w:szCs w:val="20"/>
          <w:lang w:val="en-US"/>
        </w:rPr>
        <w:t>Ruíz</w:t>
      </w:r>
      <w:proofErr w:type="spellEnd"/>
      <w:r w:rsidR="00A71A86" w:rsidRPr="009F337B">
        <w:rPr>
          <w:i w:val="0"/>
          <w:szCs w:val="20"/>
          <w:lang w:val="en-US"/>
        </w:rPr>
        <w:t>.</w:t>
      </w:r>
      <w:r w:rsidR="003C2AC6" w:rsidRPr="009F337B">
        <w:rPr>
          <w:rStyle w:val="Refdenotaalpie"/>
          <w:i w:val="0"/>
          <w:lang w:val="en-US"/>
        </w:rPr>
        <w:footnoteReference w:id="341"/>
      </w:r>
    </w:p>
    <w:p w14:paraId="61152EF8" w14:textId="77777777" w:rsidR="003C2AC6" w:rsidRPr="009F337B" w:rsidRDefault="003C2AC6" w:rsidP="003C2AC6">
      <w:pPr>
        <w:pStyle w:val="PrrafodeSentencia"/>
        <w:rPr>
          <w:lang w:val="en-US"/>
        </w:rPr>
      </w:pPr>
    </w:p>
    <w:p w14:paraId="04B7D12A" w14:textId="77777777" w:rsidR="003C2AC6" w:rsidRPr="009F337B" w:rsidRDefault="003C2AC6" w:rsidP="003C2AC6">
      <w:pPr>
        <w:pStyle w:val="PrrafodeSentencia"/>
        <w:rPr>
          <w:lang w:val="en-US"/>
        </w:rPr>
      </w:pPr>
      <w:r w:rsidRPr="009F337B">
        <w:rPr>
          <w:lang w:val="en-US"/>
        </w:rPr>
        <w:lastRenderedPageBreak/>
        <w:tab/>
        <w:t>B.26. Santiago Francisco Valdéz Aguilar</w:t>
      </w:r>
    </w:p>
    <w:p w14:paraId="1ADFEF68" w14:textId="77777777" w:rsidR="003C2AC6" w:rsidRPr="009F337B" w:rsidRDefault="003C2AC6" w:rsidP="003C2AC6">
      <w:pPr>
        <w:pStyle w:val="PrrafodeSentencia"/>
        <w:rPr>
          <w:lang w:val="en-US"/>
        </w:rPr>
      </w:pPr>
    </w:p>
    <w:p w14:paraId="1BF036A2" w14:textId="18F07405" w:rsidR="003C2AC6" w:rsidRPr="009F337B" w:rsidRDefault="007F1AEB" w:rsidP="00593E37">
      <w:pPr>
        <w:pStyle w:val="Estilo1"/>
        <w:numPr>
          <w:ilvl w:val="0"/>
          <w:numId w:val="5"/>
        </w:numPr>
        <w:tabs>
          <w:tab w:val="left" w:pos="709"/>
          <w:tab w:val="left" w:pos="1134"/>
        </w:tabs>
        <w:spacing w:after="0"/>
        <w:ind w:left="0" w:right="-4" w:firstLine="0"/>
        <w:rPr>
          <w:i w:val="0"/>
          <w:szCs w:val="20"/>
          <w:lang w:val="en-US"/>
        </w:rPr>
      </w:pPr>
      <w:r w:rsidRPr="009F337B">
        <w:rPr>
          <w:i w:val="0"/>
          <w:szCs w:val="20"/>
          <w:lang w:val="en-US"/>
        </w:rPr>
        <w:t>Mr.</w:t>
      </w:r>
      <w:r w:rsidR="003C2AC6" w:rsidRPr="009F337B">
        <w:rPr>
          <w:i w:val="0"/>
          <w:szCs w:val="20"/>
          <w:lang w:val="en-US"/>
        </w:rPr>
        <w:t xml:space="preserve"> </w:t>
      </w:r>
      <w:proofErr w:type="spellStart"/>
      <w:r w:rsidR="003C2AC6" w:rsidRPr="009F337B">
        <w:rPr>
          <w:i w:val="0"/>
          <w:szCs w:val="20"/>
          <w:lang w:val="en-US"/>
        </w:rPr>
        <w:t>Valdéz</w:t>
      </w:r>
      <w:proofErr w:type="spellEnd"/>
      <w:r w:rsidR="003C2AC6" w:rsidRPr="009F337B">
        <w:rPr>
          <w:i w:val="0"/>
          <w:szCs w:val="20"/>
          <w:lang w:val="en-US"/>
        </w:rPr>
        <w:t xml:space="preserve"> Aguilar </w:t>
      </w:r>
      <w:r w:rsidR="00A52C6F" w:rsidRPr="009F337B">
        <w:rPr>
          <w:i w:val="0"/>
          <w:szCs w:val="20"/>
          <w:lang w:val="en-US"/>
        </w:rPr>
        <w:t>was born in</w:t>
      </w:r>
      <w:r w:rsidR="00805FE9" w:rsidRPr="009F337B">
        <w:rPr>
          <w:i w:val="0"/>
          <w:szCs w:val="20"/>
          <w:lang w:val="en-US"/>
        </w:rPr>
        <w:t xml:space="preserve"> the </w:t>
      </w:r>
      <w:r w:rsidR="00D85CA7" w:rsidRPr="009F337B">
        <w:rPr>
          <w:i w:val="0"/>
          <w:szCs w:val="20"/>
          <w:lang w:val="en-US"/>
        </w:rPr>
        <w:t>municipality of</w:t>
      </w:r>
      <w:r w:rsidR="003C2AC6" w:rsidRPr="009F337B">
        <w:rPr>
          <w:i w:val="0"/>
          <w:szCs w:val="20"/>
          <w:lang w:val="en-US"/>
        </w:rPr>
        <w:t xml:space="preserve"> El Quetzal, </w:t>
      </w:r>
      <w:r w:rsidR="003E1304" w:rsidRPr="009F337B">
        <w:rPr>
          <w:i w:val="0"/>
          <w:szCs w:val="20"/>
          <w:lang w:val="en-US"/>
        </w:rPr>
        <w:t>department of</w:t>
      </w:r>
      <w:r w:rsidR="003C2AC6" w:rsidRPr="009F337B">
        <w:rPr>
          <w:i w:val="0"/>
          <w:szCs w:val="20"/>
          <w:lang w:val="en-US"/>
        </w:rPr>
        <w:t xml:space="preserve"> San Marcos, Guatemala</w:t>
      </w:r>
      <w:r w:rsidR="00A71A86" w:rsidRPr="009F337B">
        <w:rPr>
          <w:i w:val="0"/>
          <w:szCs w:val="20"/>
          <w:lang w:val="en-US"/>
        </w:rPr>
        <w:t xml:space="preserve">, </w:t>
      </w:r>
      <w:r w:rsidR="0084040D" w:rsidRPr="009F337B">
        <w:rPr>
          <w:i w:val="0"/>
          <w:szCs w:val="20"/>
          <w:lang w:val="en-US"/>
        </w:rPr>
        <w:t>on</w:t>
      </w:r>
      <w:r w:rsidR="003C2AC6" w:rsidRPr="009F337B">
        <w:rPr>
          <w:i w:val="0"/>
          <w:szCs w:val="20"/>
          <w:lang w:val="en-US"/>
        </w:rPr>
        <w:t xml:space="preserve"> </w:t>
      </w:r>
      <w:r w:rsidR="00A71A86" w:rsidRPr="009F337B">
        <w:rPr>
          <w:i w:val="0"/>
          <w:szCs w:val="20"/>
          <w:lang w:val="en-US"/>
        </w:rPr>
        <w:t>July 25,</w:t>
      </w:r>
      <w:r w:rsidR="003C2AC6" w:rsidRPr="009F337B">
        <w:rPr>
          <w:i w:val="0"/>
          <w:szCs w:val="20"/>
          <w:lang w:val="en-US"/>
        </w:rPr>
        <w:t xml:space="preserve"> 1961.</w:t>
      </w:r>
      <w:r w:rsidR="003C2AC6" w:rsidRPr="009F337B">
        <w:rPr>
          <w:b/>
          <w:i w:val="0"/>
          <w:szCs w:val="20"/>
          <w:lang w:val="en-US"/>
        </w:rPr>
        <w:t xml:space="preserve"> </w:t>
      </w:r>
      <w:r w:rsidR="00A71A86" w:rsidRPr="009F337B">
        <w:rPr>
          <w:i w:val="0"/>
          <w:szCs w:val="20"/>
          <w:lang w:val="en-US"/>
        </w:rPr>
        <w:t xml:space="preserve">He is the </w:t>
      </w:r>
      <w:r w:rsidR="00C13A2E" w:rsidRPr="009F337B">
        <w:rPr>
          <w:i w:val="0"/>
          <w:szCs w:val="20"/>
          <w:lang w:val="en-US"/>
        </w:rPr>
        <w:t>h</w:t>
      </w:r>
      <w:r w:rsidR="00A71A86" w:rsidRPr="009F337B">
        <w:rPr>
          <w:i w:val="0"/>
          <w:szCs w:val="20"/>
          <w:lang w:val="en-US"/>
        </w:rPr>
        <w:t>usband of</w:t>
      </w:r>
      <w:r w:rsidR="003C2AC6" w:rsidRPr="009F337B">
        <w:rPr>
          <w:i w:val="0"/>
          <w:szCs w:val="20"/>
          <w:lang w:val="en-US"/>
        </w:rPr>
        <w:t xml:space="preserve"> Zoi</w:t>
      </w:r>
      <w:r w:rsidR="003619A2" w:rsidRPr="009F337B">
        <w:rPr>
          <w:i w:val="0"/>
          <w:szCs w:val="20"/>
          <w:lang w:val="en-US"/>
        </w:rPr>
        <w:t xml:space="preserve">la Marina Pérez </w:t>
      </w:r>
      <w:proofErr w:type="spellStart"/>
      <w:r w:rsidR="003619A2" w:rsidRPr="009F337B">
        <w:rPr>
          <w:i w:val="0"/>
          <w:szCs w:val="20"/>
          <w:lang w:val="en-US"/>
        </w:rPr>
        <w:t>Ruí</w:t>
      </w:r>
      <w:r w:rsidR="003C2AC6" w:rsidRPr="009F337B">
        <w:rPr>
          <w:i w:val="0"/>
          <w:szCs w:val="20"/>
          <w:lang w:val="en-US"/>
        </w:rPr>
        <w:t>z</w:t>
      </w:r>
      <w:proofErr w:type="spellEnd"/>
      <w:r w:rsidR="003C2AC6" w:rsidRPr="009F337B">
        <w:rPr>
          <w:i w:val="0"/>
          <w:szCs w:val="20"/>
          <w:lang w:val="en-US"/>
        </w:rPr>
        <w:t>.</w:t>
      </w:r>
      <w:r w:rsidR="003C2AC6" w:rsidRPr="009F337B">
        <w:rPr>
          <w:b/>
          <w:i w:val="0"/>
          <w:szCs w:val="20"/>
          <w:lang w:val="en-US"/>
        </w:rPr>
        <w:t xml:space="preserve"> </w:t>
      </w:r>
      <w:r w:rsidR="00A71A86" w:rsidRPr="009F337B">
        <w:rPr>
          <w:i w:val="0"/>
          <w:szCs w:val="20"/>
          <w:lang w:val="en-US"/>
        </w:rPr>
        <w:t>He l</w:t>
      </w:r>
      <w:r w:rsidR="00D85CA7" w:rsidRPr="009F337B">
        <w:rPr>
          <w:i w:val="0"/>
          <w:szCs w:val="20"/>
          <w:lang w:val="en-US"/>
        </w:rPr>
        <w:t>ives in</w:t>
      </w:r>
      <w:r w:rsidR="003C2AC6" w:rsidRPr="009F337B">
        <w:rPr>
          <w:i w:val="0"/>
          <w:szCs w:val="20"/>
          <w:lang w:val="en-US"/>
        </w:rPr>
        <w:t xml:space="preserve"> </w:t>
      </w:r>
      <w:r w:rsidR="00A71A86" w:rsidRPr="009F337B">
        <w:rPr>
          <w:i w:val="0"/>
          <w:szCs w:val="20"/>
          <w:lang w:val="en-US"/>
        </w:rPr>
        <w:t>the village of</w:t>
      </w:r>
      <w:r w:rsidR="003C2AC6" w:rsidRPr="009F337B">
        <w:rPr>
          <w:i w:val="0"/>
          <w:szCs w:val="20"/>
          <w:lang w:val="en-US"/>
        </w:rPr>
        <w:t xml:space="preserve"> </w:t>
      </w:r>
      <w:proofErr w:type="spellStart"/>
      <w:r w:rsidR="003C2AC6" w:rsidRPr="009F337B">
        <w:rPr>
          <w:i w:val="0"/>
          <w:szCs w:val="20"/>
          <w:lang w:val="en-US"/>
        </w:rPr>
        <w:t>Sintamá</w:t>
      </w:r>
      <w:proofErr w:type="spellEnd"/>
      <w:r w:rsidR="003C2AC6" w:rsidRPr="009F337B">
        <w:rPr>
          <w:i w:val="0"/>
          <w:szCs w:val="20"/>
          <w:lang w:val="en-US"/>
        </w:rPr>
        <w:t>,</w:t>
      </w:r>
      <w:r w:rsidR="00805FE9" w:rsidRPr="009F337B">
        <w:rPr>
          <w:i w:val="0"/>
          <w:szCs w:val="20"/>
          <w:lang w:val="en-US"/>
        </w:rPr>
        <w:t xml:space="preserve"> </w:t>
      </w:r>
      <w:r w:rsidR="003E1304" w:rsidRPr="009F337B">
        <w:rPr>
          <w:i w:val="0"/>
          <w:szCs w:val="20"/>
          <w:lang w:val="en-US"/>
        </w:rPr>
        <w:t>municipality</w:t>
      </w:r>
      <w:r w:rsidR="003C2AC6" w:rsidRPr="009F337B">
        <w:rPr>
          <w:i w:val="0"/>
          <w:szCs w:val="20"/>
          <w:lang w:val="en-US"/>
        </w:rPr>
        <w:t xml:space="preserve"> </w:t>
      </w:r>
      <w:r w:rsidR="00A71A86" w:rsidRPr="009F337B">
        <w:rPr>
          <w:i w:val="0"/>
          <w:szCs w:val="20"/>
          <w:lang w:val="en-US"/>
        </w:rPr>
        <w:t xml:space="preserve">of </w:t>
      </w:r>
      <w:r w:rsidR="003C2AC6" w:rsidRPr="009F337B">
        <w:rPr>
          <w:i w:val="0"/>
          <w:szCs w:val="20"/>
          <w:lang w:val="en-US"/>
        </w:rPr>
        <w:t xml:space="preserve">El Quetzal, </w:t>
      </w:r>
      <w:r w:rsidR="003E1304" w:rsidRPr="009F337B">
        <w:rPr>
          <w:i w:val="0"/>
          <w:szCs w:val="20"/>
          <w:lang w:val="en-US"/>
        </w:rPr>
        <w:t>department of</w:t>
      </w:r>
      <w:r w:rsidR="003C2AC6" w:rsidRPr="009F337B">
        <w:rPr>
          <w:i w:val="0"/>
          <w:szCs w:val="20"/>
          <w:lang w:val="en-US"/>
        </w:rPr>
        <w:t xml:space="preserve"> San Marcos, Guatemala. </w:t>
      </w:r>
      <w:r w:rsidR="00A71A86" w:rsidRPr="009F337B">
        <w:rPr>
          <w:i w:val="0"/>
          <w:szCs w:val="20"/>
          <w:lang w:val="en-US"/>
        </w:rPr>
        <w:t xml:space="preserve">He completed sixth year of </w:t>
      </w:r>
      <w:r w:rsidR="00327D89" w:rsidRPr="009F337B">
        <w:rPr>
          <w:i w:val="0"/>
          <w:szCs w:val="20"/>
          <w:lang w:val="en-US"/>
        </w:rPr>
        <w:t>primary education</w:t>
      </w:r>
      <w:r w:rsidR="00A71A86" w:rsidRPr="009F337B">
        <w:rPr>
          <w:i w:val="0"/>
          <w:szCs w:val="20"/>
          <w:lang w:val="en-US"/>
        </w:rPr>
        <w:t xml:space="preserve">. </w:t>
      </w:r>
      <w:r w:rsidRPr="009F337B">
        <w:rPr>
          <w:i w:val="0"/>
          <w:szCs w:val="20"/>
          <w:lang w:val="en-US"/>
        </w:rPr>
        <w:t xml:space="preserve">He </w:t>
      </w:r>
      <w:r w:rsidR="00AE674B" w:rsidRPr="009F337B">
        <w:rPr>
          <w:i w:val="0"/>
          <w:szCs w:val="20"/>
          <w:lang w:val="en-US"/>
        </w:rPr>
        <w:t>was diagnosed with</w:t>
      </w:r>
      <w:r w:rsidR="003C2AC6" w:rsidRPr="009F337B">
        <w:rPr>
          <w:i w:val="0"/>
          <w:szCs w:val="20"/>
          <w:lang w:val="en-US"/>
        </w:rPr>
        <w:t xml:space="preserve"> </w:t>
      </w:r>
      <w:r w:rsidR="00CA11F6" w:rsidRPr="009F337B">
        <w:rPr>
          <w:i w:val="0"/>
          <w:szCs w:val="20"/>
          <w:lang w:val="en-US"/>
        </w:rPr>
        <w:t>HIV</w:t>
      </w:r>
      <w:r w:rsidR="003C2AC6" w:rsidRPr="009F337B">
        <w:rPr>
          <w:i w:val="0"/>
          <w:szCs w:val="20"/>
          <w:lang w:val="en-US"/>
        </w:rPr>
        <w:t xml:space="preserve"> </w:t>
      </w:r>
      <w:r w:rsidR="00A71A86" w:rsidRPr="009F337B">
        <w:rPr>
          <w:i w:val="0"/>
          <w:szCs w:val="20"/>
          <w:lang w:val="en-US"/>
        </w:rPr>
        <w:t>in</w:t>
      </w:r>
      <w:r w:rsidR="003C2AC6" w:rsidRPr="009F337B">
        <w:rPr>
          <w:i w:val="0"/>
          <w:szCs w:val="20"/>
          <w:lang w:val="en-US"/>
        </w:rPr>
        <w:t xml:space="preserve"> 2001 </w:t>
      </w:r>
      <w:r w:rsidR="00A71A86" w:rsidRPr="009F337B">
        <w:rPr>
          <w:i w:val="0"/>
          <w:szCs w:val="20"/>
          <w:lang w:val="en-US"/>
        </w:rPr>
        <w:t>in</w:t>
      </w:r>
      <w:r w:rsidR="003C2AC6" w:rsidRPr="009F337B">
        <w:rPr>
          <w:i w:val="0"/>
          <w:szCs w:val="20"/>
          <w:lang w:val="en-US"/>
        </w:rPr>
        <w:t xml:space="preserve"> </w:t>
      </w:r>
      <w:r w:rsidR="00BD5E94" w:rsidRPr="009F337B">
        <w:rPr>
          <w:i w:val="0"/>
          <w:szCs w:val="20"/>
          <w:lang w:val="en-US"/>
        </w:rPr>
        <w:t xml:space="preserve">the </w:t>
      </w:r>
      <w:proofErr w:type="spellStart"/>
      <w:r w:rsidR="00BD5E94" w:rsidRPr="009F337B">
        <w:rPr>
          <w:i w:val="0"/>
          <w:szCs w:val="20"/>
          <w:lang w:val="en-US"/>
        </w:rPr>
        <w:t>Coatepeque</w:t>
      </w:r>
      <w:proofErr w:type="spellEnd"/>
      <w:r w:rsidR="00BD5E94" w:rsidRPr="009F337B">
        <w:rPr>
          <w:i w:val="0"/>
          <w:szCs w:val="20"/>
          <w:lang w:val="en-US"/>
        </w:rPr>
        <w:t xml:space="preserve"> National Hospital</w:t>
      </w:r>
      <w:r w:rsidR="003C2AC6" w:rsidRPr="009F337B">
        <w:rPr>
          <w:i w:val="0"/>
          <w:szCs w:val="20"/>
          <w:lang w:val="en-US"/>
        </w:rPr>
        <w:t xml:space="preserve">. </w:t>
      </w:r>
      <w:r w:rsidR="00A71A86" w:rsidRPr="009F337B">
        <w:rPr>
          <w:i w:val="0"/>
          <w:szCs w:val="20"/>
          <w:lang w:val="en-US"/>
        </w:rPr>
        <w:t>He began</w:t>
      </w:r>
      <w:r w:rsidR="003C2AC6" w:rsidRPr="009F337B">
        <w:rPr>
          <w:i w:val="0"/>
          <w:szCs w:val="20"/>
          <w:lang w:val="en-US"/>
        </w:rPr>
        <w:t xml:space="preserve"> </w:t>
      </w:r>
      <w:r w:rsidR="00FE1EFF" w:rsidRPr="009F337B">
        <w:rPr>
          <w:i w:val="0"/>
          <w:szCs w:val="20"/>
          <w:lang w:val="en-US"/>
        </w:rPr>
        <w:t>antiretroviral treatment</w:t>
      </w:r>
      <w:r w:rsidR="003C2AC6" w:rsidRPr="009F337B">
        <w:rPr>
          <w:i w:val="0"/>
          <w:szCs w:val="20"/>
          <w:lang w:val="en-US"/>
        </w:rPr>
        <w:t xml:space="preserve"> </w:t>
      </w:r>
      <w:r w:rsidR="00A71A86" w:rsidRPr="009F337B">
        <w:rPr>
          <w:i w:val="0"/>
          <w:szCs w:val="20"/>
          <w:lang w:val="en-US"/>
        </w:rPr>
        <w:t>in December</w:t>
      </w:r>
      <w:r w:rsidR="003C2AC6" w:rsidRPr="009F337B">
        <w:rPr>
          <w:i w:val="0"/>
          <w:szCs w:val="20"/>
          <w:lang w:val="en-US"/>
        </w:rPr>
        <w:t xml:space="preserve"> 2002 </w:t>
      </w:r>
      <w:r w:rsidR="00A71A86" w:rsidRPr="009F337B">
        <w:rPr>
          <w:i w:val="0"/>
          <w:szCs w:val="20"/>
          <w:lang w:val="en-US"/>
        </w:rPr>
        <w:t>with</w:t>
      </w:r>
      <w:r w:rsidR="003C2AC6" w:rsidRPr="009F337B">
        <w:rPr>
          <w:i w:val="0"/>
          <w:szCs w:val="20"/>
          <w:lang w:val="en-US"/>
        </w:rPr>
        <w:t xml:space="preserve"> MSF. </w:t>
      </w:r>
      <w:r w:rsidR="00A71A86" w:rsidRPr="009F337B">
        <w:rPr>
          <w:i w:val="0"/>
          <w:szCs w:val="20"/>
          <w:lang w:val="en-US"/>
        </w:rPr>
        <w:t xml:space="preserve">He has undergone CD4 counts (6-8) and viral load tests (2-4) irregularly. Initially, he was treated by MSF and was transferred to the </w:t>
      </w:r>
      <w:proofErr w:type="spellStart"/>
      <w:r w:rsidR="005F10B1" w:rsidRPr="009F337B">
        <w:rPr>
          <w:i w:val="0"/>
          <w:szCs w:val="20"/>
          <w:lang w:val="en-US"/>
        </w:rPr>
        <w:t>Coatepeque</w:t>
      </w:r>
      <w:proofErr w:type="spellEnd"/>
      <w:r w:rsidR="005F10B1" w:rsidRPr="009F337B">
        <w:rPr>
          <w:i w:val="0"/>
          <w:szCs w:val="20"/>
          <w:lang w:val="en-US"/>
        </w:rPr>
        <w:t xml:space="preserve"> National Hospital</w:t>
      </w:r>
      <w:r w:rsidR="003C2AC6" w:rsidRPr="009F337B">
        <w:rPr>
          <w:i w:val="0"/>
          <w:szCs w:val="20"/>
          <w:lang w:val="en-US"/>
        </w:rPr>
        <w:t xml:space="preserve"> </w:t>
      </w:r>
      <w:r w:rsidR="001C4CEA" w:rsidRPr="009F337B">
        <w:rPr>
          <w:i w:val="0"/>
          <w:szCs w:val="20"/>
          <w:lang w:val="en-US"/>
        </w:rPr>
        <w:t>in 2002</w:t>
      </w:r>
      <w:r w:rsidR="003C2AC6" w:rsidRPr="009F337B">
        <w:rPr>
          <w:i w:val="0"/>
          <w:szCs w:val="20"/>
          <w:lang w:val="en-US"/>
        </w:rPr>
        <w:t xml:space="preserve">. </w:t>
      </w:r>
      <w:r w:rsidR="00A71A86" w:rsidRPr="009F337B">
        <w:rPr>
          <w:i w:val="0"/>
          <w:szCs w:val="20"/>
          <w:lang w:val="en-US"/>
        </w:rPr>
        <w:t>He has suffered from the</w:t>
      </w:r>
      <w:r w:rsidR="003C2AC6" w:rsidRPr="009F337B">
        <w:rPr>
          <w:i w:val="0"/>
          <w:szCs w:val="20"/>
          <w:lang w:val="en-US"/>
        </w:rPr>
        <w:t xml:space="preserve"> </w:t>
      </w:r>
      <w:r w:rsidR="0081563D" w:rsidRPr="009F337B">
        <w:rPr>
          <w:i w:val="0"/>
          <w:szCs w:val="20"/>
          <w:lang w:val="en-US"/>
        </w:rPr>
        <w:t>opportunistic diseases</w:t>
      </w:r>
      <w:r w:rsidR="003C2AC6" w:rsidRPr="009F337B">
        <w:rPr>
          <w:i w:val="0"/>
          <w:szCs w:val="20"/>
          <w:lang w:val="en-US"/>
        </w:rPr>
        <w:t xml:space="preserve"> </w:t>
      </w:r>
      <w:r w:rsidR="00A71A86" w:rsidRPr="009F337B">
        <w:rPr>
          <w:i w:val="0"/>
          <w:szCs w:val="20"/>
          <w:lang w:val="en-US"/>
        </w:rPr>
        <w:t>of</w:t>
      </w:r>
      <w:r w:rsidR="003C2AC6" w:rsidRPr="009F337B">
        <w:rPr>
          <w:i w:val="0"/>
          <w:szCs w:val="20"/>
          <w:lang w:val="en-US"/>
        </w:rPr>
        <w:t xml:space="preserve"> </w:t>
      </w:r>
      <w:r w:rsidR="00B23B9B" w:rsidRPr="009F337B">
        <w:rPr>
          <w:i w:val="0"/>
          <w:szCs w:val="20"/>
          <w:lang w:val="en-US"/>
        </w:rPr>
        <w:t>oral candidiasis</w:t>
      </w:r>
      <w:r w:rsidR="003C2AC6" w:rsidRPr="009F337B">
        <w:rPr>
          <w:i w:val="0"/>
          <w:szCs w:val="20"/>
          <w:lang w:val="en-US"/>
        </w:rPr>
        <w:t>, dermatom</w:t>
      </w:r>
      <w:r w:rsidR="00A71A86" w:rsidRPr="009F337B">
        <w:rPr>
          <w:i w:val="0"/>
          <w:szCs w:val="20"/>
          <w:lang w:val="en-US"/>
        </w:rPr>
        <w:t>y</w:t>
      </w:r>
      <w:r w:rsidR="003C2AC6" w:rsidRPr="009F337B">
        <w:rPr>
          <w:i w:val="0"/>
          <w:szCs w:val="20"/>
          <w:lang w:val="en-US"/>
        </w:rPr>
        <w:t>cosis</w:t>
      </w:r>
      <w:r w:rsidR="003C46A3" w:rsidRPr="009F337B">
        <w:rPr>
          <w:i w:val="0"/>
          <w:szCs w:val="20"/>
          <w:lang w:val="en-US"/>
        </w:rPr>
        <w:t xml:space="preserve"> and </w:t>
      </w:r>
      <w:r w:rsidR="00A71A86" w:rsidRPr="009F337B">
        <w:rPr>
          <w:i w:val="0"/>
          <w:szCs w:val="20"/>
          <w:lang w:val="en-US"/>
        </w:rPr>
        <w:t xml:space="preserve">minor mucocutaneous lesions. At times he has had to </w:t>
      </w:r>
      <w:r w:rsidR="001C7A13" w:rsidRPr="009F337B">
        <w:rPr>
          <w:i w:val="0"/>
          <w:szCs w:val="20"/>
          <w:lang w:val="en-US"/>
        </w:rPr>
        <w:t>purchase</w:t>
      </w:r>
      <w:r w:rsidR="00A71A86" w:rsidRPr="009F337B">
        <w:rPr>
          <w:i w:val="0"/>
          <w:szCs w:val="20"/>
          <w:lang w:val="en-US"/>
        </w:rPr>
        <w:t xml:space="preserve"> the treatment for the opportunistic infections. He has not received nutritional, psychological or social support, but has received support from self-help groups. Before his diagnosis he worked in agriculture; however, owing to the deterioration in his health, he had to </w:t>
      </w:r>
      <w:r w:rsidR="001C7A13" w:rsidRPr="009F337B">
        <w:rPr>
          <w:i w:val="0"/>
          <w:szCs w:val="20"/>
          <w:lang w:val="en-US"/>
        </w:rPr>
        <w:t>give up</w:t>
      </w:r>
      <w:r w:rsidR="00A71A86" w:rsidRPr="009F337B">
        <w:rPr>
          <w:i w:val="0"/>
          <w:szCs w:val="20"/>
          <w:lang w:val="en-US"/>
        </w:rPr>
        <w:t xml:space="preserve"> this work because he could not go out in the sun. Consequently, two of his sons w</w:t>
      </w:r>
      <w:r w:rsidR="001C7A13" w:rsidRPr="009F337B">
        <w:rPr>
          <w:i w:val="0"/>
          <w:szCs w:val="20"/>
          <w:lang w:val="en-US"/>
        </w:rPr>
        <w:t>ent</w:t>
      </w:r>
      <w:r w:rsidR="00A71A86" w:rsidRPr="009F337B">
        <w:rPr>
          <w:i w:val="0"/>
          <w:szCs w:val="20"/>
          <w:lang w:val="en-US"/>
        </w:rPr>
        <w:t xml:space="preserve"> to the United States to be able to support his wife and him financially.</w:t>
      </w:r>
      <w:r w:rsidR="003C2AC6" w:rsidRPr="009F337B">
        <w:rPr>
          <w:rStyle w:val="Refdenotaalpie"/>
          <w:i w:val="0"/>
          <w:lang w:val="en-US"/>
        </w:rPr>
        <w:footnoteReference w:id="342"/>
      </w:r>
    </w:p>
    <w:p w14:paraId="696CB420" w14:textId="77777777" w:rsidR="003C2AC6" w:rsidRPr="009F337B" w:rsidRDefault="003C2AC6" w:rsidP="003C2AC6">
      <w:pPr>
        <w:pStyle w:val="Estilo1"/>
        <w:tabs>
          <w:tab w:val="left" w:pos="709"/>
          <w:tab w:val="left" w:pos="1134"/>
        </w:tabs>
        <w:spacing w:after="0"/>
        <w:ind w:left="0" w:right="-4" w:firstLine="0"/>
        <w:rPr>
          <w:i w:val="0"/>
          <w:szCs w:val="20"/>
          <w:lang w:val="en-US"/>
        </w:rPr>
      </w:pPr>
    </w:p>
    <w:p w14:paraId="0A471036" w14:textId="551E036C" w:rsidR="003C2AC6" w:rsidRPr="009F337B" w:rsidRDefault="00A758A5" w:rsidP="00593E37">
      <w:pPr>
        <w:pStyle w:val="Estilo1"/>
        <w:numPr>
          <w:ilvl w:val="0"/>
          <w:numId w:val="5"/>
        </w:numPr>
        <w:tabs>
          <w:tab w:val="left" w:pos="709"/>
          <w:tab w:val="left" w:pos="1134"/>
        </w:tabs>
        <w:spacing w:after="0"/>
        <w:ind w:left="0" w:right="-4" w:firstLine="0"/>
        <w:rPr>
          <w:i w:val="0"/>
          <w:szCs w:val="20"/>
          <w:lang w:val="en-US"/>
        </w:rPr>
      </w:pPr>
      <w:r w:rsidRPr="009F337B">
        <w:rPr>
          <w:i w:val="0"/>
          <w:szCs w:val="20"/>
          <w:lang w:val="en-US"/>
        </w:rPr>
        <w:t xml:space="preserve">His family unit consists of his </w:t>
      </w:r>
      <w:r w:rsidR="0010522A" w:rsidRPr="009F337B">
        <w:rPr>
          <w:i w:val="0"/>
          <w:szCs w:val="20"/>
          <w:lang w:val="en-US"/>
        </w:rPr>
        <w:t>wife</w:t>
      </w:r>
      <w:r w:rsidR="003C2AC6" w:rsidRPr="009F337B">
        <w:rPr>
          <w:i w:val="0"/>
          <w:szCs w:val="20"/>
          <w:lang w:val="en-US"/>
        </w:rPr>
        <w:t xml:space="preserve"> Zoila Marina Pérez </w:t>
      </w:r>
      <w:proofErr w:type="spellStart"/>
      <w:r w:rsidR="003C2AC6" w:rsidRPr="009F337B">
        <w:rPr>
          <w:i w:val="0"/>
          <w:szCs w:val="20"/>
          <w:lang w:val="en-US"/>
        </w:rPr>
        <w:t>Ruíz</w:t>
      </w:r>
      <w:proofErr w:type="spellEnd"/>
      <w:r w:rsidR="003C2AC6" w:rsidRPr="009F337B">
        <w:rPr>
          <w:i w:val="0"/>
          <w:szCs w:val="20"/>
          <w:lang w:val="en-US"/>
        </w:rPr>
        <w:t xml:space="preserve">, </w:t>
      </w:r>
      <w:r w:rsidR="00A71A86" w:rsidRPr="009F337B">
        <w:rPr>
          <w:i w:val="0"/>
          <w:szCs w:val="20"/>
          <w:lang w:val="en-US"/>
        </w:rPr>
        <w:t>his</w:t>
      </w:r>
      <w:r w:rsidR="003C2AC6" w:rsidRPr="009F337B">
        <w:rPr>
          <w:i w:val="0"/>
          <w:szCs w:val="20"/>
          <w:lang w:val="en-US"/>
        </w:rPr>
        <w:t xml:space="preserve"> </w:t>
      </w:r>
      <w:r w:rsidR="0010522A" w:rsidRPr="009F337B">
        <w:rPr>
          <w:i w:val="0"/>
          <w:szCs w:val="20"/>
          <w:lang w:val="en-US"/>
        </w:rPr>
        <w:t>son</w:t>
      </w:r>
      <w:r w:rsidR="003C2AC6" w:rsidRPr="009F337B">
        <w:rPr>
          <w:i w:val="0"/>
          <w:szCs w:val="20"/>
          <w:lang w:val="en-US"/>
        </w:rPr>
        <w:t xml:space="preserve">s </w:t>
      </w:r>
      <w:r w:rsidR="00A71A86" w:rsidRPr="009F337B">
        <w:rPr>
          <w:i w:val="0"/>
          <w:szCs w:val="20"/>
          <w:lang w:val="en-US"/>
        </w:rPr>
        <w:t>and</w:t>
      </w:r>
      <w:r w:rsidR="003C2AC6" w:rsidRPr="009F337B">
        <w:rPr>
          <w:i w:val="0"/>
          <w:szCs w:val="20"/>
          <w:lang w:val="en-US"/>
        </w:rPr>
        <w:t xml:space="preserve"> </w:t>
      </w:r>
      <w:r w:rsidR="0010522A" w:rsidRPr="009F337B">
        <w:rPr>
          <w:i w:val="0"/>
          <w:szCs w:val="20"/>
          <w:lang w:val="en-US"/>
        </w:rPr>
        <w:t>daughter</w:t>
      </w:r>
      <w:r w:rsidR="003C2AC6" w:rsidRPr="009F337B">
        <w:rPr>
          <w:i w:val="0"/>
          <w:szCs w:val="20"/>
          <w:lang w:val="en-US"/>
        </w:rPr>
        <w:t xml:space="preserve">s </w:t>
      </w:r>
      <w:proofErr w:type="spellStart"/>
      <w:r w:rsidR="003C2AC6" w:rsidRPr="009F337B">
        <w:rPr>
          <w:i w:val="0"/>
          <w:szCs w:val="20"/>
          <w:lang w:val="en-US"/>
        </w:rPr>
        <w:t>Jhony</w:t>
      </w:r>
      <w:proofErr w:type="spellEnd"/>
      <w:r w:rsidR="003C2AC6" w:rsidRPr="009F337B">
        <w:rPr>
          <w:i w:val="0"/>
          <w:szCs w:val="20"/>
          <w:lang w:val="en-US"/>
        </w:rPr>
        <w:t xml:space="preserve"> Francisco, </w:t>
      </w:r>
      <w:proofErr w:type="spellStart"/>
      <w:r w:rsidR="003C2AC6" w:rsidRPr="009F337B">
        <w:rPr>
          <w:i w:val="0"/>
          <w:szCs w:val="20"/>
          <w:lang w:val="en-US"/>
        </w:rPr>
        <w:t>Boni</w:t>
      </w:r>
      <w:proofErr w:type="spellEnd"/>
      <w:r w:rsidR="003C2AC6" w:rsidRPr="009F337B">
        <w:rPr>
          <w:i w:val="0"/>
          <w:szCs w:val="20"/>
          <w:lang w:val="en-US"/>
        </w:rPr>
        <w:t xml:space="preserve"> Kennedy, Nancy </w:t>
      </w:r>
      <w:proofErr w:type="spellStart"/>
      <w:r w:rsidR="003C2AC6" w:rsidRPr="009F337B">
        <w:rPr>
          <w:i w:val="0"/>
          <w:szCs w:val="20"/>
          <w:lang w:val="en-US"/>
        </w:rPr>
        <w:t>Beatríz</w:t>
      </w:r>
      <w:proofErr w:type="spellEnd"/>
      <w:r w:rsidR="003C2AC6" w:rsidRPr="009F337B">
        <w:rPr>
          <w:i w:val="0"/>
          <w:szCs w:val="20"/>
          <w:lang w:val="en-US"/>
        </w:rPr>
        <w:t xml:space="preserve">, </w:t>
      </w:r>
      <w:proofErr w:type="spellStart"/>
      <w:r w:rsidR="003C2AC6" w:rsidRPr="009F337B">
        <w:rPr>
          <w:i w:val="0"/>
          <w:szCs w:val="20"/>
          <w:lang w:val="en-US"/>
        </w:rPr>
        <w:t>Glendi</w:t>
      </w:r>
      <w:proofErr w:type="spellEnd"/>
      <w:r w:rsidR="003C2AC6" w:rsidRPr="009F337B">
        <w:rPr>
          <w:i w:val="0"/>
          <w:szCs w:val="20"/>
          <w:lang w:val="en-US"/>
        </w:rPr>
        <w:t xml:space="preserve"> </w:t>
      </w:r>
      <w:proofErr w:type="spellStart"/>
      <w:r w:rsidR="003C2AC6" w:rsidRPr="009F337B">
        <w:rPr>
          <w:i w:val="0"/>
          <w:szCs w:val="20"/>
          <w:lang w:val="en-US"/>
        </w:rPr>
        <w:t>Betsaida</w:t>
      </w:r>
      <w:proofErr w:type="spellEnd"/>
      <w:r w:rsidR="003C2AC6" w:rsidRPr="009F337B">
        <w:rPr>
          <w:i w:val="0"/>
          <w:szCs w:val="20"/>
          <w:lang w:val="en-US"/>
        </w:rPr>
        <w:t>, Mildred Odalis, Zoila Argentina</w:t>
      </w:r>
      <w:r w:rsidR="003C46A3" w:rsidRPr="009F337B">
        <w:rPr>
          <w:i w:val="0"/>
          <w:szCs w:val="20"/>
          <w:lang w:val="en-US"/>
        </w:rPr>
        <w:t xml:space="preserve"> and </w:t>
      </w:r>
      <w:r w:rsidR="003C2AC6" w:rsidRPr="009F337B">
        <w:rPr>
          <w:i w:val="0"/>
          <w:szCs w:val="20"/>
          <w:lang w:val="en-US"/>
        </w:rPr>
        <w:t xml:space="preserve">Nelson </w:t>
      </w:r>
      <w:proofErr w:type="spellStart"/>
      <w:r w:rsidR="003C2AC6" w:rsidRPr="009F337B">
        <w:rPr>
          <w:i w:val="0"/>
          <w:szCs w:val="20"/>
          <w:lang w:val="en-US"/>
        </w:rPr>
        <w:t>Gudiel</w:t>
      </w:r>
      <w:proofErr w:type="spellEnd"/>
      <w:r w:rsidR="003C2AC6" w:rsidRPr="009F337B">
        <w:rPr>
          <w:i w:val="0"/>
          <w:szCs w:val="20"/>
          <w:lang w:val="en-US"/>
        </w:rPr>
        <w:t xml:space="preserve">, </w:t>
      </w:r>
      <w:r w:rsidR="007B07E2" w:rsidRPr="009F337B">
        <w:rPr>
          <w:i w:val="0"/>
          <w:szCs w:val="20"/>
          <w:lang w:val="en-US"/>
        </w:rPr>
        <w:t>all</w:t>
      </w:r>
      <w:r w:rsidR="003C2AC6" w:rsidRPr="009F337B">
        <w:rPr>
          <w:i w:val="0"/>
          <w:szCs w:val="20"/>
          <w:lang w:val="en-US"/>
        </w:rPr>
        <w:t xml:space="preserve"> </w:t>
      </w:r>
      <w:proofErr w:type="spellStart"/>
      <w:r w:rsidR="003C2AC6" w:rsidRPr="009F337B">
        <w:rPr>
          <w:i w:val="0"/>
          <w:szCs w:val="20"/>
          <w:lang w:val="en-US"/>
        </w:rPr>
        <w:t>Valdéz</w:t>
      </w:r>
      <w:proofErr w:type="spellEnd"/>
      <w:r w:rsidR="003C2AC6" w:rsidRPr="009F337B">
        <w:rPr>
          <w:i w:val="0"/>
          <w:szCs w:val="20"/>
          <w:lang w:val="en-US"/>
        </w:rPr>
        <w:t xml:space="preserve"> Pérez</w:t>
      </w:r>
      <w:r w:rsidR="003C2AC6" w:rsidRPr="009F337B">
        <w:rPr>
          <w:rStyle w:val="Refdenotaalpie"/>
          <w:i w:val="0"/>
          <w:lang w:val="en-US"/>
        </w:rPr>
        <w:footnoteReference w:id="343"/>
      </w:r>
      <w:r w:rsidR="003C2AC6" w:rsidRPr="009F337B">
        <w:rPr>
          <w:i w:val="0"/>
          <w:szCs w:val="20"/>
          <w:lang w:val="en-US"/>
        </w:rPr>
        <w:t>.</w:t>
      </w:r>
    </w:p>
    <w:p w14:paraId="6345A043" w14:textId="77777777" w:rsidR="003C2AC6" w:rsidRPr="009F337B" w:rsidRDefault="003C2AC6" w:rsidP="003C2AC6">
      <w:pPr>
        <w:pStyle w:val="PrrafodeSentencia"/>
        <w:rPr>
          <w:lang w:val="en-US"/>
        </w:rPr>
      </w:pPr>
    </w:p>
    <w:p w14:paraId="01221079" w14:textId="77777777" w:rsidR="003C2AC6" w:rsidRPr="009F337B" w:rsidRDefault="003C2AC6" w:rsidP="003C2AC6">
      <w:pPr>
        <w:pStyle w:val="PrrafodeSentencia"/>
        <w:rPr>
          <w:lang w:val="en-US"/>
        </w:rPr>
      </w:pPr>
      <w:r w:rsidRPr="009F337B">
        <w:rPr>
          <w:lang w:val="en-US"/>
        </w:rPr>
        <w:tab/>
        <w:t>B.27. Teresa Magdalena Ramírez Castro</w:t>
      </w:r>
    </w:p>
    <w:p w14:paraId="12DE952D" w14:textId="77777777" w:rsidR="003C2AC6" w:rsidRPr="009F337B" w:rsidRDefault="003C2AC6" w:rsidP="003C2AC6">
      <w:pPr>
        <w:pStyle w:val="PrrafodeSentencia"/>
        <w:rPr>
          <w:lang w:val="en-US"/>
        </w:rPr>
      </w:pPr>
    </w:p>
    <w:p w14:paraId="000DA111" w14:textId="5B9F9A23" w:rsidR="003C2AC6" w:rsidRPr="009F337B" w:rsidRDefault="007F1AEB" w:rsidP="00593E37">
      <w:pPr>
        <w:pStyle w:val="Estilo1"/>
        <w:numPr>
          <w:ilvl w:val="0"/>
          <w:numId w:val="5"/>
        </w:numPr>
        <w:tabs>
          <w:tab w:val="left" w:pos="709"/>
          <w:tab w:val="left" w:pos="1134"/>
        </w:tabs>
        <w:spacing w:after="0"/>
        <w:ind w:left="0" w:right="-4" w:firstLine="0"/>
        <w:rPr>
          <w:i w:val="0"/>
          <w:szCs w:val="20"/>
          <w:lang w:val="en-US"/>
        </w:rPr>
      </w:pPr>
      <w:r w:rsidRPr="009F337B">
        <w:rPr>
          <w:i w:val="0"/>
          <w:szCs w:val="20"/>
          <w:lang w:val="en-US"/>
        </w:rPr>
        <w:t>Mrs.</w:t>
      </w:r>
      <w:r w:rsidR="003C2AC6" w:rsidRPr="009F337B">
        <w:rPr>
          <w:i w:val="0"/>
          <w:szCs w:val="20"/>
          <w:lang w:val="en-US"/>
        </w:rPr>
        <w:t xml:space="preserve"> Ramírez Castro </w:t>
      </w:r>
      <w:r w:rsidR="0084040D" w:rsidRPr="009F337B">
        <w:rPr>
          <w:i w:val="0"/>
          <w:szCs w:val="20"/>
          <w:lang w:val="en-US"/>
        </w:rPr>
        <w:t>was born on</w:t>
      </w:r>
      <w:r w:rsidR="003C2AC6" w:rsidRPr="009F337B">
        <w:rPr>
          <w:i w:val="0"/>
          <w:szCs w:val="20"/>
          <w:lang w:val="en-US"/>
        </w:rPr>
        <w:t xml:space="preserve"> </w:t>
      </w:r>
      <w:r w:rsidR="00A71A86" w:rsidRPr="009F337B">
        <w:rPr>
          <w:i w:val="0"/>
          <w:szCs w:val="20"/>
          <w:lang w:val="en-US"/>
        </w:rPr>
        <w:t>November 10,</w:t>
      </w:r>
      <w:r w:rsidR="003C2AC6" w:rsidRPr="009F337B">
        <w:rPr>
          <w:i w:val="0"/>
          <w:szCs w:val="20"/>
          <w:lang w:val="en-US"/>
        </w:rPr>
        <w:t xml:space="preserve"> 1974.</w:t>
      </w:r>
      <w:r w:rsidR="003C2AC6" w:rsidRPr="009F337B">
        <w:rPr>
          <w:rStyle w:val="Refdenotaalpie"/>
          <w:i w:val="0"/>
          <w:lang w:val="en-US"/>
        </w:rPr>
        <w:t xml:space="preserve"> </w:t>
      </w:r>
      <w:r w:rsidR="00A71A86" w:rsidRPr="009F337B">
        <w:rPr>
          <w:i w:val="0"/>
          <w:szCs w:val="20"/>
          <w:lang w:val="en-US"/>
        </w:rPr>
        <w:t>She l</w:t>
      </w:r>
      <w:r w:rsidR="00D85CA7" w:rsidRPr="009F337B">
        <w:rPr>
          <w:i w:val="0"/>
          <w:szCs w:val="20"/>
          <w:lang w:val="en-US"/>
        </w:rPr>
        <w:t>ives in</w:t>
      </w:r>
      <w:r w:rsidR="003C2AC6" w:rsidRPr="009F337B">
        <w:rPr>
          <w:i w:val="0"/>
          <w:szCs w:val="20"/>
          <w:lang w:val="en-US"/>
        </w:rPr>
        <w:t xml:space="preserve"> Campo Santo Magnolia, Guatemala. </w:t>
      </w:r>
      <w:r w:rsidR="00A71A86" w:rsidRPr="009F337B">
        <w:rPr>
          <w:i w:val="0"/>
          <w:szCs w:val="20"/>
          <w:lang w:val="en-US"/>
        </w:rPr>
        <w:t>She w</w:t>
      </w:r>
      <w:r w:rsidR="001071B4" w:rsidRPr="009F337B">
        <w:rPr>
          <w:i w:val="0"/>
          <w:szCs w:val="20"/>
          <w:lang w:val="en-US"/>
        </w:rPr>
        <w:t>as diagnosed with HIV</w:t>
      </w:r>
      <w:r w:rsidR="003C2AC6" w:rsidRPr="009F337B">
        <w:rPr>
          <w:i w:val="0"/>
          <w:szCs w:val="20"/>
          <w:lang w:val="en-US"/>
        </w:rPr>
        <w:t xml:space="preserve"> </w:t>
      </w:r>
      <w:r w:rsidR="001C4CEA" w:rsidRPr="009F337B">
        <w:rPr>
          <w:i w:val="0"/>
          <w:szCs w:val="20"/>
          <w:lang w:val="en-US"/>
        </w:rPr>
        <w:t>in 2002</w:t>
      </w:r>
      <w:r w:rsidR="003C2AC6" w:rsidRPr="009F337B">
        <w:rPr>
          <w:i w:val="0"/>
          <w:szCs w:val="20"/>
          <w:lang w:val="en-US"/>
        </w:rPr>
        <w:t xml:space="preserve"> </w:t>
      </w:r>
      <w:r w:rsidR="00A71A86" w:rsidRPr="009F337B">
        <w:rPr>
          <w:i w:val="0"/>
          <w:szCs w:val="20"/>
          <w:lang w:val="en-US"/>
        </w:rPr>
        <w:t>by MSF’s</w:t>
      </w:r>
      <w:r w:rsidR="003C2AC6" w:rsidRPr="009F337B">
        <w:rPr>
          <w:i w:val="0"/>
          <w:szCs w:val="20"/>
          <w:lang w:val="en-US"/>
        </w:rPr>
        <w:t xml:space="preserve"> </w:t>
      </w:r>
      <w:r w:rsidR="00AE674B" w:rsidRPr="009F337B">
        <w:rPr>
          <w:szCs w:val="20"/>
          <w:lang w:val="en-US"/>
        </w:rPr>
        <w:t>Proyecto Vida</w:t>
      </w:r>
      <w:r w:rsidR="003C2AC6" w:rsidRPr="009F337B">
        <w:rPr>
          <w:i w:val="0"/>
          <w:szCs w:val="20"/>
          <w:lang w:val="en-US"/>
        </w:rPr>
        <w:t xml:space="preserve">. </w:t>
      </w:r>
      <w:r w:rsidR="00A71A86" w:rsidRPr="009F337B">
        <w:rPr>
          <w:i w:val="0"/>
          <w:szCs w:val="20"/>
          <w:lang w:val="en-US"/>
        </w:rPr>
        <w:t>She began</w:t>
      </w:r>
      <w:r w:rsidR="003C2AC6" w:rsidRPr="009F337B">
        <w:rPr>
          <w:i w:val="0"/>
          <w:szCs w:val="20"/>
          <w:lang w:val="en-US"/>
        </w:rPr>
        <w:t xml:space="preserve"> </w:t>
      </w:r>
      <w:r w:rsidR="00FE1EFF" w:rsidRPr="009F337B">
        <w:rPr>
          <w:i w:val="0"/>
          <w:szCs w:val="20"/>
          <w:lang w:val="en-US"/>
        </w:rPr>
        <w:t>antiretroviral treatment</w:t>
      </w:r>
      <w:r w:rsidR="003C2AC6" w:rsidRPr="009F337B">
        <w:rPr>
          <w:i w:val="0"/>
          <w:szCs w:val="20"/>
          <w:lang w:val="en-US"/>
        </w:rPr>
        <w:t xml:space="preserve"> </w:t>
      </w:r>
      <w:r w:rsidR="00A71A86" w:rsidRPr="009F337B">
        <w:rPr>
          <w:i w:val="0"/>
          <w:szCs w:val="20"/>
          <w:lang w:val="en-US"/>
        </w:rPr>
        <w:t>on February 17,</w:t>
      </w:r>
      <w:r w:rsidR="003C2AC6" w:rsidRPr="009F337B">
        <w:rPr>
          <w:i w:val="0"/>
          <w:szCs w:val="20"/>
          <w:lang w:val="en-US"/>
        </w:rPr>
        <w:t xml:space="preserve"> 2004. Ini</w:t>
      </w:r>
      <w:r w:rsidR="00A71A86" w:rsidRPr="009F337B">
        <w:rPr>
          <w:i w:val="0"/>
          <w:szCs w:val="20"/>
          <w:lang w:val="en-US"/>
        </w:rPr>
        <w:t>tially, she received medical treatment from MSF and</w:t>
      </w:r>
      <w:r w:rsidR="007B07E2" w:rsidRPr="009F337B">
        <w:rPr>
          <w:i w:val="0"/>
          <w:szCs w:val="20"/>
          <w:lang w:val="en-US"/>
        </w:rPr>
        <w:t>,</w:t>
      </w:r>
      <w:r w:rsidR="00A71A86" w:rsidRPr="009F337B">
        <w:rPr>
          <w:i w:val="0"/>
          <w:szCs w:val="20"/>
          <w:lang w:val="en-US"/>
        </w:rPr>
        <w:t xml:space="preserve"> subsequently</w:t>
      </w:r>
      <w:r w:rsidR="007B07E2" w:rsidRPr="009F337B">
        <w:rPr>
          <w:i w:val="0"/>
          <w:szCs w:val="20"/>
          <w:lang w:val="en-US"/>
        </w:rPr>
        <w:t>,</w:t>
      </w:r>
      <w:r w:rsidR="00A71A86" w:rsidRPr="009F337B">
        <w:rPr>
          <w:i w:val="0"/>
          <w:szCs w:val="20"/>
          <w:lang w:val="en-US"/>
        </w:rPr>
        <w:t xml:space="preserve"> she was transferred to the</w:t>
      </w:r>
      <w:r w:rsidR="003C2AC6" w:rsidRPr="009F337B">
        <w:rPr>
          <w:i w:val="0"/>
          <w:szCs w:val="20"/>
          <w:lang w:val="en-US"/>
        </w:rPr>
        <w:t xml:space="preserve"> </w:t>
      </w:r>
      <w:proofErr w:type="spellStart"/>
      <w:r w:rsidR="005F10B1" w:rsidRPr="009F337B">
        <w:rPr>
          <w:i w:val="0"/>
          <w:szCs w:val="20"/>
          <w:lang w:val="en-US"/>
        </w:rPr>
        <w:t>Coatepeque</w:t>
      </w:r>
      <w:proofErr w:type="spellEnd"/>
      <w:r w:rsidR="005F10B1" w:rsidRPr="009F337B">
        <w:rPr>
          <w:i w:val="0"/>
          <w:szCs w:val="20"/>
          <w:lang w:val="en-US"/>
        </w:rPr>
        <w:t xml:space="preserve"> National Hospital</w:t>
      </w:r>
      <w:r w:rsidR="003C2AC6" w:rsidRPr="009F337B">
        <w:rPr>
          <w:i w:val="0"/>
          <w:szCs w:val="20"/>
          <w:lang w:val="en-US"/>
        </w:rPr>
        <w:t>. S</w:t>
      </w:r>
      <w:r w:rsidR="007B07E2" w:rsidRPr="009F337B">
        <w:rPr>
          <w:i w:val="0"/>
          <w:szCs w:val="20"/>
          <w:lang w:val="en-US"/>
        </w:rPr>
        <w:t xml:space="preserve">he has undergone CD4 counts </w:t>
      </w:r>
      <w:r w:rsidR="003C2AC6" w:rsidRPr="009F337B">
        <w:rPr>
          <w:i w:val="0"/>
          <w:szCs w:val="20"/>
          <w:lang w:val="en-US"/>
        </w:rPr>
        <w:t>(5-9)</w:t>
      </w:r>
      <w:r w:rsidR="003C46A3" w:rsidRPr="009F337B">
        <w:rPr>
          <w:i w:val="0"/>
          <w:szCs w:val="20"/>
          <w:lang w:val="en-US"/>
        </w:rPr>
        <w:t xml:space="preserve"> and </w:t>
      </w:r>
      <w:r w:rsidR="00CC4867" w:rsidRPr="009F337B">
        <w:rPr>
          <w:i w:val="0"/>
          <w:szCs w:val="20"/>
          <w:lang w:val="en-US"/>
        </w:rPr>
        <w:t>viral load</w:t>
      </w:r>
      <w:r w:rsidR="007B07E2" w:rsidRPr="009F337B">
        <w:rPr>
          <w:i w:val="0"/>
          <w:szCs w:val="20"/>
          <w:lang w:val="en-US"/>
        </w:rPr>
        <w:t xml:space="preserve"> tests</w:t>
      </w:r>
      <w:r w:rsidR="003C2AC6" w:rsidRPr="009F337B">
        <w:rPr>
          <w:i w:val="0"/>
          <w:szCs w:val="20"/>
          <w:lang w:val="en-US"/>
        </w:rPr>
        <w:t xml:space="preserve"> (4) </w:t>
      </w:r>
      <w:r w:rsidR="007B07E2" w:rsidRPr="009F337B">
        <w:rPr>
          <w:i w:val="0"/>
          <w:szCs w:val="20"/>
          <w:lang w:val="en-US"/>
        </w:rPr>
        <w:t>irregularly</w:t>
      </w:r>
      <w:r w:rsidR="003C2AC6" w:rsidRPr="009F337B">
        <w:rPr>
          <w:i w:val="0"/>
          <w:szCs w:val="20"/>
          <w:lang w:val="en-US"/>
        </w:rPr>
        <w:t xml:space="preserve">. </w:t>
      </w:r>
      <w:r w:rsidR="007B07E2" w:rsidRPr="009F337B">
        <w:rPr>
          <w:i w:val="0"/>
          <w:szCs w:val="20"/>
          <w:lang w:val="en-US"/>
        </w:rPr>
        <w:t>She has suffered from the</w:t>
      </w:r>
      <w:r w:rsidR="003C2AC6" w:rsidRPr="009F337B">
        <w:rPr>
          <w:i w:val="0"/>
          <w:szCs w:val="20"/>
          <w:lang w:val="en-US"/>
        </w:rPr>
        <w:t xml:space="preserve"> </w:t>
      </w:r>
      <w:r w:rsidR="0081563D" w:rsidRPr="009F337B">
        <w:rPr>
          <w:i w:val="0"/>
          <w:szCs w:val="20"/>
          <w:lang w:val="en-US"/>
        </w:rPr>
        <w:t>opportunistic diseases</w:t>
      </w:r>
      <w:r w:rsidR="003C2AC6" w:rsidRPr="009F337B">
        <w:rPr>
          <w:i w:val="0"/>
          <w:szCs w:val="20"/>
          <w:lang w:val="en-US"/>
        </w:rPr>
        <w:t xml:space="preserve"> </w:t>
      </w:r>
      <w:r w:rsidR="007B07E2" w:rsidRPr="009F337B">
        <w:rPr>
          <w:i w:val="0"/>
          <w:szCs w:val="20"/>
          <w:lang w:val="en-US"/>
        </w:rPr>
        <w:t>of</w:t>
      </w:r>
      <w:r w:rsidR="003C2AC6" w:rsidRPr="009F337B">
        <w:rPr>
          <w:i w:val="0"/>
          <w:szCs w:val="20"/>
          <w:lang w:val="en-US"/>
        </w:rPr>
        <w:t xml:space="preserve"> </w:t>
      </w:r>
      <w:r w:rsidR="00DD7C07" w:rsidRPr="009F337B">
        <w:rPr>
          <w:i w:val="0"/>
          <w:szCs w:val="20"/>
          <w:lang w:val="en-US"/>
        </w:rPr>
        <w:t>cryptococcus</w:t>
      </w:r>
      <w:r w:rsidR="003C2AC6" w:rsidRPr="009F337B">
        <w:rPr>
          <w:i w:val="0"/>
          <w:szCs w:val="20"/>
          <w:lang w:val="en-US"/>
        </w:rPr>
        <w:t xml:space="preserve">, toxoplasmosis, fibromatosis </w:t>
      </w:r>
      <w:r w:rsidR="007B07E2" w:rsidRPr="009F337B">
        <w:rPr>
          <w:i w:val="0"/>
          <w:szCs w:val="20"/>
          <w:lang w:val="en-US"/>
        </w:rPr>
        <w:t>and</w:t>
      </w:r>
      <w:r w:rsidR="003C2AC6" w:rsidRPr="009F337B">
        <w:rPr>
          <w:i w:val="0"/>
          <w:szCs w:val="20"/>
          <w:lang w:val="en-US"/>
        </w:rPr>
        <w:t xml:space="preserve"> h</w:t>
      </w:r>
      <w:r w:rsidR="007B07E2" w:rsidRPr="009F337B">
        <w:rPr>
          <w:i w:val="0"/>
          <w:szCs w:val="20"/>
          <w:lang w:val="en-US"/>
        </w:rPr>
        <w:t>y</w:t>
      </w:r>
      <w:r w:rsidR="003C2AC6" w:rsidRPr="009F337B">
        <w:rPr>
          <w:i w:val="0"/>
          <w:szCs w:val="20"/>
          <w:lang w:val="en-US"/>
        </w:rPr>
        <w:t>pergl</w:t>
      </w:r>
      <w:r w:rsidR="007B07E2" w:rsidRPr="009F337B">
        <w:rPr>
          <w:i w:val="0"/>
          <w:szCs w:val="20"/>
          <w:lang w:val="en-US"/>
        </w:rPr>
        <w:t>y</w:t>
      </w:r>
      <w:r w:rsidR="003C2AC6" w:rsidRPr="009F337B">
        <w:rPr>
          <w:i w:val="0"/>
          <w:szCs w:val="20"/>
          <w:lang w:val="en-US"/>
        </w:rPr>
        <w:t>cemia.</w:t>
      </w:r>
      <w:r w:rsidR="003C2AC6" w:rsidRPr="009F337B">
        <w:rPr>
          <w:b/>
          <w:i w:val="0"/>
          <w:szCs w:val="20"/>
          <w:lang w:val="en-US"/>
        </w:rPr>
        <w:t xml:space="preserve"> </w:t>
      </w:r>
      <w:r w:rsidR="003C2AC6" w:rsidRPr="009F337B">
        <w:rPr>
          <w:i w:val="0"/>
          <w:szCs w:val="20"/>
          <w:lang w:val="en-US"/>
        </w:rPr>
        <w:t>S</w:t>
      </w:r>
      <w:r w:rsidR="007B07E2" w:rsidRPr="009F337B">
        <w:rPr>
          <w:i w:val="0"/>
          <w:szCs w:val="20"/>
          <w:lang w:val="en-US"/>
        </w:rPr>
        <w:t>he is a housewife.</w:t>
      </w:r>
      <w:r w:rsidR="003C2AC6" w:rsidRPr="009F337B">
        <w:rPr>
          <w:rStyle w:val="Refdenotaalpie"/>
          <w:i w:val="0"/>
          <w:lang w:val="en-US"/>
        </w:rPr>
        <w:footnoteReference w:id="344"/>
      </w:r>
    </w:p>
    <w:p w14:paraId="25E8AD41" w14:textId="77777777" w:rsidR="003C2AC6" w:rsidRPr="009F337B" w:rsidRDefault="003C2AC6" w:rsidP="003C2AC6">
      <w:pPr>
        <w:pStyle w:val="Estilo1"/>
        <w:tabs>
          <w:tab w:val="left" w:pos="709"/>
          <w:tab w:val="left" w:pos="1134"/>
        </w:tabs>
        <w:spacing w:after="0"/>
        <w:ind w:left="0" w:right="-4" w:firstLine="0"/>
        <w:rPr>
          <w:i w:val="0"/>
          <w:szCs w:val="20"/>
          <w:lang w:val="en-US"/>
        </w:rPr>
      </w:pPr>
    </w:p>
    <w:p w14:paraId="6A4B6EEA" w14:textId="14E92502" w:rsidR="003C2AC6" w:rsidRPr="009F337B" w:rsidRDefault="00A758A5" w:rsidP="00593E37">
      <w:pPr>
        <w:pStyle w:val="Estilo1"/>
        <w:numPr>
          <w:ilvl w:val="0"/>
          <w:numId w:val="5"/>
        </w:numPr>
        <w:tabs>
          <w:tab w:val="left" w:pos="709"/>
          <w:tab w:val="left" w:pos="1134"/>
        </w:tabs>
        <w:spacing w:after="0"/>
        <w:ind w:left="0" w:right="-4" w:firstLine="0"/>
        <w:rPr>
          <w:i w:val="0"/>
          <w:szCs w:val="20"/>
          <w:lang w:val="en-US"/>
        </w:rPr>
      </w:pPr>
      <w:r w:rsidRPr="009F337B">
        <w:rPr>
          <w:i w:val="0"/>
          <w:szCs w:val="20"/>
          <w:lang w:val="en-US"/>
        </w:rPr>
        <w:t xml:space="preserve">Her family unit consists of her </w:t>
      </w:r>
      <w:r w:rsidR="0010522A" w:rsidRPr="009F337B">
        <w:rPr>
          <w:i w:val="0"/>
          <w:szCs w:val="20"/>
          <w:lang w:val="en-US"/>
        </w:rPr>
        <w:t>partner</w:t>
      </w:r>
      <w:r w:rsidR="003C2AC6" w:rsidRPr="009F337B">
        <w:rPr>
          <w:i w:val="0"/>
          <w:szCs w:val="20"/>
          <w:lang w:val="en-US"/>
        </w:rPr>
        <w:t xml:space="preserve"> Carlos </w:t>
      </w:r>
      <w:proofErr w:type="spellStart"/>
      <w:r w:rsidR="003C2AC6" w:rsidRPr="009F337B">
        <w:rPr>
          <w:i w:val="0"/>
          <w:szCs w:val="20"/>
          <w:lang w:val="en-US"/>
        </w:rPr>
        <w:t>Isaías</w:t>
      </w:r>
      <w:proofErr w:type="spellEnd"/>
      <w:r w:rsidR="003C2AC6" w:rsidRPr="009F337B">
        <w:rPr>
          <w:i w:val="0"/>
          <w:szCs w:val="20"/>
          <w:lang w:val="en-US"/>
        </w:rPr>
        <w:t xml:space="preserve"> Martínez, </w:t>
      </w:r>
      <w:r w:rsidR="007B07E2" w:rsidRPr="009F337B">
        <w:rPr>
          <w:i w:val="0"/>
          <w:szCs w:val="20"/>
          <w:lang w:val="en-US"/>
        </w:rPr>
        <w:t>her four</w:t>
      </w:r>
      <w:r w:rsidR="003C2AC6" w:rsidRPr="009F337B">
        <w:rPr>
          <w:i w:val="0"/>
          <w:szCs w:val="20"/>
          <w:lang w:val="en-US"/>
        </w:rPr>
        <w:t xml:space="preserve"> </w:t>
      </w:r>
      <w:r w:rsidR="0010522A" w:rsidRPr="009F337B">
        <w:rPr>
          <w:i w:val="0"/>
          <w:szCs w:val="20"/>
          <w:lang w:val="en-US"/>
        </w:rPr>
        <w:t>son</w:t>
      </w:r>
      <w:r w:rsidR="003C2AC6" w:rsidRPr="009F337B">
        <w:rPr>
          <w:i w:val="0"/>
          <w:szCs w:val="20"/>
          <w:lang w:val="en-US"/>
        </w:rPr>
        <w:t xml:space="preserve">s </w:t>
      </w:r>
      <w:r w:rsidR="007B07E2" w:rsidRPr="009F337B">
        <w:rPr>
          <w:i w:val="0"/>
          <w:szCs w:val="20"/>
          <w:lang w:val="en-US"/>
        </w:rPr>
        <w:t>and</w:t>
      </w:r>
      <w:r w:rsidR="003C2AC6" w:rsidRPr="009F337B">
        <w:rPr>
          <w:i w:val="0"/>
          <w:szCs w:val="20"/>
          <w:lang w:val="en-US"/>
        </w:rPr>
        <w:t xml:space="preserve"> </w:t>
      </w:r>
      <w:r w:rsidR="0010522A" w:rsidRPr="009F337B">
        <w:rPr>
          <w:i w:val="0"/>
          <w:szCs w:val="20"/>
          <w:lang w:val="en-US"/>
        </w:rPr>
        <w:t>daughter</w:t>
      </w:r>
      <w:r w:rsidR="003C2AC6" w:rsidRPr="009F337B">
        <w:rPr>
          <w:i w:val="0"/>
          <w:szCs w:val="20"/>
          <w:lang w:val="en-US"/>
        </w:rPr>
        <w:t xml:space="preserve">s </w:t>
      </w:r>
      <w:proofErr w:type="spellStart"/>
      <w:r w:rsidR="003C2AC6" w:rsidRPr="009F337B">
        <w:rPr>
          <w:i w:val="0"/>
          <w:szCs w:val="20"/>
          <w:lang w:val="en-US"/>
        </w:rPr>
        <w:t>Sayda</w:t>
      </w:r>
      <w:proofErr w:type="spellEnd"/>
      <w:r w:rsidR="003C2AC6" w:rsidRPr="009F337B">
        <w:rPr>
          <w:i w:val="0"/>
          <w:szCs w:val="20"/>
          <w:lang w:val="en-US"/>
        </w:rPr>
        <w:t xml:space="preserve"> </w:t>
      </w:r>
      <w:proofErr w:type="spellStart"/>
      <w:r w:rsidR="003C2AC6" w:rsidRPr="009F337B">
        <w:rPr>
          <w:i w:val="0"/>
          <w:szCs w:val="20"/>
          <w:lang w:val="en-US"/>
        </w:rPr>
        <w:t>Analy</w:t>
      </w:r>
      <w:proofErr w:type="spellEnd"/>
      <w:r w:rsidR="003C2AC6" w:rsidRPr="009F337B">
        <w:rPr>
          <w:i w:val="0"/>
          <w:szCs w:val="20"/>
          <w:lang w:val="en-US"/>
        </w:rPr>
        <w:t>, Oscar Oswaldo</w:t>
      </w:r>
      <w:r w:rsidR="003C46A3" w:rsidRPr="009F337B">
        <w:rPr>
          <w:i w:val="0"/>
          <w:szCs w:val="20"/>
          <w:lang w:val="en-US"/>
        </w:rPr>
        <w:t xml:space="preserve"> and </w:t>
      </w:r>
      <w:r w:rsidR="003C2AC6" w:rsidRPr="009F337B">
        <w:rPr>
          <w:i w:val="0"/>
          <w:szCs w:val="20"/>
          <w:lang w:val="en-US"/>
        </w:rPr>
        <w:t xml:space="preserve">Lucrecia Paola, </w:t>
      </w:r>
      <w:r w:rsidR="007B07E2" w:rsidRPr="009F337B">
        <w:rPr>
          <w:i w:val="0"/>
          <w:szCs w:val="20"/>
          <w:lang w:val="en-US"/>
        </w:rPr>
        <w:t>all</w:t>
      </w:r>
      <w:r w:rsidR="003C2AC6" w:rsidRPr="009F337B">
        <w:rPr>
          <w:i w:val="0"/>
          <w:szCs w:val="20"/>
          <w:lang w:val="en-US"/>
        </w:rPr>
        <w:t xml:space="preserve"> Paz Ramírez,</w:t>
      </w:r>
      <w:r w:rsidR="003C46A3" w:rsidRPr="009F337B">
        <w:rPr>
          <w:i w:val="0"/>
          <w:szCs w:val="20"/>
          <w:lang w:val="en-US"/>
        </w:rPr>
        <w:t xml:space="preserve"> and </w:t>
      </w:r>
      <w:proofErr w:type="spellStart"/>
      <w:r w:rsidR="003C2AC6" w:rsidRPr="009F337B">
        <w:rPr>
          <w:i w:val="0"/>
          <w:szCs w:val="20"/>
          <w:lang w:val="en-US"/>
        </w:rPr>
        <w:t>Fredy</w:t>
      </w:r>
      <w:proofErr w:type="spellEnd"/>
      <w:r w:rsidR="003C2AC6" w:rsidRPr="009F337B">
        <w:rPr>
          <w:i w:val="0"/>
          <w:szCs w:val="20"/>
          <w:lang w:val="en-US"/>
        </w:rPr>
        <w:t xml:space="preserve"> Ramírez Castro, </w:t>
      </w:r>
      <w:r w:rsidR="007B07E2" w:rsidRPr="009F337B">
        <w:rPr>
          <w:i w:val="0"/>
          <w:szCs w:val="20"/>
          <w:lang w:val="en-US"/>
        </w:rPr>
        <w:t>her</w:t>
      </w:r>
      <w:r w:rsidR="003C2AC6" w:rsidRPr="009F337B">
        <w:rPr>
          <w:i w:val="0"/>
          <w:szCs w:val="20"/>
          <w:lang w:val="en-US"/>
        </w:rPr>
        <w:t xml:space="preserve"> </w:t>
      </w:r>
      <w:r w:rsidR="0010522A" w:rsidRPr="009F337B">
        <w:rPr>
          <w:i w:val="0"/>
          <w:szCs w:val="20"/>
          <w:lang w:val="en-US"/>
        </w:rPr>
        <w:t>granddaughter</w:t>
      </w:r>
      <w:r w:rsidR="003C2AC6" w:rsidRPr="009F337B">
        <w:rPr>
          <w:i w:val="0"/>
          <w:szCs w:val="20"/>
          <w:lang w:val="en-US"/>
        </w:rPr>
        <w:t xml:space="preserve"> Evelyn Gabriela</w:t>
      </w:r>
      <w:r w:rsidR="003C46A3" w:rsidRPr="009F337B">
        <w:rPr>
          <w:i w:val="0"/>
          <w:szCs w:val="20"/>
          <w:lang w:val="en-US"/>
        </w:rPr>
        <w:t xml:space="preserve"> and </w:t>
      </w:r>
      <w:r w:rsidR="007B07E2" w:rsidRPr="009F337B">
        <w:rPr>
          <w:i w:val="0"/>
          <w:szCs w:val="20"/>
          <w:lang w:val="en-US"/>
        </w:rPr>
        <w:t>her</w:t>
      </w:r>
      <w:r w:rsidR="003C2AC6" w:rsidRPr="009F337B">
        <w:rPr>
          <w:i w:val="0"/>
          <w:szCs w:val="20"/>
          <w:lang w:val="en-US"/>
        </w:rPr>
        <w:t xml:space="preserve"> </w:t>
      </w:r>
      <w:r w:rsidR="0010522A" w:rsidRPr="009F337B">
        <w:rPr>
          <w:i w:val="0"/>
          <w:szCs w:val="20"/>
          <w:lang w:val="en-US"/>
        </w:rPr>
        <w:t>grandson</w:t>
      </w:r>
      <w:r w:rsidR="003C2AC6" w:rsidRPr="009F337B">
        <w:rPr>
          <w:i w:val="0"/>
          <w:szCs w:val="20"/>
          <w:lang w:val="en-US"/>
        </w:rPr>
        <w:t xml:space="preserve"> Carlos </w:t>
      </w:r>
      <w:proofErr w:type="spellStart"/>
      <w:r w:rsidR="003C2AC6" w:rsidRPr="009F337B">
        <w:rPr>
          <w:i w:val="0"/>
          <w:szCs w:val="20"/>
          <w:lang w:val="en-US"/>
        </w:rPr>
        <w:t>Timoteo</w:t>
      </w:r>
      <w:proofErr w:type="spellEnd"/>
      <w:r w:rsidR="003C2AC6" w:rsidRPr="009F337B">
        <w:rPr>
          <w:i w:val="0"/>
          <w:szCs w:val="20"/>
          <w:lang w:val="en-US"/>
        </w:rPr>
        <w:t xml:space="preserve">, </w:t>
      </w:r>
      <w:r w:rsidR="007B07E2" w:rsidRPr="009F337B">
        <w:rPr>
          <w:i w:val="0"/>
          <w:szCs w:val="20"/>
          <w:lang w:val="en-US"/>
        </w:rPr>
        <w:t>both</w:t>
      </w:r>
      <w:r w:rsidR="0084040D" w:rsidRPr="009F337B">
        <w:rPr>
          <w:i w:val="0"/>
          <w:szCs w:val="20"/>
          <w:lang w:val="en-US"/>
        </w:rPr>
        <w:t xml:space="preserve"> </w:t>
      </w:r>
      <w:r w:rsidR="003C2AC6" w:rsidRPr="009F337B">
        <w:rPr>
          <w:i w:val="0"/>
          <w:szCs w:val="20"/>
          <w:lang w:val="en-US"/>
        </w:rPr>
        <w:t xml:space="preserve">Paz Ramírez, </w:t>
      </w:r>
      <w:r w:rsidR="007B07E2" w:rsidRPr="009F337B">
        <w:rPr>
          <w:i w:val="0"/>
          <w:szCs w:val="20"/>
          <w:lang w:val="en-US"/>
        </w:rPr>
        <w:t>her</w:t>
      </w:r>
      <w:r w:rsidR="003C2AC6" w:rsidRPr="009F337B">
        <w:rPr>
          <w:i w:val="0"/>
          <w:szCs w:val="20"/>
          <w:lang w:val="en-US"/>
        </w:rPr>
        <w:t xml:space="preserve"> </w:t>
      </w:r>
      <w:r w:rsidR="0010522A" w:rsidRPr="009F337B">
        <w:rPr>
          <w:i w:val="0"/>
          <w:szCs w:val="20"/>
          <w:lang w:val="en-US"/>
        </w:rPr>
        <w:t>father</w:t>
      </w:r>
      <w:r w:rsidR="003C2AC6" w:rsidRPr="009F337B">
        <w:rPr>
          <w:i w:val="0"/>
          <w:szCs w:val="20"/>
          <w:lang w:val="en-US"/>
        </w:rPr>
        <w:t xml:space="preserve"> Alfonso Ramírez, </w:t>
      </w:r>
      <w:r w:rsidR="007B07E2" w:rsidRPr="009F337B">
        <w:rPr>
          <w:i w:val="0"/>
          <w:szCs w:val="20"/>
          <w:lang w:val="en-US"/>
        </w:rPr>
        <w:t>her</w:t>
      </w:r>
      <w:r w:rsidR="003C2AC6" w:rsidRPr="009F337B">
        <w:rPr>
          <w:i w:val="0"/>
          <w:szCs w:val="20"/>
          <w:lang w:val="en-US"/>
        </w:rPr>
        <w:t xml:space="preserve"> </w:t>
      </w:r>
      <w:r w:rsidR="0010522A" w:rsidRPr="009F337B">
        <w:rPr>
          <w:i w:val="0"/>
          <w:szCs w:val="20"/>
          <w:lang w:val="en-US"/>
        </w:rPr>
        <w:t>mother</w:t>
      </w:r>
      <w:r w:rsidR="003C2AC6" w:rsidRPr="009F337B">
        <w:rPr>
          <w:i w:val="0"/>
          <w:szCs w:val="20"/>
          <w:lang w:val="en-US"/>
        </w:rPr>
        <w:t xml:space="preserve"> </w:t>
      </w:r>
      <w:proofErr w:type="spellStart"/>
      <w:r w:rsidR="003C2AC6" w:rsidRPr="009F337B">
        <w:rPr>
          <w:i w:val="0"/>
          <w:szCs w:val="20"/>
          <w:lang w:val="en-US"/>
        </w:rPr>
        <w:t>Justa</w:t>
      </w:r>
      <w:proofErr w:type="spellEnd"/>
      <w:r w:rsidR="003C2AC6" w:rsidRPr="009F337B">
        <w:rPr>
          <w:i w:val="0"/>
          <w:szCs w:val="20"/>
          <w:lang w:val="en-US"/>
        </w:rPr>
        <w:t xml:space="preserve"> Rufina Castro</w:t>
      </w:r>
      <w:r w:rsidR="001C7A13" w:rsidRPr="009F337B">
        <w:rPr>
          <w:i w:val="0"/>
          <w:szCs w:val="20"/>
          <w:lang w:val="en-US"/>
        </w:rPr>
        <w:t>,</w:t>
      </w:r>
      <w:r w:rsidR="003C46A3" w:rsidRPr="009F337B">
        <w:rPr>
          <w:i w:val="0"/>
          <w:szCs w:val="20"/>
          <w:lang w:val="en-US"/>
        </w:rPr>
        <w:t xml:space="preserve"> and </w:t>
      </w:r>
      <w:r w:rsidR="007B07E2" w:rsidRPr="009F337B">
        <w:rPr>
          <w:i w:val="0"/>
          <w:szCs w:val="20"/>
          <w:lang w:val="en-US"/>
        </w:rPr>
        <w:t>her</w:t>
      </w:r>
      <w:r w:rsidR="003C2AC6" w:rsidRPr="009F337B">
        <w:rPr>
          <w:i w:val="0"/>
          <w:szCs w:val="20"/>
          <w:lang w:val="en-US"/>
        </w:rPr>
        <w:t xml:space="preserve"> </w:t>
      </w:r>
      <w:r w:rsidR="0010522A" w:rsidRPr="009F337B">
        <w:rPr>
          <w:i w:val="0"/>
          <w:szCs w:val="20"/>
          <w:lang w:val="en-US"/>
        </w:rPr>
        <w:t>brother</w:t>
      </w:r>
      <w:r w:rsidR="003C2AC6" w:rsidRPr="009F337B">
        <w:rPr>
          <w:i w:val="0"/>
          <w:szCs w:val="20"/>
          <w:lang w:val="en-US"/>
        </w:rPr>
        <w:t xml:space="preserve">s Luis Alfonso, </w:t>
      </w:r>
      <w:proofErr w:type="spellStart"/>
      <w:r w:rsidR="003C2AC6" w:rsidRPr="009F337B">
        <w:rPr>
          <w:i w:val="0"/>
          <w:szCs w:val="20"/>
          <w:lang w:val="en-US"/>
        </w:rPr>
        <w:t>Mardoqueo</w:t>
      </w:r>
      <w:proofErr w:type="spellEnd"/>
      <w:r w:rsidR="003C46A3" w:rsidRPr="009F337B">
        <w:rPr>
          <w:i w:val="0"/>
          <w:szCs w:val="20"/>
          <w:lang w:val="en-US"/>
        </w:rPr>
        <w:t xml:space="preserve"> and </w:t>
      </w:r>
      <w:r w:rsidR="003C2AC6" w:rsidRPr="009F337B">
        <w:rPr>
          <w:i w:val="0"/>
          <w:szCs w:val="20"/>
          <w:lang w:val="en-US"/>
        </w:rPr>
        <w:t xml:space="preserve">César </w:t>
      </w:r>
      <w:r w:rsidR="007B07E2" w:rsidRPr="009F337B">
        <w:rPr>
          <w:i w:val="0"/>
          <w:szCs w:val="20"/>
          <w:lang w:val="en-US"/>
        </w:rPr>
        <w:t>A</w:t>
      </w:r>
      <w:r w:rsidR="003C2AC6" w:rsidRPr="009F337B">
        <w:rPr>
          <w:i w:val="0"/>
          <w:szCs w:val="20"/>
          <w:lang w:val="en-US"/>
        </w:rPr>
        <w:t xml:space="preserve">ugusto, </w:t>
      </w:r>
      <w:r w:rsidR="007B07E2" w:rsidRPr="009F337B">
        <w:rPr>
          <w:i w:val="0"/>
          <w:szCs w:val="20"/>
          <w:lang w:val="en-US"/>
        </w:rPr>
        <w:t>all</w:t>
      </w:r>
      <w:r w:rsidR="003C2AC6" w:rsidRPr="009F337B">
        <w:rPr>
          <w:i w:val="0"/>
          <w:szCs w:val="20"/>
          <w:lang w:val="en-US"/>
        </w:rPr>
        <w:t xml:space="preserve"> Ramírez Castro</w:t>
      </w:r>
      <w:r w:rsidR="007B07E2" w:rsidRPr="009F337B">
        <w:rPr>
          <w:i w:val="0"/>
          <w:szCs w:val="20"/>
          <w:lang w:val="en-US"/>
        </w:rPr>
        <w:t>.</w:t>
      </w:r>
      <w:r w:rsidR="003C2AC6" w:rsidRPr="009F337B">
        <w:rPr>
          <w:rStyle w:val="Refdenotaalpie"/>
          <w:i w:val="0"/>
          <w:lang w:val="en-US"/>
        </w:rPr>
        <w:footnoteReference w:id="345"/>
      </w:r>
      <w:r w:rsidR="003C2AC6" w:rsidRPr="009F337B">
        <w:rPr>
          <w:i w:val="0"/>
          <w:szCs w:val="20"/>
          <w:lang w:val="en-US"/>
        </w:rPr>
        <w:t xml:space="preserve"> </w:t>
      </w:r>
    </w:p>
    <w:p w14:paraId="6AEB0419" w14:textId="77777777" w:rsidR="003C2AC6" w:rsidRPr="009F337B" w:rsidRDefault="003C2AC6" w:rsidP="003C2AC6">
      <w:pPr>
        <w:pStyle w:val="PrrafodeSentencia"/>
        <w:rPr>
          <w:lang w:val="en-US"/>
        </w:rPr>
      </w:pPr>
    </w:p>
    <w:p w14:paraId="550929B1" w14:textId="77777777" w:rsidR="003C2AC6" w:rsidRPr="009F337B" w:rsidRDefault="003C2AC6" w:rsidP="003C2AC6">
      <w:pPr>
        <w:pStyle w:val="PrrafodeSentencia"/>
        <w:rPr>
          <w:lang w:val="en-US"/>
        </w:rPr>
      </w:pPr>
      <w:r w:rsidRPr="009F337B">
        <w:rPr>
          <w:lang w:val="en-US"/>
        </w:rPr>
        <w:lastRenderedPageBreak/>
        <w:tab/>
        <w:t>B.28. Karen Judith Samayoa Vásquez</w:t>
      </w:r>
    </w:p>
    <w:p w14:paraId="5B9159D2" w14:textId="77777777" w:rsidR="003C2AC6" w:rsidRPr="009F337B" w:rsidRDefault="003C2AC6" w:rsidP="003C2AC6">
      <w:pPr>
        <w:pStyle w:val="PrrafodeSentencia"/>
        <w:rPr>
          <w:lang w:val="en-US"/>
        </w:rPr>
      </w:pPr>
    </w:p>
    <w:p w14:paraId="722FA40E" w14:textId="73F6D2C9" w:rsidR="003C2AC6" w:rsidRPr="009F337B" w:rsidRDefault="007F1AEB" w:rsidP="00593E37">
      <w:pPr>
        <w:pStyle w:val="Estilo1"/>
        <w:numPr>
          <w:ilvl w:val="0"/>
          <w:numId w:val="5"/>
        </w:numPr>
        <w:tabs>
          <w:tab w:val="left" w:pos="709"/>
          <w:tab w:val="left" w:pos="1134"/>
        </w:tabs>
        <w:spacing w:after="0"/>
        <w:ind w:left="0" w:right="-4" w:firstLine="0"/>
        <w:rPr>
          <w:i w:val="0"/>
          <w:szCs w:val="20"/>
          <w:lang w:val="en-US"/>
        </w:rPr>
      </w:pPr>
      <w:r w:rsidRPr="009F337B">
        <w:rPr>
          <w:i w:val="0"/>
          <w:szCs w:val="20"/>
          <w:lang w:val="en-US"/>
        </w:rPr>
        <w:t>Mrs.</w:t>
      </w:r>
      <w:r w:rsidR="003C2AC6" w:rsidRPr="009F337B">
        <w:rPr>
          <w:i w:val="0"/>
          <w:szCs w:val="20"/>
          <w:lang w:val="en-US"/>
        </w:rPr>
        <w:t xml:space="preserve"> </w:t>
      </w:r>
      <w:proofErr w:type="spellStart"/>
      <w:r w:rsidR="003C2AC6" w:rsidRPr="009F337B">
        <w:rPr>
          <w:i w:val="0"/>
          <w:szCs w:val="20"/>
          <w:lang w:val="en-US"/>
        </w:rPr>
        <w:t>Samayoa</w:t>
      </w:r>
      <w:proofErr w:type="spellEnd"/>
      <w:r w:rsidR="003C2AC6" w:rsidRPr="009F337B">
        <w:rPr>
          <w:i w:val="0"/>
          <w:szCs w:val="20"/>
          <w:lang w:val="en-US"/>
        </w:rPr>
        <w:t xml:space="preserve"> Vásquez </w:t>
      </w:r>
      <w:r w:rsidR="007B07E2" w:rsidRPr="009F337B">
        <w:rPr>
          <w:i w:val="0"/>
          <w:szCs w:val="20"/>
          <w:lang w:val="en-US"/>
        </w:rPr>
        <w:t>was born in</w:t>
      </w:r>
      <w:r w:rsidR="00805FE9" w:rsidRPr="009F337B">
        <w:rPr>
          <w:i w:val="0"/>
          <w:szCs w:val="20"/>
          <w:lang w:val="en-US"/>
        </w:rPr>
        <w:t xml:space="preserve"> the </w:t>
      </w:r>
      <w:r w:rsidR="00D85CA7" w:rsidRPr="009F337B">
        <w:rPr>
          <w:i w:val="0"/>
          <w:szCs w:val="20"/>
          <w:lang w:val="en-US"/>
        </w:rPr>
        <w:t>municipality of</w:t>
      </w:r>
      <w:r w:rsidR="003C2AC6" w:rsidRPr="009F337B">
        <w:rPr>
          <w:i w:val="0"/>
          <w:szCs w:val="20"/>
          <w:lang w:val="en-US"/>
        </w:rPr>
        <w:t xml:space="preserve"> Guatemala, </w:t>
      </w:r>
      <w:r w:rsidR="003E1304" w:rsidRPr="009F337B">
        <w:rPr>
          <w:i w:val="0"/>
          <w:szCs w:val="20"/>
          <w:lang w:val="en-US"/>
        </w:rPr>
        <w:t>department of</w:t>
      </w:r>
      <w:r w:rsidR="003C2AC6" w:rsidRPr="009F337B">
        <w:rPr>
          <w:i w:val="0"/>
          <w:szCs w:val="20"/>
          <w:lang w:val="en-US"/>
        </w:rPr>
        <w:t xml:space="preserve"> Guatemala, Guatemala</w:t>
      </w:r>
      <w:r w:rsidR="007B07E2" w:rsidRPr="009F337B">
        <w:rPr>
          <w:i w:val="0"/>
          <w:szCs w:val="20"/>
          <w:lang w:val="en-US"/>
        </w:rPr>
        <w:t xml:space="preserve">, </w:t>
      </w:r>
      <w:r w:rsidR="0084040D" w:rsidRPr="009F337B">
        <w:rPr>
          <w:i w:val="0"/>
          <w:szCs w:val="20"/>
          <w:lang w:val="en-US"/>
        </w:rPr>
        <w:t>on</w:t>
      </w:r>
      <w:r w:rsidR="003C2AC6" w:rsidRPr="009F337B">
        <w:rPr>
          <w:i w:val="0"/>
          <w:szCs w:val="20"/>
          <w:lang w:val="en-US"/>
        </w:rPr>
        <w:t xml:space="preserve"> </w:t>
      </w:r>
      <w:r w:rsidR="007B07E2" w:rsidRPr="009F337B">
        <w:rPr>
          <w:i w:val="0"/>
          <w:szCs w:val="20"/>
          <w:lang w:val="en-US"/>
        </w:rPr>
        <w:t>May 6,</w:t>
      </w:r>
      <w:r w:rsidR="003C2AC6" w:rsidRPr="009F337B">
        <w:rPr>
          <w:i w:val="0"/>
          <w:szCs w:val="20"/>
          <w:lang w:val="en-US"/>
        </w:rPr>
        <w:t xml:space="preserve"> 1974. </w:t>
      </w:r>
      <w:r w:rsidR="001C39F4" w:rsidRPr="009F337B">
        <w:rPr>
          <w:i w:val="0"/>
          <w:szCs w:val="20"/>
          <w:lang w:val="en-US"/>
        </w:rPr>
        <w:t>She l</w:t>
      </w:r>
      <w:r w:rsidR="00D85CA7" w:rsidRPr="009F337B">
        <w:rPr>
          <w:i w:val="0"/>
          <w:szCs w:val="20"/>
          <w:lang w:val="en-US"/>
        </w:rPr>
        <w:t>ives in</w:t>
      </w:r>
      <w:r w:rsidR="003C2AC6" w:rsidRPr="009F337B">
        <w:rPr>
          <w:i w:val="0"/>
          <w:szCs w:val="20"/>
          <w:lang w:val="en-US"/>
        </w:rPr>
        <w:t xml:space="preserve"> </w:t>
      </w:r>
      <w:r w:rsidR="003B5D80" w:rsidRPr="009F337B">
        <w:rPr>
          <w:i w:val="0"/>
          <w:szCs w:val="20"/>
          <w:lang w:val="en-US"/>
        </w:rPr>
        <w:t>Guatemala City</w:t>
      </w:r>
      <w:r w:rsidR="003C2AC6" w:rsidRPr="009F337B">
        <w:rPr>
          <w:i w:val="0"/>
          <w:szCs w:val="20"/>
          <w:lang w:val="en-US"/>
        </w:rPr>
        <w:t xml:space="preserve">. </w:t>
      </w:r>
      <w:r w:rsidR="000E5456" w:rsidRPr="009F337B">
        <w:rPr>
          <w:i w:val="0"/>
          <w:szCs w:val="20"/>
          <w:lang w:val="en-US"/>
        </w:rPr>
        <w:t xml:space="preserve">She is a commercial secretary. She was </w:t>
      </w:r>
      <w:r w:rsidR="001071B4" w:rsidRPr="009F337B">
        <w:rPr>
          <w:i w:val="0"/>
          <w:szCs w:val="20"/>
          <w:lang w:val="en-US"/>
        </w:rPr>
        <w:t>diagnosed with HIV</w:t>
      </w:r>
      <w:r w:rsidR="003C2AC6" w:rsidRPr="009F337B">
        <w:rPr>
          <w:i w:val="0"/>
          <w:szCs w:val="20"/>
          <w:lang w:val="en-US"/>
        </w:rPr>
        <w:t xml:space="preserve"> </w:t>
      </w:r>
      <w:r w:rsidR="001C4CEA" w:rsidRPr="009F337B">
        <w:rPr>
          <w:i w:val="0"/>
          <w:szCs w:val="20"/>
          <w:lang w:val="en-US"/>
        </w:rPr>
        <w:t>in 2002</w:t>
      </w:r>
      <w:r w:rsidR="003C2AC6" w:rsidRPr="009F337B">
        <w:rPr>
          <w:i w:val="0"/>
          <w:szCs w:val="20"/>
          <w:lang w:val="en-US"/>
        </w:rPr>
        <w:t xml:space="preserve"> </w:t>
      </w:r>
      <w:r w:rsidR="000E5456" w:rsidRPr="009F337B">
        <w:rPr>
          <w:i w:val="0"/>
          <w:szCs w:val="20"/>
          <w:lang w:val="en-US"/>
        </w:rPr>
        <w:t>in</w:t>
      </w:r>
      <w:r w:rsidR="003C2AC6" w:rsidRPr="009F337B">
        <w:rPr>
          <w:i w:val="0"/>
          <w:szCs w:val="20"/>
          <w:lang w:val="en-US"/>
        </w:rPr>
        <w:t xml:space="preserve"> </w:t>
      </w:r>
      <w:r w:rsidR="00D85CA7" w:rsidRPr="009F337B">
        <w:rPr>
          <w:i w:val="0"/>
          <w:szCs w:val="20"/>
          <w:lang w:val="en-US"/>
        </w:rPr>
        <w:t>the San Juan de Dios Hospital</w:t>
      </w:r>
      <w:r w:rsidR="003C2AC6" w:rsidRPr="009F337B">
        <w:rPr>
          <w:i w:val="0"/>
          <w:szCs w:val="20"/>
          <w:lang w:val="en-US"/>
        </w:rPr>
        <w:t xml:space="preserve"> </w:t>
      </w:r>
      <w:r w:rsidR="000E5456" w:rsidRPr="009F337B">
        <w:rPr>
          <w:i w:val="0"/>
          <w:szCs w:val="20"/>
          <w:lang w:val="en-US"/>
        </w:rPr>
        <w:t xml:space="preserve">and was immediately referred to MSF. She did not receive medical treatment at the time because there was a scarcity of drugs and </w:t>
      </w:r>
      <w:r w:rsidR="001C7A13" w:rsidRPr="009F337B">
        <w:rPr>
          <w:i w:val="0"/>
          <w:szCs w:val="20"/>
          <w:lang w:val="en-US"/>
        </w:rPr>
        <w:t>they were</w:t>
      </w:r>
      <w:r w:rsidR="000E5456" w:rsidRPr="009F337B">
        <w:rPr>
          <w:i w:val="0"/>
          <w:szCs w:val="20"/>
          <w:lang w:val="en-US"/>
        </w:rPr>
        <w:t xml:space="preserve"> only provided to those who were in the final stages of the disease. She began </w:t>
      </w:r>
      <w:r w:rsidR="00FE1EFF" w:rsidRPr="009F337B">
        <w:rPr>
          <w:i w:val="0"/>
          <w:szCs w:val="20"/>
          <w:lang w:val="en-US"/>
        </w:rPr>
        <w:t>antiretroviral treatment</w:t>
      </w:r>
      <w:r w:rsidR="003C2AC6" w:rsidRPr="009F337B">
        <w:rPr>
          <w:i w:val="0"/>
          <w:szCs w:val="20"/>
          <w:lang w:val="en-US"/>
        </w:rPr>
        <w:t xml:space="preserve"> </w:t>
      </w:r>
      <w:r w:rsidR="000E5456" w:rsidRPr="009F337B">
        <w:rPr>
          <w:i w:val="0"/>
          <w:szCs w:val="20"/>
          <w:lang w:val="en-US"/>
        </w:rPr>
        <w:t>in</w:t>
      </w:r>
      <w:r w:rsidR="003C2AC6" w:rsidRPr="009F337B">
        <w:rPr>
          <w:i w:val="0"/>
          <w:szCs w:val="20"/>
          <w:lang w:val="en-US"/>
        </w:rPr>
        <w:t xml:space="preserve"> 2005</w:t>
      </w:r>
      <w:r w:rsidR="000E5456" w:rsidRPr="009F337B">
        <w:rPr>
          <w:i w:val="0"/>
          <w:szCs w:val="20"/>
          <w:lang w:val="en-US"/>
        </w:rPr>
        <w:t xml:space="preserve"> because, owing to her pregnancy, it </w:t>
      </w:r>
      <w:r w:rsidR="001C7A13" w:rsidRPr="009F337B">
        <w:rPr>
          <w:i w:val="0"/>
          <w:szCs w:val="20"/>
          <w:lang w:val="en-US"/>
        </w:rPr>
        <w:t>became</w:t>
      </w:r>
      <w:r w:rsidR="000E5456" w:rsidRPr="009F337B">
        <w:rPr>
          <w:i w:val="0"/>
          <w:szCs w:val="20"/>
          <w:lang w:val="en-US"/>
        </w:rPr>
        <w:t xml:space="preserve"> necessary to provide her with the drugs required to avoid </w:t>
      </w:r>
      <w:r w:rsidR="001C7A13" w:rsidRPr="009F337B">
        <w:rPr>
          <w:i w:val="0"/>
          <w:szCs w:val="20"/>
          <w:lang w:val="en-US"/>
        </w:rPr>
        <w:t xml:space="preserve">vertical </w:t>
      </w:r>
      <w:r w:rsidR="000E5456" w:rsidRPr="009F337B">
        <w:rPr>
          <w:i w:val="0"/>
          <w:szCs w:val="20"/>
          <w:lang w:val="en-US"/>
        </w:rPr>
        <w:t xml:space="preserve">transmission to her </w:t>
      </w:r>
      <w:r w:rsidR="0010522A" w:rsidRPr="009F337B">
        <w:rPr>
          <w:i w:val="0"/>
          <w:szCs w:val="20"/>
          <w:lang w:val="en-US"/>
        </w:rPr>
        <w:t>daughter</w:t>
      </w:r>
      <w:r w:rsidR="003C2AC6" w:rsidRPr="009F337B">
        <w:rPr>
          <w:i w:val="0"/>
          <w:szCs w:val="20"/>
          <w:lang w:val="en-US"/>
        </w:rPr>
        <w:t xml:space="preserve">. </w:t>
      </w:r>
      <w:r w:rsidR="000E5456" w:rsidRPr="009F337B">
        <w:rPr>
          <w:i w:val="0"/>
          <w:szCs w:val="20"/>
          <w:lang w:val="en-US"/>
        </w:rPr>
        <w:t>The medical care and the</w:t>
      </w:r>
      <w:r w:rsidR="003C2AC6" w:rsidRPr="009F337B">
        <w:rPr>
          <w:i w:val="0"/>
          <w:szCs w:val="20"/>
          <w:lang w:val="en-US"/>
        </w:rPr>
        <w:t xml:space="preserve"> </w:t>
      </w:r>
      <w:r w:rsidR="00FE1EFF" w:rsidRPr="009F337B">
        <w:rPr>
          <w:i w:val="0"/>
          <w:szCs w:val="20"/>
          <w:lang w:val="en-US"/>
        </w:rPr>
        <w:t>antiretroviral treatment</w:t>
      </w:r>
      <w:r w:rsidR="003C2AC6" w:rsidRPr="009F337B">
        <w:rPr>
          <w:i w:val="0"/>
          <w:szCs w:val="20"/>
          <w:lang w:val="en-US"/>
        </w:rPr>
        <w:t xml:space="preserve"> </w:t>
      </w:r>
      <w:r w:rsidR="000E5456" w:rsidRPr="009F337B">
        <w:rPr>
          <w:i w:val="0"/>
          <w:szCs w:val="20"/>
          <w:lang w:val="en-US"/>
        </w:rPr>
        <w:t xml:space="preserve">were provided by the </w:t>
      </w:r>
      <w:r w:rsidR="00A52C6F" w:rsidRPr="009F337B">
        <w:rPr>
          <w:i w:val="0"/>
          <w:szCs w:val="20"/>
          <w:lang w:val="en-US"/>
        </w:rPr>
        <w:t xml:space="preserve">Luis </w:t>
      </w:r>
      <w:proofErr w:type="spellStart"/>
      <w:r w:rsidR="00A52C6F" w:rsidRPr="009F337B">
        <w:rPr>
          <w:i w:val="0"/>
          <w:szCs w:val="20"/>
          <w:lang w:val="en-US"/>
        </w:rPr>
        <w:t>Ángel</w:t>
      </w:r>
      <w:proofErr w:type="spellEnd"/>
      <w:r w:rsidR="00A52C6F" w:rsidRPr="009F337B">
        <w:rPr>
          <w:i w:val="0"/>
          <w:szCs w:val="20"/>
          <w:lang w:val="en-US"/>
        </w:rPr>
        <w:t xml:space="preserve"> García Clinic</w:t>
      </w:r>
      <w:r w:rsidR="003C2AC6" w:rsidRPr="009F337B">
        <w:rPr>
          <w:i w:val="0"/>
          <w:szCs w:val="20"/>
          <w:lang w:val="en-US"/>
        </w:rPr>
        <w:t xml:space="preserve">, </w:t>
      </w:r>
      <w:r w:rsidR="000E5456" w:rsidRPr="009F337B">
        <w:rPr>
          <w:i w:val="0"/>
          <w:szCs w:val="20"/>
          <w:lang w:val="en-US"/>
        </w:rPr>
        <w:t xml:space="preserve">which she attends at the present time. This clinic is approximately five kilometers from her home. </w:t>
      </w:r>
      <w:r w:rsidRPr="009F337B">
        <w:rPr>
          <w:i w:val="0"/>
          <w:szCs w:val="20"/>
          <w:lang w:val="en-US"/>
        </w:rPr>
        <w:t>Mrs.</w:t>
      </w:r>
      <w:r w:rsidR="003C2AC6" w:rsidRPr="009F337B">
        <w:rPr>
          <w:i w:val="0"/>
          <w:szCs w:val="20"/>
          <w:lang w:val="en-US"/>
        </w:rPr>
        <w:t xml:space="preserve"> </w:t>
      </w:r>
      <w:proofErr w:type="spellStart"/>
      <w:r w:rsidR="003C2AC6" w:rsidRPr="009F337B">
        <w:rPr>
          <w:i w:val="0"/>
          <w:szCs w:val="20"/>
          <w:lang w:val="en-US"/>
        </w:rPr>
        <w:t>Samayoa</w:t>
      </w:r>
      <w:proofErr w:type="spellEnd"/>
      <w:r w:rsidR="003C2AC6" w:rsidRPr="009F337B">
        <w:rPr>
          <w:i w:val="0"/>
          <w:szCs w:val="20"/>
          <w:lang w:val="en-US"/>
        </w:rPr>
        <w:t xml:space="preserve"> Vásquez </w:t>
      </w:r>
      <w:r w:rsidR="000E5456" w:rsidRPr="009F337B">
        <w:rPr>
          <w:i w:val="0"/>
          <w:szCs w:val="20"/>
          <w:lang w:val="en-US"/>
        </w:rPr>
        <w:t>indicated that when she was asked if she wanted to be transferred to the IGSS, because she was eligible for this benefit through her former partner, she refuse</w:t>
      </w:r>
      <w:r w:rsidR="001C7A13" w:rsidRPr="009F337B">
        <w:rPr>
          <w:i w:val="0"/>
          <w:szCs w:val="20"/>
          <w:lang w:val="en-US"/>
        </w:rPr>
        <w:t>d</w:t>
      </w:r>
      <w:r w:rsidR="000E5456" w:rsidRPr="009F337B">
        <w:rPr>
          <w:i w:val="0"/>
          <w:szCs w:val="20"/>
          <w:lang w:val="en-US"/>
        </w:rPr>
        <w:t xml:space="preserve"> because “the care is bad.” As a result of HIV, she has suffered from lymph node problems and depression. Following her diagnosis, her employment situation changed. U</w:t>
      </w:r>
      <w:r w:rsidR="001C7A13" w:rsidRPr="009F337B">
        <w:rPr>
          <w:i w:val="0"/>
          <w:szCs w:val="20"/>
          <w:lang w:val="en-US"/>
        </w:rPr>
        <w:t>p</w:t>
      </w:r>
      <w:r w:rsidR="000E5456" w:rsidRPr="009F337B">
        <w:rPr>
          <w:i w:val="0"/>
          <w:szCs w:val="20"/>
          <w:lang w:val="en-US"/>
        </w:rPr>
        <w:t xml:space="preserve"> until 2016, she worked as a receptioni</w:t>
      </w:r>
      <w:r w:rsidR="001C7A13" w:rsidRPr="009F337B">
        <w:rPr>
          <w:i w:val="0"/>
          <w:szCs w:val="20"/>
          <w:lang w:val="en-US"/>
        </w:rPr>
        <w:t>s</w:t>
      </w:r>
      <w:r w:rsidR="000E5456" w:rsidRPr="009F337B">
        <w:rPr>
          <w:i w:val="0"/>
          <w:szCs w:val="20"/>
          <w:lang w:val="en-US"/>
        </w:rPr>
        <w:t>t in a restaurant. She also receives financial support from her former partner to cover their</w:t>
      </w:r>
      <w:r w:rsidR="003C2AC6" w:rsidRPr="009F337B">
        <w:rPr>
          <w:i w:val="0"/>
          <w:szCs w:val="20"/>
          <w:lang w:val="en-US"/>
        </w:rPr>
        <w:t xml:space="preserve"> </w:t>
      </w:r>
      <w:r w:rsidR="0010522A" w:rsidRPr="009F337B">
        <w:rPr>
          <w:i w:val="0"/>
          <w:szCs w:val="20"/>
          <w:lang w:val="en-US"/>
        </w:rPr>
        <w:t>daughter</w:t>
      </w:r>
      <w:r w:rsidR="001C7A13" w:rsidRPr="009F337B">
        <w:rPr>
          <w:i w:val="0"/>
          <w:szCs w:val="20"/>
          <w:lang w:val="en-US"/>
        </w:rPr>
        <w:t>’s schooling</w:t>
      </w:r>
      <w:r w:rsidR="000E5456" w:rsidRPr="009F337B">
        <w:rPr>
          <w:i w:val="0"/>
          <w:szCs w:val="20"/>
          <w:lang w:val="en-US"/>
        </w:rPr>
        <w:t>.</w:t>
      </w:r>
      <w:r w:rsidR="003C2AC6" w:rsidRPr="009F337B">
        <w:rPr>
          <w:rStyle w:val="Refdenotaalpie"/>
          <w:i w:val="0"/>
          <w:lang w:val="en-US"/>
        </w:rPr>
        <w:footnoteReference w:id="346"/>
      </w:r>
    </w:p>
    <w:p w14:paraId="28B593F7" w14:textId="77777777" w:rsidR="003C2AC6" w:rsidRPr="009F337B" w:rsidRDefault="003C2AC6" w:rsidP="003C2AC6">
      <w:pPr>
        <w:pStyle w:val="Estilo1"/>
        <w:tabs>
          <w:tab w:val="left" w:pos="709"/>
          <w:tab w:val="left" w:pos="1134"/>
        </w:tabs>
        <w:spacing w:after="0"/>
        <w:ind w:left="0" w:right="-4" w:firstLine="0"/>
        <w:rPr>
          <w:i w:val="0"/>
          <w:szCs w:val="20"/>
          <w:lang w:val="en-US"/>
        </w:rPr>
      </w:pPr>
    </w:p>
    <w:p w14:paraId="58FA2D57" w14:textId="362E8DCB" w:rsidR="003C2AC6" w:rsidRPr="009F337B" w:rsidRDefault="00A758A5" w:rsidP="00593E37">
      <w:pPr>
        <w:pStyle w:val="Estilo1"/>
        <w:numPr>
          <w:ilvl w:val="0"/>
          <w:numId w:val="5"/>
        </w:numPr>
        <w:tabs>
          <w:tab w:val="left" w:pos="709"/>
          <w:tab w:val="left" w:pos="1134"/>
        </w:tabs>
        <w:spacing w:after="0"/>
        <w:ind w:left="0" w:right="-4" w:firstLine="0"/>
        <w:rPr>
          <w:i w:val="0"/>
          <w:szCs w:val="20"/>
          <w:lang w:val="en-US"/>
        </w:rPr>
      </w:pPr>
      <w:r w:rsidRPr="009F337B">
        <w:rPr>
          <w:i w:val="0"/>
          <w:szCs w:val="20"/>
          <w:lang w:val="en-US"/>
        </w:rPr>
        <w:t xml:space="preserve">Her family unit consists of her </w:t>
      </w:r>
      <w:r w:rsidR="0010522A" w:rsidRPr="009F337B">
        <w:rPr>
          <w:i w:val="0"/>
          <w:szCs w:val="20"/>
          <w:lang w:val="en-US"/>
        </w:rPr>
        <w:t>daughter</w:t>
      </w:r>
      <w:r w:rsidR="003C2AC6" w:rsidRPr="009F337B">
        <w:rPr>
          <w:i w:val="0"/>
          <w:szCs w:val="20"/>
          <w:lang w:val="en-US"/>
        </w:rPr>
        <w:t xml:space="preserve">s Beverly </w:t>
      </w:r>
      <w:proofErr w:type="spellStart"/>
      <w:r w:rsidR="003C2AC6" w:rsidRPr="009F337B">
        <w:rPr>
          <w:i w:val="0"/>
          <w:szCs w:val="20"/>
          <w:lang w:val="en-US"/>
        </w:rPr>
        <w:t>Analucía</w:t>
      </w:r>
      <w:proofErr w:type="spellEnd"/>
      <w:r w:rsidR="003C2AC6" w:rsidRPr="009F337B">
        <w:rPr>
          <w:i w:val="0"/>
          <w:szCs w:val="20"/>
          <w:lang w:val="en-US"/>
        </w:rPr>
        <w:t xml:space="preserve"> </w:t>
      </w:r>
      <w:proofErr w:type="spellStart"/>
      <w:r w:rsidR="003C2AC6" w:rsidRPr="009F337B">
        <w:rPr>
          <w:i w:val="0"/>
          <w:szCs w:val="20"/>
          <w:lang w:val="en-US"/>
        </w:rPr>
        <w:t>Samayoa</w:t>
      </w:r>
      <w:proofErr w:type="spellEnd"/>
      <w:r w:rsidR="003C2AC6" w:rsidRPr="009F337B">
        <w:rPr>
          <w:i w:val="0"/>
          <w:szCs w:val="20"/>
          <w:lang w:val="en-US"/>
        </w:rPr>
        <w:t xml:space="preserve"> Vásquez</w:t>
      </w:r>
      <w:r w:rsidR="003C46A3" w:rsidRPr="009F337B">
        <w:rPr>
          <w:i w:val="0"/>
          <w:szCs w:val="20"/>
          <w:lang w:val="en-US"/>
        </w:rPr>
        <w:t xml:space="preserve"> and </w:t>
      </w:r>
      <w:r w:rsidR="003C2AC6" w:rsidRPr="009F337B">
        <w:rPr>
          <w:i w:val="0"/>
          <w:szCs w:val="20"/>
          <w:lang w:val="en-US"/>
        </w:rPr>
        <w:t xml:space="preserve">Karen Gabriela Perez </w:t>
      </w:r>
      <w:proofErr w:type="spellStart"/>
      <w:r w:rsidR="003C2AC6" w:rsidRPr="009F337B">
        <w:rPr>
          <w:i w:val="0"/>
          <w:szCs w:val="20"/>
          <w:lang w:val="en-US"/>
        </w:rPr>
        <w:t>Samayoa</w:t>
      </w:r>
      <w:proofErr w:type="spellEnd"/>
      <w:r w:rsidR="003C2AC6" w:rsidRPr="009F337B">
        <w:rPr>
          <w:i w:val="0"/>
          <w:szCs w:val="20"/>
          <w:lang w:val="en-US"/>
        </w:rPr>
        <w:t>,</w:t>
      </w:r>
      <w:r w:rsidR="003C46A3" w:rsidRPr="009F337B">
        <w:rPr>
          <w:i w:val="0"/>
          <w:szCs w:val="20"/>
          <w:lang w:val="en-US"/>
        </w:rPr>
        <w:t xml:space="preserve"> and </w:t>
      </w:r>
      <w:r w:rsidR="000E5456" w:rsidRPr="009F337B">
        <w:rPr>
          <w:i w:val="0"/>
          <w:szCs w:val="20"/>
          <w:lang w:val="en-US"/>
        </w:rPr>
        <w:t>her former</w:t>
      </w:r>
      <w:r w:rsidR="003C2AC6" w:rsidRPr="009F337B">
        <w:rPr>
          <w:i w:val="0"/>
          <w:szCs w:val="20"/>
          <w:lang w:val="en-US"/>
        </w:rPr>
        <w:t xml:space="preserve"> </w:t>
      </w:r>
      <w:r w:rsidR="0010522A" w:rsidRPr="009F337B">
        <w:rPr>
          <w:i w:val="0"/>
          <w:szCs w:val="20"/>
          <w:lang w:val="en-US"/>
        </w:rPr>
        <w:t>partner</w:t>
      </w:r>
      <w:r w:rsidR="003C2AC6" w:rsidRPr="009F337B">
        <w:rPr>
          <w:i w:val="0"/>
          <w:szCs w:val="20"/>
          <w:lang w:val="en-US"/>
        </w:rPr>
        <w:t xml:space="preserve"> Israel Pérez </w:t>
      </w:r>
      <w:proofErr w:type="spellStart"/>
      <w:r w:rsidR="003C2AC6" w:rsidRPr="009F337B">
        <w:rPr>
          <w:i w:val="0"/>
          <w:szCs w:val="20"/>
          <w:lang w:val="en-US"/>
        </w:rPr>
        <w:t>Charal</w:t>
      </w:r>
      <w:proofErr w:type="spellEnd"/>
      <w:r w:rsidR="000E5456" w:rsidRPr="009F337B">
        <w:rPr>
          <w:i w:val="0"/>
          <w:szCs w:val="20"/>
          <w:lang w:val="en-US"/>
        </w:rPr>
        <w:t>.</w:t>
      </w:r>
      <w:r w:rsidR="003C2AC6" w:rsidRPr="009F337B">
        <w:rPr>
          <w:rStyle w:val="Refdenotaalpie"/>
          <w:i w:val="0"/>
          <w:lang w:val="en-US"/>
        </w:rPr>
        <w:footnoteReference w:id="347"/>
      </w:r>
    </w:p>
    <w:p w14:paraId="10AA4ECE" w14:textId="77777777" w:rsidR="003C2AC6" w:rsidRPr="009F337B" w:rsidRDefault="003C2AC6" w:rsidP="003C2AC6">
      <w:pPr>
        <w:pStyle w:val="PrrafodeSentencia"/>
        <w:rPr>
          <w:lang w:val="en-US"/>
        </w:rPr>
      </w:pPr>
    </w:p>
    <w:p w14:paraId="709DF366" w14:textId="77777777" w:rsidR="003C2AC6" w:rsidRPr="009F337B" w:rsidRDefault="003C2AC6" w:rsidP="003C2AC6">
      <w:pPr>
        <w:pStyle w:val="PrrafodeSentencia"/>
        <w:rPr>
          <w:lang w:val="en-US"/>
        </w:rPr>
      </w:pPr>
      <w:r w:rsidRPr="009F337B">
        <w:rPr>
          <w:lang w:val="en-US"/>
        </w:rPr>
        <w:tab/>
        <w:t>B.29. Francisco Sop Quiej</w:t>
      </w:r>
    </w:p>
    <w:p w14:paraId="768F8397" w14:textId="77777777" w:rsidR="003C2AC6" w:rsidRPr="009F337B" w:rsidRDefault="003C2AC6" w:rsidP="003C2AC6">
      <w:pPr>
        <w:pStyle w:val="PrrafodeSentencia"/>
        <w:rPr>
          <w:lang w:val="en-US"/>
        </w:rPr>
      </w:pPr>
    </w:p>
    <w:p w14:paraId="7AB83B80" w14:textId="7BF433CA" w:rsidR="003C2AC6" w:rsidRPr="009F337B" w:rsidRDefault="007F1AEB" w:rsidP="00593E37">
      <w:pPr>
        <w:pStyle w:val="Estilo1"/>
        <w:numPr>
          <w:ilvl w:val="0"/>
          <w:numId w:val="5"/>
        </w:numPr>
        <w:tabs>
          <w:tab w:val="left" w:pos="709"/>
          <w:tab w:val="left" w:pos="1134"/>
        </w:tabs>
        <w:spacing w:after="0"/>
        <w:ind w:left="0" w:right="-4" w:firstLine="0"/>
        <w:rPr>
          <w:i w:val="0"/>
          <w:szCs w:val="20"/>
          <w:lang w:val="en-US"/>
        </w:rPr>
      </w:pPr>
      <w:r w:rsidRPr="009F337B">
        <w:rPr>
          <w:i w:val="0"/>
          <w:szCs w:val="20"/>
          <w:lang w:val="en-US"/>
        </w:rPr>
        <w:t>Mr.</w:t>
      </w:r>
      <w:r w:rsidR="003C2AC6" w:rsidRPr="009F337B">
        <w:rPr>
          <w:i w:val="0"/>
          <w:szCs w:val="20"/>
          <w:lang w:val="en-US"/>
        </w:rPr>
        <w:t xml:space="preserve"> Sop </w:t>
      </w:r>
      <w:proofErr w:type="spellStart"/>
      <w:r w:rsidR="003C2AC6" w:rsidRPr="009F337B">
        <w:rPr>
          <w:i w:val="0"/>
          <w:szCs w:val="20"/>
          <w:lang w:val="en-US"/>
        </w:rPr>
        <w:t>Quiej</w:t>
      </w:r>
      <w:proofErr w:type="spellEnd"/>
      <w:r w:rsidR="003C2AC6" w:rsidRPr="009F337B">
        <w:rPr>
          <w:i w:val="0"/>
          <w:szCs w:val="20"/>
          <w:lang w:val="en-US"/>
        </w:rPr>
        <w:t xml:space="preserve"> </w:t>
      </w:r>
      <w:r w:rsidR="00A52C6F" w:rsidRPr="009F337B">
        <w:rPr>
          <w:i w:val="0"/>
          <w:szCs w:val="20"/>
          <w:lang w:val="en-US"/>
        </w:rPr>
        <w:t>was born in</w:t>
      </w:r>
      <w:r w:rsidR="00805FE9" w:rsidRPr="009F337B">
        <w:rPr>
          <w:i w:val="0"/>
          <w:szCs w:val="20"/>
          <w:lang w:val="en-US"/>
        </w:rPr>
        <w:t xml:space="preserve"> the </w:t>
      </w:r>
      <w:r w:rsidR="00D85CA7" w:rsidRPr="009F337B">
        <w:rPr>
          <w:i w:val="0"/>
          <w:szCs w:val="20"/>
          <w:lang w:val="en-US"/>
        </w:rPr>
        <w:t>municipality of</w:t>
      </w:r>
      <w:r w:rsidR="003C2AC6" w:rsidRPr="009F337B">
        <w:rPr>
          <w:i w:val="0"/>
          <w:szCs w:val="20"/>
          <w:lang w:val="en-US"/>
        </w:rPr>
        <w:t xml:space="preserve"> Pueblo Nuevo, </w:t>
      </w:r>
      <w:r w:rsidR="003E1304" w:rsidRPr="009F337B">
        <w:rPr>
          <w:i w:val="0"/>
          <w:szCs w:val="20"/>
          <w:lang w:val="en-US"/>
        </w:rPr>
        <w:t>department of</w:t>
      </w:r>
      <w:r w:rsidR="003C2AC6" w:rsidRPr="009F337B">
        <w:rPr>
          <w:i w:val="0"/>
          <w:szCs w:val="20"/>
          <w:lang w:val="en-US"/>
        </w:rPr>
        <w:t xml:space="preserve"> Suchitepéquez, Guatemala</w:t>
      </w:r>
      <w:r w:rsidR="001B0100" w:rsidRPr="009F337B">
        <w:rPr>
          <w:i w:val="0"/>
          <w:szCs w:val="20"/>
          <w:lang w:val="en-US"/>
        </w:rPr>
        <w:t xml:space="preserve">, </w:t>
      </w:r>
      <w:r w:rsidR="0084040D" w:rsidRPr="009F337B">
        <w:rPr>
          <w:i w:val="0"/>
          <w:szCs w:val="20"/>
          <w:lang w:val="en-US"/>
        </w:rPr>
        <w:t>on</w:t>
      </w:r>
      <w:r w:rsidR="003C2AC6" w:rsidRPr="009F337B">
        <w:rPr>
          <w:i w:val="0"/>
          <w:szCs w:val="20"/>
          <w:lang w:val="en-US"/>
        </w:rPr>
        <w:t xml:space="preserve"> </w:t>
      </w:r>
      <w:r w:rsidR="001B0100" w:rsidRPr="009F337B">
        <w:rPr>
          <w:i w:val="0"/>
          <w:szCs w:val="20"/>
          <w:lang w:val="en-US"/>
        </w:rPr>
        <w:t xml:space="preserve">October 4, </w:t>
      </w:r>
      <w:r w:rsidR="003C2AC6" w:rsidRPr="009F337B">
        <w:rPr>
          <w:i w:val="0"/>
          <w:szCs w:val="20"/>
          <w:lang w:val="en-US"/>
        </w:rPr>
        <w:t xml:space="preserve">1962. </w:t>
      </w:r>
      <w:r w:rsidR="001B0100" w:rsidRPr="009F337B">
        <w:rPr>
          <w:i w:val="0"/>
          <w:szCs w:val="20"/>
          <w:lang w:val="en-US"/>
        </w:rPr>
        <w:t>He l</w:t>
      </w:r>
      <w:r w:rsidR="00D85CA7" w:rsidRPr="009F337B">
        <w:rPr>
          <w:i w:val="0"/>
          <w:szCs w:val="20"/>
          <w:lang w:val="en-US"/>
        </w:rPr>
        <w:t>ives in</w:t>
      </w:r>
      <w:r w:rsidR="003C2AC6" w:rsidRPr="009F337B">
        <w:rPr>
          <w:i w:val="0"/>
          <w:szCs w:val="20"/>
          <w:lang w:val="en-US"/>
        </w:rPr>
        <w:t xml:space="preserve"> </w:t>
      </w:r>
      <w:r w:rsidR="001B0100" w:rsidRPr="009F337B">
        <w:rPr>
          <w:i w:val="0"/>
          <w:szCs w:val="20"/>
          <w:lang w:val="en-US"/>
        </w:rPr>
        <w:t xml:space="preserve">the </w:t>
      </w:r>
      <w:r w:rsidR="003E1304" w:rsidRPr="009F337B">
        <w:rPr>
          <w:i w:val="0"/>
          <w:szCs w:val="20"/>
          <w:lang w:val="en-US"/>
        </w:rPr>
        <w:t>department of</w:t>
      </w:r>
      <w:r w:rsidR="003C2AC6" w:rsidRPr="009F337B">
        <w:rPr>
          <w:i w:val="0"/>
          <w:szCs w:val="20"/>
          <w:lang w:val="en-US"/>
        </w:rPr>
        <w:t xml:space="preserve"> Suchitepéquez, Guatemala. </w:t>
      </w:r>
      <w:r w:rsidR="001B0100" w:rsidRPr="009F337B">
        <w:rPr>
          <w:i w:val="0"/>
          <w:szCs w:val="20"/>
          <w:lang w:val="en-US"/>
        </w:rPr>
        <w:t xml:space="preserve">He </w:t>
      </w:r>
      <w:r w:rsidR="001C7A13" w:rsidRPr="009F337B">
        <w:rPr>
          <w:i w:val="0"/>
          <w:szCs w:val="20"/>
          <w:lang w:val="en-US"/>
        </w:rPr>
        <w:t>has a diploma in</w:t>
      </w:r>
      <w:r w:rsidR="001B0100" w:rsidRPr="009F337B">
        <w:rPr>
          <w:i w:val="0"/>
          <w:szCs w:val="20"/>
          <w:lang w:val="en-US"/>
        </w:rPr>
        <w:t xml:space="preserve"> </w:t>
      </w:r>
      <w:r w:rsidR="001C7A13" w:rsidRPr="009F337B">
        <w:rPr>
          <w:i w:val="0"/>
          <w:szCs w:val="20"/>
          <w:lang w:val="en-US"/>
        </w:rPr>
        <w:t>a</w:t>
      </w:r>
      <w:r w:rsidR="001B0100" w:rsidRPr="009F337B">
        <w:rPr>
          <w:i w:val="0"/>
          <w:szCs w:val="20"/>
          <w:lang w:val="en-US"/>
        </w:rPr>
        <w:t xml:space="preserve">rts and </w:t>
      </w:r>
      <w:r w:rsidR="001C7A13" w:rsidRPr="009F337B">
        <w:rPr>
          <w:i w:val="0"/>
          <w:szCs w:val="20"/>
          <w:lang w:val="en-US"/>
        </w:rPr>
        <w:t>s</w:t>
      </w:r>
      <w:r w:rsidR="001B0100" w:rsidRPr="009F337B">
        <w:rPr>
          <w:i w:val="0"/>
          <w:szCs w:val="20"/>
          <w:lang w:val="en-US"/>
        </w:rPr>
        <w:t xml:space="preserve">ciences. He speaks Spanish and Quiché. Currently, he works as a farmer. </w:t>
      </w:r>
      <w:r w:rsidRPr="009F337B">
        <w:rPr>
          <w:i w:val="0"/>
          <w:szCs w:val="20"/>
          <w:lang w:val="en-US"/>
        </w:rPr>
        <w:t xml:space="preserve">He </w:t>
      </w:r>
      <w:r w:rsidR="00AE674B" w:rsidRPr="009F337B">
        <w:rPr>
          <w:i w:val="0"/>
          <w:szCs w:val="20"/>
          <w:lang w:val="en-US"/>
        </w:rPr>
        <w:t>was diagnosed with</w:t>
      </w:r>
      <w:r w:rsidR="003C2AC6" w:rsidRPr="009F337B">
        <w:rPr>
          <w:i w:val="0"/>
          <w:szCs w:val="20"/>
          <w:lang w:val="en-US"/>
        </w:rPr>
        <w:t xml:space="preserve"> </w:t>
      </w:r>
      <w:r w:rsidR="00CA11F6" w:rsidRPr="009F337B">
        <w:rPr>
          <w:i w:val="0"/>
          <w:szCs w:val="20"/>
          <w:lang w:val="en-US"/>
        </w:rPr>
        <w:t>HIV</w:t>
      </w:r>
      <w:r w:rsidR="003C2AC6" w:rsidRPr="009F337B">
        <w:rPr>
          <w:i w:val="0"/>
          <w:szCs w:val="20"/>
          <w:lang w:val="en-US"/>
        </w:rPr>
        <w:t xml:space="preserve"> </w:t>
      </w:r>
      <w:r w:rsidR="001B0100" w:rsidRPr="009F337B">
        <w:rPr>
          <w:i w:val="0"/>
          <w:szCs w:val="20"/>
          <w:lang w:val="en-US"/>
        </w:rPr>
        <w:t>in August</w:t>
      </w:r>
      <w:r w:rsidR="003C2AC6" w:rsidRPr="009F337B">
        <w:rPr>
          <w:i w:val="0"/>
          <w:szCs w:val="20"/>
          <w:lang w:val="en-US"/>
        </w:rPr>
        <w:t xml:space="preserve"> 2000 </w:t>
      </w:r>
      <w:r w:rsidR="001B0100" w:rsidRPr="009F337B">
        <w:rPr>
          <w:i w:val="0"/>
          <w:szCs w:val="20"/>
          <w:lang w:val="en-US"/>
        </w:rPr>
        <w:t xml:space="preserve">in the Military Medical Center. Initially, he received medical care in the Military Hospital and in MSF and, subsequently, he was transferred to the </w:t>
      </w:r>
      <w:proofErr w:type="spellStart"/>
      <w:r w:rsidR="005F10B1" w:rsidRPr="009F337B">
        <w:rPr>
          <w:i w:val="0"/>
          <w:szCs w:val="20"/>
          <w:lang w:val="en-US"/>
        </w:rPr>
        <w:t>Coatepeque</w:t>
      </w:r>
      <w:proofErr w:type="spellEnd"/>
      <w:r w:rsidR="005F10B1" w:rsidRPr="009F337B">
        <w:rPr>
          <w:i w:val="0"/>
          <w:szCs w:val="20"/>
          <w:lang w:val="en-US"/>
        </w:rPr>
        <w:t xml:space="preserve"> National Hospital</w:t>
      </w:r>
      <w:r w:rsidR="001B0100" w:rsidRPr="009F337B">
        <w:rPr>
          <w:i w:val="0"/>
          <w:szCs w:val="20"/>
          <w:lang w:val="en-US"/>
        </w:rPr>
        <w:t xml:space="preserve"> in around 2005. He has undergone CD4 counts and viral load testing irregularly, and he has had at least one genotype test. </w:t>
      </w:r>
      <w:r w:rsidR="00100588" w:rsidRPr="009F337B">
        <w:rPr>
          <w:i w:val="0"/>
          <w:szCs w:val="20"/>
          <w:lang w:val="en-US"/>
        </w:rPr>
        <w:t xml:space="preserve">At times, he has had to cover the cost of the CD4 counts and viral load tests. He has not received either nutritional or social support, or family care, but he has been </w:t>
      </w:r>
      <w:r w:rsidR="001C7A13" w:rsidRPr="009F337B">
        <w:rPr>
          <w:i w:val="0"/>
          <w:szCs w:val="20"/>
          <w:lang w:val="en-US"/>
        </w:rPr>
        <w:t>given</w:t>
      </w:r>
      <w:r w:rsidR="00100588" w:rsidRPr="009F337B">
        <w:rPr>
          <w:i w:val="0"/>
          <w:szCs w:val="20"/>
          <w:lang w:val="en-US"/>
        </w:rPr>
        <w:t xml:space="preserve"> condoms as a method of prevention. He has suffered from the opportunistic infection of </w:t>
      </w:r>
      <w:r w:rsidR="00100588" w:rsidRPr="009F337B">
        <w:rPr>
          <w:i w:val="0"/>
          <w:lang w:val="en-US"/>
        </w:rPr>
        <w:t>monil</w:t>
      </w:r>
      <w:r w:rsidR="00100588" w:rsidRPr="009F337B">
        <w:rPr>
          <w:bCs/>
          <w:i w:val="0"/>
          <w:lang w:val="en-US"/>
        </w:rPr>
        <w:t>iasis</w:t>
      </w:r>
      <w:r w:rsidR="003C2AC6" w:rsidRPr="009F337B">
        <w:rPr>
          <w:i w:val="0"/>
          <w:szCs w:val="20"/>
          <w:lang w:val="en-US"/>
        </w:rPr>
        <w:t xml:space="preserve">. </w:t>
      </w:r>
      <w:r w:rsidR="00100588" w:rsidRPr="009F337B">
        <w:rPr>
          <w:i w:val="0"/>
          <w:szCs w:val="20"/>
          <w:lang w:val="en-US"/>
        </w:rPr>
        <w:t xml:space="preserve">Before the diagnosis, he worked for the Guatemalan National Army. Subsequently, and owing to the discrimination he suffered from some of the officers and his colleagues, he left the Army and began to grow </w:t>
      </w:r>
      <w:proofErr w:type="spellStart"/>
      <w:r w:rsidR="00100588" w:rsidRPr="009F337B">
        <w:rPr>
          <w:szCs w:val="20"/>
          <w:lang w:val="en-US"/>
        </w:rPr>
        <w:t>maxán</w:t>
      </w:r>
      <w:proofErr w:type="spellEnd"/>
      <w:r w:rsidR="00100588" w:rsidRPr="009F337B">
        <w:rPr>
          <w:i w:val="0"/>
          <w:szCs w:val="20"/>
          <w:lang w:val="en-US"/>
        </w:rPr>
        <w:t xml:space="preserve"> leaves</w:t>
      </w:r>
      <w:r w:rsidR="00A30D95" w:rsidRPr="009F337B">
        <w:rPr>
          <w:i w:val="0"/>
          <w:szCs w:val="20"/>
          <w:lang w:val="en-US"/>
        </w:rPr>
        <w:t xml:space="preserve"> [Note: used for wrapping tamales]</w:t>
      </w:r>
      <w:r w:rsidR="00100588" w:rsidRPr="009F337B">
        <w:rPr>
          <w:i w:val="0"/>
          <w:szCs w:val="20"/>
          <w:lang w:val="en-US"/>
        </w:rPr>
        <w:t xml:space="preserve"> with bananas and coffee on a plot belonging to his mother. He indicated that it takes him two hours to travel from his home to</w:t>
      </w:r>
      <w:r w:rsidR="003C2AC6" w:rsidRPr="009F337B">
        <w:rPr>
          <w:i w:val="0"/>
          <w:szCs w:val="20"/>
          <w:lang w:val="en-US"/>
        </w:rPr>
        <w:t xml:space="preserve"> </w:t>
      </w:r>
      <w:proofErr w:type="spellStart"/>
      <w:r w:rsidR="003C2AC6" w:rsidRPr="009F337B">
        <w:rPr>
          <w:i w:val="0"/>
          <w:szCs w:val="20"/>
          <w:lang w:val="en-US"/>
        </w:rPr>
        <w:t>Coatepeque</w:t>
      </w:r>
      <w:proofErr w:type="spellEnd"/>
      <w:r w:rsidR="003C2AC6" w:rsidRPr="009F337B">
        <w:rPr>
          <w:i w:val="0"/>
          <w:szCs w:val="20"/>
          <w:lang w:val="en-US"/>
        </w:rPr>
        <w:t xml:space="preserve"> </w:t>
      </w:r>
      <w:r w:rsidR="00100588" w:rsidRPr="009F337B">
        <w:rPr>
          <w:i w:val="0"/>
          <w:szCs w:val="20"/>
          <w:lang w:val="en-US"/>
        </w:rPr>
        <w:t xml:space="preserve">and costs </w:t>
      </w:r>
      <w:r w:rsidR="003C2AC6" w:rsidRPr="009F337B">
        <w:rPr>
          <w:i w:val="0"/>
          <w:szCs w:val="20"/>
          <w:lang w:val="en-US"/>
        </w:rPr>
        <w:t xml:space="preserve">60 quetzals </w:t>
      </w:r>
      <w:r w:rsidR="00100588" w:rsidRPr="009F337B">
        <w:rPr>
          <w:i w:val="0"/>
          <w:szCs w:val="20"/>
          <w:lang w:val="en-US"/>
        </w:rPr>
        <w:t>each way</w:t>
      </w:r>
      <w:r w:rsidR="003C2AC6" w:rsidRPr="009F337B">
        <w:rPr>
          <w:i w:val="0"/>
          <w:szCs w:val="20"/>
          <w:lang w:val="en-US"/>
        </w:rPr>
        <w:t xml:space="preserve">. </w:t>
      </w:r>
      <w:r w:rsidR="00100588" w:rsidRPr="009F337B">
        <w:rPr>
          <w:i w:val="0"/>
          <w:szCs w:val="20"/>
          <w:lang w:val="en-US"/>
        </w:rPr>
        <w:t>At times he is unable to pay this and has to resort to loans from his family and friends.</w:t>
      </w:r>
      <w:r w:rsidR="003C2AC6" w:rsidRPr="009F337B">
        <w:rPr>
          <w:rStyle w:val="Refdenotaalpie"/>
          <w:i w:val="0"/>
          <w:lang w:val="en-US"/>
        </w:rPr>
        <w:footnoteReference w:id="348"/>
      </w:r>
    </w:p>
    <w:p w14:paraId="08CFA340" w14:textId="77777777" w:rsidR="003C2AC6" w:rsidRPr="009F337B" w:rsidRDefault="003C2AC6" w:rsidP="003C2AC6">
      <w:pPr>
        <w:pStyle w:val="Estilo1"/>
        <w:tabs>
          <w:tab w:val="left" w:pos="709"/>
          <w:tab w:val="left" w:pos="1134"/>
        </w:tabs>
        <w:spacing w:after="0"/>
        <w:ind w:left="0" w:right="-4" w:firstLine="0"/>
        <w:rPr>
          <w:i w:val="0"/>
          <w:szCs w:val="20"/>
          <w:lang w:val="en-US"/>
        </w:rPr>
      </w:pPr>
    </w:p>
    <w:p w14:paraId="20B68A92" w14:textId="3FD97F6D" w:rsidR="003C2AC6" w:rsidRPr="009F337B" w:rsidRDefault="00A758A5" w:rsidP="00593E37">
      <w:pPr>
        <w:pStyle w:val="Estilo1"/>
        <w:numPr>
          <w:ilvl w:val="0"/>
          <w:numId w:val="5"/>
        </w:numPr>
        <w:tabs>
          <w:tab w:val="left" w:pos="709"/>
          <w:tab w:val="left" w:pos="1134"/>
        </w:tabs>
        <w:spacing w:after="0"/>
        <w:ind w:left="0" w:right="-4" w:firstLine="0"/>
        <w:rPr>
          <w:i w:val="0"/>
          <w:szCs w:val="20"/>
          <w:lang w:val="en-US"/>
        </w:rPr>
      </w:pPr>
      <w:r w:rsidRPr="009F337B">
        <w:rPr>
          <w:i w:val="0"/>
          <w:szCs w:val="20"/>
          <w:lang w:val="en-US"/>
        </w:rPr>
        <w:t xml:space="preserve">His family unit consists of his </w:t>
      </w:r>
      <w:r w:rsidR="0010522A" w:rsidRPr="009F337B">
        <w:rPr>
          <w:i w:val="0"/>
          <w:szCs w:val="20"/>
          <w:lang w:val="en-US"/>
        </w:rPr>
        <w:t>mother</w:t>
      </w:r>
      <w:r w:rsidR="003C2AC6" w:rsidRPr="009F337B">
        <w:rPr>
          <w:i w:val="0"/>
          <w:szCs w:val="20"/>
          <w:lang w:val="en-US"/>
        </w:rPr>
        <w:t xml:space="preserve"> Paula </w:t>
      </w:r>
      <w:proofErr w:type="spellStart"/>
      <w:r w:rsidR="003C2AC6" w:rsidRPr="009F337B">
        <w:rPr>
          <w:i w:val="0"/>
          <w:szCs w:val="20"/>
          <w:lang w:val="en-US"/>
        </w:rPr>
        <w:t>Quiej</w:t>
      </w:r>
      <w:proofErr w:type="spellEnd"/>
      <w:r w:rsidR="003C2AC6" w:rsidRPr="009F337B">
        <w:rPr>
          <w:i w:val="0"/>
          <w:szCs w:val="20"/>
          <w:lang w:val="en-US"/>
        </w:rPr>
        <w:t xml:space="preserve">, </w:t>
      </w:r>
      <w:r w:rsidR="002B0E29" w:rsidRPr="009F337B">
        <w:rPr>
          <w:i w:val="0"/>
          <w:szCs w:val="20"/>
          <w:lang w:val="en-US"/>
        </w:rPr>
        <w:t>his</w:t>
      </w:r>
      <w:r w:rsidR="003C2AC6" w:rsidRPr="009F337B">
        <w:rPr>
          <w:i w:val="0"/>
          <w:szCs w:val="20"/>
          <w:lang w:val="en-US"/>
        </w:rPr>
        <w:t xml:space="preserve"> </w:t>
      </w:r>
      <w:r w:rsidR="0010522A" w:rsidRPr="009F337B">
        <w:rPr>
          <w:i w:val="0"/>
          <w:szCs w:val="20"/>
          <w:lang w:val="en-US"/>
        </w:rPr>
        <w:t>brother</w:t>
      </w:r>
      <w:r w:rsidR="003C2AC6" w:rsidRPr="009F337B">
        <w:rPr>
          <w:i w:val="0"/>
          <w:szCs w:val="20"/>
          <w:lang w:val="en-US"/>
        </w:rPr>
        <w:t xml:space="preserve"> Antonio, </w:t>
      </w:r>
      <w:r w:rsidR="002B0E29" w:rsidRPr="009F337B">
        <w:rPr>
          <w:i w:val="0"/>
          <w:szCs w:val="20"/>
          <w:lang w:val="en-US"/>
        </w:rPr>
        <w:t>his</w:t>
      </w:r>
      <w:r w:rsidR="003C2AC6" w:rsidRPr="009F337B">
        <w:rPr>
          <w:i w:val="0"/>
          <w:szCs w:val="20"/>
          <w:lang w:val="en-US"/>
        </w:rPr>
        <w:t xml:space="preserve"> </w:t>
      </w:r>
      <w:r w:rsidR="0010522A" w:rsidRPr="009F337B">
        <w:rPr>
          <w:i w:val="0"/>
          <w:szCs w:val="20"/>
          <w:lang w:val="en-US"/>
        </w:rPr>
        <w:t>sister</w:t>
      </w:r>
      <w:r w:rsidR="003C2AC6" w:rsidRPr="009F337B">
        <w:rPr>
          <w:i w:val="0"/>
          <w:szCs w:val="20"/>
          <w:lang w:val="en-US"/>
        </w:rPr>
        <w:t xml:space="preserve"> Dominga, </w:t>
      </w:r>
      <w:r w:rsidR="007B07E2" w:rsidRPr="009F337B">
        <w:rPr>
          <w:i w:val="0"/>
          <w:szCs w:val="20"/>
          <w:lang w:val="en-US"/>
        </w:rPr>
        <w:t>both</w:t>
      </w:r>
      <w:r w:rsidR="003C2AC6" w:rsidRPr="009F337B">
        <w:rPr>
          <w:i w:val="0"/>
          <w:szCs w:val="20"/>
          <w:lang w:val="en-US"/>
        </w:rPr>
        <w:t xml:space="preserve"> Sop </w:t>
      </w:r>
      <w:proofErr w:type="spellStart"/>
      <w:r w:rsidR="003C2AC6" w:rsidRPr="009F337B">
        <w:rPr>
          <w:i w:val="0"/>
          <w:szCs w:val="20"/>
          <w:lang w:val="en-US"/>
        </w:rPr>
        <w:t>Quiej</w:t>
      </w:r>
      <w:proofErr w:type="spellEnd"/>
      <w:r w:rsidR="003C2AC6" w:rsidRPr="009F337B">
        <w:rPr>
          <w:i w:val="0"/>
          <w:szCs w:val="20"/>
          <w:lang w:val="en-US"/>
        </w:rPr>
        <w:t>,</w:t>
      </w:r>
      <w:r w:rsidR="003C46A3" w:rsidRPr="009F337B">
        <w:rPr>
          <w:i w:val="0"/>
          <w:szCs w:val="20"/>
          <w:lang w:val="en-US"/>
        </w:rPr>
        <w:t xml:space="preserve"> and </w:t>
      </w:r>
      <w:r w:rsidR="002B0E29" w:rsidRPr="009F337B">
        <w:rPr>
          <w:i w:val="0"/>
          <w:szCs w:val="20"/>
          <w:lang w:val="en-US"/>
        </w:rPr>
        <w:t>his</w:t>
      </w:r>
      <w:r w:rsidR="003C2AC6" w:rsidRPr="009F337B">
        <w:rPr>
          <w:i w:val="0"/>
          <w:szCs w:val="20"/>
          <w:lang w:val="en-US"/>
        </w:rPr>
        <w:t xml:space="preserve"> </w:t>
      </w:r>
      <w:r w:rsidR="0010522A" w:rsidRPr="009F337B">
        <w:rPr>
          <w:i w:val="0"/>
          <w:szCs w:val="20"/>
          <w:lang w:val="en-US"/>
        </w:rPr>
        <w:t>nephew</w:t>
      </w:r>
      <w:r w:rsidR="003C2AC6" w:rsidRPr="009F337B">
        <w:rPr>
          <w:i w:val="0"/>
          <w:szCs w:val="20"/>
          <w:lang w:val="en-US"/>
        </w:rPr>
        <w:t xml:space="preserve"> Rony Sixta Sop</w:t>
      </w:r>
      <w:r w:rsidR="002B0E29" w:rsidRPr="009F337B">
        <w:rPr>
          <w:i w:val="0"/>
          <w:szCs w:val="20"/>
          <w:lang w:val="en-US"/>
        </w:rPr>
        <w:t>.</w:t>
      </w:r>
      <w:r w:rsidR="003C2AC6" w:rsidRPr="009F337B">
        <w:rPr>
          <w:rStyle w:val="Refdenotaalpie"/>
          <w:i w:val="0"/>
          <w:lang w:val="en-US"/>
        </w:rPr>
        <w:footnoteReference w:id="349"/>
      </w:r>
    </w:p>
    <w:p w14:paraId="15EEBEFC" w14:textId="77777777" w:rsidR="003C2AC6" w:rsidRPr="009F337B" w:rsidRDefault="003C2AC6" w:rsidP="003C2AC6">
      <w:pPr>
        <w:pStyle w:val="PrrafodeSentencia"/>
        <w:rPr>
          <w:lang w:val="en-US"/>
        </w:rPr>
      </w:pPr>
    </w:p>
    <w:p w14:paraId="03218904" w14:textId="77777777" w:rsidR="003C2AC6" w:rsidRPr="009F337B" w:rsidRDefault="003C2AC6" w:rsidP="003C2AC6">
      <w:pPr>
        <w:pStyle w:val="PrrafodeSentencia"/>
        <w:rPr>
          <w:lang w:val="en-US"/>
        </w:rPr>
      </w:pPr>
      <w:r w:rsidRPr="009F337B">
        <w:rPr>
          <w:lang w:val="en-US"/>
        </w:rPr>
        <w:tab/>
        <w:t>B.30. Jorge Armando Tavares Barreno</w:t>
      </w:r>
    </w:p>
    <w:p w14:paraId="38920C29" w14:textId="77777777" w:rsidR="003C2AC6" w:rsidRPr="009F337B" w:rsidRDefault="003C2AC6" w:rsidP="003C2AC6">
      <w:pPr>
        <w:pStyle w:val="PrrafodeSentencia"/>
        <w:rPr>
          <w:lang w:val="en-US"/>
        </w:rPr>
      </w:pPr>
    </w:p>
    <w:p w14:paraId="55E95318" w14:textId="6015B226" w:rsidR="003C2AC6" w:rsidRPr="009F337B" w:rsidRDefault="007F1AEB" w:rsidP="00593E37">
      <w:pPr>
        <w:pStyle w:val="Estilo1"/>
        <w:numPr>
          <w:ilvl w:val="0"/>
          <w:numId w:val="5"/>
        </w:numPr>
        <w:tabs>
          <w:tab w:val="left" w:pos="709"/>
          <w:tab w:val="left" w:pos="1134"/>
        </w:tabs>
        <w:spacing w:after="0"/>
        <w:ind w:left="0" w:right="-4" w:firstLine="0"/>
        <w:rPr>
          <w:i w:val="0"/>
          <w:szCs w:val="20"/>
          <w:lang w:val="en-US"/>
        </w:rPr>
      </w:pPr>
      <w:r w:rsidRPr="009F337B">
        <w:rPr>
          <w:i w:val="0"/>
          <w:szCs w:val="20"/>
          <w:lang w:val="en-US"/>
        </w:rPr>
        <w:t>Mr.</w:t>
      </w:r>
      <w:r w:rsidR="003C2AC6" w:rsidRPr="009F337B">
        <w:rPr>
          <w:i w:val="0"/>
          <w:szCs w:val="20"/>
          <w:lang w:val="en-US"/>
        </w:rPr>
        <w:t xml:space="preserve"> Tavares </w:t>
      </w:r>
      <w:proofErr w:type="spellStart"/>
      <w:r w:rsidR="003C2AC6" w:rsidRPr="009F337B">
        <w:rPr>
          <w:i w:val="0"/>
          <w:szCs w:val="20"/>
          <w:lang w:val="en-US"/>
        </w:rPr>
        <w:t>Barreno</w:t>
      </w:r>
      <w:proofErr w:type="spellEnd"/>
      <w:r w:rsidR="003C2AC6" w:rsidRPr="009F337B">
        <w:rPr>
          <w:i w:val="0"/>
          <w:szCs w:val="20"/>
          <w:lang w:val="en-US"/>
        </w:rPr>
        <w:t xml:space="preserve"> </w:t>
      </w:r>
      <w:r w:rsidR="002B0E29" w:rsidRPr="009F337B">
        <w:rPr>
          <w:i w:val="0"/>
          <w:szCs w:val="20"/>
          <w:lang w:val="en-US"/>
        </w:rPr>
        <w:t>was born on November 6, 1980, in</w:t>
      </w:r>
      <w:r w:rsidR="003C46A3" w:rsidRPr="009F337B">
        <w:rPr>
          <w:i w:val="0"/>
          <w:szCs w:val="20"/>
          <w:lang w:val="en-US"/>
        </w:rPr>
        <w:t xml:space="preserve"> </w:t>
      </w:r>
      <w:r w:rsidR="00805FE9" w:rsidRPr="009F337B">
        <w:rPr>
          <w:i w:val="0"/>
          <w:szCs w:val="20"/>
          <w:lang w:val="en-US"/>
        </w:rPr>
        <w:t xml:space="preserve">the </w:t>
      </w:r>
      <w:r w:rsidR="00D85CA7" w:rsidRPr="009F337B">
        <w:rPr>
          <w:i w:val="0"/>
          <w:szCs w:val="20"/>
          <w:lang w:val="en-US"/>
        </w:rPr>
        <w:t>municipality of</w:t>
      </w:r>
      <w:r w:rsidR="003C2AC6" w:rsidRPr="009F337B">
        <w:rPr>
          <w:i w:val="0"/>
          <w:szCs w:val="20"/>
          <w:lang w:val="en-US"/>
        </w:rPr>
        <w:t xml:space="preserve"> </w:t>
      </w:r>
      <w:proofErr w:type="spellStart"/>
      <w:r w:rsidR="003C2AC6" w:rsidRPr="009F337B">
        <w:rPr>
          <w:i w:val="0"/>
          <w:szCs w:val="20"/>
          <w:lang w:val="en-US"/>
        </w:rPr>
        <w:t>Coatepeque</w:t>
      </w:r>
      <w:proofErr w:type="spellEnd"/>
      <w:r w:rsidR="003C2AC6" w:rsidRPr="009F337B">
        <w:rPr>
          <w:i w:val="0"/>
          <w:szCs w:val="20"/>
          <w:lang w:val="en-US"/>
        </w:rPr>
        <w:t xml:space="preserve">, </w:t>
      </w:r>
      <w:r w:rsidR="003E1304" w:rsidRPr="009F337B">
        <w:rPr>
          <w:i w:val="0"/>
          <w:szCs w:val="20"/>
          <w:lang w:val="en-US"/>
        </w:rPr>
        <w:t>department of</w:t>
      </w:r>
      <w:r w:rsidR="003C2AC6" w:rsidRPr="009F337B">
        <w:rPr>
          <w:i w:val="0"/>
          <w:szCs w:val="20"/>
          <w:lang w:val="en-US"/>
        </w:rPr>
        <w:t xml:space="preserve"> Quetzaltenango, Guatemala</w:t>
      </w:r>
      <w:r w:rsidR="002B0E29" w:rsidRPr="009F337B">
        <w:rPr>
          <w:i w:val="0"/>
          <w:szCs w:val="20"/>
          <w:lang w:val="en-US"/>
        </w:rPr>
        <w:t>, and lives there now</w:t>
      </w:r>
      <w:r w:rsidR="003C2AC6" w:rsidRPr="009F337B">
        <w:rPr>
          <w:i w:val="0"/>
          <w:szCs w:val="20"/>
          <w:lang w:val="en-US"/>
        </w:rPr>
        <w:t xml:space="preserve">. </w:t>
      </w:r>
      <w:r w:rsidRPr="009F337B">
        <w:rPr>
          <w:i w:val="0"/>
          <w:szCs w:val="20"/>
          <w:lang w:val="en-US"/>
        </w:rPr>
        <w:t xml:space="preserve">He </w:t>
      </w:r>
      <w:r w:rsidR="00AE674B" w:rsidRPr="009F337B">
        <w:rPr>
          <w:i w:val="0"/>
          <w:szCs w:val="20"/>
          <w:lang w:val="en-US"/>
        </w:rPr>
        <w:t>was diagnosed with</w:t>
      </w:r>
      <w:r w:rsidR="003C2AC6" w:rsidRPr="009F337B">
        <w:rPr>
          <w:i w:val="0"/>
          <w:szCs w:val="20"/>
          <w:lang w:val="en-US"/>
        </w:rPr>
        <w:t xml:space="preserve"> </w:t>
      </w:r>
      <w:r w:rsidR="00CA11F6" w:rsidRPr="009F337B">
        <w:rPr>
          <w:i w:val="0"/>
          <w:szCs w:val="20"/>
          <w:lang w:val="en-US"/>
        </w:rPr>
        <w:t>HIV</w:t>
      </w:r>
      <w:r w:rsidR="003C2AC6" w:rsidRPr="009F337B">
        <w:rPr>
          <w:i w:val="0"/>
          <w:szCs w:val="20"/>
          <w:lang w:val="en-US"/>
        </w:rPr>
        <w:t xml:space="preserve"> </w:t>
      </w:r>
      <w:r w:rsidR="002B0E29" w:rsidRPr="009F337B">
        <w:rPr>
          <w:i w:val="0"/>
          <w:szCs w:val="20"/>
          <w:lang w:val="en-US"/>
        </w:rPr>
        <w:t>in</w:t>
      </w:r>
      <w:r w:rsidR="003C2AC6" w:rsidRPr="009F337B">
        <w:rPr>
          <w:i w:val="0"/>
          <w:szCs w:val="20"/>
          <w:lang w:val="en-US"/>
        </w:rPr>
        <w:t xml:space="preserve"> 2001 </w:t>
      </w:r>
      <w:r w:rsidR="002B0E29" w:rsidRPr="009F337B">
        <w:rPr>
          <w:i w:val="0"/>
          <w:szCs w:val="20"/>
          <w:lang w:val="en-US"/>
        </w:rPr>
        <w:t>in Clinic No.</w:t>
      </w:r>
      <w:r w:rsidR="003C2AC6" w:rsidRPr="009F337B">
        <w:rPr>
          <w:i w:val="0"/>
          <w:szCs w:val="20"/>
          <w:lang w:val="en-US"/>
        </w:rPr>
        <w:t xml:space="preserve"> 12</w:t>
      </w:r>
      <w:r w:rsidR="00A758A5" w:rsidRPr="009F337B">
        <w:rPr>
          <w:i w:val="0"/>
          <w:szCs w:val="20"/>
          <w:lang w:val="en-US"/>
        </w:rPr>
        <w:t xml:space="preserve"> of the </w:t>
      </w:r>
      <w:proofErr w:type="spellStart"/>
      <w:r w:rsidR="00BD5E94" w:rsidRPr="009F337B">
        <w:rPr>
          <w:i w:val="0"/>
          <w:szCs w:val="20"/>
          <w:lang w:val="en-US"/>
        </w:rPr>
        <w:t>Coatepeque</w:t>
      </w:r>
      <w:proofErr w:type="spellEnd"/>
      <w:r w:rsidR="00BD5E94" w:rsidRPr="009F337B">
        <w:rPr>
          <w:i w:val="0"/>
          <w:szCs w:val="20"/>
          <w:lang w:val="en-US"/>
        </w:rPr>
        <w:t xml:space="preserve"> National Hospital</w:t>
      </w:r>
      <w:r w:rsidR="003C2AC6" w:rsidRPr="009F337B">
        <w:rPr>
          <w:i w:val="0"/>
          <w:szCs w:val="20"/>
          <w:lang w:val="en-US"/>
        </w:rPr>
        <w:t xml:space="preserve">. </w:t>
      </w:r>
      <w:r w:rsidR="002B0E29" w:rsidRPr="009F337B">
        <w:rPr>
          <w:i w:val="0"/>
          <w:szCs w:val="20"/>
          <w:lang w:val="en-US"/>
        </w:rPr>
        <w:t xml:space="preserve">Before his diagnosis he worked in a carpenter’s shop and, subsequently, he has worked independently. He began </w:t>
      </w:r>
      <w:r w:rsidR="00FE1EFF" w:rsidRPr="009F337B">
        <w:rPr>
          <w:i w:val="0"/>
          <w:szCs w:val="20"/>
          <w:lang w:val="en-US"/>
        </w:rPr>
        <w:t>antiretroviral treatment</w:t>
      </w:r>
      <w:r w:rsidR="003C2AC6" w:rsidRPr="009F337B">
        <w:rPr>
          <w:i w:val="0"/>
          <w:szCs w:val="20"/>
          <w:lang w:val="en-US"/>
        </w:rPr>
        <w:t xml:space="preserve"> </w:t>
      </w:r>
      <w:r w:rsidR="002B0E29" w:rsidRPr="009F337B">
        <w:rPr>
          <w:i w:val="0"/>
          <w:szCs w:val="20"/>
          <w:lang w:val="en-US"/>
        </w:rPr>
        <w:t>in</w:t>
      </w:r>
      <w:r w:rsidR="003C2AC6" w:rsidRPr="009F337B">
        <w:rPr>
          <w:i w:val="0"/>
          <w:szCs w:val="20"/>
          <w:lang w:val="en-US"/>
        </w:rPr>
        <w:t xml:space="preserve"> 2002 </w:t>
      </w:r>
      <w:r w:rsidR="002B0E29" w:rsidRPr="009F337B">
        <w:rPr>
          <w:i w:val="0"/>
          <w:szCs w:val="20"/>
          <w:lang w:val="en-US"/>
        </w:rPr>
        <w:t>through</w:t>
      </w:r>
      <w:r w:rsidR="003C2AC6" w:rsidRPr="009F337B">
        <w:rPr>
          <w:i w:val="0"/>
          <w:szCs w:val="20"/>
          <w:lang w:val="en-US"/>
        </w:rPr>
        <w:t xml:space="preserve"> MSF</w:t>
      </w:r>
      <w:r w:rsidR="003C46A3" w:rsidRPr="009F337B">
        <w:rPr>
          <w:i w:val="0"/>
          <w:szCs w:val="20"/>
          <w:lang w:val="en-US"/>
        </w:rPr>
        <w:t xml:space="preserve"> and</w:t>
      </w:r>
      <w:r w:rsidR="002B0E29" w:rsidRPr="009F337B">
        <w:rPr>
          <w:i w:val="0"/>
          <w:szCs w:val="20"/>
          <w:lang w:val="en-US"/>
        </w:rPr>
        <w:t xml:space="preserve"> was</w:t>
      </w:r>
      <w:r w:rsidR="0090688E" w:rsidRPr="009F337B">
        <w:rPr>
          <w:i w:val="0"/>
          <w:szCs w:val="20"/>
          <w:lang w:val="en-US"/>
        </w:rPr>
        <w:t xml:space="preserve"> later</w:t>
      </w:r>
      <w:r w:rsidR="002B0E29" w:rsidRPr="009F337B">
        <w:rPr>
          <w:i w:val="0"/>
          <w:szCs w:val="20"/>
          <w:lang w:val="en-US"/>
        </w:rPr>
        <w:t xml:space="preserve"> transferred to the </w:t>
      </w:r>
      <w:proofErr w:type="spellStart"/>
      <w:r w:rsidR="003C2AC6" w:rsidRPr="009F337B">
        <w:rPr>
          <w:i w:val="0"/>
          <w:szCs w:val="20"/>
          <w:lang w:val="en-US"/>
        </w:rPr>
        <w:t>Coatepeque</w:t>
      </w:r>
      <w:proofErr w:type="spellEnd"/>
      <w:r w:rsidR="002B0E29" w:rsidRPr="009F337B">
        <w:rPr>
          <w:i w:val="0"/>
          <w:szCs w:val="20"/>
          <w:lang w:val="en-US"/>
        </w:rPr>
        <w:t xml:space="preserve"> National Hospital. He has undergone one CD4 count and one viral load test. He has suffered from </w:t>
      </w:r>
      <w:r w:rsidR="0081563D" w:rsidRPr="009F337B">
        <w:rPr>
          <w:i w:val="0"/>
          <w:szCs w:val="20"/>
          <w:lang w:val="en-US"/>
        </w:rPr>
        <w:t>opportunistic diseases</w:t>
      </w:r>
      <w:r w:rsidR="003C2AC6" w:rsidRPr="009F337B">
        <w:rPr>
          <w:i w:val="0"/>
          <w:szCs w:val="20"/>
          <w:lang w:val="en-US"/>
        </w:rPr>
        <w:t xml:space="preserve"> </w:t>
      </w:r>
      <w:r w:rsidR="002B0E29" w:rsidRPr="009F337B">
        <w:rPr>
          <w:i w:val="0"/>
          <w:szCs w:val="20"/>
          <w:lang w:val="en-US"/>
        </w:rPr>
        <w:t>such as</w:t>
      </w:r>
      <w:r w:rsidR="003C2AC6" w:rsidRPr="009F337B">
        <w:rPr>
          <w:i w:val="0"/>
          <w:szCs w:val="20"/>
          <w:lang w:val="en-US"/>
        </w:rPr>
        <w:t xml:space="preserve"> </w:t>
      </w:r>
      <w:r w:rsidR="00DD7C07" w:rsidRPr="009F337B">
        <w:rPr>
          <w:i w:val="0"/>
          <w:szCs w:val="20"/>
          <w:lang w:val="en-US"/>
        </w:rPr>
        <w:t>cryptococc</w:t>
      </w:r>
      <w:r w:rsidR="002B0E29" w:rsidRPr="009F337B">
        <w:rPr>
          <w:i w:val="0"/>
          <w:szCs w:val="20"/>
          <w:lang w:val="en-US"/>
        </w:rPr>
        <w:t>al meningitis</w:t>
      </w:r>
      <w:r w:rsidR="003C2AC6" w:rsidRPr="009F337B">
        <w:rPr>
          <w:i w:val="0"/>
          <w:szCs w:val="20"/>
          <w:lang w:val="en-US"/>
        </w:rPr>
        <w:t xml:space="preserve">, </w:t>
      </w:r>
      <w:r w:rsidR="002B0E29" w:rsidRPr="009F337B">
        <w:rPr>
          <w:i w:val="0"/>
          <w:szCs w:val="20"/>
          <w:lang w:val="en-US"/>
        </w:rPr>
        <w:t xml:space="preserve">pulmonary </w:t>
      </w:r>
      <w:r w:rsidR="003C2AC6" w:rsidRPr="009F337B">
        <w:rPr>
          <w:i w:val="0"/>
          <w:szCs w:val="20"/>
          <w:lang w:val="en-US"/>
        </w:rPr>
        <w:t xml:space="preserve">tuberculosis, </w:t>
      </w:r>
      <w:r w:rsidR="002B0E29" w:rsidRPr="009F337B">
        <w:rPr>
          <w:i w:val="0"/>
          <w:szCs w:val="20"/>
          <w:lang w:val="en-US"/>
        </w:rPr>
        <w:t>blurred vision</w:t>
      </w:r>
      <w:r w:rsidR="003C2AC6" w:rsidRPr="009F337B">
        <w:rPr>
          <w:i w:val="0"/>
          <w:szCs w:val="20"/>
          <w:lang w:val="en-US"/>
        </w:rPr>
        <w:t xml:space="preserve">, </w:t>
      </w:r>
      <w:r w:rsidR="00B23B9B" w:rsidRPr="009F337B">
        <w:rPr>
          <w:i w:val="0"/>
          <w:szCs w:val="20"/>
          <w:lang w:val="en-US"/>
        </w:rPr>
        <w:t>oral candidiasis</w:t>
      </w:r>
      <w:r w:rsidR="003C2AC6" w:rsidRPr="009F337B">
        <w:rPr>
          <w:i w:val="0"/>
          <w:szCs w:val="20"/>
          <w:lang w:val="en-US"/>
        </w:rPr>
        <w:t xml:space="preserve">, </w:t>
      </w:r>
      <w:r w:rsidR="002B0E29" w:rsidRPr="009F337B">
        <w:rPr>
          <w:i w:val="0"/>
          <w:szCs w:val="20"/>
          <w:lang w:val="en-US"/>
        </w:rPr>
        <w:t>acute exhaustion syndrome</w:t>
      </w:r>
      <w:r w:rsidR="003C2AC6" w:rsidRPr="009F337B">
        <w:rPr>
          <w:i w:val="0"/>
          <w:szCs w:val="20"/>
          <w:lang w:val="en-US"/>
        </w:rPr>
        <w:t xml:space="preserve">, </w:t>
      </w:r>
      <w:r w:rsidR="002B0E29" w:rsidRPr="009F337B">
        <w:rPr>
          <w:i w:val="0"/>
          <w:szCs w:val="20"/>
          <w:lang w:val="en-US"/>
        </w:rPr>
        <w:t>o</w:t>
      </w:r>
      <w:r w:rsidR="00B23B9B" w:rsidRPr="009F337B">
        <w:rPr>
          <w:i w:val="0"/>
          <w:szCs w:val="20"/>
          <w:lang w:val="en-US"/>
        </w:rPr>
        <w:t>ral hairy leukoplakia</w:t>
      </w:r>
      <w:r w:rsidR="003C2AC6" w:rsidRPr="009F337B">
        <w:rPr>
          <w:i w:val="0"/>
          <w:szCs w:val="20"/>
          <w:lang w:val="en-US"/>
        </w:rPr>
        <w:t>, genital</w:t>
      </w:r>
      <w:r w:rsidR="002B0E29" w:rsidRPr="009F337B">
        <w:rPr>
          <w:i w:val="0"/>
          <w:szCs w:val="20"/>
          <w:lang w:val="en-US"/>
        </w:rPr>
        <w:t xml:space="preserve"> ulcer</w:t>
      </w:r>
      <w:r w:rsidR="003C2AC6" w:rsidRPr="009F337B">
        <w:rPr>
          <w:i w:val="0"/>
          <w:szCs w:val="20"/>
          <w:lang w:val="en-US"/>
        </w:rPr>
        <w:t>, pneumocystis</w:t>
      </w:r>
      <w:r w:rsidR="002B0E29" w:rsidRPr="009F337B">
        <w:rPr>
          <w:i w:val="0"/>
          <w:szCs w:val="20"/>
          <w:lang w:val="en-US"/>
        </w:rPr>
        <w:t xml:space="preserve"> pneumonia</w:t>
      </w:r>
      <w:r w:rsidR="003C2AC6" w:rsidRPr="009F337B">
        <w:rPr>
          <w:i w:val="0"/>
          <w:szCs w:val="20"/>
          <w:lang w:val="en-US"/>
        </w:rPr>
        <w:t xml:space="preserve">, herpes, </w:t>
      </w:r>
      <w:r w:rsidR="002B0E29" w:rsidRPr="009F337B">
        <w:rPr>
          <w:i w:val="0"/>
          <w:szCs w:val="20"/>
          <w:lang w:val="en-US"/>
        </w:rPr>
        <w:t xml:space="preserve">malaria, peripheral </w:t>
      </w:r>
      <w:r w:rsidR="00BB39B6" w:rsidRPr="009F337B">
        <w:rPr>
          <w:i w:val="0"/>
          <w:szCs w:val="20"/>
          <w:lang w:val="en-US"/>
        </w:rPr>
        <w:t>neuropathy</w:t>
      </w:r>
      <w:r w:rsidR="003C2AC6" w:rsidRPr="009F337B">
        <w:rPr>
          <w:i w:val="0"/>
          <w:szCs w:val="20"/>
          <w:lang w:val="en-US"/>
        </w:rPr>
        <w:t xml:space="preserve"> </w:t>
      </w:r>
      <w:r w:rsidR="002B0E29" w:rsidRPr="009F337B">
        <w:rPr>
          <w:i w:val="0"/>
          <w:szCs w:val="20"/>
          <w:lang w:val="en-US"/>
        </w:rPr>
        <w:t xml:space="preserve">and sexual impotence. He has received talks on the use of condoms to avoid reinfection, as well as the need for </w:t>
      </w:r>
      <w:r w:rsidR="0090688E" w:rsidRPr="009F337B">
        <w:rPr>
          <w:i w:val="0"/>
          <w:szCs w:val="20"/>
          <w:lang w:val="en-US"/>
        </w:rPr>
        <w:t>strict</w:t>
      </w:r>
      <w:r w:rsidR="002B0E29" w:rsidRPr="009F337B">
        <w:rPr>
          <w:i w:val="0"/>
          <w:szCs w:val="20"/>
          <w:lang w:val="en-US"/>
        </w:rPr>
        <w:t xml:space="preserve"> adherence to treatment.</w:t>
      </w:r>
      <w:r w:rsidR="003C2AC6" w:rsidRPr="009F337B">
        <w:rPr>
          <w:rStyle w:val="Refdenotaalpie"/>
          <w:i w:val="0"/>
          <w:lang w:val="en-US"/>
        </w:rPr>
        <w:footnoteReference w:id="350"/>
      </w:r>
    </w:p>
    <w:p w14:paraId="73259429" w14:textId="77777777" w:rsidR="003C2AC6" w:rsidRPr="009F337B" w:rsidRDefault="003C2AC6" w:rsidP="003C2AC6">
      <w:pPr>
        <w:pStyle w:val="Estilo1"/>
        <w:tabs>
          <w:tab w:val="left" w:pos="709"/>
          <w:tab w:val="left" w:pos="1134"/>
        </w:tabs>
        <w:spacing w:after="0"/>
        <w:ind w:left="0" w:right="-4" w:firstLine="0"/>
        <w:rPr>
          <w:i w:val="0"/>
          <w:szCs w:val="20"/>
          <w:lang w:val="en-US"/>
        </w:rPr>
      </w:pPr>
    </w:p>
    <w:p w14:paraId="03B1DDF0" w14:textId="1A1F18CC" w:rsidR="003C2AC6" w:rsidRPr="009F337B" w:rsidRDefault="00A758A5" w:rsidP="00593E37">
      <w:pPr>
        <w:pStyle w:val="Estilo1"/>
        <w:numPr>
          <w:ilvl w:val="0"/>
          <w:numId w:val="5"/>
        </w:numPr>
        <w:tabs>
          <w:tab w:val="left" w:pos="709"/>
          <w:tab w:val="left" w:pos="1134"/>
        </w:tabs>
        <w:spacing w:after="0"/>
        <w:ind w:left="0" w:right="-4" w:firstLine="0"/>
        <w:rPr>
          <w:i w:val="0"/>
          <w:szCs w:val="20"/>
          <w:lang w:val="en-US"/>
        </w:rPr>
      </w:pPr>
      <w:r w:rsidRPr="009F337B">
        <w:rPr>
          <w:i w:val="0"/>
          <w:szCs w:val="20"/>
          <w:lang w:val="en-US"/>
        </w:rPr>
        <w:t xml:space="preserve">His family unit consists of his </w:t>
      </w:r>
      <w:r w:rsidR="0010522A" w:rsidRPr="009F337B">
        <w:rPr>
          <w:i w:val="0"/>
          <w:szCs w:val="20"/>
          <w:lang w:val="en-US"/>
        </w:rPr>
        <w:t>wife</w:t>
      </w:r>
      <w:r w:rsidR="003C2AC6" w:rsidRPr="009F337B">
        <w:rPr>
          <w:i w:val="0"/>
          <w:szCs w:val="20"/>
          <w:lang w:val="en-US"/>
        </w:rPr>
        <w:t xml:space="preserve"> Brenda Magaly Cardona Rodríguez, </w:t>
      </w:r>
      <w:r w:rsidR="002B0E29" w:rsidRPr="009F337B">
        <w:rPr>
          <w:i w:val="0"/>
          <w:szCs w:val="20"/>
          <w:lang w:val="en-US"/>
        </w:rPr>
        <w:t>his two</w:t>
      </w:r>
      <w:r w:rsidR="003C2AC6" w:rsidRPr="009F337B">
        <w:rPr>
          <w:i w:val="0"/>
          <w:szCs w:val="20"/>
          <w:lang w:val="en-US"/>
        </w:rPr>
        <w:t xml:space="preserve"> </w:t>
      </w:r>
      <w:r w:rsidR="0010522A" w:rsidRPr="009F337B">
        <w:rPr>
          <w:i w:val="0"/>
          <w:szCs w:val="20"/>
          <w:lang w:val="en-US"/>
        </w:rPr>
        <w:t>son</w:t>
      </w:r>
      <w:r w:rsidR="003C2AC6" w:rsidRPr="009F337B">
        <w:rPr>
          <w:i w:val="0"/>
          <w:szCs w:val="20"/>
          <w:lang w:val="en-US"/>
        </w:rPr>
        <w:t>s Jimmy Armando</w:t>
      </w:r>
      <w:r w:rsidR="003C46A3" w:rsidRPr="009F337B">
        <w:rPr>
          <w:i w:val="0"/>
          <w:szCs w:val="20"/>
          <w:lang w:val="en-US"/>
        </w:rPr>
        <w:t xml:space="preserve"> and </w:t>
      </w:r>
      <w:proofErr w:type="spellStart"/>
      <w:r w:rsidR="003C2AC6" w:rsidRPr="009F337B">
        <w:rPr>
          <w:i w:val="0"/>
          <w:szCs w:val="20"/>
          <w:lang w:val="en-US"/>
        </w:rPr>
        <w:t>Loidy</w:t>
      </w:r>
      <w:proofErr w:type="spellEnd"/>
      <w:r w:rsidR="003C2AC6" w:rsidRPr="009F337B">
        <w:rPr>
          <w:i w:val="0"/>
          <w:szCs w:val="20"/>
          <w:lang w:val="en-US"/>
        </w:rPr>
        <w:t xml:space="preserve"> </w:t>
      </w:r>
      <w:proofErr w:type="spellStart"/>
      <w:r w:rsidR="003C2AC6" w:rsidRPr="009F337B">
        <w:rPr>
          <w:i w:val="0"/>
          <w:szCs w:val="20"/>
          <w:lang w:val="en-US"/>
        </w:rPr>
        <w:t>Nohemí</w:t>
      </w:r>
      <w:proofErr w:type="spellEnd"/>
      <w:r w:rsidR="003C2AC6" w:rsidRPr="009F337B">
        <w:rPr>
          <w:i w:val="0"/>
          <w:szCs w:val="20"/>
          <w:lang w:val="en-US"/>
        </w:rPr>
        <w:t xml:space="preserve">, </w:t>
      </w:r>
      <w:r w:rsidR="002B0E29" w:rsidRPr="009F337B">
        <w:rPr>
          <w:i w:val="0"/>
          <w:szCs w:val="20"/>
          <w:lang w:val="en-US"/>
        </w:rPr>
        <w:t>both</w:t>
      </w:r>
      <w:r w:rsidR="003C2AC6" w:rsidRPr="009F337B">
        <w:rPr>
          <w:i w:val="0"/>
          <w:szCs w:val="20"/>
          <w:lang w:val="en-US"/>
        </w:rPr>
        <w:t xml:space="preserve"> Tavares Cardona, </w:t>
      </w:r>
      <w:r w:rsidR="002B0E29" w:rsidRPr="009F337B">
        <w:rPr>
          <w:i w:val="0"/>
          <w:szCs w:val="20"/>
          <w:lang w:val="en-US"/>
        </w:rPr>
        <w:t>his</w:t>
      </w:r>
      <w:r w:rsidR="003C2AC6" w:rsidRPr="009F337B">
        <w:rPr>
          <w:i w:val="0"/>
          <w:szCs w:val="20"/>
          <w:lang w:val="en-US"/>
        </w:rPr>
        <w:t xml:space="preserve"> </w:t>
      </w:r>
      <w:r w:rsidR="0010522A" w:rsidRPr="009F337B">
        <w:rPr>
          <w:i w:val="0"/>
          <w:szCs w:val="20"/>
          <w:lang w:val="en-US"/>
        </w:rPr>
        <w:t>mother</w:t>
      </w:r>
      <w:r w:rsidR="003C2AC6" w:rsidRPr="009F337B">
        <w:rPr>
          <w:i w:val="0"/>
          <w:szCs w:val="20"/>
          <w:lang w:val="en-US"/>
        </w:rPr>
        <w:t xml:space="preserve"> Sara </w:t>
      </w:r>
      <w:proofErr w:type="spellStart"/>
      <w:r w:rsidR="003C2AC6" w:rsidRPr="009F337B">
        <w:rPr>
          <w:i w:val="0"/>
          <w:szCs w:val="20"/>
          <w:lang w:val="en-US"/>
        </w:rPr>
        <w:t>Barreno</w:t>
      </w:r>
      <w:proofErr w:type="spellEnd"/>
      <w:r w:rsidR="003C2AC6" w:rsidRPr="009F337B">
        <w:rPr>
          <w:i w:val="0"/>
          <w:szCs w:val="20"/>
          <w:lang w:val="en-US"/>
        </w:rPr>
        <w:t xml:space="preserve"> </w:t>
      </w:r>
      <w:proofErr w:type="spellStart"/>
      <w:r w:rsidR="003C2AC6" w:rsidRPr="009F337B">
        <w:rPr>
          <w:i w:val="0"/>
          <w:szCs w:val="20"/>
          <w:lang w:val="en-US"/>
        </w:rPr>
        <w:t>Arrango</w:t>
      </w:r>
      <w:proofErr w:type="spellEnd"/>
      <w:r w:rsidR="003C2AC6" w:rsidRPr="009F337B">
        <w:rPr>
          <w:i w:val="0"/>
          <w:szCs w:val="20"/>
          <w:lang w:val="en-US"/>
        </w:rPr>
        <w:t xml:space="preserve">, </w:t>
      </w:r>
      <w:r w:rsidR="002B0E29" w:rsidRPr="009F337B">
        <w:rPr>
          <w:i w:val="0"/>
          <w:szCs w:val="20"/>
          <w:lang w:val="en-US"/>
        </w:rPr>
        <w:t>his</w:t>
      </w:r>
      <w:r w:rsidR="003C2AC6" w:rsidRPr="009F337B">
        <w:rPr>
          <w:i w:val="0"/>
          <w:szCs w:val="20"/>
          <w:lang w:val="en-US"/>
        </w:rPr>
        <w:t xml:space="preserve"> </w:t>
      </w:r>
      <w:r w:rsidR="0010522A" w:rsidRPr="009F337B">
        <w:rPr>
          <w:i w:val="0"/>
          <w:szCs w:val="20"/>
          <w:lang w:val="en-US"/>
        </w:rPr>
        <w:t>father</w:t>
      </w:r>
      <w:r w:rsidR="003C2AC6" w:rsidRPr="009F337B">
        <w:rPr>
          <w:i w:val="0"/>
          <w:szCs w:val="20"/>
          <w:lang w:val="en-US"/>
        </w:rPr>
        <w:t xml:space="preserve"> Francisco Tavares García, </w:t>
      </w:r>
      <w:r w:rsidR="002B0E29" w:rsidRPr="009F337B">
        <w:rPr>
          <w:i w:val="0"/>
          <w:szCs w:val="20"/>
          <w:lang w:val="en-US"/>
        </w:rPr>
        <w:t>his</w:t>
      </w:r>
      <w:r w:rsidR="003C2AC6" w:rsidRPr="009F337B">
        <w:rPr>
          <w:i w:val="0"/>
          <w:szCs w:val="20"/>
          <w:lang w:val="en-US"/>
        </w:rPr>
        <w:t xml:space="preserve"> </w:t>
      </w:r>
      <w:r w:rsidR="0010522A" w:rsidRPr="009F337B">
        <w:rPr>
          <w:i w:val="0"/>
          <w:szCs w:val="20"/>
          <w:lang w:val="en-US"/>
        </w:rPr>
        <w:t>sister</w:t>
      </w:r>
      <w:r w:rsidR="003C2AC6" w:rsidRPr="009F337B">
        <w:rPr>
          <w:i w:val="0"/>
          <w:szCs w:val="20"/>
          <w:lang w:val="en-US"/>
        </w:rPr>
        <w:t xml:space="preserve"> Rosaura, </w:t>
      </w:r>
      <w:r w:rsidR="002B0E29" w:rsidRPr="009F337B">
        <w:rPr>
          <w:i w:val="0"/>
          <w:szCs w:val="20"/>
          <w:lang w:val="en-US"/>
        </w:rPr>
        <w:t>his</w:t>
      </w:r>
      <w:r w:rsidR="003C2AC6" w:rsidRPr="009F337B">
        <w:rPr>
          <w:i w:val="0"/>
          <w:szCs w:val="20"/>
          <w:lang w:val="en-US"/>
        </w:rPr>
        <w:t xml:space="preserve"> </w:t>
      </w:r>
      <w:r w:rsidR="0010522A" w:rsidRPr="009F337B">
        <w:rPr>
          <w:i w:val="0"/>
          <w:szCs w:val="20"/>
          <w:lang w:val="en-US"/>
        </w:rPr>
        <w:t>brother</w:t>
      </w:r>
      <w:r w:rsidR="003C2AC6" w:rsidRPr="009F337B">
        <w:rPr>
          <w:i w:val="0"/>
          <w:szCs w:val="20"/>
          <w:lang w:val="en-US"/>
        </w:rPr>
        <w:t>s Mario Eduardo</w:t>
      </w:r>
      <w:r w:rsidR="003C46A3" w:rsidRPr="009F337B">
        <w:rPr>
          <w:i w:val="0"/>
          <w:szCs w:val="20"/>
          <w:lang w:val="en-US"/>
        </w:rPr>
        <w:t xml:space="preserve"> and </w:t>
      </w:r>
      <w:r w:rsidR="003C2AC6" w:rsidRPr="009F337B">
        <w:rPr>
          <w:i w:val="0"/>
          <w:szCs w:val="20"/>
          <w:lang w:val="en-US"/>
        </w:rPr>
        <w:t xml:space="preserve">José Francisco, </w:t>
      </w:r>
      <w:r w:rsidR="002B0E29" w:rsidRPr="009F337B">
        <w:rPr>
          <w:i w:val="0"/>
          <w:szCs w:val="20"/>
          <w:lang w:val="en-US"/>
        </w:rPr>
        <w:t>all</w:t>
      </w:r>
      <w:r w:rsidR="003C2AC6" w:rsidRPr="009F337B">
        <w:rPr>
          <w:i w:val="0"/>
          <w:szCs w:val="20"/>
          <w:lang w:val="en-US"/>
        </w:rPr>
        <w:t xml:space="preserve"> Tavares de León,</w:t>
      </w:r>
      <w:r w:rsidR="003C46A3" w:rsidRPr="009F337B">
        <w:rPr>
          <w:i w:val="0"/>
          <w:szCs w:val="20"/>
          <w:lang w:val="en-US"/>
        </w:rPr>
        <w:t xml:space="preserve"> and </w:t>
      </w:r>
      <w:r w:rsidR="002B0E29" w:rsidRPr="009F337B">
        <w:rPr>
          <w:i w:val="0"/>
          <w:szCs w:val="20"/>
          <w:lang w:val="en-US"/>
        </w:rPr>
        <w:t>his mother-in-law</w:t>
      </w:r>
      <w:r w:rsidR="003C2AC6" w:rsidRPr="009F337B">
        <w:rPr>
          <w:i w:val="0"/>
          <w:szCs w:val="20"/>
          <w:lang w:val="en-US"/>
        </w:rPr>
        <w:t xml:space="preserve"> </w:t>
      </w:r>
      <w:proofErr w:type="spellStart"/>
      <w:r w:rsidR="003C2AC6" w:rsidRPr="009F337B">
        <w:rPr>
          <w:i w:val="0"/>
          <w:szCs w:val="20"/>
          <w:lang w:val="en-US"/>
        </w:rPr>
        <w:t>Clarisa</w:t>
      </w:r>
      <w:proofErr w:type="spellEnd"/>
      <w:r w:rsidR="003C2AC6" w:rsidRPr="009F337B">
        <w:rPr>
          <w:i w:val="0"/>
          <w:szCs w:val="20"/>
          <w:lang w:val="en-US"/>
        </w:rPr>
        <w:t xml:space="preserve"> </w:t>
      </w:r>
      <w:proofErr w:type="spellStart"/>
      <w:r w:rsidR="003C2AC6" w:rsidRPr="009F337B">
        <w:rPr>
          <w:i w:val="0"/>
          <w:szCs w:val="20"/>
          <w:lang w:val="en-US"/>
        </w:rPr>
        <w:t>Eberatriz</w:t>
      </w:r>
      <w:proofErr w:type="spellEnd"/>
      <w:r w:rsidR="003C2AC6" w:rsidRPr="009F337B">
        <w:rPr>
          <w:i w:val="0"/>
          <w:szCs w:val="20"/>
          <w:lang w:val="en-US"/>
        </w:rPr>
        <w:t xml:space="preserve"> Rodríguez</w:t>
      </w:r>
      <w:r w:rsidR="002B0E29" w:rsidRPr="009F337B">
        <w:rPr>
          <w:i w:val="0"/>
          <w:szCs w:val="20"/>
          <w:lang w:val="en-US"/>
        </w:rPr>
        <w:t>.</w:t>
      </w:r>
      <w:r w:rsidR="003C2AC6" w:rsidRPr="009F337B">
        <w:rPr>
          <w:rStyle w:val="Refdenotaalpie"/>
          <w:i w:val="0"/>
          <w:lang w:val="en-US"/>
        </w:rPr>
        <w:footnoteReference w:id="351"/>
      </w:r>
    </w:p>
    <w:p w14:paraId="599BE906" w14:textId="77777777" w:rsidR="003C2AC6" w:rsidRPr="009F337B" w:rsidRDefault="003C2AC6" w:rsidP="003C2AC6">
      <w:pPr>
        <w:pStyle w:val="PrrafodeSentencia"/>
        <w:rPr>
          <w:lang w:val="en-US"/>
        </w:rPr>
      </w:pPr>
    </w:p>
    <w:p w14:paraId="4D4764CB" w14:textId="77777777" w:rsidR="003C2AC6" w:rsidRPr="009F337B" w:rsidRDefault="003C2AC6" w:rsidP="003C2AC6">
      <w:pPr>
        <w:pStyle w:val="PrrafodeSentencia"/>
        <w:rPr>
          <w:lang w:val="en-US"/>
        </w:rPr>
      </w:pPr>
      <w:r w:rsidRPr="009F337B">
        <w:rPr>
          <w:lang w:val="en-US"/>
        </w:rPr>
        <w:tab/>
        <w:t>B.31. Miguel Lucas Vaíl</w:t>
      </w:r>
    </w:p>
    <w:p w14:paraId="46F2A2E0" w14:textId="77777777" w:rsidR="003C2AC6" w:rsidRPr="009F337B" w:rsidRDefault="003C2AC6" w:rsidP="003C2AC6">
      <w:pPr>
        <w:pStyle w:val="PrrafodeSentencia"/>
        <w:rPr>
          <w:lang w:val="en-US"/>
        </w:rPr>
      </w:pPr>
    </w:p>
    <w:p w14:paraId="655F5120" w14:textId="001F9C56" w:rsidR="003C2AC6" w:rsidRPr="009F337B" w:rsidRDefault="007F1AEB" w:rsidP="00593E37">
      <w:pPr>
        <w:pStyle w:val="Estilo1"/>
        <w:numPr>
          <w:ilvl w:val="0"/>
          <w:numId w:val="5"/>
        </w:numPr>
        <w:tabs>
          <w:tab w:val="left" w:pos="709"/>
          <w:tab w:val="left" w:pos="1134"/>
        </w:tabs>
        <w:spacing w:after="0"/>
        <w:ind w:left="0" w:right="-4" w:firstLine="0"/>
        <w:rPr>
          <w:i w:val="0"/>
          <w:szCs w:val="20"/>
          <w:lang w:val="en-US"/>
        </w:rPr>
      </w:pPr>
      <w:r w:rsidRPr="009F337B">
        <w:rPr>
          <w:i w:val="0"/>
          <w:szCs w:val="20"/>
          <w:lang w:val="en-US"/>
        </w:rPr>
        <w:t>Mr.</w:t>
      </w:r>
      <w:r w:rsidR="003C2AC6" w:rsidRPr="009F337B">
        <w:rPr>
          <w:i w:val="0"/>
          <w:szCs w:val="20"/>
          <w:lang w:val="en-US"/>
        </w:rPr>
        <w:t xml:space="preserve"> Lucas </w:t>
      </w:r>
      <w:proofErr w:type="spellStart"/>
      <w:r w:rsidR="003C2AC6" w:rsidRPr="009F337B">
        <w:rPr>
          <w:i w:val="0"/>
          <w:szCs w:val="20"/>
          <w:lang w:val="en-US"/>
        </w:rPr>
        <w:t>Vaíl</w:t>
      </w:r>
      <w:proofErr w:type="spellEnd"/>
      <w:r w:rsidR="003C2AC6" w:rsidRPr="009F337B">
        <w:rPr>
          <w:i w:val="0"/>
          <w:szCs w:val="20"/>
          <w:lang w:val="en-US"/>
        </w:rPr>
        <w:t xml:space="preserve"> </w:t>
      </w:r>
      <w:r w:rsidR="00A52C6F" w:rsidRPr="009F337B">
        <w:rPr>
          <w:i w:val="0"/>
          <w:szCs w:val="20"/>
          <w:lang w:val="en-US"/>
        </w:rPr>
        <w:t>was born</w:t>
      </w:r>
      <w:r w:rsidR="00F75748" w:rsidRPr="009F337B">
        <w:rPr>
          <w:i w:val="0"/>
          <w:szCs w:val="20"/>
          <w:lang w:val="en-US"/>
        </w:rPr>
        <w:t xml:space="preserve"> on September 23, 1946,</w:t>
      </w:r>
      <w:r w:rsidR="00A52C6F" w:rsidRPr="009F337B">
        <w:rPr>
          <w:i w:val="0"/>
          <w:szCs w:val="20"/>
          <w:lang w:val="en-US"/>
        </w:rPr>
        <w:t xml:space="preserve"> in</w:t>
      </w:r>
      <w:r w:rsidR="00805FE9" w:rsidRPr="009F337B">
        <w:rPr>
          <w:i w:val="0"/>
          <w:szCs w:val="20"/>
          <w:lang w:val="en-US"/>
        </w:rPr>
        <w:t xml:space="preserve"> the </w:t>
      </w:r>
      <w:r w:rsidR="00D85CA7" w:rsidRPr="009F337B">
        <w:rPr>
          <w:i w:val="0"/>
          <w:szCs w:val="20"/>
          <w:lang w:val="en-US"/>
        </w:rPr>
        <w:t>municipality of</w:t>
      </w:r>
      <w:r w:rsidR="003C2AC6" w:rsidRPr="009F337B">
        <w:rPr>
          <w:i w:val="0"/>
          <w:szCs w:val="20"/>
          <w:lang w:val="en-US"/>
        </w:rPr>
        <w:t xml:space="preserve"> </w:t>
      </w:r>
      <w:proofErr w:type="spellStart"/>
      <w:r w:rsidR="003C2AC6" w:rsidRPr="009F337B">
        <w:rPr>
          <w:i w:val="0"/>
          <w:szCs w:val="20"/>
          <w:lang w:val="en-US"/>
        </w:rPr>
        <w:t>Huitán</w:t>
      </w:r>
      <w:proofErr w:type="spellEnd"/>
      <w:r w:rsidR="003C2AC6" w:rsidRPr="009F337B">
        <w:rPr>
          <w:i w:val="0"/>
          <w:szCs w:val="20"/>
          <w:lang w:val="en-US"/>
        </w:rPr>
        <w:t xml:space="preserve">, </w:t>
      </w:r>
      <w:r w:rsidR="003E1304" w:rsidRPr="009F337B">
        <w:rPr>
          <w:i w:val="0"/>
          <w:szCs w:val="20"/>
          <w:lang w:val="en-US"/>
        </w:rPr>
        <w:t>department of</w:t>
      </w:r>
      <w:r w:rsidR="003C2AC6" w:rsidRPr="009F337B">
        <w:rPr>
          <w:i w:val="0"/>
          <w:szCs w:val="20"/>
          <w:lang w:val="en-US"/>
        </w:rPr>
        <w:t xml:space="preserve"> Quetzaltenango</w:t>
      </w:r>
      <w:r w:rsidR="00F75748" w:rsidRPr="009F337B">
        <w:rPr>
          <w:i w:val="0"/>
          <w:szCs w:val="20"/>
          <w:lang w:val="en-US"/>
        </w:rPr>
        <w:t>. He l</w:t>
      </w:r>
      <w:r w:rsidR="00D85CA7" w:rsidRPr="009F337B">
        <w:rPr>
          <w:i w:val="0"/>
          <w:szCs w:val="20"/>
          <w:lang w:val="en-US"/>
        </w:rPr>
        <w:t>ives in</w:t>
      </w:r>
      <w:r w:rsidR="003C2AC6" w:rsidRPr="009F337B">
        <w:rPr>
          <w:i w:val="0"/>
          <w:szCs w:val="20"/>
          <w:lang w:val="en-US"/>
        </w:rPr>
        <w:t xml:space="preserve"> </w:t>
      </w:r>
      <w:r w:rsidR="00F75748" w:rsidRPr="009F337B">
        <w:rPr>
          <w:i w:val="0"/>
          <w:szCs w:val="20"/>
          <w:lang w:val="en-US"/>
        </w:rPr>
        <w:t xml:space="preserve">the </w:t>
      </w:r>
      <w:r w:rsidR="003E1304" w:rsidRPr="009F337B">
        <w:rPr>
          <w:i w:val="0"/>
          <w:szCs w:val="20"/>
          <w:lang w:val="en-US"/>
        </w:rPr>
        <w:t>department of</w:t>
      </w:r>
      <w:r w:rsidR="003C2AC6" w:rsidRPr="009F337B">
        <w:rPr>
          <w:i w:val="0"/>
          <w:szCs w:val="20"/>
          <w:lang w:val="en-US"/>
        </w:rPr>
        <w:t xml:space="preserve"> Quetzaltenango, Guatemala. </w:t>
      </w:r>
      <w:r w:rsidR="00F75748" w:rsidRPr="009F337B">
        <w:rPr>
          <w:i w:val="0"/>
          <w:szCs w:val="20"/>
          <w:lang w:val="en-US"/>
        </w:rPr>
        <w:t xml:space="preserve">He did not go to school and is illiterate. </w:t>
      </w:r>
      <w:r w:rsidRPr="009F337B">
        <w:rPr>
          <w:i w:val="0"/>
          <w:szCs w:val="20"/>
          <w:lang w:val="en-US"/>
        </w:rPr>
        <w:t xml:space="preserve">He </w:t>
      </w:r>
      <w:r w:rsidR="00AE674B" w:rsidRPr="009F337B">
        <w:rPr>
          <w:i w:val="0"/>
          <w:szCs w:val="20"/>
          <w:lang w:val="en-US"/>
        </w:rPr>
        <w:t>was diagnosed with</w:t>
      </w:r>
      <w:r w:rsidR="003C2AC6" w:rsidRPr="009F337B">
        <w:rPr>
          <w:i w:val="0"/>
          <w:szCs w:val="20"/>
          <w:lang w:val="en-US"/>
        </w:rPr>
        <w:t xml:space="preserve"> </w:t>
      </w:r>
      <w:r w:rsidR="00CA11F6" w:rsidRPr="009F337B">
        <w:rPr>
          <w:i w:val="0"/>
          <w:szCs w:val="20"/>
          <w:lang w:val="en-US"/>
        </w:rPr>
        <w:t>HIV</w:t>
      </w:r>
      <w:r w:rsidR="003C2AC6" w:rsidRPr="009F337B">
        <w:rPr>
          <w:i w:val="0"/>
          <w:szCs w:val="20"/>
          <w:lang w:val="en-US"/>
        </w:rPr>
        <w:t xml:space="preserve"> </w:t>
      </w:r>
      <w:r w:rsidR="00F75748" w:rsidRPr="009F337B">
        <w:rPr>
          <w:i w:val="0"/>
          <w:szCs w:val="20"/>
          <w:lang w:val="en-US"/>
        </w:rPr>
        <w:t>i</w:t>
      </w:r>
      <w:r w:rsidR="003C2AC6" w:rsidRPr="009F337B">
        <w:rPr>
          <w:i w:val="0"/>
          <w:szCs w:val="20"/>
          <w:lang w:val="en-US"/>
        </w:rPr>
        <w:t xml:space="preserve">n 2001 </w:t>
      </w:r>
      <w:r w:rsidR="00F75748" w:rsidRPr="009F337B">
        <w:rPr>
          <w:i w:val="0"/>
          <w:szCs w:val="20"/>
          <w:lang w:val="en-US"/>
        </w:rPr>
        <w:t>in a private clinic in</w:t>
      </w:r>
      <w:r w:rsidR="003C2AC6" w:rsidRPr="009F337B">
        <w:rPr>
          <w:i w:val="0"/>
          <w:szCs w:val="20"/>
          <w:lang w:val="en-US"/>
        </w:rPr>
        <w:t xml:space="preserve"> </w:t>
      </w:r>
      <w:r w:rsidR="003B5D80" w:rsidRPr="009F337B">
        <w:rPr>
          <w:i w:val="0"/>
          <w:szCs w:val="20"/>
          <w:lang w:val="en-US"/>
        </w:rPr>
        <w:t>Guatemala City</w:t>
      </w:r>
      <w:r w:rsidR="003C2AC6" w:rsidRPr="009F337B">
        <w:rPr>
          <w:i w:val="0"/>
          <w:szCs w:val="20"/>
          <w:lang w:val="en-US"/>
        </w:rPr>
        <w:t xml:space="preserve">. </w:t>
      </w:r>
      <w:r w:rsidR="00F75748" w:rsidRPr="009F337B">
        <w:rPr>
          <w:i w:val="0"/>
          <w:szCs w:val="20"/>
          <w:lang w:val="en-US"/>
        </w:rPr>
        <w:t xml:space="preserve">For a year he attended the </w:t>
      </w:r>
      <w:r w:rsidR="003C2AC6" w:rsidRPr="009F337B">
        <w:rPr>
          <w:i w:val="0"/>
          <w:szCs w:val="20"/>
          <w:lang w:val="en-US"/>
        </w:rPr>
        <w:t>San Juan de Dios</w:t>
      </w:r>
      <w:r w:rsidR="00F75748" w:rsidRPr="009F337B">
        <w:rPr>
          <w:i w:val="0"/>
          <w:szCs w:val="20"/>
          <w:lang w:val="en-US"/>
        </w:rPr>
        <w:t xml:space="preserve"> General Hospital because he was working in the capital. He did not receive </w:t>
      </w:r>
      <w:r w:rsidR="00FE1EFF" w:rsidRPr="009F337B">
        <w:rPr>
          <w:i w:val="0"/>
          <w:szCs w:val="20"/>
          <w:lang w:val="en-US"/>
        </w:rPr>
        <w:t>antiretroviral treatment</w:t>
      </w:r>
      <w:r w:rsidR="003C2AC6" w:rsidRPr="009F337B">
        <w:rPr>
          <w:i w:val="0"/>
          <w:szCs w:val="20"/>
          <w:lang w:val="en-US"/>
        </w:rPr>
        <w:t xml:space="preserve">. </w:t>
      </w:r>
      <w:r w:rsidR="00F75748" w:rsidRPr="009F337B">
        <w:rPr>
          <w:i w:val="0"/>
          <w:szCs w:val="20"/>
          <w:lang w:val="en-US"/>
        </w:rPr>
        <w:t>In</w:t>
      </w:r>
      <w:r w:rsidR="003C2AC6" w:rsidRPr="009F337B">
        <w:rPr>
          <w:i w:val="0"/>
          <w:szCs w:val="20"/>
          <w:lang w:val="en-US"/>
        </w:rPr>
        <w:t xml:space="preserve"> 2004</w:t>
      </w:r>
      <w:r w:rsidR="00F75748" w:rsidRPr="009F337B">
        <w:rPr>
          <w:i w:val="0"/>
          <w:szCs w:val="20"/>
          <w:lang w:val="en-US"/>
        </w:rPr>
        <w:t xml:space="preserve">, he began </w:t>
      </w:r>
      <w:r w:rsidR="00FE1EFF" w:rsidRPr="009F337B">
        <w:rPr>
          <w:i w:val="0"/>
          <w:szCs w:val="20"/>
          <w:lang w:val="en-US"/>
        </w:rPr>
        <w:t>antiretroviral treatment</w:t>
      </w:r>
      <w:r w:rsidR="003C2AC6" w:rsidRPr="009F337B">
        <w:rPr>
          <w:i w:val="0"/>
          <w:szCs w:val="20"/>
          <w:lang w:val="en-US"/>
        </w:rPr>
        <w:t xml:space="preserve"> </w:t>
      </w:r>
      <w:r w:rsidR="00F75748" w:rsidRPr="009F337B">
        <w:rPr>
          <w:i w:val="0"/>
          <w:szCs w:val="20"/>
          <w:lang w:val="en-US"/>
        </w:rPr>
        <w:t>through</w:t>
      </w:r>
      <w:r w:rsidR="003C2AC6" w:rsidRPr="009F337B">
        <w:rPr>
          <w:i w:val="0"/>
          <w:szCs w:val="20"/>
          <w:lang w:val="en-US"/>
        </w:rPr>
        <w:t xml:space="preserve"> MSF</w:t>
      </w:r>
      <w:r w:rsidR="003C46A3" w:rsidRPr="009F337B">
        <w:rPr>
          <w:i w:val="0"/>
          <w:szCs w:val="20"/>
          <w:lang w:val="en-US"/>
        </w:rPr>
        <w:t xml:space="preserve"> and</w:t>
      </w:r>
      <w:r w:rsidR="002D0A17" w:rsidRPr="009F337B">
        <w:rPr>
          <w:i w:val="0"/>
          <w:szCs w:val="20"/>
          <w:lang w:val="en-US"/>
        </w:rPr>
        <w:t xml:space="preserve"> </w:t>
      </w:r>
      <w:r w:rsidR="00A32732" w:rsidRPr="009F337B">
        <w:rPr>
          <w:i w:val="0"/>
          <w:szCs w:val="20"/>
          <w:lang w:val="en-US"/>
        </w:rPr>
        <w:t xml:space="preserve">was </w:t>
      </w:r>
      <w:r w:rsidR="002D0A17" w:rsidRPr="009F337B">
        <w:rPr>
          <w:i w:val="0"/>
          <w:szCs w:val="20"/>
          <w:lang w:val="en-US"/>
        </w:rPr>
        <w:t xml:space="preserve">later </w:t>
      </w:r>
      <w:r w:rsidR="00A32732" w:rsidRPr="009F337B">
        <w:rPr>
          <w:i w:val="0"/>
          <w:szCs w:val="20"/>
          <w:lang w:val="en-US"/>
        </w:rPr>
        <w:t xml:space="preserve">transferred to Clinic No. </w:t>
      </w:r>
      <w:r w:rsidR="003C2AC6" w:rsidRPr="009F337B">
        <w:rPr>
          <w:i w:val="0"/>
          <w:szCs w:val="20"/>
          <w:lang w:val="en-US"/>
        </w:rPr>
        <w:t>12</w:t>
      </w:r>
      <w:r w:rsidR="00A758A5" w:rsidRPr="009F337B">
        <w:rPr>
          <w:i w:val="0"/>
          <w:szCs w:val="20"/>
          <w:lang w:val="en-US"/>
        </w:rPr>
        <w:t xml:space="preserve"> of the </w:t>
      </w:r>
      <w:proofErr w:type="spellStart"/>
      <w:r w:rsidR="00BD5E94" w:rsidRPr="009F337B">
        <w:rPr>
          <w:i w:val="0"/>
          <w:szCs w:val="20"/>
          <w:lang w:val="en-US"/>
        </w:rPr>
        <w:t>Coatepeque</w:t>
      </w:r>
      <w:proofErr w:type="spellEnd"/>
      <w:r w:rsidR="00BD5E94" w:rsidRPr="009F337B">
        <w:rPr>
          <w:i w:val="0"/>
          <w:szCs w:val="20"/>
          <w:lang w:val="en-US"/>
        </w:rPr>
        <w:t xml:space="preserve"> National Hospital</w:t>
      </w:r>
      <w:r w:rsidR="00F75748" w:rsidRPr="009F337B">
        <w:rPr>
          <w:i w:val="0"/>
          <w:szCs w:val="20"/>
          <w:lang w:val="en-US"/>
        </w:rPr>
        <w:t>. Initially, he did not receive</w:t>
      </w:r>
      <w:r w:rsidR="003C2AC6" w:rsidRPr="009F337B">
        <w:rPr>
          <w:rStyle w:val="Refdenotaalpie"/>
          <w:i w:val="0"/>
          <w:lang w:val="en-US"/>
        </w:rPr>
        <w:t xml:space="preserve">. </w:t>
      </w:r>
      <w:r w:rsidR="00FE1EFF" w:rsidRPr="009F337B">
        <w:rPr>
          <w:i w:val="0"/>
          <w:szCs w:val="20"/>
          <w:lang w:val="en-US"/>
        </w:rPr>
        <w:t>antiretroviral treatment</w:t>
      </w:r>
      <w:r w:rsidR="003C2AC6" w:rsidRPr="009F337B">
        <w:rPr>
          <w:i w:val="0"/>
          <w:szCs w:val="20"/>
          <w:lang w:val="en-US"/>
        </w:rPr>
        <w:t xml:space="preserve"> </w:t>
      </w:r>
      <w:r w:rsidR="00F75748" w:rsidRPr="009F337B">
        <w:rPr>
          <w:i w:val="0"/>
          <w:szCs w:val="20"/>
          <w:lang w:val="en-US"/>
        </w:rPr>
        <w:t xml:space="preserve">because it was unavailable. It takes him 30 minutes to travel from his present home to the hospital. He has undergone CD4 counts (5) and viral load testing (1) irregularly. He has suffered from </w:t>
      </w:r>
      <w:r w:rsidR="00B23B9B" w:rsidRPr="009F337B">
        <w:rPr>
          <w:i w:val="0"/>
          <w:szCs w:val="20"/>
          <w:lang w:val="en-US"/>
        </w:rPr>
        <w:t>oral candidiasis</w:t>
      </w:r>
      <w:r w:rsidR="003C2AC6" w:rsidRPr="009F337B">
        <w:rPr>
          <w:i w:val="0"/>
          <w:szCs w:val="20"/>
          <w:lang w:val="en-US"/>
        </w:rPr>
        <w:t xml:space="preserve">, </w:t>
      </w:r>
      <w:r w:rsidR="00F75748" w:rsidRPr="009F337B">
        <w:rPr>
          <w:i w:val="0"/>
          <w:szCs w:val="20"/>
          <w:lang w:val="en-US"/>
        </w:rPr>
        <w:t xml:space="preserve">upper </w:t>
      </w:r>
      <w:r w:rsidR="00DD7C07" w:rsidRPr="009F337B">
        <w:rPr>
          <w:i w:val="0"/>
          <w:szCs w:val="20"/>
          <w:lang w:val="en-US"/>
        </w:rPr>
        <w:t>respiratory tract</w:t>
      </w:r>
      <w:r w:rsidR="003C2AC6" w:rsidRPr="009F337B">
        <w:rPr>
          <w:i w:val="0"/>
          <w:szCs w:val="20"/>
          <w:lang w:val="en-US"/>
        </w:rPr>
        <w:t xml:space="preserve"> </w:t>
      </w:r>
      <w:r w:rsidR="00F75748" w:rsidRPr="009F337B">
        <w:rPr>
          <w:i w:val="0"/>
          <w:szCs w:val="20"/>
          <w:lang w:val="en-US"/>
        </w:rPr>
        <w:t xml:space="preserve">infections </w:t>
      </w:r>
      <w:r w:rsidR="003C46A3" w:rsidRPr="009F337B">
        <w:rPr>
          <w:i w:val="0"/>
          <w:szCs w:val="20"/>
          <w:lang w:val="en-US"/>
        </w:rPr>
        <w:t xml:space="preserve">and </w:t>
      </w:r>
      <w:r w:rsidR="00BB39B6" w:rsidRPr="009F337B">
        <w:rPr>
          <w:i w:val="0"/>
          <w:szCs w:val="20"/>
          <w:lang w:val="en-US"/>
        </w:rPr>
        <w:t>diarrhea</w:t>
      </w:r>
      <w:r w:rsidR="003C2AC6" w:rsidRPr="009F337B">
        <w:rPr>
          <w:i w:val="0"/>
          <w:szCs w:val="20"/>
          <w:lang w:val="en-US"/>
        </w:rPr>
        <w:t>. H</w:t>
      </w:r>
      <w:r w:rsidR="00F75748" w:rsidRPr="009F337B">
        <w:rPr>
          <w:i w:val="0"/>
          <w:szCs w:val="20"/>
          <w:lang w:val="en-US"/>
        </w:rPr>
        <w:t xml:space="preserve">e has received talks on how to use a condom and about treatment adherence at Clinic No. 12 </w:t>
      </w:r>
      <w:r w:rsidR="00A758A5" w:rsidRPr="009F337B">
        <w:rPr>
          <w:i w:val="0"/>
          <w:szCs w:val="20"/>
          <w:lang w:val="en-US"/>
        </w:rPr>
        <w:t xml:space="preserve">of the </w:t>
      </w:r>
      <w:proofErr w:type="spellStart"/>
      <w:r w:rsidR="00BD5E94" w:rsidRPr="009F337B">
        <w:rPr>
          <w:i w:val="0"/>
          <w:szCs w:val="20"/>
          <w:lang w:val="en-US"/>
        </w:rPr>
        <w:t>Coatepeque</w:t>
      </w:r>
      <w:proofErr w:type="spellEnd"/>
      <w:r w:rsidR="00BD5E94" w:rsidRPr="009F337B">
        <w:rPr>
          <w:i w:val="0"/>
          <w:szCs w:val="20"/>
          <w:lang w:val="en-US"/>
        </w:rPr>
        <w:t xml:space="preserve"> National Hospital</w:t>
      </w:r>
      <w:r w:rsidR="003C2AC6" w:rsidRPr="009F337B">
        <w:rPr>
          <w:i w:val="0"/>
          <w:szCs w:val="20"/>
          <w:lang w:val="en-US"/>
        </w:rPr>
        <w:t xml:space="preserve">. </w:t>
      </w:r>
      <w:r w:rsidR="00F75748" w:rsidRPr="009F337B">
        <w:rPr>
          <w:i w:val="0"/>
          <w:szCs w:val="20"/>
          <w:lang w:val="en-US"/>
        </w:rPr>
        <w:t>He worked as a gardener before and after his diagnosis. At times he has had to pay for some of the tests</w:t>
      </w:r>
      <w:r w:rsidR="002D0A17" w:rsidRPr="009F337B">
        <w:rPr>
          <w:i w:val="0"/>
          <w:szCs w:val="20"/>
          <w:lang w:val="en-US"/>
        </w:rPr>
        <w:t>. Also, the journey</w:t>
      </w:r>
      <w:r w:rsidR="00F75748" w:rsidRPr="009F337B">
        <w:rPr>
          <w:i w:val="0"/>
          <w:szCs w:val="20"/>
          <w:lang w:val="en-US"/>
        </w:rPr>
        <w:t xml:space="preserve"> </w:t>
      </w:r>
      <w:r w:rsidR="002D0A17" w:rsidRPr="009F337B">
        <w:rPr>
          <w:i w:val="0"/>
          <w:szCs w:val="20"/>
          <w:lang w:val="en-US"/>
        </w:rPr>
        <w:t>to</w:t>
      </w:r>
      <w:r w:rsidR="00F75748" w:rsidRPr="009F337B">
        <w:rPr>
          <w:i w:val="0"/>
          <w:szCs w:val="20"/>
          <w:lang w:val="en-US"/>
        </w:rPr>
        <w:t xml:space="preserve"> the hospital</w:t>
      </w:r>
      <w:r w:rsidR="002D0A17" w:rsidRPr="009F337B">
        <w:rPr>
          <w:i w:val="0"/>
          <w:szCs w:val="20"/>
          <w:lang w:val="en-US"/>
        </w:rPr>
        <w:t xml:space="preserve"> takes him five hours and </w:t>
      </w:r>
      <w:r w:rsidR="00F75748" w:rsidRPr="009F337B">
        <w:rPr>
          <w:i w:val="0"/>
          <w:szCs w:val="20"/>
          <w:lang w:val="en-US"/>
        </w:rPr>
        <w:t>costs 150 quetzals. However, he usually receives help to pay this from the people he works for.</w:t>
      </w:r>
      <w:r w:rsidR="003C2AC6" w:rsidRPr="009F337B">
        <w:rPr>
          <w:rStyle w:val="Refdenotaalpie"/>
          <w:i w:val="0"/>
          <w:lang w:val="en-US"/>
        </w:rPr>
        <w:footnoteReference w:id="352"/>
      </w:r>
    </w:p>
    <w:p w14:paraId="14B82C18" w14:textId="77777777" w:rsidR="003C2AC6" w:rsidRPr="009F337B" w:rsidRDefault="003C2AC6" w:rsidP="003C2AC6">
      <w:pPr>
        <w:pStyle w:val="Estilo1"/>
        <w:tabs>
          <w:tab w:val="left" w:pos="709"/>
          <w:tab w:val="left" w:pos="1134"/>
        </w:tabs>
        <w:spacing w:after="0"/>
        <w:ind w:left="0" w:right="-4" w:firstLine="0"/>
        <w:rPr>
          <w:i w:val="0"/>
          <w:szCs w:val="20"/>
          <w:lang w:val="en-US"/>
        </w:rPr>
      </w:pPr>
    </w:p>
    <w:p w14:paraId="788044AB" w14:textId="6F8376C1" w:rsidR="003C2AC6" w:rsidRPr="009F337B" w:rsidRDefault="00A758A5" w:rsidP="00593E37">
      <w:pPr>
        <w:pStyle w:val="Estilo1"/>
        <w:numPr>
          <w:ilvl w:val="0"/>
          <w:numId w:val="5"/>
        </w:numPr>
        <w:tabs>
          <w:tab w:val="left" w:pos="709"/>
          <w:tab w:val="left" w:pos="1134"/>
        </w:tabs>
        <w:spacing w:after="0"/>
        <w:ind w:left="0" w:right="-4" w:firstLine="0"/>
        <w:rPr>
          <w:i w:val="0"/>
          <w:szCs w:val="20"/>
          <w:lang w:val="en-US"/>
        </w:rPr>
      </w:pPr>
      <w:r w:rsidRPr="009F337B">
        <w:rPr>
          <w:i w:val="0"/>
          <w:szCs w:val="20"/>
          <w:lang w:val="en-US"/>
        </w:rPr>
        <w:t xml:space="preserve">His family unit consists of his </w:t>
      </w:r>
      <w:r w:rsidR="0010522A" w:rsidRPr="009F337B">
        <w:rPr>
          <w:i w:val="0"/>
          <w:szCs w:val="20"/>
          <w:lang w:val="en-US"/>
        </w:rPr>
        <w:t>son</w:t>
      </w:r>
      <w:r w:rsidR="003C2AC6" w:rsidRPr="009F337B">
        <w:rPr>
          <w:i w:val="0"/>
          <w:szCs w:val="20"/>
          <w:lang w:val="en-US"/>
        </w:rPr>
        <w:t xml:space="preserve">s </w:t>
      </w:r>
      <w:r w:rsidR="00F75748" w:rsidRPr="009F337B">
        <w:rPr>
          <w:i w:val="0"/>
          <w:szCs w:val="20"/>
          <w:lang w:val="en-US"/>
        </w:rPr>
        <w:t>and</w:t>
      </w:r>
      <w:r w:rsidR="003C2AC6" w:rsidRPr="009F337B">
        <w:rPr>
          <w:i w:val="0"/>
          <w:szCs w:val="20"/>
          <w:lang w:val="en-US"/>
        </w:rPr>
        <w:t xml:space="preserve"> </w:t>
      </w:r>
      <w:r w:rsidR="0010522A" w:rsidRPr="009F337B">
        <w:rPr>
          <w:i w:val="0"/>
          <w:szCs w:val="20"/>
          <w:lang w:val="en-US"/>
        </w:rPr>
        <w:t>daughter</w:t>
      </w:r>
      <w:r w:rsidR="003C2AC6" w:rsidRPr="009F337B">
        <w:rPr>
          <w:i w:val="0"/>
          <w:szCs w:val="20"/>
          <w:lang w:val="en-US"/>
        </w:rPr>
        <w:t xml:space="preserve">s, Ramón, Romeo, Mario Romeo, Miguel, Silvia </w:t>
      </w:r>
      <w:proofErr w:type="spellStart"/>
      <w:r w:rsidR="003C2AC6" w:rsidRPr="009F337B">
        <w:rPr>
          <w:i w:val="0"/>
          <w:szCs w:val="20"/>
          <w:lang w:val="en-US"/>
        </w:rPr>
        <w:t>Marleny</w:t>
      </w:r>
      <w:proofErr w:type="spellEnd"/>
      <w:r w:rsidR="003C2AC6" w:rsidRPr="009F337B">
        <w:rPr>
          <w:i w:val="0"/>
          <w:szCs w:val="20"/>
          <w:lang w:val="en-US"/>
        </w:rPr>
        <w:t xml:space="preserve">, </w:t>
      </w:r>
      <w:proofErr w:type="spellStart"/>
      <w:r w:rsidR="003C2AC6" w:rsidRPr="009F337B">
        <w:rPr>
          <w:i w:val="0"/>
          <w:szCs w:val="20"/>
          <w:lang w:val="en-US"/>
        </w:rPr>
        <w:t>Adán</w:t>
      </w:r>
      <w:proofErr w:type="spellEnd"/>
      <w:r w:rsidR="003C2AC6" w:rsidRPr="009F337B">
        <w:rPr>
          <w:i w:val="0"/>
          <w:szCs w:val="20"/>
          <w:lang w:val="en-US"/>
        </w:rPr>
        <w:t>, Ana Patricia</w:t>
      </w:r>
      <w:r w:rsidR="003C46A3" w:rsidRPr="009F337B">
        <w:rPr>
          <w:i w:val="0"/>
          <w:szCs w:val="20"/>
          <w:lang w:val="en-US"/>
        </w:rPr>
        <w:t xml:space="preserve"> and </w:t>
      </w:r>
      <w:r w:rsidR="003C2AC6" w:rsidRPr="009F337B">
        <w:rPr>
          <w:i w:val="0"/>
          <w:szCs w:val="20"/>
          <w:lang w:val="en-US"/>
        </w:rPr>
        <w:t xml:space="preserve">Juan Carlos, </w:t>
      </w:r>
      <w:r w:rsidR="00F75748" w:rsidRPr="009F337B">
        <w:rPr>
          <w:i w:val="0"/>
          <w:szCs w:val="20"/>
          <w:lang w:val="en-US"/>
        </w:rPr>
        <w:t>all</w:t>
      </w:r>
      <w:r w:rsidR="003C2AC6" w:rsidRPr="009F337B">
        <w:rPr>
          <w:i w:val="0"/>
          <w:szCs w:val="20"/>
          <w:lang w:val="en-US"/>
        </w:rPr>
        <w:t xml:space="preserve"> Lucas Miranda,</w:t>
      </w:r>
      <w:r w:rsidR="003C46A3" w:rsidRPr="009F337B">
        <w:rPr>
          <w:i w:val="0"/>
          <w:szCs w:val="20"/>
          <w:lang w:val="en-US"/>
        </w:rPr>
        <w:t xml:space="preserve"> and </w:t>
      </w:r>
      <w:r w:rsidR="00F75748" w:rsidRPr="009F337B">
        <w:rPr>
          <w:i w:val="0"/>
          <w:szCs w:val="20"/>
          <w:lang w:val="en-US"/>
        </w:rPr>
        <w:t>his</w:t>
      </w:r>
      <w:r w:rsidR="003C2AC6" w:rsidRPr="009F337B">
        <w:rPr>
          <w:i w:val="0"/>
          <w:szCs w:val="20"/>
          <w:lang w:val="en-US"/>
        </w:rPr>
        <w:t xml:space="preserve"> </w:t>
      </w:r>
      <w:r w:rsidR="0010522A" w:rsidRPr="009F337B">
        <w:rPr>
          <w:i w:val="0"/>
          <w:szCs w:val="20"/>
          <w:lang w:val="en-US"/>
        </w:rPr>
        <w:t>granddaughter</w:t>
      </w:r>
      <w:r w:rsidR="003C2AC6" w:rsidRPr="009F337B">
        <w:rPr>
          <w:i w:val="0"/>
          <w:szCs w:val="20"/>
          <w:lang w:val="en-US"/>
        </w:rPr>
        <w:t xml:space="preserve"> María Dominga</w:t>
      </w:r>
      <w:r w:rsidR="003C46A3" w:rsidRPr="009F337B">
        <w:rPr>
          <w:i w:val="0"/>
          <w:szCs w:val="20"/>
          <w:lang w:val="en-US"/>
        </w:rPr>
        <w:t xml:space="preserve"> and</w:t>
      </w:r>
      <w:r w:rsidR="003C2AC6" w:rsidRPr="009F337B">
        <w:rPr>
          <w:i w:val="0"/>
          <w:szCs w:val="20"/>
          <w:lang w:val="en-US"/>
        </w:rPr>
        <w:t xml:space="preserve"> </w:t>
      </w:r>
      <w:r w:rsidR="0010522A" w:rsidRPr="009F337B">
        <w:rPr>
          <w:i w:val="0"/>
          <w:szCs w:val="20"/>
          <w:lang w:val="en-US"/>
        </w:rPr>
        <w:t>grandson</w:t>
      </w:r>
      <w:r w:rsidR="003C2AC6" w:rsidRPr="009F337B">
        <w:rPr>
          <w:i w:val="0"/>
          <w:szCs w:val="20"/>
          <w:lang w:val="en-US"/>
        </w:rPr>
        <w:t xml:space="preserve"> Uri Miguel, </w:t>
      </w:r>
      <w:r w:rsidR="00F75748" w:rsidRPr="009F337B">
        <w:rPr>
          <w:i w:val="0"/>
          <w:szCs w:val="20"/>
          <w:lang w:val="en-US"/>
        </w:rPr>
        <w:t>both</w:t>
      </w:r>
      <w:r w:rsidR="003C2AC6" w:rsidRPr="009F337B">
        <w:rPr>
          <w:i w:val="0"/>
          <w:szCs w:val="20"/>
          <w:lang w:val="en-US"/>
        </w:rPr>
        <w:t xml:space="preserve"> Lucas Miranda. </w:t>
      </w:r>
      <w:r w:rsidR="00F75748" w:rsidRPr="009F337B">
        <w:rPr>
          <w:i w:val="0"/>
          <w:szCs w:val="20"/>
          <w:lang w:val="en-US"/>
        </w:rPr>
        <w:t>He lives with his</w:t>
      </w:r>
      <w:r w:rsidR="003C2AC6" w:rsidRPr="009F337B">
        <w:rPr>
          <w:i w:val="0"/>
          <w:szCs w:val="20"/>
          <w:lang w:val="en-US"/>
        </w:rPr>
        <w:t xml:space="preserve"> </w:t>
      </w:r>
      <w:r w:rsidR="0010522A" w:rsidRPr="009F337B">
        <w:rPr>
          <w:i w:val="0"/>
          <w:szCs w:val="20"/>
          <w:lang w:val="en-US"/>
        </w:rPr>
        <w:t>daughter</w:t>
      </w:r>
      <w:r w:rsidR="003C2AC6" w:rsidRPr="009F337B">
        <w:rPr>
          <w:i w:val="0"/>
          <w:szCs w:val="20"/>
          <w:lang w:val="en-US"/>
        </w:rPr>
        <w:t xml:space="preserve"> Ana Patricia Lucas Miranda</w:t>
      </w:r>
      <w:r w:rsidR="003C46A3" w:rsidRPr="009F337B">
        <w:rPr>
          <w:i w:val="0"/>
          <w:szCs w:val="20"/>
          <w:lang w:val="en-US"/>
        </w:rPr>
        <w:t xml:space="preserve"> and </w:t>
      </w:r>
      <w:r w:rsidR="00F75748" w:rsidRPr="009F337B">
        <w:rPr>
          <w:i w:val="0"/>
          <w:szCs w:val="20"/>
          <w:lang w:val="en-US"/>
        </w:rPr>
        <w:t>his two</w:t>
      </w:r>
      <w:r w:rsidR="003C2AC6" w:rsidRPr="009F337B">
        <w:rPr>
          <w:i w:val="0"/>
          <w:szCs w:val="20"/>
          <w:lang w:val="en-US"/>
        </w:rPr>
        <w:t xml:space="preserve"> </w:t>
      </w:r>
      <w:r w:rsidR="0010522A" w:rsidRPr="009F337B">
        <w:rPr>
          <w:i w:val="0"/>
          <w:szCs w:val="20"/>
          <w:lang w:val="en-US"/>
        </w:rPr>
        <w:t>grandson</w:t>
      </w:r>
      <w:r w:rsidR="003C2AC6" w:rsidRPr="009F337B">
        <w:rPr>
          <w:i w:val="0"/>
          <w:szCs w:val="20"/>
          <w:lang w:val="en-US"/>
        </w:rPr>
        <w:t xml:space="preserve">s. </w:t>
      </w:r>
      <w:r w:rsidR="00F75748" w:rsidRPr="009F337B">
        <w:rPr>
          <w:i w:val="0"/>
          <w:szCs w:val="20"/>
          <w:lang w:val="en-US"/>
        </w:rPr>
        <w:t>He has a third</w:t>
      </w:r>
      <w:r w:rsidR="003C2AC6" w:rsidRPr="009F337B">
        <w:rPr>
          <w:i w:val="0"/>
          <w:szCs w:val="20"/>
          <w:lang w:val="en-US"/>
        </w:rPr>
        <w:t xml:space="preserve"> </w:t>
      </w:r>
      <w:r w:rsidR="0010522A" w:rsidRPr="009F337B">
        <w:rPr>
          <w:i w:val="0"/>
          <w:szCs w:val="20"/>
          <w:lang w:val="en-US"/>
        </w:rPr>
        <w:t>grandson</w:t>
      </w:r>
      <w:r w:rsidR="003C2AC6" w:rsidRPr="009F337B">
        <w:rPr>
          <w:i w:val="0"/>
          <w:szCs w:val="20"/>
          <w:lang w:val="en-US"/>
        </w:rPr>
        <w:t xml:space="preserve">, </w:t>
      </w:r>
      <w:r w:rsidR="00F75748" w:rsidRPr="009F337B">
        <w:rPr>
          <w:i w:val="0"/>
          <w:szCs w:val="20"/>
          <w:lang w:val="en-US"/>
        </w:rPr>
        <w:t xml:space="preserve">who he recognizes as a son. His </w:t>
      </w:r>
      <w:r w:rsidR="0010522A" w:rsidRPr="009F337B">
        <w:rPr>
          <w:i w:val="0"/>
          <w:szCs w:val="20"/>
          <w:lang w:val="en-US"/>
        </w:rPr>
        <w:t>wife</w:t>
      </w:r>
      <w:r w:rsidR="003C2AC6" w:rsidRPr="009F337B">
        <w:rPr>
          <w:i w:val="0"/>
          <w:szCs w:val="20"/>
          <w:lang w:val="en-US"/>
        </w:rPr>
        <w:t xml:space="preserve">, María Dominga Miranda, </w:t>
      </w:r>
      <w:r w:rsidR="00CB1D32" w:rsidRPr="009F337B">
        <w:rPr>
          <w:i w:val="0"/>
          <w:szCs w:val="20"/>
          <w:lang w:val="en-US"/>
        </w:rPr>
        <w:t>died</w:t>
      </w:r>
      <w:r w:rsidR="003C2AC6" w:rsidRPr="009F337B">
        <w:rPr>
          <w:i w:val="0"/>
          <w:szCs w:val="20"/>
          <w:lang w:val="en-US"/>
        </w:rPr>
        <w:t xml:space="preserve"> </w:t>
      </w:r>
      <w:r w:rsidR="00F75748" w:rsidRPr="009F337B">
        <w:rPr>
          <w:i w:val="0"/>
          <w:szCs w:val="20"/>
          <w:lang w:val="en-US"/>
        </w:rPr>
        <w:t>on November 29,</w:t>
      </w:r>
      <w:r w:rsidR="003C2AC6" w:rsidRPr="009F337B">
        <w:rPr>
          <w:i w:val="0"/>
          <w:szCs w:val="20"/>
          <w:lang w:val="en-US"/>
        </w:rPr>
        <w:t xml:space="preserve"> 2001</w:t>
      </w:r>
      <w:r w:rsidR="00F75748" w:rsidRPr="009F337B">
        <w:rPr>
          <w:i w:val="0"/>
          <w:szCs w:val="20"/>
          <w:lang w:val="en-US"/>
        </w:rPr>
        <w:t xml:space="preserve">, due to causes related to her condition as a person living with </w:t>
      </w:r>
      <w:r w:rsidR="00CA11F6" w:rsidRPr="009F337B">
        <w:rPr>
          <w:i w:val="0"/>
          <w:szCs w:val="20"/>
          <w:lang w:val="en-US"/>
        </w:rPr>
        <w:t>HIV</w:t>
      </w:r>
      <w:r w:rsidR="00F75748" w:rsidRPr="009F337B">
        <w:rPr>
          <w:i w:val="0"/>
          <w:szCs w:val="20"/>
          <w:lang w:val="en-US"/>
        </w:rPr>
        <w:t>.</w:t>
      </w:r>
      <w:r w:rsidR="003C2AC6" w:rsidRPr="009F337B">
        <w:rPr>
          <w:rStyle w:val="Refdenotaalpie"/>
          <w:i w:val="0"/>
          <w:lang w:val="en-US"/>
        </w:rPr>
        <w:footnoteReference w:id="353"/>
      </w:r>
    </w:p>
    <w:p w14:paraId="6BD75DE9" w14:textId="77777777" w:rsidR="003C2AC6" w:rsidRPr="009F337B" w:rsidRDefault="003C2AC6" w:rsidP="003C2AC6">
      <w:pPr>
        <w:pStyle w:val="PrrafodeSentencia"/>
        <w:rPr>
          <w:lang w:val="en-US"/>
        </w:rPr>
      </w:pPr>
    </w:p>
    <w:p w14:paraId="403AB559" w14:textId="77777777" w:rsidR="003C2AC6" w:rsidRPr="009F337B" w:rsidRDefault="003C2AC6" w:rsidP="003C2AC6">
      <w:pPr>
        <w:pStyle w:val="PrrafodeSentencia"/>
        <w:rPr>
          <w:lang w:val="en-US"/>
        </w:rPr>
      </w:pPr>
      <w:r w:rsidRPr="009F337B">
        <w:rPr>
          <w:lang w:val="en-US"/>
        </w:rPr>
        <w:tab/>
        <w:t>B.32. Santos Vásquez Oliveros</w:t>
      </w:r>
    </w:p>
    <w:p w14:paraId="274BDAFE" w14:textId="77777777" w:rsidR="003C2AC6" w:rsidRPr="009F337B" w:rsidRDefault="003C2AC6" w:rsidP="003C2AC6">
      <w:pPr>
        <w:pStyle w:val="PrrafodeSentencia"/>
        <w:rPr>
          <w:lang w:val="en-US"/>
        </w:rPr>
      </w:pPr>
    </w:p>
    <w:p w14:paraId="241D1CF0" w14:textId="726B5064" w:rsidR="003C2AC6" w:rsidRPr="009F337B" w:rsidRDefault="007F1AEB" w:rsidP="00593E37">
      <w:pPr>
        <w:pStyle w:val="Estilo1"/>
        <w:numPr>
          <w:ilvl w:val="0"/>
          <w:numId w:val="5"/>
        </w:numPr>
        <w:tabs>
          <w:tab w:val="left" w:pos="709"/>
          <w:tab w:val="left" w:pos="1134"/>
        </w:tabs>
        <w:spacing w:after="0"/>
        <w:ind w:left="0" w:right="-4" w:firstLine="0"/>
        <w:rPr>
          <w:i w:val="0"/>
          <w:szCs w:val="20"/>
          <w:lang w:val="en-US"/>
        </w:rPr>
      </w:pPr>
      <w:r w:rsidRPr="009F337B">
        <w:rPr>
          <w:i w:val="0"/>
          <w:szCs w:val="20"/>
          <w:lang w:val="en-US"/>
        </w:rPr>
        <w:t>Mr.</w:t>
      </w:r>
      <w:r w:rsidR="003C2AC6" w:rsidRPr="009F337B">
        <w:rPr>
          <w:i w:val="0"/>
          <w:szCs w:val="20"/>
          <w:lang w:val="en-US"/>
        </w:rPr>
        <w:t xml:space="preserve"> Vásquez Oliveros </w:t>
      </w:r>
      <w:r w:rsidR="00D85CA7" w:rsidRPr="009F337B">
        <w:rPr>
          <w:i w:val="0"/>
          <w:szCs w:val="20"/>
          <w:lang w:val="en-US"/>
        </w:rPr>
        <w:t>lives in</w:t>
      </w:r>
      <w:r w:rsidR="003C2AC6" w:rsidRPr="009F337B">
        <w:rPr>
          <w:i w:val="0"/>
          <w:szCs w:val="20"/>
          <w:lang w:val="en-US"/>
        </w:rPr>
        <w:t xml:space="preserve"> </w:t>
      </w:r>
      <w:r w:rsidR="007D6ED1" w:rsidRPr="009F337B">
        <w:rPr>
          <w:i w:val="0"/>
          <w:szCs w:val="20"/>
          <w:lang w:val="en-US"/>
        </w:rPr>
        <w:t xml:space="preserve">the </w:t>
      </w:r>
      <w:proofErr w:type="spellStart"/>
      <w:r w:rsidR="003C2AC6" w:rsidRPr="009F337B">
        <w:rPr>
          <w:i w:val="0"/>
          <w:szCs w:val="20"/>
          <w:lang w:val="en-US"/>
        </w:rPr>
        <w:t>Pital</w:t>
      </w:r>
      <w:proofErr w:type="spellEnd"/>
      <w:r w:rsidR="007D6ED1" w:rsidRPr="009F337B">
        <w:rPr>
          <w:i w:val="0"/>
          <w:szCs w:val="20"/>
          <w:lang w:val="en-US"/>
        </w:rPr>
        <w:t xml:space="preserve"> Parcel</w:t>
      </w:r>
      <w:r w:rsidR="003C2AC6" w:rsidRPr="009F337B">
        <w:rPr>
          <w:i w:val="0"/>
          <w:szCs w:val="20"/>
          <w:lang w:val="en-US"/>
        </w:rPr>
        <w:t xml:space="preserve">, </w:t>
      </w:r>
      <w:r w:rsidR="003349E5" w:rsidRPr="009F337B">
        <w:rPr>
          <w:i w:val="0"/>
          <w:szCs w:val="20"/>
          <w:lang w:val="en-US"/>
        </w:rPr>
        <w:t>municipality of</w:t>
      </w:r>
      <w:r w:rsidR="003C2AC6" w:rsidRPr="009F337B">
        <w:rPr>
          <w:i w:val="0"/>
          <w:szCs w:val="20"/>
          <w:lang w:val="en-US"/>
        </w:rPr>
        <w:t xml:space="preserve"> </w:t>
      </w:r>
      <w:proofErr w:type="spellStart"/>
      <w:r w:rsidR="003C2AC6" w:rsidRPr="009F337B">
        <w:rPr>
          <w:i w:val="0"/>
          <w:szCs w:val="20"/>
          <w:lang w:val="en-US"/>
        </w:rPr>
        <w:t>Coatepeque</w:t>
      </w:r>
      <w:proofErr w:type="spellEnd"/>
      <w:r w:rsidR="003C2AC6" w:rsidRPr="009F337B">
        <w:rPr>
          <w:i w:val="0"/>
          <w:szCs w:val="20"/>
          <w:lang w:val="en-US"/>
        </w:rPr>
        <w:t xml:space="preserve">, </w:t>
      </w:r>
      <w:r w:rsidR="003E1304" w:rsidRPr="009F337B">
        <w:rPr>
          <w:i w:val="0"/>
          <w:szCs w:val="20"/>
          <w:lang w:val="en-US"/>
        </w:rPr>
        <w:t>department of</w:t>
      </w:r>
      <w:r w:rsidR="003C2AC6" w:rsidRPr="009F337B">
        <w:rPr>
          <w:i w:val="0"/>
          <w:szCs w:val="20"/>
          <w:lang w:val="en-US"/>
        </w:rPr>
        <w:t xml:space="preserve"> Quetzaltenango, Guatemala. </w:t>
      </w:r>
      <w:r w:rsidRPr="009F337B">
        <w:rPr>
          <w:i w:val="0"/>
          <w:szCs w:val="20"/>
          <w:lang w:val="en-US"/>
        </w:rPr>
        <w:t xml:space="preserve">He </w:t>
      </w:r>
      <w:r w:rsidR="00AE674B" w:rsidRPr="009F337B">
        <w:rPr>
          <w:i w:val="0"/>
          <w:szCs w:val="20"/>
          <w:lang w:val="en-US"/>
        </w:rPr>
        <w:t>was diagnosed with</w:t>
      </w:r>
      <w:r w:rsidR="003C2AC6" w:rsidRPr="009F337B">
        <w:rPr>
          <w:i w:val="0"/>
          <w:szCs w:val="20"/>
          <w:lang w:val="en-US"/>
        </w:rPr>
        <w:t xml:space="preserve"> </w:t>
      </w:r>
      <w:r w:rsidR="00CA11F6" w:rsidRPr="009F337B">
        <w:rPr>
          <w:i w:val="0"/>
          <w:szCs w:val="20"/>
          <w:lang w:val="en-US"/>
        </w:rPr>
        <w:t>HIV</w:t>
      </w:r>
      <w:r w:rsidR="003C2AC6" w:rsidRPr="009F337B">
        <w:rPr>
          <w:i w:val="0"/>
          <w:szCs w:val="20"/>
          <w:lang w:val="en-US"/>
        </w:rPr>
        <w:t xml:space="preserve"> </w:t>
      </w:r>
      <w:r w:rsidR="001C4CEA" w:rsidRPr="009F337B">
        <w:rPr>
          <w:i w:val="0"/>
          <w:szCs w:val="20"/>
          <w:lang w:val="en-US"/>
        </w:rPr>
        <w:t>in 2002</w:t>
      </w:r>
      <w:r w:rsidR="003C2AC6" w:rsidRPr="009F337B">
        <w:rPr>
          <w:i w:val="0"/>
          <w:szCs w:val="20"/>
          <w:lang w:val="en-US"/>
        </w:rPr>
        <w:t xml:space="preserve"> </w:t>
      </w:r>
      <w:r w:rsidR="007D6ED1" w:rsidRPr="009F337B">
        <w:rPr>
          <w:i w:val="0"/>
          <w:szCs w:val="20"/>
          <w:lang w:val="en-US"/>
        </w:rPr>
        <w:t xml:space="preserve">in a private clinic. He began </w:t>
      </w:r>
      <w:r w:rsidR="00FE1EFF" w:rsidRPr="009F337B">
        <w:rPr>
          <w:i w:val="0"/>
          <w:szCs w:val="20"/>
          <w:lang w:val="en-US"/>
        </w:rPr>
        <w:t>antiretroviral treatment</w:t>
      </w:r>
      <w:r w:rsidR="003C2AC6" w:rsidRPr="009F337B">
        <w:rPr>
          <w:i w:val="0"/>
          <w:szCs w:val="20"/>
          <w:lang w:val="en-US"/>
        </w:rPr>
        <w:t xml:space="preserve"> </w:t>
      </w:r>
      <w:r w:rsidR="007D6ED1" w:rsidRPr="009F337B">
        <w:rPr>
          <w:i w:val="0"/>
          <w:szCs w:val="20"/>
          <w:lang w:val="en-US"/>
        </w:rPr>
        <w:t>in</w:t>
      </w:r>
      <w:r w:rsidR="003C2AC6" w:rsidRPr="009F337B">
        <w:rPr>
          <w:i w:val="0"/>
          <w:szCs w:val="20"/>
          <w:lang w:val="en-US"/>
        </w:rPr>
        <w:t xml:space="preserve"> 2003</w:t>
      </w:r>
      <w:r w:rsidR="003C2AC6" w:rsidRPr="009F337B" w:rsidDel="004530C3">
        <w:rPr>
          <w:rStyle w:val="Refdenotaalpie"/>
          <w:i w:val="0"/>
          <w:lang w:val="en-US"/>
        </w:rPr>
        <w:t xml:space="preserve"> </w:t>
      </w:r>
      <w:r w:rsidR="007D6ED1" w:rsidRPr="009F337B">
        <w:rPr>
          <w:i w:val="0"/>
          <w:szCs w:val="20"/>
          <w:lang w:val="en-US"/>
        </w:rPr>
        <w:t>with</w:t>
      </w:r>
      <w:r w:rsidR="003C2AC6" w:rsidRPr="009F337B">
        <w:rPr>
          <w:i w:val="0"/>
          <w:szCs w:val="20"/>
          <w:lang w:val="en-US"/>
        </w:rPr>
        <w:t xml:space="preserve"> MSF</w:t>
      </w:r>
      <w:r w:rsidR="003C46A3" w:rsidRPr="009F337B">
        <w:rPr>
          <w:i w:val="0"/>
          <w:szCs w:val="20"/>
          <w:lang w:val="en-US"/>
        </w:rPr>
        <w:t xml:space="preserve"> and</w:t>
      </w:r>
      <w:r w:rsidR="007D6ED1" w:rsidRPr="009F337B">
        <w:rPr>
          <w:i w:val="0"/>
          <w:szCs w:val="20"/>
          <w:lang w:val="en-US"/>
        </w:rPr>
        <w:t xml:space="preserve">, currently, this is provided by Clinic No. 12 </w:t>
      </w:r>
      <w:r w:rsidR="00A758A5" w:rsidRPr="009F337B">
        <w:rPr>
          <w:i w:val="0"/>
          <w:szCs w:val="20"/>
          <w:lang w:val="en-US"/>
        </w:rPr>
        <w:t xml:space="preserve">of the </w:t>
      </w:r>
      <w:proofErr w:type="spellStart"/>
      <w:r w:rsidR="00BD5E94" w:rsidRPr="009F337B">
        <w:rPr>
          <w:i w:val="0"/>
          <w:szCs w:val="20"/>
          <w:lang w:val="en-US"/>
        </w:rPr>
        <w:t>Coatepeque</w:t>
      </w:r>
      <w:proofErr w:type="spellEnd"/>
      <w:r w:rsidR="00BD5E94" w:rsidRPr="009F337B">
        <w:rPr>
          <w:i w:val="0"/>
          <w:szCs w:val="20"/>
          <w:lang w:val="en-US"/>
        </w:rPr>
        <w:t xml:space="preserve"> National Hospital</w:t>
      </w:r>
      <w:r w:rsidR="003C2AC6" w:rsidRPr="009F337B">
        <w:rPr>
          <w:i w:val="0"/>
          <w:szCs w:val="20"/>
          <w:lang w:val="en-US"/>
        </w:rPr>
        <w:t xml:space="preserve">. </w:t>
      </w:r>
      <w:r w:rsidR="007D6ED1" w:rsidRPr="009F337B">
        <w:rPr>
          <w:i w:val="0"/>
          <w:szCs w:val="20"/>
          <w:lang w:val="en-US"/>
        </w:rPr>
        <w:t xml:space="preserve">He has undergone CD4 counts and viral load testing irregularly. He has suffered from the </w:t>
      </w:r>
      <w:r w:rsidR="0081563D" w:rsidRPr="009F337B">
        <w:rPr>
          <w:i w:val="0"/>
          <w:szCs w:val="20"/>
          <w:lang w:val="en-US"/>
        </w:rPr>
        <w:t>opportunistic diseases</w:t>
      </w:r>
      <w:r w:rsidR="007D6ED1" w:rsidRPr="009F337B">
        <w:rPr>
          <w:i w:val="0"/>
          <w:szCs w:val="20"/>
          <w:lang w:val="en-US"/>
        </w:rPr>
        <w:t xml:space="preserve"> of</w:t>
      </w:r>
      <w:r w:rsidR="003C2AC6" w:rsidRPr="009F337B">
        <w:rPr>
          <w:i w:val="0"/>
          <w:szCs w:val="20"/>
          <w:lang w:val="en-US"/>
        </w:rPr>
        <w:t xml:space="preserve"> </w:t>
      </w:r>
      <w:r w:rsidR="00B23B9B" w:rsidRPr="009F337B">
        <w:rPr>
          <w:i w:val="0"/>
          <w:szCs w:val="20"/>
          <w:lang w:val="en-US"/>
        </w:rPr>
        <w:t>oral candidiasis</w:t>
      </w:r>
      <w:r w:rsidR="003C2AC6" w:rsidRPr="009F337B">
        <w:rPr>
          <w:i w:val="0"/>
          <w:szCs w:val="20"/>
          <w:lang w:val="en-US"/>
        </w:rPr>
        <w:t xml:space="preserve">, </w:t>
      </w:r>
      <w:r w:rsidR="007D6ED1" w:rsidRPr="009F337B">
        <w:rPr>
          <w:i w:val="0"/>
          <w:szCs w:val="20"/>
          <w:lang w:val="en-US"/>
        </w:rPr>
        <w:t xml:space="preserve">level I </w:t>
      </w:r>
      <w:r w:rsidR="00DD7C07" w:rsidRPr="009F337B">
        <w:rPr>
          <w:i w:val="0"/>
          <w:szCs w:val="20"/>
          <w:lang w:val="en-US"/>
        </w:rPr>
        <w:t>malnutrition</w:t>
      </w:r>
      <w:r w:rsidR="003C2AC6" w:rsidRPr="009F337B">
        <w:rPr>
          <w:i w:val="0"/>
          <w:szCs w:val="20"/>
          <w:lang w:val="en-US"/>
        </w:rPr>
        <w:t xml:space="preserve">, </w:t>
      </w:r>
      <w:r w:rsidR="003C2AC6" w:rsidRPr="009F337B">
        <w:rPr>
          <w:i w:val="0"/>
          <w:szCs w:val="20"/>
          <w:shd w:val="clear" w:color="auto" w:fill="FFFFFF" w:themeFill="background1"/>
          <w:lang w:val="en-US"/>
        </w:rPr>
        <w:t>l</w:t>
      </w:r>
      <w:r w:rsidR="007D6ED1" w:rsidRPr="009F337B">
        <w:rPr>
          <w:i w:val="0"/>
          <w:szCs w:val="20"/>
          <w:shd w:val="clear" w:color="auto" w:fill="FFFFFF" w:themeFill="background1"/>
          <w:lang w:val="en-US"/>
        </w:rPr>
        <w:t>u</w:t>
      </w:r>
      <w:r w:rsidR="003C2AC6" w:rsidRPr="009F337B">
        <w:rPr>
          <w:i w:val="0"/>
          <w:szCs w:val="20"/>
          <w:shd w:val="clear" w:color="auto" w:fill="FFFFFF" w:themeFill="background1"/>
          <w:lang w:val="en-US"/>
        </w:rPr>
        <w:t>mbag</w:t>
      </w:r>
      <w:r w:rsidR="007D6ED1" w:rsidRPr="009F337B">
        <w:rPr>
          <w:i w:val="0"/>
          <w:szCs w:val="20"/>
          <w:shd w:val="clear" w:color="auto" w:fill="FFFFFF" w:themeFill="background1"/>
          <w:lang w:val="en-US"/>
        </w:rPr>
        <w:t>o</w:t>
      </w:r>
      <w:r w:rsidR="003C46A3" w:rsidRPr="009F337B">
        <w:rPr>
          <w:i w:val="0"/>
          <w:szCs w:val="20"/>
          <w:lang w:val="en-US"/>
        </w:rPr>
        <w:t xml:space="preserve"> and </w:t>
      </w:r>
      <w:r w:rsidR="007D6ED1" w:rsidRPr="009F337B">
        <w:rPr>
          <w:i w:val="0"/>
          <w:szCs w:val="20"/>
          <w:lang w:val="en-US"/>
        </w:rPr>
        <w:t>tonsillitis</w:t>
      </w:r>
      <w:r w:rsidR="003C2AC6" w:rsidRPr="009F337B">
        <w:rPr>
          <w:i w:val="0"/>
          <w:szCs w:val="20"/>
          <w:lang w:val="en-US"/>
        </w:rPr>
        <w:t>. H</w:t>
      </w:r>
      <w:r w:rsidR="007D6ED1" w:rsidRPr="009F337B">
        <w:rPr>
          <w:i w:val="0"/>
          <w:szCs w:val="20"/>
          <w:lang w:val="en-US"/>
        </w:rPr>
        <w:t xml:space="preserve">e has received talks on treatment adherence and on the use of condoms to avoid reinfection from </w:t>
      </w:r>
      <w:r w:rsidR="007D6ED1" w:rsidRPr="009F337B">
        <w:rPr>
          <w:szCs w:val="20"/>
          <w:lang w:val="en-US"/>
        </w:rPr>
        <w:t>Proyecto Vida</w:t>
      </w:r>
      <w:r w:rsidR="007D6ED1" w:rsidRPr="009F337B">
        <w:rPr>
          <w:i w:val="0"/>
          <w:szCs w:val="20"/>
          <w:lang w:val="en-US"/>
        </w:rPr>
        <w:t xml:space="preserve"> and Clinic No. 12 psychologists</w:t>
      </w:r>
      <w:r w:rsidR="003C2AC6" w:rsidRPr="009F337B">
        <w:rPr>
          <w:i w:val="0"/>
          <w:szCs w:val="20"/>
          <w:lang w:val="en-US"/>
        </w:rPr>
        <w:t xml:space="preserve">. </w:t>
      </w:r>
      <w:r w:rsidR="007D6ED1" w:rsidRPr="009F337B">
        <w:rPr>
          <w:i w:val="0"/>
          <w:szCs w:val="20"/>
          <w:lang w:val="en-US"/>
        </w:rPr>
        <w:t xml:space="preserve">Before his diagnosis, he was unemployed; subsequently he worked as a day laborer. </w:t>
      </w:r>
      <w:r w:rsidR="002D0A17" w:rsidRPr="009F337B">
        <w:rPr>
          <w:i w:val="0"/>
          <w:szCs w:val="20"/>
          <w:lang w:val="en-US"/>
        </w:rPr>
        <w:t>It takes him</w:t>
      </w:r>
      <w:r w:rsidR="007D6ED1" w:rsidRPr="009F337B">
        <w:rPr>
          <w:i w:val="0"/>
          <w:szCs w:val="20"/>
          <w:lang w:val="en-US"/>
        </w:rPr>
        <w:t xml:space="preserve"> one hour to travel to the Clinic and the journey costs 25 quetzals.</w:t>
      </w:r>
      <w:r w:rsidR="003C2AC6" w:rsidRPr="009F337B">
        <w:rPr>
          <w:rStyle w:val="Refdenotaalpie"/>
          <w:i w:val="0"/>
          <w:lang w:val="en-US"/>
        </w:rPr>
        <w:footnoteReference w:id="354"/>
      </w:r>
    </w:p>
    <w:p w14:paraId="0BEBF4CA" w14:textId="77777777" w:rsidR="003C2AC6" w:rsidRPr="009F337B" w:rsidRDefault="003C2AC6" w:rsidP="003C2AC6">
      <w:pPr>
        <w:pStyle w:val="Estilo1"/>
        <w:tabs>
          <w:tab w:val="left" w:pos="709"/>
          <w:tab w:val="left" w:pos="1134"/>
        </w:tabs>
        <w:spacing w:after="0"/>
        <w:ind w:left="0" w:right="-4" w:firstLine="0"/>
        <w:rPr>
          <w:i w:val="0"/>
          <w:szCs w:val="20"/>
          <w:lang w:val="en-US"/>
        </w:rPr>
      </w:pPr>
    </w:p>
    <w:p w14:paraId="761A9570" w14:textId="7BA5975C" w:rsidR="003C2AC6" w:rsidRPr="009F337B" w:rsidRDefault="00A758A5" w:rsidP="00593E37">
      <w:pPr>
        <w:pStyle w:val="Estilo1"/>
        <w:numPr>
          <w:ilvl w:val="0"/>
          <w:numId w:val="5"/>
        </w:numPr>
        <w:tabs>
          <w:tab w:val="left" w:pos="709"/>
          <w:tab w:val="left" w:pos="1134"/>
        </w:tabs>
        <w:spacing w:after="0"/>
        <w:ind w:left="0" w:right="-4" w:firstLine="0"/>
        <w:rPr>
          <w:i w:val="0"/>
          <w:szCs w:val="20"/>
          <w:lang w:val="en-US"/>
        </w:rPr>
      </w:pPr>
      <w:r w:rsidRPr="009F337B">
        <w:rPr>
          <w:i w:val="0"/>
          <w:szCs w:val="20"/>
          <w:lang w:val="en-US"/>
        </w:rPr>
        <w:t xml:space="preserve">His family unit consists of his </w:t>
      </w:r>
      <w:r w:rsidR="0010522A" w:rsidRPr="009F337B">
        <w:rPr>
          <w:i w:val="0"/>
          <w:szCs w:val="20"/>
          <w:lang w:val="en-US"/>
        </w:rPr>
        <w:t>wife</w:t>
      </w:r>
      <w:r w:rsidR="003C2AC6" w:rsidRPr="009F337B">
        <w:rPr>
          <w:i w:val="0"/>
          <w:szCs w:val="20"/>
          <w:lang w:val="en-US"/>
        </w:rPr>
        <w:t xml:space="preserve"> María Elena Moreno, </w:t>
      </w:r>
      <w:r w:rsidR="007D6ED1" w:rsidRPr="009F337B">
        <w:rPr>
          <w:i w:val="0"/>
          <w:szCs w:val="20"/>
          <w:lang w:val="en-US"/>
        </w:rPr>
        <w:t>his two</w:t>
      </w:r>
      <w:r w:rsidR="003C2AC6" w:rsidRPr="009F337B">
        <w:rPr>
          <w:i w:val="0"/>
          <w:szCs w:val="20"/>
          <w:lang w:val="en-US"/>
        </w:rPr>
        <w:t xml:space="preserve"> </w:t>
      </w:r>
      <w:r w:rsidR="0010522A" w:rsidRPr="009F337B">
        <w:rPr>
          <w:i w:val="0"/>
          <w:szCs w:val="20"/>
          <w:lang w:val="en-US"/>
        </w:rPr>
        <w:t>daughter</w:t>
      </w:r>
      <w:r w:rsidR="003C2AC6" w:rsidRPr="009F337B">
        <w:rPr>
          <w:i w:val="0"/>
          <w:szCs w:val="20"/>
          <w:lang w:val="en-US"/>
        </w:rPr>
        <w:t>s Viviana Mercedes</w:t>
      </w:r>
      <w:r w:rsidR="003C46A3" w:rsidRPr="009F337B">
        <w:rPr>
          <w:i w:val="0"/>
          <w:szCs w:val="20"/>
          <w:lang w:val="en-US"/>
        </w:rPr>
        <w:t xml:space="preserve"> and </w:t>
      </w:r>
      <w:r w:rsidR="003C2AC6" w:rsidRPr="009F337B">
        <w:rPr>
          <w:i w:val="0"/>
          <w:szCs w:val="20"/>
          <w:lang w:val="en-US"/>
        </w:rPr>
        <w:t xml:space="preserve">María Elena, </w:t>
      </w:r>
      <w:r w:rsidR="007D6ED1" w:rsidRPr="009F337B">
        <w:rPr>
          <w:i w:val="0"/>
          <w:szCs w:val="20"/>
          <w:lang w:val="en-US"/>
        </w:rPr>
        <w:t>both</w:t>
      </w:r>
      <w:r w:rsidR="003C2AC6" w:rsidRPr="009F337B">
        <w:rPr>
          <w:i w:val="0"/>
          <w:szCs w:val="20"/>
          <w:lang w:val="en-US"/>
        </w:rPr>
        <w:t xml:space="preserve"> Vásquez Moreno, </w:t>
      </w:r>
      <w:r w:rsidR="007D6ED1" w:rsidRPr="009F337B">
        <w:rPr>
          <w:i w:val="0"/>
          <w:szCs w:val="20"/>
          <w:lang w:val="en-US"/>
        </w:rPr>
        <w:t>his</w:t>
      </w:r>
      <w:r w:rsidR="003C2AC6" w:rsidRPr="009F337B">
        <w:rPr>
          <w:i w:val="0"/>
          <w:szCs w:val="20"/>
          <w:lang w:val="en-US"/>
        </w:rPr>
        <w:t xml:space="preserve"> </w:t>
      </w:r>
      <w:r w:rsidR="0010522A" w:rsidRPr="009F337B">
        <w:rPr>
          <w:i w:val="0"/>
          <w:szCs w:val="20"/>
          <w:lang w:val="en-US"/>
        </w:rPr>
        <w:t>father</w:t>
      </w:r>
      <w:r w:rsidR="003C2AC6" w:rsidRPr="009F337B">
        <w:rPr>
          <w:i w:val="0"/>
          <w:szCs w:val="20"/>
          <w:lang w:val="en-US"/>
        </w:rPr>
        <w:t xml:space="preserve"> Rafael Vásquez Gómez, </w:t>
      </w:r>
      <w:r w:rsidR="007D6ED1" w:rsidRPr="009F337B">
        <w:rPr>
          <w:i w:val="0"/>
          <w:szCs w:val="20"/>
          <w:lang w:val="en-US"/>
        </w:rPr>
        <w:t>his</w:t>
      </w:r>
      <w:r w:rsidR="003C2AC6" w:rsidRPr="009F337B">
        <w:rPr>
          <w:i w:val="0"/>
          <w:szCs w:val="20"/>
          <w:lang w:val="en-US"/>
        </w:rPr>
        <w:t xml:space="preserve"> </w:t>
      </w:r>
      <w:r w:rsidR="0010522A" w:rsidRPr="009F337B">
        <w:rPr>
          <w:i w:val="0"/>
          <w:szCs w:val="20"/>
          <w:lang w:val="en-US"/>
        </w:rPr>
        <w:t>mother</w:t>
      </w:r>
      <w:r w:rsidR="003C2AC6" w:rsidRPr="009F337B">
        <w:rPr>
          <w:i w:val="0"/>
          <w:szCs w:val="20"/>
          <w:lang w:val="en-US"/>
        </w:rPr>
        <w:t xml:space="preserve"> Francisca Oliveros de Vásquez</w:t>
      </w:r>
      <w:r w:rsidR="003C46A3" w:rsidRPr="009F337B">
        <w:rPr>
          <w:i w:val="0"/>
          <w:szCs w:val="20"/>
          <w:lang w:val="en-US"/>
        </w:rPr>
        <w:t xml:space="preserve"> and </w:t>
      </w:r>
      <w:r w:rsidR="007D6ED1" w:rsidRPr="009F337B">
        <w:rPr>
          <w:i w:val="0"/>
          <w:szCs w:val="20"/>
          <w:lang w:val="en-US"/>
        </w:rPr>
        <w:t>his mother-in-law</w:t>
      </w:r>
      <w:r w:rsidR="003C2AC6" w:rsidRPr="009F337B">
        <w:rPr>
          <w:i w:val="0"/>
          <w:szCs w:val="20"/>
          <w:lang w:val="en-US"/>
        </w:rPr>
        <w:t xml:space="preserve"> Josefina </w:t>
      </w:r>
      <w:proofErr w:type="spellStart"/>
      <w:r w:rsidR="003C2AC6" w:rsidRPr="009F337B">
        <w:rPr>
          <w:i w:val="0"/>
          <w:szCs w:val="20"/>
          <w:lang w:val="en-US"/>
        </w:rPr>
        <w:t>Izabel</w:t>
      </w:r>
      <w:proofErr w:type="spellEnd"/>
      <w:r w:rsidR="003C2AC6" w:rsidRPr="009F337B">
        <w:rPr>
          <w:i w:val="0"/>
          <w:szCs w:val="20"/>
          <w:lang w:val="en-US"/>
        </w:rPr>
        <w:t xml:space="preserve"> Miranda</w:t>
      </w:r>
      <w:r w:rsidR="007D6ED1" w:rsidRPr="009F337B">
        <w:rPr>
          <w:i w:val="0"/>
          <w:szCs w:val="20"/>
          <w:lang w:val="en-US"/>
        </w:rPr>
        <w:t>.</w:t>
      </w:r>
      <w:r w:rsidR="003C2AC6" w:rsidRPr="009F337B">
        <w:rPr>
          <w:rStyle w:val="Refdenotaalpie"/>
          <w:i w:val="0"/>
          <w:lang w:val="en-US"/>
        </w:rPr>
        <w:footnoteReference w:id="355"/>
      </w:r>
    </w:p>
    <w:p w14:paraId="74E3E265" w14:textId="77777777" w:rsidR="003C2AC6" w:rsidRPr="009F337B" w:rsidRDefault="003C2AC6" w:rsidP="003C2AC6">
      <w:pPr>
        <w:pStyle w:val="PrrafodeSentencia"/>
        <w:rPr>
          <w:lang w:val="en-US"/>
        </w:rPr>
      </w:pPr>
    </w:p>
    <w:p w14:paraId="65712E81" w14:textId="77777777" w:rsidR="003C2AC6" w:rsidRPr="009F337B" w:rsidRDefault="003C2AC6" w:rsidP="003C2AC6">
      <w:pPr>
        <w:pStyle w:val="PrrafodeSentencia"/>
        <w:rPr>
          <w:lang w:val="en-US"/>
        </w:rPr>
      </w:pPr>
      <w:r w:rsidRPr="009F337B">
        <w:rPr>
          <w:lang w:val="en-US"/>
        </w:rPr>
        <w:tab/>
        <w:t>B.33. Iris Carolina Vicente Baullas</w:t>
      </w:r>
    </w:p>
    <w:p w14:paraId="421207C5" w14:textId="77777777" w:rsidR="003C2AC6" w:rsidRPr="009F337B" w:rsidRDefault="003C2AC6" w:rsidP="003C2AC6">
      <w:pPr>
        <w:pStyle w:val="PrrafodeSentencia"/>
        <w:rPr>
          <w:lang w:val="en-US"/>
        </w:rPr>
      </w:pPr>
    </w:p>
    <w:p w14:paraId="48C0E28A" w14:textId="067F820A" w:rsidR="003C2AC6" w:rsidRPr="009F337B" w:rsidRDefault="007F1AEB" w:rsidP="00593E37">
      <w:pPr>
        <w:pStyle w:val="Estilo1"/>
        <w:numPr>
          <w:ilvl w:val="0"/>
          <w:numId w:val="5"/>
        </w:numPr>
        <w:tabs>
          <w:tab w:val="left" w:pos="709"/>
          <w:tab w:val="left" w:pos="1134"/>
        </w:tabs>
        <w:spacing w:after="0"/>
        <w:ind w:left="0" w:right="-4" w:firstLine="0"/>
        <w:rPr>
          <w:i w:val="0"/>
          <w:szCs w:val="20"/>
          <w:lang w:val="en-US"/>
        </w:rPr>
      </w:pPr>
      <w:r w:rsidRPr="009F337B">
        <w:rPr>
          <w:i w:val="0"/>
          <w:szCs w:val="20"/>
          <w:lang w:val="en-US"/>
        </w:rPr>
        <w:t>Mrs.</w:t>
      </w:r>
      <w:r w:rsidR="003C2AC6" w:rsidRPr="009F337B">
        <w:rPr>
          <w:i w:val="0"/>
          <w:szCs w:val="20"/>
          <w:lang w:val="en-US"/>
        </w:rPr>
        <w:t xml:space="preserve"> Vicente </w:t>
      </w:r>
      <w:proofErr w:type="spellStart"/>
      <w:r w:rsidR="003C2AC6" w:rsidRPr="009F337B">
        <w:rPr>
          <w:i w:val="0"/>
          <w:szCs w:val="20"/>
          <w:lang w:val="en-US"/>
        </w:rPr>
        <w:t>Baullas</w:t>
      </w:r>
      <w:proofErr w:type="spellEnd"/>
      <w:r w:rsidR="003C2AC6" w:rsidRPr="009F337B">
        <w:rPr>
          <w:i w:val="0"/>
          <w:szCs w:val="20"/>
          <w:lang w:val="en-US"/>
        </w:rPr>
        <w:t xml:space="preserve"> </w:t>
      </w:r>
      <w:r w:rsidR="0084040D" w:rsidRPr="009F337B">
        <w:rPr>
          <w:i w:val="0"/>
          <w:szCs w:val="20"/>
          <w:lang w:val="en-US"/>
        </w:rPr>
        <w:t>was born on</w:t>
      </w:r>
      <w:r w:rsidR="003C2AC6" w:rsidRPr="009F337B">
        <w:rPr>
          <w:i w:val="0"/>
          <w:szCs w:val="20"/>
          <w:lang w:val="en-US"/>
        </w:rPr>
        <w:t xml:space="preserve"> </w:t>
      </w:r>
      <w:r w:rsidR="007D6ED1" w:rsidRPr="009F337B">
        <w:rPr>
          <w:i w:val="0"/>
          <w:szCs w:val="20"/>
          <w:lang w:val="en-US"/>
        </w:rPr>
        <w:t>December 19,</w:t>
      </w:r>
      <w:r w:rsidR="003C2AC6" w:rsidRPr="009F337B">
        <w:rPr>
          <w:i w:val="0"/>
          <w:szCs w:val="20"/>
          <w:lang w:val="en-US"/>
        </w:rPr>
        <w:t xml:space="preserve"> 1981. </w:t>
      </w:r>
      <w:r w:rsidR="007D6ED1" w:rsidRPr="009F337B">
        <w:rPr>
          <w:i w:val="0"/>
          <w:szCs w:val="20"/>
          <w:lang w:val="en-US"/>
        </w:rPr>
        <w:t>She lives in the</w:t>
      </w:r>
      <w:r w:rsidR="003C2AC6" w:rsidRPr="009F337B">
        <w:rPr>
          <w:i w:val="0"/>
          <w:szCs w:val="20"/>
          <w:lang w:val="en-US"/>
        </w:rPr>
        <w:t xml:space="preserve"> </w:t>
      </w:r>
      <w:r w:rsidR="003E1304" w:rsidRPr="009F337B">
        <w:rPr>
          <w:i w:val="0"/>
          <w:szCs w:val="20"/>
          <w:lang w:val="en-US"/>
        </w:rPr>
        <w:t>department of</w:t>
      </w:r>
      <w:r w:rsidR="003C2AC6" w:rsidRPr="009F337B">
        <w:rPr>
          <w:i w:val="0"/>
          <w:szCs w:val="20"/>
          <w:lang w:val="en-US"/>
        </w:rPr>
        <w:t xml:space="preserve"> Retalhuleu, Guatemala. </w:t>
      </w:r>
      <w:r w:rsidR="007D6ED1" w:rsidRPr="009F337B">
        <w:rPr>
          <w:i w:val="0"/>
          <w:szCs w:val="20"/>
          <w:lang w:val="en-US"/>
        </w:rPr>
        <w:t>She w</w:t>
      </w:r>
      <w:r w:rsidR="001071B4" w:rsidRPr="009F337B">
        <w:rPr>
          <w:i w:val="0"/>
          <w:szCs w:val="20"/>
          <w:lang w:val="en-US"/>
        </w:rPr>
        <w:t>as diagnosed with HIV</w:t>
      </w:r>
      <w:r w:rsidR="003C2AC6" w:rsidRPr="009F337B">
        <w:rPr>
          <w:i w:val="0"/>
          <w:szCs w:val="20"/>
          <w:lang w:val="en-US"/>
        </w:rPr>
        <w:t xml:space="preserve"> </w:t>
      </w:r>
      <w:r w:rsidR="007D6ED1" w:rsidRPr="009F337B">
        <w:rPr>
          <w:i w:val="0"/>
          <w:szCs w:val="20"/>
          <w:lang w:val="en-US"/>
        </w:rPr>
        <w:t>in</w:t>
      </w:r>
      <w:r w:rsidR="003C2AC6" w:rsidRPr="009F337B">
        <w:rPr>
          <w:i w:val="0"/>
          <w:szCs w:val="20"/>
          <w:lang w:val="en-US"/>
        </w:rPr>
        <w:t xml:space="preserve"> 2003. In</w:t>
      </w:r>
      <w:r w:rsidR="007D6ED1" w:rsidRPr="009F337B">
        <w:rPr>
          <w:i w:val="0"/>
          <w:szCs w:val="20"/>
          <w:lang w:val="en-US"/>
        </w:rPr>
        <w:t xml:space="preserve">itially, </w:t>
      </w:r>
      <w:r w:rsidR="00B675D3" w:rsidRPr="009F337B">
        <w:rPr>
          <w:i w:val="0"/>
          <w:szCs w:val="20"/>
          <w:lang w:val="en-US"/>
        </w:rPr>
        <w:t>s</w:t>
      </w:r>
      <w:r w:rsidR="007D6ED1" w:rsidRPr="009F337B">
        <w:rPr>
          <w:i w:val="0"/>
          <w:szCs w:val="20"/>
          <w:lang w:val="en-US"/>
        </w:rPr>
        <w:t xml:space="preserve">he was treated by MSF and, subsequently, transferred to the </w:t>
      </w:r>
      <w:proofErr w:type="spellStart"/>
      <w:r w:rsidR="005F10B1" w:rsidRPr="009F337B">
        <w:rPr>
          <w:i w:val="0"/>
          <w:szCs w:val="20"/>
          <w:lang w:val="en-US"/>
        </w:rPr>
        <w:t>Coatepeque</w:t>
      </w:r>
      <w:proofErr w:type="spellEnd"/>
      <w:r w:rsidR="005F10B1" w:rsidRPr="009F337B">
        <w:rPr>
          <w:i w:val="0"/>
          <w:szCs w:val="20"/>
          <w:lang w:val="en-US"/>
        </w:rPr>
        <w:t xml:space="preserve"> National Hospital</w:t>
      </w:r>
      <w:r w:rsidR="003C2AC6" w:rsidRPr="009F337B">
        <w:rPr>
          <w:i w:val="0"/>
          <w:szCs w:val="20"/>
          <w:lang w:val="en-US"/>
        </w:rPr>
        <w:t xml:space="preserve">. </w:t>
      </w:r>
      <w:r w:rsidR="007D6ED1" w:rsidRPr="009F337B">
        <w:rPr>
          <w:i w:val="0"/>
          <w:szCs w:val="20"/>
          <w:lang w:val="en-US"/>
        </w:rPr>
        <w:t>She began</w:t>
      </w:r>
      <w:r w:rsidR="003C2AC6" w:rsidRPr="009F337B">
        <w:rPr>
          <w:i w:val="0"/>
          <w:szCs w:val="20"/>
          <w:lang w:val="en-US"/>
        </w:rPr>
        <w:t xml:space="preserve"> </w:t>
      </w:r>
      <w:r w:rsidR="00FE1EFF" w:rsidRPr="009F337B">
        <w:rPr>
          <w:i w:val="0"/>
          <w:szCs w:val="20"/>
          <w:lang w:val="en-US"/>
        </w:rPr>
        <w:t>antiretroviral treatment</w:t>
      </w:r>
      <w:r w:rsidR="003C2AC6" w:rsidRPr="009F337B">
        <w:rPr>
          <w:i w:val="0"/>
          <w:szCs w:val="20"/>
          <w:lang w:val="en-US"/>
        </w:rPr>
        <w:t xml:space="preserve"> </w:t>
      </w:r>
      <w:r w:rsidR="007D6ED1" w:rsidRPr="009F337B">
        <w:rPr>
          <w:i w:val="0"/>
          <w:szCs w:val="20"/>
          <w:lang w:val="en-US"/>
        </w:rPr>
        <w:t>in November</w:t>
      </w:r>
      <w:r w:rsidR="003C2AC6" w:rsidRPr="009F337B">
        <w:rPr>
          <w:i w:val="0"/>
          <w:szCs w:val="20"/>
          <w:lang w:val="en-US"/>
        </w:rPr>
        <w:t xml:space="preserve"> 2006. </w:t>
      </w:r>
      <w:r w:rsidR="007D6ED1" w:rsidRPr="009F337B">
        <w:rPr>
          <w:i w:val="0"/>
          <w:szCs w:val="20"/>
          <w:lang w:val="en-US"/>
        </w:rPr>
        <w:t>In</w:t>
      </w:r>
      <w:r w:rsidR="003C2AC6" w:rsidRPr="009F337B">
        <w:rPr>
          <w:i w:val="0"/>
          <w:szCs w:val="20"/>
          <w:lang w:val="en-US"/>
        </w:rPr>
        <w:t xml:space="preserve"> 2007</w:t>
      </w:r>
      <w:r w:rsidR="007D6ED1" w:rsidRPr="009F337B">
        <w:rPr>
          <w:i w:val="0"/>
          <w:szCs w:val="20"/>
          <w:lang w:val="en-US"/>
        </w:rPr>
        <w:t xml:space="preserve">, she went to live in the United States. She has suffered from various </w:t>
      </w:r>
      <w:r w:rsidR="0081563D" w:rsidRPr="009F337B">
        <w:rPr>
          <w:i w:val="0"/>
          <w:szCs w:val="20"/>
          <w:lang w:val="en-US"/>
        </w:rPr>
        <w:t>opportunistic diseases</w:t>
      </w:r>
      <w:r w:rsidR="003C2AC6" w:rsidRPr="009F337B">
        <w:rPr>
          <w:i w:val="0"/>
          <w:szCs w:val="20"/>
          <w:lang w:val="en-US"/>
        </w:rPr>
        <w:t xml:space="preserve"> </w:t>
      </w:r>
      <w:r w:rsidR="007D6ED1" w:rsidRPr="009F337B">
        <w:rPr>
          <w:i w:val="0"/>
          <w:szCs w:val="20"/>
          <w:lang w:val="en-US"/>
        </w:rPr>
        <w:t>such as</w:t>
      </w:r>
      <w:r w:rsidR="003C2AC6" w:rsidRPr="009F337B">
        <w:rPr>
          <w:i w:val="0"/>
          <w:szCs w:val="20"/>
          <w:lang w:val="en-US"/>
        </w:rPr>
        <w:t xml:space="preserve"> </w:t>
      </w:r>
      <w:r w:rsidR="00B23B9B" w:rsidRPr="009F337B">
        <w:rPr>
          <w:i w:val="0"/>
          <w:szCs w:val="20"/>
          <w:lang w:val="en-US"/>
        </w:rPr>
        <w:t>pharyngitis</w:t>
      </w:r>
      <w:r w:rsidR="003C2AC6" w:rsidRPr="009F337B">
        <w:rPr>
          <w:i w:val="0"/>
          <w:szCs w:val="20"/>
          <w:lang w:val="en-US"/>
        </w:rPr>
        <w:t xml:space="preserve">, </w:t>
      </w:r>
      <w:r w:rsidR="007D6ED1" w:rsidRPr="009F337B">
        <w:rPr>
          <w:i w:val="0"/>
          <w:szCs w:val="20"/>
          <w:lang w:val="en-US"/>
        </w:rPr>
        <w:t xml:space="preserve">cutaneous </w:t>
      </w:r>
      <w:r w:rsidR="003C2AC6" w:rsidRPr="009F337B">
        <w:rPr>
          <w:i w:val="0"/>
          <w:szCs w:val="20"/>
          <w:lang w:val="en-US"/>
        </w:rPr>
        <w:t xml:space="preserve">rash, </w:t>
      </w:r>
      <w:r w:rsidR="00B675D3" w:rsidRPr="009F337B">
        <w:rPr>
          <w:i w:val="0"/>
          <w:szCs w:val="20"/>
          <w:lang w:val="en-US"/>
        </w:rPr>
        <w:t>sarcoidosis</w:t>
      </w:r>
      <w:r w:rsidR="003C2AC6" w:rsidRPr="009F337B">
        <w:rPr>
          <w:i w:val="0"/>
          <w:szCs w:val="20"/>
          <w:lang w:val="en-US"/>
        </w:rPr>
        <w:t xml:space="preserve">, </w:t>
      </w:r>
      <w:r w:rsidR="007D6ED1" w:rsidRPr="009F337B">
        <w:rPr>
          <w:i w:val="0"/>
          <w:szCs w:val="20"/>
          <w:lang w:val="en-US"/>
        </w:rPr>
        <w:t xml:space="preserve">bacterial </w:t>
      </w:r>
      <w:r w:rsidR="0015205F" w:rsidRPr="009F337B">
        <w:rPr>
          <w:i w:val="0"/>
          <w:szCs w:val="20"/>
          <w:lang w:val="en-US"/>
        </w:rPr>
        <w:t>pneumonia</w:t>
      </w:r>
      <w:r w:rsidR="007D6ED1" w:rsidRPr="009F337B">
        <w:rPr>
          <w:i w:val="0"/>
          <w:szCs w:val="20"/>
          <w:lang w:val="en-US"/>
        </w:rPr>
        <w:t>, lumbago</w:t>
      </w:r>
      <w:r w:rsidR="003C2AC6" w:rsidRPr="009F337B">
        <w:rPr>
          <w:i w:val="0"/>
          <w:szCs w:val="20"/>
          <w:lang w:val="en-US"/>
        </w:rPr>
        <w:t xml:space="preserve">, </w:t>
      </w:r>
      <w:r w:rsidR="007D6ED1" w:rsidRPr="009F337B">
        <w:rPr>
          <w:i w:val="0"/>
          <w:szCs w:val="20"/>
          <w:lang w:val="en-US"/>
        </w:rPr>
        <w:t>vaginal</w:t>
      </w:r>
      <w:r w:rsidR="003C2AC6" w:rsidRPr="009F337B">
        <w:rPr>
          <w:i w:val="0"/>
          <w:szCs w:val="20"/>
          <w:lang w:val="en-US"/>
        </w:rPr>
        <w:t xml:space="preserve"> candidiasis, </w:t>
      </w:r>
      <w:r w:rsidR="00B675D3" w:rsidRPr="009F337B">
        <w:rPr>
          <w:i w:val="0"/>
          <w:szCs w:val="20"/>
          <w:lang w:val="en-US"/>
        </w:rPr>
        <w:t>conjunctivitis</w:t>
      </w:r>
      <w:r w:rsidR="003C2AC6" w:rsidRPr="009F337B">
        <w:rPr>
          <w:i w:val="0"/>
          <w:szCs w:val="20"/>
          <w:lang w:val="en-US"/>
        </w:rPr>
        <w:t>, vaginal</w:t>
      </w:r>
      <w:r w:rsidR="00B675D3" w:rsidRPr="009F337B">
        <w:rPr>
          <w:i w:val="0"/>
          <w:szCs w:val="20"/>
          <w:lang w:val="en-US"/>
        </w:rPr>
        <w:t xml:space="preserve"> discharge</w:t>
      </w:r>
      <w:r w:rsidR="003C2AC6" w:rsidRPr="009F337B">
        <w:rPr>
          <w:i w:val="0"/>
          <w:szCs w:val="20"/>
          <w:lang w:val="en-US"/>
        </w:rPr>
        <w:t>, osteopenia, colitis, insomni</w:t>
      </w:r>
      <w:r w:rsidR="00B675D3" w:rsidRPr="009F337B">
        <w:rPr>
          <w:i w:val="0"/>
          <w:szCs w:val="20"/>
          <w:lang w:val="en-US"/>
        </w:rPr>
        <w:t>a</w:t>
      </w:r>
      <w:r w:rsidR="003C2AC6" w:rsidRPr="009F337B">
        <w:rPr>
          <w:i w:val="0"/>
          <w:szCs w:val="20"/>
          <w:lang w:val="en-US"/>
        </w:rPr>
        <w:t xml:space="preserve">, </w:t>
      </w:r>
      <w:r w:rsidR="00B675D3" w:rsidRPr="009F337B">
        <w:rPr>
          <w:i w:val="0"/>
          <w:szCs w:val="20"/>
          <w:lang w:val="en-US"/>
        </w:rPr>
        <w:t xml:space="preserve">peripheral </w:t>
      </w:r>
      <w:r w:rsidR="00BB39B6" w:rsidRPr="009F337B">
        <w:rPr>
          <w:i w:val="0"/>
          <w:szCs w:val="20"/>
          <w:lang w:val="en-US"/>
        </w:rPr>
        <w:t>neuropathy</w:t>
      </w:r>
      <w:r w:rsidR="003C2AC6" w:rsidRPr="009F337B">
        <w:rPr>
          <w:i w:val="0"/>
          <w:szCs w:val="20"/>
          <w:lang w:val="en-US"/>
        </w:rPr>
        <w:t xml:space="preserve">, </w:t>
      </w:r>
      <w:r w:rsidR="001C4CEA" w:rsidRPr="009F337B">
        <w:rPr>
          <w:i w:val="0"/>
          <w:szCs w:val="20"/>
          <w:lang w:val="en-US"/>
        </w:rPr>
        <w:t>moderate cervicitis</w:t>
      </w:r>
      <w:r w:rsidR="003C46A3" w:rsidRPr="009F337B">
        <w:rPr>
          <w:i w:val="0"/>
          <w:szCs w:val="20"/>
          <w:lang w:val="en-US"/>
        </w:rPr>
        <w:t xml:space="preserve"> and </w:t>
      </w:r>
      <w:r w:rsidR="001C4CEA" w:rsidRPr="009F337B">
        <w:rPr>
          <w:i w:val="0"/>
          <w:szCs w:val="20"/>
          <w:lang w:val="en-US"/>
        </w:rPr>
        <w:t>peptic disease</w:t>
      </w:r>
      <w:r w:rsidR="00B675D3" w:rsidRPr="009F337B">
        <w:rPr>
          <w:i w:val="0"/>
          <w:szCs w:val="20"/>
          <w:lang w:val="en-US"/>
        </w:rPr>
        <w:t>.</w:t>
      </w:r>
      <w:r w:rsidR="003C2AC6" w:rsidRPr="009F337B">
        <w:rPr>
          <w:rStyle w:val="Refdenotaalpie"/>
          <w:i w:val="0"/>
          <w:lang w:val="en-US"/>
        </w:rPr>
        <w:footnoteReference w:id="356"/>
      </w:r>
    </w:p>
    <w:p w14:paraId="2ABF9709" w14:textId="77777777" w:rsidR="003C2AC6" w:rsidRPr="009F337B" w:rsidRDefault="003C2AC6" w:rsidP="003C2AC6">
      <w:pPr>
        <w:pStyle w:val="Estilo1"/>
        <w:tabs>
          <w:tab w:val="left" w:pos="709"/>
          <w:tab w:val="left" w:pos="1134"/>
        </w:tabs>
        <w:spacing w:after="0"/>
        <w:ind w:left="0" w:right="-4" w:firstLine="0"/>
        <w:rPr>
          <w:i w:val="0"/>
          <w:szCs w:val="20"/>
          <w:lang w:val="en-US"/>
        </w:rPr>
      </w:pPr>
    </w:p>
    <w:p w14:paraId="1311F203" w14:textId="7B9C3A34" w:rsidR="003C2AC6" w:rsidRPr="009F337B" w:rsidRDefault="00A758A5" w:rsidP="00593E37">
      <w:pPr>
        <w:pStyle w:val="Estilo1"/>
        <w:numPr>
          <w:ilvl w:val="0"/>
          <w:numId w:val="5"/>
        </w:numPr>
        <w:tabs>
          <w:tab w:val="left" w:pos="709"/>
          <w:tab w:val="left" w:pos="1134"/>
        </w:tabs>
        <w:spacing w:after="0"/>
        <w:ind w:left="0" w:right="-4" w:firstLine="0"/>
        <w:rPr>
          <w:i w:val="0"/>
          <w:szCs w:val="20"/>
          <w:lang w:val="en-US"/>
        </w:rPr>
      </w:pPr>
      <w:r w:rsidRPr="009F337B">
        <w:rPr>
          <w:i w:val="0"/>
          <w:szCs w:val="20"/>
          <w:lang w:val="en-US"/>
        </w:rPr>
        <w:t xml:space="preserve">Her family unit consists of her </w:t>
      </w:r>
      <w:r w:rsidR="0010522A" w:rsidRPr="009F337B">
        <w:rPr>
          <w:i w:val="0"/>
          <w:szCs w:val="20"/>
          <w:lang w:val="en-US"/>
        </w:rPr>
        <w:t>son</w:t>
      </w:r>
      <w:r w:rsidR="003C2AC6" w:rsidRPr="009F337B">
        <w:rPr>
          <w:i w:val="0"/>
          <w:szCs w:val="20"/>
          <w:lang w:val="en-US"/>
        </w:rPr>
        <w:t xml:space="preserve"> </w:t>
      </w:r>
      <w:r w:rsidR="0061313D" w:rsidRPr="009F337B">
        <w:rPr>
          <w:i w:val="0"/>
          <w:szCs w:val="20"/>
          <w:lang w:val="en-US"/>
        </w:rPr>
        <w:t>and</w:t>
      </w:r>
      <w:r w:rsidR="003C2AC6" w:rsidRPr="009F337B">
        <w:rPr>
          <w:i w:val="0"/>
          <w:szCs w:val="20"/>
          <w:lang w:val="en-US"/>
        </w:rPr>
        <w:t xml:space="preserve"> </w:t>
      </w:r>
      <w:r w:rsidR="0010522A" w:rsidRPr="009F337B">
        <w:rPr>
          <w:i w:val="0"/>
          <w:szCs w:val="20"/>
          <w:lang w:val="en-US"/>
        </w:rPr>
        <w:t>daughter</w:t>
      </w:r>
      <w:r w:rsidR="003C2AC6" w:rsidRPr="009F337B">
        <w:rPr>
          <w:i w:val="0"/>
          <w:szCs w:val="20"/>
          <w:lang w:val="en-US"/>
        </w:rPr>
        <w:t xml:space="preserve">s Christian Alexander, Emma Elizabeth </w:t>
      </w:r>
      <w:r w:rsidR="0061313D" w:rsidRPr="009F337B">
        <w:rPr>
          <w:i w:val="0"/>
          <w:szCs w:val="20"/>
          <w:lang w:val="en-US"/>
        </w:rPr>
        <w:t>and</w:t>
      </w:r>
      <w:r w:rsidR="003C2AC6" w:rsidRPr="009F337B">
        <w:rPr>
          <w:i w:val="0"/>
          <w:szCs w:val="20"/>
          <w:lang w:val="en-US"/>
        </w:rPr>
        <w:t xml:space="preserve"> Iris Carolina, </w:t>
      </w:r>
      <w:r w:rsidR="007B07E2" w:rsidRPr="009F337B">
        <w:rPr>
          <w:i w:val="0"/>
          <w:szCs w:val="20"/>
          <w:lang w:val="en-US"/>
        </w:rPr>
        <w:t>all</w:t>
      </w:r>
      <w:r w:rsidR="003C2AC6" w:rsidRPr="009F337B">
        <w:rPr>
          <w:i w:val="0"/>
          <w:szCs w:val="20"/>
          <w:lang w:val="en-US"/>
        </w:rPr>
        <w:t xml:space="preserve"> </w:t>
      </w:r>
      <w:proofErr w:type="spellStart"/>
      <w:r w:rsidR="003C2AC6" w:rsidRPr="009F337B">
        <w:rPr>
          <w:i w:val="0"/>
          <w:szCs w:val="20"/>
          <w:lang w:val="en-US"/>
        </w:rPr>
        <w:t>Chij</w:t>
      </w:r>
      <w:proofErr w:type="spellEnd"/>
      <w:r w:rsidR="003C2AC6" w:rsidRPr="009F337B">
        <w:rPr>
          <w:i w:val="0"/>
          <w:szCs w:val="20"/>
          <w:lang w:val="en-US"/>
        </w:rPr>
        <w:t xml:space="preserve"> Vicente, </w:t>
      </w:r>
      <w:r w:rsidR="0061313D" w:rsidRPr="009F337B">
        <w:rPr>
          <w:i w:val="0"/>
          <w:szCs w:val="20"/>
          <w:lang w:val="en-US"/>
        </w:rPr>
        <w:t>her</w:t>
      </w:r>
      <w:r w:rsidR="003C2AC6" w:rsidRPr="009F337B">
        <w:rPr>
          <w:i w:val="0"/>
          <w:szCs w:val="20"/>
          <w:lang w:val="en-US"/>
        </w:rPr>
        <w:t xml:space="preserve"> </w:t>
      </w:r>
      <w:r w:rsidR="00B675D3" w:rsidRPr="009F337B">
        <w:rPr>
          <w:i w:val="0"/>
          <w:szCs w:val="20"/>
          <w:lang w:val="en-US"/>
        </w:rPr>
        <w:t>grandmother</w:t>
      </w:r>
      <w:r w:rsidR="003C2AC6" w:rsidRPr="009F337B">
        <w:rPr>
          <w:i w:val="0"/>
          <w:szCs w:val="20"/>
          <w:lang w:val="en-US"/>
        </w:rPr>
        <w:t xml:space="preserve"> Olivia Aguilar Ambrosio de Barillas</w:t>
      </w:r>
      <w:r w:rsidR="003C46A3" w:rsidRPr="009F337B">
        <w:rPr>
          <w:i w:val="0"/>
          <w:szCs w:val="20"/>
          <w:lang w:val="en-US"/>
        </w:rPr>
        <w:t xml:space="preserve"> and </w:t>
      </w:r>
      <w:r w:rsidR="0061313D" w:rsidRPr="009F337B">
        <w:rPr>
          <w:i w:val="0"/>
          <w:szCs w:val="20"/>
          <w:lang w:val="en-US"/>
        </w:rPr>
        <w:t>her</w:t>
      </w:r>
      <w:r w:rsidR="003C2AC6" w:rsidRPr="009F337B">
        <w:rPr>
          <w:i w:val="0"/>
          <w:szCs w:val="20"/>
          <w:lang w:val="en-US"/>
        </w:rPr>
        <w:t xml:space="preserve"> </w:t>
      </w:r>
      <w:r w:rsidR="0061313D" w:rsidRPr="009F337B">
        <w:rPr>
          <w:i w:val="0"/>
          <w:szCs w:val="20"/>
          <w:lang w:val="en-US"/>
        </w:rPr>
        <w:t xml:space="preserve">grandfather </w:t>
      </w:r>
      <w:proofErr w:type="spellStart"/>
      <w:r w:rsidR="003C2AC6" w:rsidRPr="009F337B">
        <w:rPr>
          <w:i w:val="0"/>
          <w:szCs w:val="20"/>
          <w:lang w:val="en-US"/>
        </w:rPr>
        <w:t>Balbino</w:t>
      </w:r>
      <w:proofErr w:type="spellEnd"/>
      <w:r w:rsidR="003C2AC6" w:rsidRPr="009F337B">
        <w:rPr>
          <w:i w:val="0"/>
          <w:szCs w:val="20"/>
          <w:lang w:val="en-US"/>
        </w:rPr>
        <w:t xml:space="preserve"> Barillas </w:t>
      </w:r>
      <w:proofErr w:type="spellStart"/>
      <w:r w:rsidR="003C2AC6" w:rsidRPr="009F337B">
        <w:rPr>
          <w:i w:val="0"/>
          <w:szCs w:val="20"/>
          <w:lang w:val="en-US"/>
        </w:rPr>
        <w:t>Barreno</w:t>
      </w:r>
      <w:proofErr w:type="spellEnd"/>
      <w:r w:rsidR="003C2AC6" w:rsidRPr="009F337B">
        <w:rPr>
          <w:i w:val="0"/>
          <w:szCs w:val="20"/>
          <w:lang w:val="en-US"/>
        </w:rPr>
        <w:t xml:space="preserve">, </w:t>
      </w:r>
      <w:r w:rsidR="0061313D" w:rsidRPr="009F337B">
        <w:rPr>
          <w:i w:val="0"/>
          <w:szCs w:val="20"/>
          <w:lang w:val="en-US"/>
        </w:rPr>
        <w:t>her</w:t>
      </w:r>
      <w:r w:rsidR="003C2AC6" w:rsidRPr="009F337B">
        <w:rPr>
          <w:i w:val="0"/>
          <w:szCs w:val="20"/>
          <w:lang w:val="en-US"/>
        </w:rPr>
        <w:t xml:space="preserve"> </w:t>
      </w:r>
      <w:r w:rsidR="0061313D" w:rsidRPr="009F337B">
        <w:rPr>
          <w:i w:val="0"/>
          <w:szCs w:val="20"/>
          <w:lang w:val="en-US"/>
        </w:rPr>
        <w:t>uncle</w:t>
      </w:r>
      <w:r w:rsidR="003C2AC6" w:rsidRPr="009F337B">
        <w:rPr>
          <w:i w:val="0"/>
          <w:szCs w:val="20"/>
          <w:lang w:val="en-US"/>
        </w:rPr>
        <w:t xml:space="preserve"> Héctor </w:t>
      </w:r>
      <w:proofErr w:type="spellStart"/>
      <w:r w:rsidR="003C2AC6" w:rsidRPr="009F337B">
        <w:rPr>
          <w:i w:val="0"/>
          <w:szCs w:val="20"/>
          <w:lang w:val="en-US"/>
        </w:rPr>
        <w:t>Barrillas</w:t>
      </w:r>
      <w:proofErr w:type="spellEnd"/>
      <w:r w:rsidR="003C46A3" w:rsidRPr="009F337B">
        <w:rPr>
          <w:i w:val="0"/>
          <w:szCs w:val="20"/>
          <w:lang w:val="en-US"/>
        </w:rPr>
        <w:t xml:space="preserve"> and </w:t>
      </w:r>
      <w:r w:rsidR="0061313D" w:rsidRPr="009F337B">
        <w:rPr>
          <w:i w:val="0"/>
          <w:szCs w:val="20"/>
          <w:lang w:val="en-US"/>
        </w:rPr>
        <w:t>her</w:t>
      </w:r>
      <w:r w:rsidR="003C2AC6" w:rsidRPr="009F337B">
        <w:rPr>
          <w:i w:val="0"/>
          <w:szCs w:val="20"/>
          <w:lang w:val="en-US"/>
        </w:rPr>
        <w:t xml:space="preserve"> </w:t>
      </w:r>
      <w:r w:rsidR="0061313D" w:rsidRPr="009F337B">
        <w:rPr>
          <w:i w:val="0"/>
          <w:szCs w:val="20"/>
          <w:lang w:val="en-US"/>
        </w:rPr>
        <w:t xml:space="preserve">maternal </w:t>
      </w:r>
      <w:r w:rsidR="0010522A" w:rsidRPr="009F337B">
        <w:rPr>
          <w:i w:val="0"/>
          <w:szCs w:val="20"/>
          <w:lang w:val="en-US"/>
        </w:rPr>
        <w:t>aunt</w:t>
      </w:r>
      <w:r w:rsidR="003C2AC6" w:rsidRPr="009F337B">
        <w:rPr>
          <w:i w:val="0"/>
          <w:szCs w:val="20"/>
          <w:lang w:val="en-US"/>
        </w:rPr>
        <w:t xml:space="preserve"> Olivia Barillas de Sánchez</w:t>
      </w:r>
      <w:r w:rsidR="003C2AC6" w:rsidRPr="009F337B">
        <w:rPr>
          <w:rStyle w:val="Refdenotaalpie"/>
          <w:i w:val="0"/>
          <w:lang w:val="en-US"/>
        </w:rPr>
        <w:footnoteReference w:id="357"/>
      </w:r>
      <w:r w:rsidR="003C2AC6" w:rsidRPr="009F337B">
        <w:rPr>
          <w:i w:val="0"/>
          <w:szCs w:val="20"/>
          <w:lang w:val="en-US"/>
        </w:rPr>
        <w:t>.</w:t>
      </w:r>
    </w:p>
    <w:p w14:paraId="327E2A58" w14:textId="77777777" w:rsidR="003C2AC6" w:rsidRPr="009F337B" w:rsidRDefault="003C2AC6" w:rsidP="003C2AC6">
      <w:pPr>
        <w:pStyle w:val="PrrafodeSentencia"/>
        <w:rPr>
          <w:lang w:val="en-US"/>
        </w:rPr>
      </w:pPr>
    </w:p>
    <w:p w14:paraId="2D2B2FDC" w14:textId="77777777" w:rsidR="003C2AC6" w:rsidRPr="009F337B" w:rsidRDefault="003C2AC6" w:rsidP="003C2AC6">
      <w:pPr>
        <w:pStyle w:val="PrrafodeSentencia"/>
        <w:rPr>
          <w:lang w:val="en-US"/>
        </w:rPr>
      </w:pPr>
      <w:r w:rsidRPr="009F337B">
        <w:rPr>
          <w:lang w:val="en-US"/>
        </w:rPr>
        <w:tab/>
        <w:t>B.34. Sandra Lisbeth Zepeda Herrera</w:t>
      </w:r>
    </w:p>
    <w:p w14:paraId="6CD7E61B" w14:textId="77777777" w:rsidR="003C2AC6" w:rsidRPr="009F337B" w:rsidRDefault="003C2AC6" w:rsidP="003C2AC6">
      <w:pPr>
        <w:pStyle w:val="PrrafodeSentencia"/>
        <w:rPr>
          <w:lang w:val="en-US"/>
        </w:rPr>
      </w:pPr>
    </w:p>
    <w:p w14:paraId="31A39C2F" w14:textId="25B69DD8" w:rsidR="003C2AC6" w:rsidRPr="009F337B" w:rsidRDefault="007F1AEB" w:rsidP="00593E37">
      <w:pPr>
        <w:pStyle w:val="Estilo1"/>
        <w:numPr>
          <w:ilvl w:val="0"/>
          <w:numId w:val="5"/>
        </w:numPr>
        <w:tabs>
          <w:tab w:val="left" w:pos="709"/>
          <w:tab w:val="left" w:pos="1134"/>
        </w:tabs>
        <w:spacing w:after="0"/>
        <w:ind w:left="0" w:right="-4" w:firstLine="0"/>
        <w:rPr>
          <w:i w:val="0"/>
          <w:szCs w:val="20"/>
          <w:lang w:val="en-US"/>
        </w:rPr>
      </w:pPr>
      <w:r w:rsidRPr="009F337B">
        <w:rPr>
          <w:i w:val="0"/>
          <w:szCs w:val="20"/>
          <w:lang w:val="en-US"/>
        </w:rPr>
        <w:t>Mrs.</w:t>
      </w:r>
      <w:r w:rsidR="003C2AC6" w:rsidRPr="009F337B">
        <w:rPr>
          <w:i w:val="0"/>
          <w:szCs w:val="20"/>
          <w:lang w:val="en-US"/>
        </w:rPr>
        <w:t xml:space="preserve"> Zepeda Herrera </w:t>
      </w:r>
      <w:r w:rsidR="00D85CA7" w:rsidRPr="009F337B">
        <w:rPr>
          <w:i w:val="0"/>
          <w:szCs w:val="20"/>
          <w:lang w:val="en-US"/>
        </w:rPr>
        <w:t>lives in</w:t>
      </w:r>
      <w:r w:rsidR="003C2AC6" w:rsidRPr="009F337B">
        <w:rPr>
          <w:i w:val="0"/>
          <w:szCs w:val="20"/>
          <w:lang w:val="en-US"/>
        </w:rPr>
        <w:t xml:space="preserve"> </w:t>
      </w:r>
      <w:r w:rsidR="003E1304" w:rsidRPr="009F337B">
        <w:rPr>
          <w:i w:val="0"/>
          <w:szCs w:val="20"/>
          <w:lang w:val="en-US"/>
        </w:rPr>
        <w:t xml:space="preserve">the </w:t>
      </w:r>
      <w:r w:rsidR="00D85CA7" w:rsidRPr="009F337B">
        <w:rPr>
          <w:i w:val="0"/>
          <w:szCs w:val="20"/>
          <w:lang w:val="en-US"/>
        </w:rPr>
        <w:t>municipality of</w:t>
      </w:r>
      <w:r w:rsidR="003C2AC6" w:rsidRPr="009F337B">
        <w:rPr>
          <w:i w:val="0"/>
          <w:szCs w:val="20"/>
          <w:lang w:val="en-US"/>
        </w:rPr>
        <w:t xml:space="preserve"> Guatemala, </w:t>
      </w:r>
      <w:r w:rsidR="003E1304" w:rsidRPr="009F337B">
        <w:rPr>
          <w:i w:val="0"/>
          <w:szCs w:val="20"/>
          <w:lang w:val="en-US"/>
        </w:rPr>
        <w:t>department of</w:t>
      </w:r>
      <w:r w:rsidR="003C2AC6" w:rsidRPr="009F337B">
        <w:rPr>
          <w:i w:val="0"/>
          <w:szCs w:val="20"/>
          <w:lang w:val="en-US"/>
        </w:rPr>
        <w:t xml:space="preserve"> Guatemala, Guatemala.</w:t>
      </w:r>
      <w:r w:rsidR="003C2AC6" w:rsidRPr="009F337B">
        <w:rPr>
          <w:b/>
          <w:i w:val="0"/>
          <w:szCs w:val="20"/>
          <w:lang w:val="en-US"/>
        </w:rPr>
        <w:t xml:space="preserve"> </w:t>
      </w:r>
      <w:r w:rsidR="00EC5B67" w:rsidRPr="009F337B">
        <w:rPr>
          <w:i w:val="0"/>
          <w:szCs w:val="20"/>
          <w:lang w:val="en-US"/>
        </w:rPr>
        <w:t>She w</w:t>
      </w:r>
      <w:r w:rsidR="0084040D" w:rsidRPr="009F337B">
        <w:rPr>
          <w:i w:val="0"/>
          <w:szCs w:val="20"/>
          <w:lang w:val="en-US"/>
        </w:rPr>
        <w:t>as born on</w:t>
      </w:r>
      <w:r w:rsidR="003C2AC6" w:rsidRPr="009F337B">
        <w:rPr>
          <w:i w:val="0"/>
          <w:szCs w:val="20"/>
          <w:lang w:val="en-US"/>
        </w:rPr>
        <w:t xml:space="preserve"> </w:t>
      </w:r>
      <w:r w:rsidR="00EC5B67" w:rsidRPr="009F337B">
        <w:rPr>
          <w:i w:val="0"/>
          <w:szCs w:val="20"/>
          <w:lang w:val="en-US"/>
        </w:rPr>
        <w:t>September 30,</w:t>
      </w:r>
      <w:r w:rsidR="003C2AC6" w:rsidRPr="009F337B">
        <w:rPr>
          <w:i w:val="0"/>
          <w:szCs w:val="20"/>
          <w:lang w:val="en-US"/>
        </w:rPr>
        <w:t xml:space="preserve"> 1968. </w:t>
      </w:r>
      <w:r w:rsidR="00B675D3" w:rsidRPr="009F337B">
        <w:rPr>
          <w:i w:val="0"/>
          <w:szCs w:val="20"/>
          <w:lang w:val="en-US"/>
        </w:rPr>
        <w:t xml:space="preserve">She completed second year of basic </w:t>
      </w:r>
      <w:r w:rsidR="002D0A17" w:rsidRPr="009F337B">
        <w:rPr>
          <w:i w:val="0"/>
          <w:szCs w:val="20"/>
          <w:lang w:val="en-US"/>
        </w:rPr>
        <w:t>education</w:t>
      </w:r>
      <w:r w:rsidR="00B675D3" w:rsidRPr="009F337B">
        <w:rPr>
          <w:i w:val="0"/>
          <w:szCs w:val="20"/>
          <w:lang w:val="en-US"/>
        </w:rPr>
        <w:t xml:space="preserve">. She worked as a </w:t>
      </w:r>
      <w:r w:rsidR="002D0A17" w:rsidRPr="009F337B">
        <w:rPr>
          <w:i w:val="0"/>
          <w:szCs w:val="20"/>
          <w:lang w:val="en-US"/>
        </w:rPr>
        <w:t>s</w:t>
      </w:r>
      <w:r w:rsidR="00B675D3" w:rsidRPr="009F337B">
        <w:rPr>
          <w:i w:val="0"/>
          <w:szCs w:val="20"/>
          <w:lang w:val="en-US"/>
        </w:rPr>
        <w:t xml:space="preserve">treet vendor in the markets. She </w:t>
      </w:r>
      <w:r w:rsidR="0084040D" w:rsidRPr="009F337B">
        <w:rPr>
          <w:i w:val="0"/>
          <w:szCs w:val="20"/>
          <w:lang w:val="en-US"/>
        </w:rPr>
        <w:t>was diagnosed</w:t>
      </w:r>
      <w:r w:rsidR="00B675D3" w:rsidRPr="009F337B">
        <w:rPr>
          <w:i w:val="0"/>
          <w:szCs w:val="20"/>
          <w:lang w:val="en-US"/>
        </w:rPr>
        <w:t xml:space="preserve"> with HIV</w:t>
      </w:r>
      <w:r w:rsidR="003C2AC6" w:rsidRPr="009F337B">
        <w:rPr>
          <w:i w:val="0"/>
          <w:szCs w:val="20"/>
          <w:lang w:val="en-US"/>
        </w:rPr>
        <w:t xml:space="preserve"> </w:t>
      </w:r>
      <w:r w:rsidR="00B675D3" w:rsidRPr="009F337B">
        <w:rPr>
          <w:i w:val="0"/>
          <w:szCs w:val="20"/>
          <w:lang w:val="en-US"/>
        </w:rPr>
        <w:t xml:space="preserve">on January </w:t>
      </w:r>
      <w:r w:rsidR="003C2AC6" w:rsidRPr="009F337B">
        <w:rPr>
          <w:i w:val="0"/>
          <w:szCs w:val="20"/>
          <w:lang w:val="en-US"/>
        </w:rPr>
        <w:t>6</w:t>
      </w:r>
      <w:r w:rsidR="00B675D3" w:rsidRPr="009F337B">
        <w:rPr>
          <w:i w:val="0"/>
          <w:szCs w:val="20"/>
          <w:lang w:val="en-US"/>
        </w:rPr>
        <w:t xml:space="preserve">, </w:t>
      </w:r>
      <w:r w:rsidR="003C2AC6" w:rsidRPr="009F337B">
        <w:rPr>
          <w:i w:val="0"/>
          <w:szCs w:val="20"/>
          <w:lang w:val="en-US"/>
        </w:rPr>
        <w:t xml:space="preserve">2000, </w:t>
      </w:r>
      <w:r w:rsidR="00B675D3" w:rsidRPr="009F337B">
        <w:rPr>
          <w:i w:val="0"/>
          <w:szCs w:val="20"/>
          <w:lang w:val="en-US"/>
        </w:rPr>
        <w:t>i</w:t>
      </w:r>
      <w:r w:rsidR="003C2AC6" w:rsidRPr="009F337B">
        <w:rPr>
          <w:i w:val="0"/>
          <w:szCs w:val="20"/>
          <w:lang w:val="en-US"/>
        </w:rPr>
        <w:t xml:space="preserve">n </w:t>
      </w:r>
      <w:r w:rsidR="00D85CA7" w:rsidRPr="009F337B">
        <w:rPr>
          <w:i w:val="0"/>
          <w:szCs w:val="20"/>
          <w:lang w:val="en-US"/>
        </w:rPr>
        <w:t>the San Juan de Dios General Hospital</w:t>
      </w:r>
      <w:r w:rsidR="003C2AC6" w:rsidRPr="009F337B">
        <w:rPr>
          <w:i w:val="0"/>
          <w:szCs w:val="20"/>
          <w:lang w:val="en-US"/>
        </w:rPr>
        <w:t xml:space="preserve">, </w:t>
      </w:r>
      <w:r w:rsidR="00B675D3" w:rsidRPr="009F337B">
        <w:rPr>
          <w:i w:val="0"/>
          <w:szCs w:val="20"/>
          <w:lang w:val="en-US"/>
        </w:rPr>
        <w:t xml:space="preserve">when she was seven months pregnant and transmitted the virus to her </w:t>
      </w:r>
      <w:r w:rsidR="0010522A" w:rsidRPr="009F337B">
        <w:rPr>
          <w:i w:val="0"/>
          <w:szCs w:val="20"/>
          <w:lang w:val="en-US"/>
        </w:rPr>
        <w:t>daughter</w:t>
      </w:r>
      <w:r w:rsidR="003C2AC6" w:rsidRPr="009F337B">
        <w:rPr>
          <w:i w:val="0"/>
          <w:szCs w:val="20"/>
          <w:lang w:val="en-US"/>
        </w:rPr>
        <w:t xml:space="preserve">. </w:t>
      </w:r>
      <w:r w:rsidR="00B675D3" w:rsidRPr="009F337B">
        <w:rPr>
          <w:i w:val="0"/>
          <w:szCs w:val="20"/>
          <w:lang w:val="en-US"/>
        </w:rPr>
        <w:t>In</w:t>
      </w:r>
      <w:r w:rsidR="003C2AC6" w:rsidRPr="009F337B">
        <w:rPr>
          <w:i w:val="0"/>
          <w:szCs w:val="20"/>
          <w:lang w:val="en-US"/>
        </w:rPr>
        <w:t xml:space="preserve"> 2002</w:t>
      </w:r>
      <w:r w:rsidR="00B675D3" w:rsidRPr="009F337B">
        <w:rPr>
          <w:i w:val="0"/>
          <w:szCs w:val="20"/>
          <w:lang w:val="en-US"/>
        </w:rPr>
        <w:t xml:space="preserve">, she was referred to MSF, where she received treatment, but there was a scarcity of </w:t>
      </w:r>
      <w:r w:rsidR="00AC2165" w:rsidRPr="009F337B">
        <w:rPr>
          <w:i w:val="0"/>
          <w:szCs w:val="20"/>
          <w:lang w:val="en-US"/>
        </w:rPr>
        <w:t>antiretroviral drugs</w:t>
      </w:r>
      <w:r w:rsidR="003C46A3" w:rsidRPr="009F337B">
        <w:rPr>
          <w:i w:val="0"/>
          <w:szCs w:val="20"/>
          <w:lang w:val="en-US"/>
        </w:rPr>
        <w:t xml:space="preserve"> and </w:t>
      </w:r>
      <w:r w:rsidR="00B675D3" w:rsidRPr="009F337B">
        <w:rPr>
          <w:i w:val="0"/>
          <w:szCs w:val="20"/>
          <w:lang w:val="en-US"/>
        </w:rPr>
        <w:t>she did not undergo CD4 counts</w:t>
      </w:r>
      <w:r w:rsidR="003C2AC6" w:rsidRPr="009F337B">
        <w:rPr>
          <w:i w:val="0"/>
          <w:szCs w:val="20"/>
          <w:lang w:val="en-US"/>
        </w:rPr>
        <w:t xml:space="preserve">. </w:t>
      </w:r>
      <w:r w:rsidR="00D85CA7" w:rsidRPr="009F337B">
        <w:rPr>
          <w:i w:val="0"/>
          <w:szCs w:val="20"/>
          <w:lang w:val="en-US"/>
        </w:rPr>
        <w:t>On May 13,</w:t>
      </w:r>
      <w:r w:rsidR="003C2AC6" w:rsidRPr="009F337B">
        <w:rPr>
          <w:i w:val="0"/>
          <w:szCs w:val="20"/>
          <w:lang w:val="en-US"/>
        </w:rPr>
        <w:t xml:space="preserve"> 2004, </w:t>
      </w:r>
      <w:r w:rsidR="00B675D3" w:rsidRPr="009F337B">
        <w:rPr>
          <w:i w:val="0"/>
          <w:szCs w:val="20"/>
          <w:lang w:val="en-US"/>
        </w:rPr>
        <w:t>she began antiretroviral treatment again in MSF’s</w:t>
      </w:r>
      <w:r w:rsidR="003C2AC6" w:rsidRPr="009F337B">
        <w:rPr>
          <w:i w:val="0"/>
          <w:szCs w:val="20"/>
          <w:lang w:val="en-US"/>
        </w:rPr>
        <w:t xml:space="preserve"> </w:t>
      </w:r>
      <w:proofErr w:type="spellStart"/>
      <w:r w:rsidR="003C2AC6" w:rsidRPr="009F337B">
        <w:rPr>
          <w:i w:val="0"/>
          <w:szCs w:val="20"/>
          <w:lang w:val="en-US"/>
        </w:rPr>
        <w:t>Yaloc</w:t>
      </w:r>
      <w:proofErr w:type="spellEnd"/>
      <w:r w:rsidR="00B675D3" w:rsidRPr="009F337B">
        <w:rPr>
          <w:i w:val="0"/>
          <w:szCs w:val="20"/>
          <w:lang w:val="en-US"/>
        </w:rPr>
        <w:t xml:space="preserve"> Clinic, and she was tested periodically for viral load and CD4 count. In 2007, she was referred to the Marco Antonio Foundation where she continue</w:t>
      </w:r>
      <w:r w:rsidR="002D0A17" w:rsidRPr="009F337B">
        <w:rPr>
          <w:i w:val="0"/>
          <w:szCs w:val="20"/>
          <w:lang w:val="en-US"/>
        </w:rPr>
        <w:t>d</w:t>
      </w:r>
      <w:r w:rsidR="00B675D3" w:rsidRPr="009F337B">
        <w:rPr>
          <w:i w:val="0"/>
          <w:szCs w:val="20"/>
          <w:lang w:val="en-US"/>
        </w:rPr>
        <w:t xml:space="preserve"> to receive </w:t>
      </w:r>
      <w:r w:rsidR="00FE1EFF" w:rsidRPr="009F337B">
        <w:rPr>
          <w:i w:val="0"/>
          <w:szCs w:val="20"/>
          <w:lang w:val="en-US"/>
        </w:rPr>
        <w:t>antiretroviral treatment</w:t>
      </w:r>
      <w:r w:rsidR="003C2AC6" w:rsidRPr="009F337B">
        <w:rPr>
          <w:i w:val="0"/>
          <w:szCs w:val="20"/>
          <w:lang w:val="en-US"/>
        </w:rPr>
        <w:t xml:space="preserve">. </w:t>
      </w:r>
      <w:r w:rsidR="00D85CA7" w:rsidRPr="009F337B">
        <w:rPr>
          <w:i w:val="0"/>
          <w:szCs w:val="20"/>
          <w:lang w:val="en-US"/>
        </w:rPr>
        <w:t>In</w:t>
      </w:r>
      <w:r w:rsidR="003C2AC6" w:rsidRPr="009F337B">
        <w:rPr>
          <w:i w:val="0"/>
          <w:szCs w:val="20"/>
          <w:lang w:val="en-US"/>
        </w:rPr>
        <w:t xml:space="preserve"> 2009</w:t>
      </w:r>
      <w:r w:rsidR="00B675D3" w:rsidRPr="009F337B">
        <w:rPr>
          <w:i w:val="0"/>
          <w:szCs w:val="20"/>
          <w:lang w:val="en-US"/>
        </w:rPr>
        <w:t>, she was transferred to the</w:t>
      </w:r>
      <w:r w:rsidR="003C2AC6" w:rsidRPr="009F337B">
        <w:rPr>
          <w:i w:val="0"/>
          <w:szCs w:val="20"/>
          <w:lang w:val="en-US"/>
        </w:rPr>
        <w:t xml:space="preserve"> </w:t>
      </w:r>
      <w:r w:rsidR="00A52C6F" w:rsidRPr="009F337B">
        <w:rPr>
          <w:i w:val="0"/>
          <w:szCs w:val="20"/>
          <w:lang w:val="en-US"/>
        </w:rPr>
        <w:t xml:space="preserve">Luis </w:t>
      </w:r>
      <w:proofErr w:type="spellStart"/>
      <w:r w:rsidR="00A52C6F" w:rsidRPr="009F337B">
        <w:rPr>
          <w:i w:val="0"/>
          <w:szCs w:val="20"/>
          <w:lang w:val="en-US"/>
        </w:rPr>
        <w:t>Ángel</w:t>
      </w:r>
      <w:proofErr w:type="spellEnd"/>
      <w:r w:rsidR="00A52C6F" w:rsidRPr="009F337B">
        <w:rPr>
          <w:i w:val="0"/>
          <w:szCs w:val="20"/>
          <w:lang w:val="en-US"/>
        </w:rPr>
        <w:t xml:space="preserve"> García Clinic</w:t>
      </w:r>
      <w:r w:rsidR="003C2AC6" w:rsidRPr="009F337B">
        <w:rPr>
          <w:i w:val="0"/>
          <w:szCs w:val="20"/>
          <w:lang w:val="en-US"/>
        </w:rPr>
        <w:t xml:space="preserve">, </w:t>
      </w:r>
      <w:r w:rsidR="00B675D3" w:rsidRPr="009F337B">
        <w:rPr>
          <w:i w:val="0"/>
          <w:szCs w:val="20"/>
          <w:lang w:val="en-US"/>
        </w:rPr>
        <w:t xml:space="preserve">where both she and her daughter continued to receive </w:t>
      </w:r>
      <w:r w:rsidR="00FE1EFF" w:rsidRPr="009F337B">
        <w:rPr>
          <w:i w:val="0"/>
          <w:szCs w:val="20"/>
          <w:lang w:val="en-US"/>
        </w:rPr>
        <w:t>antiretroviral treatment</w:t>
      </w:r>
      <w:r w:rsidR="003C46A3" w:rsidRPr="009F337B">
        <w:rPr>
          <w:i w:val="0"/>
          <w:szCs w:val="20"/>
          <w:lang w:val="en-US"/>
        </w:rPr>
        <w:t xml:space="preserve"> and </w:t>
      </w:r>
      <w:r w:rsidR="00B675D3" w:rsidRPr="009F337B">
        <w:rPr>
          <w:i w:val="0"/>
          <w:szCs w:val="20"/>
          <w:lang w:val="en-US"/>
        </w:rPr>
        <w:t>she has undergone CD4 counts and viral load tests, although, at times, this has not been possible</w:t>
      </w:r>
      <w:r w:rsidR="002D0A17" w:rsidRPr="009F337B">
        <w:rPr>
          <w:i w:val="0"/>
          <w:szCs w:val="20"/>
          <w:lang w:val="en-US"/>
        </w:rPr>
        <w:t>; moreover, they have not</w:t>
      </w:r>
      <w:r w:rsidR="00B675D3" w:rsidRPr="009F337B">
        <w:rPr>
          <w:i w:val="0"/>
          <w:szCs w:val="20"/>
          <w:lang w:val="en-US"/>
        </w:rPr>
        <w:t xml:space="preserve"> been provided with medicines for other illnesses. </w:t>
      </w:r>
      <w:r w:rsidR="00EC291F" w:rsidRPr="009F337B">
        <w:rPr>
          <w:i w:val="0"/>
          <w:szCs w:val="20"/>
          <w:lang w:val="en-US"/>
        </w:rPr>
        <w:t xml:space="preserve">She has suffered from the opportunistic disease of </w:t>
      </w:r>
      <w:r w:rsidR="00297F0B" w:rsidRPr="009F337B">
        <w:rPr>
          <w:i w:val="0"/>
          <w:szCs w:val="20"/>
          <w:lang w:val="en-US"/>
        </w:rPr>
        <w:t>lipodystrophy</w:t>
      </w:r>
      <w:r w:rsidR="00EC291F" w:rsidRPr="009F337B">
        <w:rPr>
          <w:i w:val="0"/>
          <w:szCs w:val="20"/>
          <w:lang w:val="en-US"/>
        </w:rPr>
        <w:t>.</w:t>
      </w:r>
      <w:r w:rsidR="003C2AC6" w:rsidRPr="009F337B">
        <w:rPr>
          <w:rStyle w:val="Refdenotaalpie"/>
          <w:i w:val="0"/>
          <w:lang w:val="en-US"/>
        </w:rPr>
        <w:footnoteReference w:id="358"/>
      </w:r>
    </w:p>
    <w:p w14:paraId="6CAB9302" w14:textId="77777777" w:rsidR="003C2AC6" w:rsidRPr="009F337B" w:rsidRDefault="003C2AC6" w:rsidP="003C2AC6">
      <w:pPr>
        <w:pStyle w:val="Estilo1"/>
        <w:tabs>
          <w:tab w:val="left" w:pos="709"/>
          <w:tab w:val="left" w:pos="1134"/>
        </w:tabs>
        <w:spacing w:after="0"/>
        <w:ind w:left="0" w:right="-4" w:firstLine="0"/>
        <w:rPr>
          <w:i w:val="0"/>
          <w:szCs w:val="20"/>
          <w:lang w:val="en-US"/>
        </w:rPr>
      </w:pPr>
    </w:p>
    <w:p w14:paraId="12CFAB8B" w14:textId="59EBA758" w:rsidR="003C2AC6" w:rsidRPr="009F337B" w:rsidRDefault="007F1AEB" w:rsidP="00593E37">
      <w:pPr>
        <w:pStyle w:val="Estilo1"/>
        <w:numPr>
          <w:ilvl w:val="0"/>
          <w:numId w:val="5"/>
        </w:numPr>
        <w:tabs>
          <w:tab w:val="left" w:pos="709"/>
          <w:tab w:val="left" w:pos="1134"/>
        </w:tabs>
        <w:spacing w:after="0"/>
        <w:ind w:left="0" w:right="-4" w:firstLine="0"/>
        <w:rPr>
          <w:i w:val="0"/>
          <w:szCs w:val="20"/>
          <w:lang w:val="en-US"/>
        </w:rPr>
      </w:pPr>
      <w:r w:rsidRPr="009F337B">
        <w:rPr>
          <w:i w:val="0"/>
          <w:szCs w:val="20"/>
          <w:lang w:val="en-US"/>
        </w:rPr>
        <w:t>Mrs.</w:t>
      </w:r>
      <w:r w:rsidR="003C2AC6" w:rsidRPr="009F337B">
        <w:rPr>
          <w:i w:val="0"/>
          <w:szCs w:val="20"/>
          <w:lang w:val="en-US"/>
        </w:rPr>
        <w:t xml:space="preserve"> Zepeda Herrera </w:t>
      </w:r>
      <w:r w:rsidR="00D85CA7" w:rsidRPr="009F337B">
        <w:rPr>
          <w:i w:val="0"/>
          <w:szCs w:val="20"/>
          <w:lang w:val="en-US"/>
        </w:rPr>
        <w:t>indicated that the treatment she received</w:t>
      </w:r>
      <w:r w:rsidR="002D0A17" w:rsidRPr="009F337B">
        <w:rPr>
          <w:i w:val="0"/>
          <w:szCs w:val="20"/>
          <w:lang w:val="en-US"/>
        </w:rPr>
        <w:t xml:space="preserve"> from the health personnel</w:t>
      </w:r>
      <w:r w:rsidR="00D85CA7" w:rsidRPr="009F337B">
        <w:rPr>
          <w:i w:val="0"/>
          <w:szCs w:val="20"/>
          <w:lang w:val="en-US"/>
        </w:rPr>
        <w:t xml:space="preserve"> </w:t>
      </w:r>
      <w:r w:rsidR="002D0A17" w:rsidRPr="009F337B">
        <w:rPr>
          <w:i w:val="0"/>
          <w:szCs w:val="20"/>
          <w:lang w:val="en-US"/>
        </w:rPr>
        <w:t>of</w:t>
      </w:r>
      <w:r w:rsidR="00D85CA7" w:rsidRPr="009F337B">
        <w:rPr>
          <w:i w:val="0"/>
          <w:szCs w:val="20"/>
          <w:lang w:val="en-US"/>
        </w:rPr>
        <w:t xml:space="preserve"> the San Juan de Dios Hospital</w:t>
      </w:r>
      <w:r w:rsidR="003C2AC6" w:rsidRPr="009F337B">
        <w:rPr>
          <w:i w:val="0"/>
          <w:szCs w:val="20"/>
          <w:lang w:val="en-US"/>
        </w:rPr>
        <w:t xml:space="preserve"> </w:t>
      </w:r>
      <w:r w:rsidR="00D85CA7" w:rsidRPr="009F337B">
        <w:rPr>
          <w:i w:val="0"/>
          <w:szCs w:val="20"/>
          <w:lang w:val="en-US"/>
        </w:rPr>
        <w:t xml:space="preserve">was not very friendly and that, at times, there were no drugs, so that she had to buy them. She stated that, in the </w:t>
      </w:r>
      <w:r w:rsidR="003C2AC6" w:rsidRPr="009F337B">
        <w:rPr>
          <w:i w:val="0"/>
          <w:szCs w:val="20"/>
          <w:lang w:val="en-US"/>
        </w:rPr>
        <w:t xml:space="preserve">Luis </w:t>
      </w:r>
      <w:proofErr w:type="spellStart"/>
      <w:r w:rsidR="003C2AC6" w:rsidRPr="009F337B">
        <w:rPr>
          <w:i w:val="0"/>
          <w:szCs w:val="20"/>
          <w:lang w:val="en-US"/>
        </w:rPr>
        <w:t>Ángel</w:t>
      </w:r>
      <w:proofErr w:type="spellEnd"/>
      <w:r w:rsidR="003C2AC6" w:rsidRPr="009F337B">
        <w:rPr>
          <w:i w:val="0"/>
          <w:szCs w:val="20"/>
          <w:lang w:val="en-US"/>
        </w:rPr>
        <w:t xml:space="preserve"> García</w:t>
      </w:r>
      <w:r w:rsidR="00D85CA7" w:rsidRPr="009F337B">
        <w:rPr>
          <w:i w:val="0"/>
          <w:szCs w:val="20"/>
          <w:lang w:val="en-US"/>
        </w:rPr>
        <w:t xml:space="preserve"> Clinic,</w:t>
      </w:r>
      <w:r w:rsidR="003C2AC6" w:rsidRPr="009F337B">
        <w:rPr>
          <w:i w:val="0"/>
          <w:szCs w:val="20"/>
          <w:lang w:val="en-US"/>
        </w:rPr>
        <w:t xml:space="preserve"> </w:t>
      </w:r>
      <w:r w:rsidR="00D85CA7" w:rsidRPr="009F337B">
        <w:rPr>
          <w:i w:val="0"/>
          <w:szCs w:val="20"/>
          <w:lang w:val="en-US"/>
        </w:rPr>
        <w:t xml:space="preserve">the medical staff showed an interest in her health and provided her with satisfactory treatment. Before being diagnosed, she was employed in the </w:t>
      </w:r>
      <w:r w:rsidR="003C2AC6" w:rsidRPr="009F337B">
        <w:rPr>
          <w:i w:val="0"/>
          <w:szCs w:val="20"/>
          <w:lang w:val="en-US"/>
        </w:rPr>
        <w:t>“Fashion”</w:t>
      </w:r>
      <w:r w:rsidR="00D85CA7" w:rsidRPr="009F337B">
        <w:rPr>
          <w:i w:val="0"/>
          <w:szCs w:val="20"/>
          <w:lang w:val="en-US"/>
        </w:rPr>
        <w:t xml:space="preserve"> maquila plant, but was dismissed when she reported her diagnosis. Currently she finds it difficult to obtain employment because she is asked to provide her health card and undergo testing; she also has to request leave to attend her medical check-ups and companies find this difficult, “they ask a lot of question, which even result</w:t>
      </w:r>
      <w:r w:rsidR="002D0A17" w:rsidRPr="009F337B">
        <w:rPr>
          <w:i w:val="0"/>
          <w:szCs w:val="20"/>
          <w:lang w:val="en-US"/>
        </w:rPr>
        <w:t>s</w:t>
      </w:r>
      <w:r w:rsidR="00D85CA7" w:rsidRPr="009F337B">
        <w:rPr>
          <w:i w:val="0"/>
          <w:szCs w:val="20"/>
          <w:lang w:val="en-US"/>
        </w:rPr>
        <w:t xml:space="preserve"> in harassment.” She therefore makes a living selling various products in the markets of Guatemala City. Her family also rejected her, so that she has lacked financial support, and is unable to pay for the schooling of her daughter, who has had to work with her so that they can both eat.</w:t>
      </w:r>
      <w:r w:rsidR="003C2AC6" w:rsidRPr="009F337B">
        <w:rPr>
          <w:rStyle w:val="Refdenotaalpie"/>
          <w:i w:val="0"/>
          <w:lang w:val="en-US"/>
        </w:rPr>
        <w:footnoteReference w:id="359"/>
      </w:r>
    </w:p>
    <w:p w14:paraId="6A289D97" w14:textId="77777777" w:rsidR="00D34155" w:rsidRPr="009F337B" w:rsidRDefault="00D34155" w:rsidP="00D34155">
      <w:pPr>
        <w:pStyle w:val="Estilo1"/>
        <w:tabs>
          <w:tab w:val="left" w:pos="709"/>
          <w:tab w:val="left" w:pos="1134"/>
        </w:tabs>
        <w:spacing w:after="0"/>
        <w:ind w:left="0" w:right="-4" w:firstLine="0"/>
        <w:rPr>
          <w:i w:val="0"/>
          <w:szCs w:val="20"/>
          <w:lang w:val="en-US"/>
        </w:rPr>
      </w:pPr>
    </w:p>
    <w:p w14:paraId="6BD6F22C" w14:textId="5E987401" w:rsidR="003C2AC6" w:rsidRPr="009F337B" w:rsidRDefault="00013EC3" w:rsidP="00593E37">
      <w:pPr>
        <w:pStyle w:val="Estilo1"/>
        <w:numPr>
          <w:ilvl w:val="0"/>
          <w:numId w:val="5"/>
        </w:numPr>
        <w:tabs>
          <w:tab w:val="left" w:pos="709"/>
          <w:tab w:val="left" w:pos="1134"/>
        </w:tabs>
        <w:spacing w:after="0"/>
        <w:ind w:left="0" w:right="-4" w:firstLine="0"/>
        <w:rPr>
          <w:lang w:val="en-US" w:eastAsia="es-ES"/>
        </w:rPr>
      </w:pPr>
      <w:r w:rsidRPr="009F337B">
        <w:rPr>
          <w:i w:val="0"/>
          <w:szCs w:val="20"/>
          <w:lang w:val="en-US"/>
        </w:rPr>
        <w:t xml:space="preserve">Her </w:t>
      </w:r>
      <w:r w:rsidR="003B5D80" w:rsidRPr="009F337B">
        <w:rPr>
          <w:i w:val="0"/>
          <w:szCs w:val="20"/>
          <w:lang w:val="en-US"/>
        </w:rPr>
        <w:t>family unit</w:t>
      </w:r>
      <w:r w:rsidRPr="009F337B">
        <w:rPr>
          <w:i w:val="0"/>
          <w:szCs w:val="20"/>
          <w:lang w:val="en-US"/>
        </w:rPr>
        <w:t xml:space="preserve"> consists of her </w:t>
      </w:r>
      <w:r w:rsidR="0010522A" w:rsidRPr="009F337B">
        <w:rPr>
          <w:i w:val="0"/>
          <w:szCs w:val="20"/>
          <w:lang w:val="en-US"/>
        </w:rPr>
        <w:t>son</w:t>
      </w:r>
      <w:r w:rsidR="003C2AC6" w:rsidRPr="009F337B">
        <w:rPr>
          <w:i w:val="0"/>
          <w:szCs w:val="20"/>
          <w:lang w:val="en-US"/>
        </w:rPr>
        <w:t xml:space="preserve">s Jorge Eduardo, </w:t>
      </w:r>
      <w:proofErr w:type="spellStart"/>
      <w:r w:rsidR="003C2AC6" w:rsidRPr="009F337B">
        <w:rPr>
          <w:i w:val="0"/>
          <w:szCs w:val="20"/>
          <w:lang w:val="en-US"/>
        </w:rPr>
        <w:t>Josué</w:t>
      </w:r>
      <w:proofErr w:type="spellEnd"/>
      <w:r w:rsidR="003C2AC6" w:rsidRPr="009F337B">
        <w:rPr>
          <w:i w:val="0"/>
          <w:szCs w:val="20"/>
          <w:lang w:val="en-US"/>
        </w:rPr>
        <w:t xml:space="preserve"> David, Brandon</w:t>
      </w:r>
      <w:r w:rsidR="003C46A3" w:rsidRPr="009F337B">
        <w:rPr>
          <w:i w:val="0"/>
          <w:szCs w:val="20"/>
          <w:lang w:val="en-US"/>
        </w:rPr>
        <w:t xml:space="preserve"> and </w:t>
      </w:r>
      <w:r w:rsidR="003C2AC6" w:rsidRPr="009F337B">
        <w:rPr>
          <w:i w:val="0"/>
          <w:szCs w:val="20"/>
          <w:lang w:val="en-US"/>
        </w:rPr>
        <w:t xml:space="preserve">Antonio, </w:t>
      </w:r>
      <w:r w:rsidRPr="009F337B">
        <w:rPr>
          <w:i w:val="0"/>
          <w:szCs w:val="20"/>
          <w:lang w:val="en-US"/>
        </w:rPr>
        <w:t xml:space="preserve">all </w:t>
      </w:r>
      <w:r w:rsidR="003C2AC6" w:rsidRPr="009F337B">
        <w:rPr>
          <w:i w:val="0"/>
          <w:szCs w:val="20"/>
          <w:lang w:val="en-US"/>
        </w:rPr>
        <w:t xml:space="preserve">Zepeda, </w:t>
      </w:r>
      <w:r w:rsidRPr="009F337B">
        <w:rPr>
          <w:i w:val="0"/>
          <w:szCs w:val="20"/>
          <w:lang w:val="en-US"/>
        </w:rPr>
        <w:t>her</w:t>
      </w:r>
      <w:r w:rsidR="003C2AC6" w:rsidRPr="009F337B">
        <w:rPr>
          <w:i w:val="0"/>
          <w:szCs w:val="20"/>
          <w:lang w:val="en-US"/>
        </w:rPr>
        <w:t xml:space="preserve"> </w:t>
      </w:r>
      <w:r w:rsidR="0010522A" w:rsidRPr="009F337B">
        <w:rPr>
          <w:i w:val="0"/>
          <w:szCs w:val="20"/>
          <w:lang w:val="en-US"/>
        </w:rPr>
        <w:t>daughter</w:t>
      </w:r>
      <w:r w:rsidR="003C2AC6" w:rsidRPr="009F337B">
        <w:rPr>
          <w:i w:val="0"/>
          <w:szCs w:val="20"/>
          <w:lang w:val="en-US"/>
        </w:rPr>
        <w:t xml:space="preserve"> Katherine Alejandra </w:t>
      </w:r>
      <w:proofErr w:type="spellStart"/>
      <w:r w:rsidR="003C2AC6" w:rsidRPr="009F337B">
        <w:rPr>
          <w:i w:val="0"/>
          <w:szCs w:val="20"/>
          <w:lang w:val="en-US"/>
        </w:rPr>
        <w:t>Girón</w:t>
      </w:r>
      <w:proofErr w:type="spellEnd"/>
      <w:r w:rsidR="003C2AC6" w:rsidRPr="009F337B">
        <w:rPr>
          <w:i w:val="0"/>
          <w:szCs w:val="20"/>
          <w:lang w:val="en-US"/>
        </w:rPr>
        <w:t xml:space="preserve"> Zepeda</w:t>
      </w:r>
      <w:r w:rsidR="00AE7647" w:rsidRPr="009F337B">
        <w:rPr>
          <w:i w:val="0"/>
          <w:szCs w:val="20"/>
          <w:lang w:val="en-US"/>
        </w:rPr>
        <w:t>,</w:t>
      </w:r>
      <w:r w:rsidR="003C46A3" w:rsidRPr="009F337B">
        <w:rPr>
          <w:i w:val="0"/>
          <w:szCs w:val="20"/>
          <w:lang w:val="en-US"/>
        </w:rPr>
        <w:t xml:space="preserve"> and </w:t>
      </w:r>
      <w:r w:rsidRPr="009F337B">
        <w:rPr>
          <w:i w:val="0"/>
          <w:szCs w:val="20"/>
          <w:lang w:val="en-US"/>
        </w:rPr>
        <w:t>her</w:t>
      </w:r>
      <w:r w:rsidR="003C2AC6" w:rsidRPr="009F337B">
        <w:rPr>
          <w:i w:val="0"/>
          <w:szCs w:val="20"/>
          <w:lang w:val="en-US"/>
        </w:rPr>
        <w:t xml:space="preserve"> </w:t>
      </w:r>
      <w:r w:rsidR="0010522A" w:rsidRPr="009F337B">
        <w:rPr>
          <w:i w:val="0"/>
          <w:szCs w:val="20"/>
          <w:lang w:val="en-US"/>
        </w:rPr>
        <w:t>partner</w:t>
      </w:r>
      <w:r w:rsidR="003C2AC6" w:rsidRPr="009F337B">
        <w:rPr>
          <w:i w:val="0"/>
          <w:szCs w:val="20"/>
          <w:lang w:val="en-US"/>
        </w:rPr>
        <w:t xml:space="preserve"> José Luis </w:t>
      </w:r>
      <w:proofErr w:type="spellStart"/>
      <w:r w:rsidR="003C2AC6" w:rsidRPr="009F337B">
        <w:rPr>
          <w:i w:val="0"/>
          <w:szCs w:val="20"/>
          <w:lang w:val="en-US"/>
        </w:rPr>
        <w:t>Girón</w:t>
      </w:r>
      <w:proofErr w:type="spellEnd"/>
      <w:r w:rsidR="003C2AC6" w:rsidRPr="009F337B">
        <w:rPr>
          <w:i w:val="0"/>
          <w:szCs w:val="20"/>
          <w:lang w:val="en-US"/>
        </w:rPr>
        <w:t xml:space="preserve"> (</w:t>
      </w:r>
      <w:r w:rsidR="0010522A" w:rsidRPr="009F337B">
        <w:rPr>
          <w:i w:val="0"/>
          <w:szCs w:val="20"/>
          <w:lang w:val="en-US"/>
        </w:rPr>
        <w:t>deceased</w:t>
      </w:r>
      <w:r w:rsidR="003C2AC6" w:rsidRPr="009F337B">
        <w:rPr>
          <w:i w:val="0"/>
          <w:szCs w:val="20"/>
          <w:lang w:val="en-US"/>
        </w:rPr>
        <w:t>)</w:t>
      </w:r>
      <w:r w:rsidRPr="009F337B">
        <w:rPr>
          <w:i w:val="0"/>
          <w:szCs w:val="20"/>
          <w:lang w:val="en-US"/>
        </w:rPr>
        <w:t>.</w:t>
      </w:r>
      <w:r w:rsidR="003C2AC6" w:rsidRPr="009F337B">
        <w:rPr>
          <w:rStyle w:val="Refdenotaalpie"/>
          <w:i w:val="0"/>
          <w:lang w:val="en-US"/>
        </w:rPr>
        <w:footnoteReference w:id="360"/>
      </w:r>
    </w:p>
    <w:p w14:paraId="7F3969DD" w14:textId="77777777" w:rsidR="000352ED" w:rsidRPr="009F337B" w:rsidRDefault="000352ED" w:rsidP="000352ED">
      <w:pPr>
        <w:pStyle w:val="Prrafodelista"/>
        <w:rPr>
          <w:lang w:val="en-US" w:eastAsia="es-ES"/>
        </w:rPr>
      </w:pPr>
    </w:p>
    <w:p w14:paraId="71EF9884" w14:textId="77777777" w:rsidR="000352ED" w:rsidRPr="009F337B" w:rsidRDefault="000352ED" w:rsidP="000352ED">
      <w:pPr>
        <w:pStyle w:val="Estilo1"/>
        <w:tabs>
          <w:tab w:val="left" w:pos="709"/>
          <w:tab w:val="left" w:pos="1134"/>
        </w:tabs>
        <w:spacing w:after="0"/>
        <w:ind w:left="0" w:right="-4" w:firstLine="0"/>
        <w:rPr>
          <w:i w:val="0"/>
          <w:lang w:val="en-US" w:eastAsia="es-ES"/>
        </w:rPr>
        <w:sectPr w:rsidR="000352ED" w:rsidRPr="009F337B" w:rsidSect="00903904">
          <w:footerReference w:type="default" r:id="rId8"/>
          <w:pgSz w:w="12240" w:h="15840"/>
          <w:pgMar w:top="1440" w:right="1440" w:bottom="1440" w:left="1440" w:header="720" w:footer="720" w:gutter="0"/>
          <w:cols w:space="720"/>
          <w:titlePg/>
          <w:docGrid w:linePitch="360"/>
        </w:sectPr>
      </w:pPr>
    </w:p>
    <w:p w14:paraId="0FBAED0D" w14:textId="63ACAEF5" w:rsidR="000352ED" w:rsidRPr="009F337B" w:rsidRDefault="00B2576F" w:rsidP="000352ED">
      <w:pPr>
        <w:keepNext/>
        <w:outlineLvl w:val="0"/>
        <w:rPr>
          <w:rFonts w:eastAsia="Times" w:cs="Times New Roman"/>
          <w:szCs w:val="20"/>
          <w:lang w:val="en-US"/>
        </w:rPr>
      </w:pPr>
      <w:r w:rsidRPr="009F337B">
        <w:rPr>
          <w:rFonts w:eastAsia="Times" w:cs="Times New Roman"/>
          <w:szCs w:val="20"/>
          <w:lang w:val="en-US"/>
        </w:rPr>
        <w:t>I/A CourtHR</w:t>
      </w:r>
      <w:r w:rsidR="000352ED" w:rsidRPr="009F337B">
        <w:rPr>
          <w:rFonts w:eastAsia="Times" w:cs="Times New Roman"/>
          <w:szCs w:val="20"/>
          <w:lang w:val="en-US"/>
        </w:rPr>
        <w:t>. Cas</w:t>
      </w:r>
      <w:r w:rsidRPr="009F337B">
        <w:rPr>
          <w:rFonts w:eastAsia="Times" w:cs="Times New Roman"/>
          <w:szCs w:val="20"/>
          <w:lang w:val="en-US"/>
        </w:rPr>
        <w:t xml:space="preserve">e of </w:t>
      </w:r>
      <w:r w:rsidR="000352ED" w:rsidRPr="009F337B">
        <w:rPr>
          <w:rFonts w:eastAsia="Times" w:cs="Times New Roman"/>
          <w:szCs w:val="20"/>
          <w:lang w:val="en-US"/>
        </w:rPr>
        <w:t xml:space="preserve">Cuscúl </w:t>
      </w:r>
      <w:r w:rsidR="00AE5F9E" w:rsidRPr="009F337B">
        <w:rPr>
          <w:rFonts w:eastAsia="Times" w:cs="Times New Roman"/>
          <w:szCs w:val="20"/>
          <w:lang w:val="en-US"/>
        </w:rPr>
        <w:t xml:space="preserve">Pivaral </w:t>
      </w:r>
      <w:r w:rsidR="00AE5F9E" w:rsidRPr="009F337B">
        <w:rPr>
          <w:rFonts w:eastAsia="Times" w:cs="Times New Roman"/>
          <w:i/>
          <w:szCs w:val="20"/>
          <w:lang w:val="en-US"/>
        </w:rPr>
        <w:t>et al. v.</w:t>
      </w:r>
      <w:r w:rsidR="000352ED" w:rsidRPr="009F337B">
        <w:rPr>
          <w:rFonts w:eastAsia="Times" w:cs="Times New Roman"/>
          <w:szCs w:val="20"/>
          <w:lang w:val="en-US"/>
        </w:rPr>
        <w:t xml:space="preserve"> Guatemala. </w:t>
      </w:r>
      <w:r w:rsidR="007A7F3A" w:rsidRPr="009F337B">
        <w:rPr>
          <w:rFonts w:eastAsia="Times" w:cs="Times New Roman"/>
          <w:szCs w:val="20"/>
          <w:lang w:val="en-US"/>
        </w:rPr>
        <w:t>Preliminary objection</w:t>
      </w:r>
      <w:r w:rsidR="000352ED" w:rsidRPr="009F337B">
        <w:rPr>
          <w:rFonts w:eastAsia="Times" w:cs="Times New Roman"/>
          <w:szCs w:val="20"/>
          <w:lang w:val="en-US"/>
        </w:rPr>
        <w:t xml:space="preserve">, </w:t>
      </w:r>
      <w:r w:rsidRPr="009F337B">
        <w:rPr>
          <w:rFonts w:eastAsia="Times" w:cs="Times New Roman"/>
          <w:szCs w:val="20"/>
          <w:lang w:val="en-US"/>
        </w:rPr>
        <w:t xml:space="preserve">merits, reparations and costs. Judgment of August 23, </w:t>
      </w:r>
      <w:r w:rsidR="000352ED" w:rsidRPr="009F337B">
        <w:rPr>
          <w:rFonts w:eastAsia="Times" w:cs="Times New Roman"/>
          <w:szCs w:val="20"/>
          <w:lang w:val="en-US"/>
        </w:rPr>
        <w:t>2018.</w:t>
      </w:r>
    </w:p>
    <w:p w14:paraId="1124D12F" w14:textId="77777777" w:rsidR="000352ED" w:rsidRPr="009F337B" w:rsidRDefault="000352ED" w:rsidP="000352ED">
      <w:pPr>
        <w:jc w:val="center"/>
        <w:rPr>
          <w:rFonts w:eastAsia="Times" w:cs="Times New Roman"/>
          <w:szCs w:val="20"/>
          <w:lang w:val="en-US"/>
        </w:rPr>
      </w:pPr>
    </w:p>
    <w:p w14:paraId="4C79BA29" w14:textId="77777777" w:rsidR="000352ED" w:rsidRPr="009F337B" w:rsidRDefault="000352ED" w:rsidP="000352ED">
      <w:pPr>
        <w:jc w:val="center"/>
        <w:rPr>
          <w:rFonts w:eastAsia="Times" w:cs="Times New Roman"/>
          <w:szCs w:val="20"/>
          <w:lang w:val="en-US"/>
        </w:rPr>
      </w:pPr>
    </w:p>
    <w:p w14:paraId="74E798AC" w14:textId="77777777" w:rsidR="000352ED" w:rsidRPr="009F337B" w:rsidRDefault="000352ED" w:rsidP="000352ED">
      <w:pPr>
        <w:jc w:val="center"/>
        <w:rPr>
          <w:rFonts w:eastAsia="Times" w:cs="Times New Roman"/>
          <w:szCs w:val="20"/>
          <w:lang w:val="en-US"/>
        </w:rPr>
      </w:pPr>
    </w:p>
    <w:p w14:paraId="73D90042" w14:textId="77777777" w:rsidR="000352ED" w:rsidRPr="009F337B" w:rsidRDefault="000352ED" w:rsidP="000352ED">
      <w:pPr>
        <w:jc w:val="center"/>
        <w:rPr>
          <w:rFonts w:eastAsia="Times" w:cs="Times New Roman"/>
          <w:szCs w:val="20"/>
          <w:lang w:val="en-US"/>
        </w:rPr>
      </w:pPr>
    </w:p>
    <w:p w14:paraId="66EBD4E4" w14:textId="77777777" w:rsidR="000352ED" w:rsidRPr="009F337B" w:rsidRDefault="000352ED" w:rsidP="000352ED">
      <w:pPr>
        <w:jc w:val="center"/>
        <w:rPr>
          <w:rFonts w:eastAsia="Times" w:cs="Times New Roman"/>
          <w:szCs w:val="20"/>
          <w:lang w:val="en-US"/>
        </w:rPr>
      </w:pPr>
    </w:p>
    <w:p w14:paraId="005324D8" w14:textId="77777777" w:rsidR="000352ED" w:rsidRPr="009F337B" w:rsidRDefault="000352ED" w:rsidP="000352ED">
      <w:pPr>
        <w:jc w:val="center"/>
        <w:rPr>
          <w:rFonts w:eastAsia="Times" w:cs="Times New Roman"/>
          <w:szCs w:val="20"/>
          <w:lang w:val="en-US"/>
        </w:rPr>
      </w:pPr>
      <w:r w:rsidRPr="009F337B">
        <w:rPr>
          <w:rFonts w:eastAsia="Times" w:cs="Times New Roman"/>
          <w:szCs w:val="20"/>
          <w:lang w:val="en-US"/>
        </w:rPr>
        <w:t>Eduardo Ferrer Mac-Gregor Poisot</w:t>
      </w:r>
    </w:p>
    <w:p w14:paraId="10B9292B" w14:textId="05185CD8" w:rsidR="000352ED" w:rsidRPr="009F337B" w:rsidRDefault="00AE5F9E" w:rsidP="000352ED">
      <w:pPr>
        <w:jc w:val="center"/>
        <w:rPr>
          <w:rFonts w:eastAsia="Times" w:cs="Times New Roman"/>
          <w:szCs w:val="20"/>
          <w:lang w:val="en-US"/>
        </w:rPr>
      </w:pPr>
      <w:r w:rsidRPr="009F337B">
        <w:rPr>
          <w:rFonts w:eastAsia="Times" w:cs="Times New Roman"/>
          <w:szCs w:val="20"/>
          <w:lang w:val="en-US"/>
        </w:rPr>
        <w:t>President</w:t>
      </w:r>
      <w:r w:rsidR="000352ED" w:rsidRPr="009F337B">
        <w:rPr>
          <w:rFonts w:eastAsia="Times" w:cs="Times New Roman"/>
          <w:szCs w:val="20"/>
          <w:lang w:val="en-US"/>
        </w:rPr>
        <w:t xml:space="preserve"> </w:t>
      </w:r>
    </w:p>
    <w:p w14:paraId="2A6D2107" w14:textId="77777777" w:rsidR="000352ED" w:rsidRPr="009F337B" w:rsidRDefault="000352ED" w:rsidP="000352ED">
      <w:pPr>
        <w:rPr>
          <w:rFonts w:eastAsia="Times" w:cs="Times New Roman"/>
          <w:szCs w:val="20"/>
          <w:lang w:val="en-US"/>
        </w:rPr>
      </w:pPr>
    </w:p>
    <w:p w14:paraId="3798D98C" w14:textId="77777777" w:rsidR="000352ED" w:rsidRPr="009F337B" w:rsidRDefault="000352ED" w:rsidP="000352ED">
      <w:pPr>
        <w:rPr>
          <w:rFonts w:eastAsia="Times" w:cs="Times New Roman"/>
          <w:szCs w:val="20"/>
          <w:lang w:val="en-US"/>
        </w:rPr>
      </w:pPr>
    </w:p>
    <w:p w14:paraId="7DDEB143" w14:textId="77777777" w:rsidR="000352ED" w:rsidRPr="009F337B" w:rsidRDefault="000352ED" w:rsidP="000352ED">
      <w:pPr>
        <w:rPr>
          <w:rFonts w:eastAsia="Times" w:cs="Times New Roman"/>
          <w:szCs w:val="20"/>
          <w:lang w:val="en-US"/>
        </w:rPr>
      </w:pPr>
    </w:p>
    <w:p w14:paraId="63435CA3" w14:textId="77777777" w:rsidR="000352ED" w:rsidRPr="009F337B" w:rsidRDefault="000352ED" w:rsidP="000352ED">
      <w:pPr>
        <w:rPr>
          <w:rFonts w:eastAsia="Times" w:cs="Times New Roman"/>
          <w:szCs w:val="20"/>
          <w:lang w:val="en-US"/>
        </w:rPr>
      </w:pPr>
    </w:p>
    <w:p w14:paraId="2A45B873" w14:textId="77777777" w:rsidR="000352ED" w:rsidRPr="009F337B" w:rsidRDefault="000352ED" w:rsidP="000352ED">
      <w:pPr>
        <w:rPr>
          <w:rFonts w:eastAsia="Times" w:cs="Times New Roman"/>
          <w:szCs w:val="20"/>
          <w:lang w:val="en-US"/>
        </w:rPr>
      </w:pPr>
    </w:p>
    <w:p w14:paraId="4FC1E872" w14:textId="06562F27" w:rsidR="000352ED" w:rsidRPr="009F337B" w:rsidRDefault="000352ED" w:rsidP="000352ED">
      <w:pPr>
        <w:rPr>
          <w:rFonts w:eastAsia="Times" w:cs="Times New Roman"/>
          <w:szCs w:val="20"/>
          <w:lang w:val="en-US"/>
        </w:rPr>
      </w:pPr>
      <w:r w:rsidRPr="009F337B">
        <w:rPr>
          <w:rFonts w:eastAsia="Times" w:cs="Times New Roman"/>
          <w:szCs w:val="20"/>
          <w:lang w:val="en-US"/>
        </w:rPr>
        <w:t xml:space="preserve">Humberto A. Sierra Porto </w:t>
      </w:r>
      <w:r w:rsidRPr="009F337B">
        <w:rPr>
          <w:rFonts w:eastAsia="Times" w:cs="Times New Roman"/>
          <w:szCs w:val="20"/>
          <w:lang w:val="en-US"/>
        </w:rPr>
        <w:tab/>
      </w:r>
      <w:r w:rsidRPr="009F337B">
        <w:rPr>
          <w:rFonts w:eastAsia="Times" w:cs="Times New Roman"/>
          <w:szCs w:val="20"/>
          <w:lang w:val="en-US"/>
        </w:rPr>
        <w:tab/>
      </w:r>
      <w:r w:rsidRPr="009F337B">
        <w:rPr>
          <w:rFonts w:eastAsia="Times" w:cs="Times New Roman"/>
          <w:szCs w:val="20"/>
          <w:lang w:val="en-US"/>
        </w:rPr>
        <w:tab/>
      </w:r>
      <w:r w:rsidRPr="009F337B">
        <w:rPr>
          <w:rFonts w:eastAsia="Times" w:cs="Times New Roman"/>
          <w:szCs w:val="20"/>
          <w:lang w:val="en-US"/>
        </w:rPr>
        <w:tab/>
      </w:r>
      <w:r w:rsidRPr="009F337B">
        <w:rPr>
          <w:rFonts w:eastAsia="Times" w:cs="Times New Roman"/>
          <w:szCs w:val="20"/>
          <w:lang w:val="en-US"/>
        </w:rPr>
        <w:tab/>
      </w:r>
      <w:r w:rsidRPr="009F337B">
        <w:rPr>
          <w:rFonts w:eastAsia="Times" w:cs="Times New Roman"/>
          <w:szCs w:val="20"/>
          <w:lang w:val="en-US"/>
        </w:rPr>
        <w:tab/>
        <w:t xml:space="preserve">  Elizabeth Odio Benito</w:t>
      </w:r>
    </w:p>
    <w:p w14:paraId="5CFF40FE" w14:textId="77777777" w:rsidR="000352ED" w:rsidRPr="009F337B" w:rsidRDefault="000352ED" w:rsidP="000352ED">
      <w:pPr>
        <w:rPr>
          <w:rFonts w:eastAsia="Times" w:cs="Times New Roman"/>
          <w:szCs w:val="20"/>
          <w:lang w:val="en-US"/>
        </w:rPr>
      </w:pPr>
    </w:p>
    <w:p w14:paraId="476D3979" w14:textId="77777777" w:rsidR="000352ED" w:rsidRPr="009F337B" w:rsidRDefault="000352ED" w:rsidP="000352ED">
      <w:pPr>
        <w:rPr>
          <w:rFonts w:eastAsia="Times" w:cs="Times New Roman"/>
          <w:szCs w:val="20"/>
          <w:lang w:val="en-US"/>
        </w:rPr>
      </w:pPr>
    </w:p>
    <w:p w14:paraId="4442B1B2" w14:textId="77777777" w:rsidR="000352ED" w:rsidRPr="009F337B" w:rsidRDefault="000352ED" w:rsidP="000352ED">
      <w:pPr>
        <w:rPr>
          <w:rFonts w:eastAsia="Times" w:cs="Times New Roman"/>
          <w:szCs w:val="20"/>
          <w:lang w:val="en-US"/>
        </w:rPr>
      </w:pPr>
    </w:p>
    <w:p w14:paraId="4DA7D23B" w14:textId="77777777" w:rsidR="000352ED" w:rsidRPr="009F337B" w:rsidRDefault="000352ED" w:rsidP="000352ED">
      <w:pPr>
        <w:rPr>
          <w:rFonts w:eastAsia="Times" w:cs="Times New Roman"/>
          <w:szCs w:val="20"/>
          <w:lang w:val="en-US"/>
        </w:rPr>
      </w:pPr>
    </w:p>
    <w:p w14:paraId="3A38EFBC" w14:textId="77777777" w:rsidR="000352ED" w:rsidRPr="009F337B" w:rsidRDefault="000352ED" w:rsidP="000352ED">
      <w:pPr>
        <w:rPr>
          <w:rFonts w:eastAsia="Times" w:cs="Times New Roman"/>
          <w:szCs w:val="20"/>
          <w:lang w:val="en-US"/>
        </w:rPr>
      </w:pPr>
    </w:p>
    <w:p w14:paraId="3551D205" w14:textId="3D95EE03" w:rsidR="000352ED" w:rsidRPr="009F337B" w:rsidRDefault="000352ED" w:rsidP="000352ED">
      <w:pPr>
        <w:rPr>
          <w:rFonts w:eastAsia="Times" w:cs="Times New Roman"/>
          <w:szCs w:val="20"/>
          <w:lang w:val="en-US"/>
        </w:rPr>
      </w:pPr>
      <w:r w:rsidRPr="009F337B">
        <w:rPr>
          <w:rFonts w:eastAsia="Times" w:cs="Times New Roman"/>
          <w:szCs w:val="20"/>
          <w:lang w:val="en-US"/>
        </w:rPr>
        <w:t xml:space="preserve">Eugenio Raúl Zaffaroni </w:t>
      </w:r>
      <w:r w:rsidRPr="009F337B">
        <w:rPr>
          <w:rFonts w:eastAsia="Times" w:cs="Times New Roman"/>
          <w:szCs w:val="20"/>
          <w:lang w:val="en-US"/>
        </w:rPr>
        <w:tab/>
      </w:r>
      <w:r w:rsidRPr="009F337B">
        <w:rPr>
          <w:rFonts w:eastAsia="Times" w:cs="Times New Roman"/>
          <w:szCs w:val="20"/>
          <w:lang w:val="en-US"/>
        </w:rPr>
        <w:tab/>
      </w:r>
      <w:r w:rsidRPr="009F337B">
        <w:rPr>
          <w:rFonts w:eastAsia="Times" w:cs="Times New Roman"/>
          <w:szCs w:val="20"/>
          <w:lang w:val="en-US"/>
        </w:rPr>
        <w:tab/>
      </w:r>
      <w:r w:rsidRPr="009F337B">
        <w:rPr>
          <w:rFonts w:eastAsia="Times" w:cs="Times New Roman"/>
          <w:szCs w:val="20"/>
          <w:lang w:val="en-US"/>
        </w:rPr>
        <w:tab/>
      </w:r>
      <w:r w:rsidRPr="009F337B">
        <w:rPr>
          <w:rFonts w:eastAsia="Times" w:cs="Times New Roman"/>
          <w:szCs w:val="20"/>
          <w:lang w:val="en-US"/>
        </w:rPr>
        <w:tab/>
        <w:t xml:space="preserve">       L. Patricio Pazmiño Freire</w:t>
      </w:r>
    </w:p>
    <w:p w14:paraId="1EF2D1AD" w14:textId="77777777" w:rsidR="000352ED" w:rsidRPr="009F337B" w:rsidRDefault="000352ED" w:rsidP="000352ED">
      <w:pPr>
        <w:jc w:val="center"/>
        <w:rPr>
          <w:rFonts w:eastAsia="Times" w:cs="Times New Roman"/>
          <w:szCs w:val="20"/>
          <w:lang w:val="en-US"/>
        </w:rPr>
      </w:pPr>
    </w:p>
    <w:p w14:paraId="646294BD" w14:textId="77777777" w:rsidR="000352ED" w:rsidRPr="009F337B" w:rsidRDefault="000352ED" w:rsidP="000352ED">
      <w:pPr>
        <w:jc w:val="center"/>
        <w:rPr>
          <w:rFonts w:eastAsia="Times" w:cs="Times New Roman"/>
          <w:szCs w:val="20"/>
          <w:lang w:val="en-US"/>
        </w:rPr>
      </w:pPr>
    </w:p>
    <w:p w14:paraId="34F10E06" w14:textId="77777777" w:rsidR="000352ED" w:rsidRPr="009F337B" w:rsidRDefault="000352ED" w:rsidP="000352ED">
      <w:pPr>
        <w:jc w:val="center"/>
        <w:rPr>
          <w:rFonts w:eastAsia="Times" w:cs="Times New Roman"/>
          <w:szCs w:val="20"/>
          <w:lang w:val="en-US"/>
        </w:rPr>
      </w:pPr>
    </w:p>
    <w:p w14:paraId="1EB3BD38" w14:textId="77777777" w:rsidR="000352ED" w:rsidRPr="009F337B" w:rsidRDefault="000352ED" w:rsidP="000352ED">
      <w:pPr>
        <w:jc w:val="center"/>
        <w:rPr>
          <w:rFonts w:eastAsia="Times" w:cs="Times New Roman"/>
          <w:szCs w:val="20"/>
          <w:lang w:val="en-US"/>
        </w:rPr>
      </w:pPr>
    </w:p>
    <w:p w14:paraId="706EDA4B" w14:textId="77777777" w:rsidR="000352ED" w:rsidRPr="009F337B" w:rsidRDefault="000352ED" w:rsidP="000352ED">
      <w:pPr>
        <w:jc w:val="center"/>
        <w:rPr>
          <w:rFonts w:eastAsia="Times" w:cs="Times New Roman"/>
          <w:szCs w:val="20"/>
          <w:lang w:val="en-US"/>
        </w:rPr>
      </w:pPr>
    </w:p>
    <w:p w14:paraId="67B95DFD" w14:textId="77777777" w:rsidR="000352ED" w:rsidRPr="009F337B" w:rsidRDefault="000352ED" w:rsidP="000352ED">
      <w:pPr>
        <w:jc w:val="center"/>
        <w:rPr>
          <w:rFonts w:eastAsia="Times" w:cs="Times New Roman"/>
          <w:szCs w:val="20"/>
          <w:lang w:val="en-US"/>
        </w:rPr>
      </w:pPr>
      <w:r w:rsidRPr="009F337B">
        <w:rPr>
          <w:rFonts w:eastAsia="Times" w:cs="Times New Roman"/>
          <w:szCs w:val="20"/>
          <w:lang w:val="en-US"/>
        </w:rPr>
        <w:t>Pablo Saavedra Alessandri</w:t>
      </w:r>
    </w:p>
    <w:p w14:paraId="4D579E95" w14:textId="5E68C285" w:rsidR="000352ED" w:rsidRPr="009F337B" w:rsidRDefault="00AE5F9E" w:rsidP="000352ED">
      <w:pPr>
        <w:jc w:val="center"/>
        <w:rPr>
          <w:rFonts w:eastAsia="Times" w:cs="Times New Roman"/>
          <w:szCs w:val="20"/>
          <w:lang w:val="en-US"/>
        </w:rPr>
      </w:pPr>
      <w:r w:rsidRPr="009F337B">
        <w:rPr>
          <w:rFonts w:eastAsia="Times" w:cs="Times New Roman"/>
          <w:szCs w:val="20"/>
          <w:lang w:val="en-US"/>
        </w:rPr>
        <w:t>Secretary</w:t>
      </w:r>
    </w:p>
    <w:p w14:paraId="356B94A5" w14:textId="77777777" w:rsidR="000352ED" w:rsidRPr="009F337B" w:rsidRDefault="000352ED" w:rsidP="000352ED">
      <w:pPr>
        <w:rPr>
          <w:rFonts w:eastAsia="Times" w:cs="Times New Roman"/>
          <w:szCs w:val="20"/>
          <w:lang w:val="en-US"/>
        </w:rPr>
      </w:pPr>
    </w:p>
    <w:p w14:paraId="7B324199" w14:textId="77777777" w:rsidR="000352ED" w:rsidRPr="009F337B" w:rsidRDefault="000352ED" w:rsidP="000352ED">
      <w:pPr>
        <w:rPr>
          <w:rFonts w:eastAsia="Times" w:cs="Times New Roman"/>
          <w:szCs w:val="20"/>
          <w:lang w:val="en-US"/>
        </w:rPr>
      </w:pPr>
    </w:p>
    <w:p w14:paraId="520B8B9C" w14:textId="77777777" w:rsidR="000352ED" w:rsidRPr="009F337B" w:rsidRDefault="000352ED" w:rsidP="000352ED">
      <w:pPr>
        <w:rPr>
          <w:rFonts w:eastAsia="Times" w:cs="Times New Roman"/>
          <w:szCs w:val="20"/>
          <w:lang w:val="en-US"/>
        </w:rPr>
      </w:pPr>
    </w:p>
    <w:p w14:paraId="1FF7B145" w14:textId="77777777" w:rsidR="000352ED" w:rsidRPr="009F337B" w:rsidRDefault="000352ED" w:rsidP="000352ED">
      <w:pPr>
        <w:rPr>
          <w:rFonts w:eastAsia="Times" w:cs="Times New Roman"/>
          <w:szCs w:val="20"/>
          <w:lang w:val="en-US"/>
        </w:rPr>
      </w:pPr>
    </w:p>
    <w:p w14:paraId="7C58767C" w14:textId="77777777" w:rsidR="000352ED" w:rsidRPr="009F337B" w:rsidRDefault="000352ED" w:rsidP="000352ED">
      <w:pPr>
        <w:rPr>
          <w:rFonts w:eastAsia="Times" w:cs="Times New Roman"/>
          <w:szCs w:val="20"/>
          <w:lang w:val="en-US"/>
        </w:rPr>
      </w:pPr>
    </w:p>
    <w:p w14:paraId="68C66BC1" w14:textId="45FAB245" w:rsidR="000352ED" w:rsidRPr="009F337B" w:rsidRDefault="00B2576F" w:rsidP="000352ED">
      <w:pPr>
        <w:rPr>
          <w:rFonts w:eastAsia="Times" w:cs="Times New Roman"/>
          <w:szCs w:val="20"/>
          <w:lang w:val="en-US"/>
        </w:rPr>
      </w:pPr>
      <w:r w:rsidRPr="009F337B">
        <w:rPr>
          <w:rFonts w:eastAsia="Times" w:cs="Times New Roman"/>
          <w:szCs w:val="20"/>
          <w:lang w:val="en-US"/>
        </w:rPr>
        <w:t>So ordered</w:t>
      </w:r>
      <w:r w:rsidR="000352ED" w:rsidRPr="009F337B">
        <w:rPr>
          <w:rFonts w:eastAsia="Times" w:cs="Times New Roman"/>
          <w:szCs w:val="20"/>
          <w:lang w:val="en-US"/>
        </w:rPr>
        <w:t>,</w:t>
      </w:r>
    </w:p>
    <w:p w14:paraId="1F20BCEF" w14:textId="77777777" w:rsidR="000352ED" w:rsidRPr="009F337B" w:rsidRDefault="000352ED" w:rsidP="000352ED">
      <w:pPr>
        <w:rPr>
          <w:rFonts w:eastAsia="Times" w:cs="Times New Roman"/>
          <w:szCs w:val="20"/>
          <w:lang w:val="en-US"/>
        </w:rPr>
      </w:pPr>
    </w:p>
    <w:p w14:paraId="45FCCCEE" w14:textId="77777777" w:rsidR="000352ED" w:rsidRPr="009F337B" w:rsidRDefault="000352ED" w:rsidP="000352ED">
      <w:pPr>
        <w:rPr>
          <w:rFonts w:eastAsia="Times" w:cs="Times New Roman"/>
          <w:szCs w:val="20"/>
          <w:lang w:val="en-US"/>
        </w:rPr>
      </w:pPr>
    </w:p>
    <w:p w14:paraId="0E4E9178" w14:textId="77777777" w:rsidR="000352ED" w:rsidRPr="009F337B" w:rsidRDefault="000352ED" w:rsidP="000352ED">
      <w:pPr>
        <w:rPr>
          <w:rFonts w:eastAsia="Times" w:cs="Times New Roman"/>
          <w:szCs w:val="20"/>
          <w:lang w:val="en-US"/>
        </w:rPr>
      </w:pPr>
    </w:p>
    <w:p w14:paraId="772F553F" w14:textId="77777777" w:rsidR="000352ED" w:rsidRPr="009F337B" w:rsidRDefault="000352ED" w:rsidP="000352ED">
      <w:pPr>
        <w:rPr>
          <w:rFonts w:eastAsia="Times" w:cs="Times New Roman"/>
          <w:szCs w:val="20"/>
          <w:lang w:val="en-US"/>
        </w:rPr>
      </w:pPr>
    </w:p>
    <w:p w14:paraId="6DE65BFA" w14:textId="77777777" w:rsidR="000352ED" w:rsidRPr="009F337B" w:rsidRDefault="000352ED" w:rsidP="000352ED">
      <w:pPr>
        <w:rPr>
          <w:rFonts w:eastAsia="Times" w:cs="Times New Roman"/>
          <w:szCs w:val="20"/>
          <w:lang w:val="en-US"/>
        </w:rPr>
      </w:pPr>
    </w:p>
    <w:p w14:paraId="39637D08" w14:textId="77777777" w:rsidR="000352ED" w:rsidRPr="009F337B" w:rsidRDefault="000352ED" w:rsidP="000352ED">
      <w:pPr>
        <w:ind w:left="4956"/>
        <w:jc w:val="center"/>
        <w:rPr>
          <w:rFonts w:eastAsia="Times" w:cs="Times New Roman"/>
          <w:szCs w:val="20"/>
          <w:lang w:val="en-US"/>
        </w:rPr>
      </w:pPr>
      <w:r w:rsidRPr="009F337B">
        <w:rPr>
          <w:rFonts w:eastAsia="Times" w:cs="Times New Roman"/>
          <w:szCs w:val="20"/>
          <w:lang w:val="en-US"/>
        </w:rPr>
        <w:t>Eduardo Ferrer Mac-Gregor Poisot</w:t>
      </w:r>
    </w:p>
    <w:p w14:paraId="38C07572" w14:textId="49F78C09" w:rsidR="000352ED" w:rsidRPr="009F337B" w:rsidRDefault="00AE5F9E" w:rsidP="000352ED">
      <w:pPr>
        <w:ind w:left="4956"/>
        <w:jc w:val="center"/>
        <w:rPr>
          <w:rFonts w:eastAsia="Times" w:cs="Times New Roman"/>
          <w:szCs w:val="20"/>
          <w:lang w:val="en-US"/>
        </w:rPr>
      </w:pPr>
      <w:r w:rsidRPr="009F337B">
        <w:rPr>
          <w:rFonts w:eastAsia="Times" w:cs="Times New Roman"/>
          <w:szCs w:val="20"/>
          <w:lang w:val="en-US"/>
        </w:rPr>
        <w:t>President</w:t>
      </w:r>
    </w:p>
    <w:p w14:paraId="4A667293" w14:textId="77777777" w:rsidR="000352ED" w:rsidRPr="009F337B" w:rsidRDefault="000352ED" w:rsidP="000352ED">
      <w:pPr>
        <w:rPr>
          <w:rFonts w:eastAsia="Times" w:cs="Times New Roman"/>
          <w:szCs w:val="20"/>
          <w:lang w:val="en-US"/>
        </w:rPr>
      </w:pPr>
    </w:p>
    <w:p w14:paraId="57465B46" w14:textId="77777777" w:rsidR="000352ED" w:rsidRPr="009F337B" w:rsidRDefault="000352ED" w:rsidP="000352ED">
      <w:pPr>
        <w:rPr>
          <w:rFonts w:eastAsia="Times" w:cs="Times New Roman"/>
          <w:szCs w:val="20"/>
          <w:lang w:val="en-US"/>
        </w:rPr>
      </w:pPr>
    </w:p>
    <w:p w14:paraId="41287F85" w14:textId="77777777" w:rsidR="000352ED" w:rsidRPr="009F337B" w:rsidRDefault="000352ED" w:rsidP="000352ED">
      <w:pPr>
        <w:rPr>
          <w:rFonts w:eastAsia="Times" w:cs="Times New Roman"/>
          <w:szCs w:val="20"/>
          <w:lang w:val="en-US"/>
        </w:rPr>
      </w:pPr>
    </w:p>
    <w:p w14:paraId="49B0EB28" w14:textId="77777777" w:rsidR="000352ED" w:rsidRPr="009F337B" w:rsidRDefault="000352ED" w:rsidP="000352ED">
      <w:pPr>
        <w:rPr>
          <w:rFonts w:eastAsia="Times" w:cs="Times New Roman"/>
          <w:szCs w:val="20"/>
          <w:lang w:val="en-US"/>
        </w:rPr>
      </w:pPr>
    </w:p>
    <w:p w14:paraId="233A2F35" w14:textId="77777777" w:rsidR="000352ED" w:rsidRPr="009F337B" w:rsidRDefault="000352ED" w:rsidP="000352ED">
      <w:pPr>
        <w:rPr>
          <w:rFonts w:eastAsia="Times" w:cs="Times New Roman"/>
          <w:szCs w:val="20"/>
          <w:lang w:val="en-US"/>
        </w:rPr>
      </w:pPr>
    </w:p>
    <w:p w14:paraId="0A31B749" w14:textId="77777777" w:rsidR="000352ED" w:rsidRPr="009F337B" w:rsidRDefault="000352ED" w:rsidP="000352ED">
      <w:pPr>
        <w:rPr>
          <w:rFonts w:eastAsia="Times" w:cs="Times New Roman"/>
          <w:szCs w:val="20"/>
          <w:lang w:val="en-US"/>
        </w:rPr>
      </w:pPr>
      <w:r w:rsidRPr="009F337B">
        <w:rPr>
          <w:rFonts w:eastAsia="Times" w:cs="Times New Roman"/>
          <w:szCs w:val="20"/>
          <w:lang w:val="en-US"/>
        </w:rPr>
        <w:t>Pablo Saavedra Alessandri</w:t>
      </w:r>
    </w:p>
    <w:p w14:paraId="30511362" w14:textId="0D8F7762" w:rsidR="000352ED" w:rsidRPr="00A30D95" w:rsidRDefault="000352ED" w:rsidP="000352ED">
      <w:pPr>
        <w:rPr>
          <w:rFonts w:eastAsia="Times" w:cs="Times New Roman"/>
          <w:szCs w:val="20"/>
          <w:lang w:val="en-US"/>
        </w:rPr>
      </w:pPr>
      <w:r w:rsidRPr="009F337B">
        <w:rPr>
          <w:rFonts w:eastAsia="Times" w:cs="Times New Roman"/>
          <w:szCs w:val="20"/>
          <w:lang w:val="en-US"/>
        </w:rPr>
        <w:tab/>
      </w:r>
      <w:r w:rsidR="00AE5F9E" w:rsidRPr="009F337B">
        <w:rPr>
          <w:rFonts w:eastAsia="Times" w:cs="Times New Roman"/>
          <w:szCs w:val="20"/>
          <w:lang w:val="en-US"/>
        </w:rPr>
        <w:t>Secretary</w:t>
      </w:r>
    </w:p>
    <w:p w14:paraId="07BD2B79" w14:textId="70E84228" w:rsidR="000352ED" w:rsidRPr="00A30D95" w:rsidRDefault="000352ED" w:rsidP="000352ED">
      <w:pPr>
        <w:pStyle w:val="Estilo1"/>
        <w:tabs>
          <w:tab w:val="left" w:pos="709"/>
          <w:tab w:val="left" w:pos="1134"/>
        </w:tabs>
        <w:spacing w:after="0"/>
        <w:ind w:left="0" w:right="-4" w:firstLine="0"/>
        <w:rPr>
          <w:i w:val="0"/>
          <w:lang w:val="en-US" w:eastAsia="es-ES"/>
        </w:rPr>
      </w:pPr>
    </w:p>
    <w:p w14:paraId="3C83C703" w14:textId="77777777" w:rsidR="00C36F0E" w:rsidRDefault="00C36F0E" w:rsidP="000352ED">
      <w:pPr>
        <w:pStyle w:val="Estilo1"/>
        <w:tabs>
          <w:tab w:val="left" w:pos="709"/>
          <w:tab w:val="left" w:pos="1134"/>
        </w:tabs>
        <w:spacing w:after="0"/>
        <w:ind w:left="0" w:right="-4" w:firstLine="0"/>
        <w:rPr>
          <w:i w:val="0"/>
          <w:lang w:val="en-US" w:eastAsia="es-ES"/>
        </w:rPr>
        <w:sectPr w:rsidR="00C36F0E" w:rsidSect="000352ED">
          <w:type w:val="continuous"/>
          <w:pgSz w:w="12240" w:h="15840"/>
          <w:pgMar w:top="1417" w:right="1701" w:bottom="1417" w:left="1701" w:header="708" w:footer="708" w:gutter="0"/>
          <w:cols w:space="708"/>
          <w:docGrid w:linePitch="360"/>
        </w:sectPr>
      </w:pPr>
    </w:p>
    <w:p w14:paraId="4AD9A879" w14:textId="77777777" w:rsidR="00C36F0E" w:rsidRDefault="00C36F0E" w:rsidP="00C36F0E">
      <w:pPr>
        <w:ind w:right="96"/>
        <w:jc w:val="center"/>
        <w:outlineLvl w:val="0"/>
        <w:rPr>
          <w:b/>
          <w:szCs w:val="20"/>
          <w:lang w:val="en-US"/>
        </w:rPr>
      </w:pPr>
    </w:p>
    <w:p w14:paraId="1B2106B9" w14:textId="77777777" w:rsidR="00C36F0E" w:rsidRDefault="00C36F0E" w:rsidP="00C36F0E">
      <w:pPr>
        <w:ind w:right="96"/>
        <w:jc w:val="center"/>
        <w:outlineLvl w:val="0"/>
        <w:rPr>
          <w:b/>
          <w:szCs w:val="20"/>
          <w:lang w:val="en-US"/>
        </w:rPr>
      </w:pPr>
    </w:p>
    <w:p w14:paraId="5D0B95BC" w14:textId="77777777" w:rsidR="00C36F0E" w:rsidRPr="008C58E1" w:rsidRDefault="00C36F0E" w:rsidP="00C36F0E">
      <w:pPr>
        <w:ind w:right="96"/>
        <w:jc w:val="center"/>
        <w:outlineLvl w:val="0"/>
        <w:rPr>
          <w:b/>
          <w:szCs w:val="20"/>
          <w:lang w:val="en-US"/>
        </w:rPr>
      </w:pPr>
    </w:p>
    <w:p w14:paraId="207C45C9" w14:textId="77777777" w:rsidR="00C36F0E" w:rsidRPr="008C58E1" w:rsidRDefault="00C36F0E" w:rsidP="00C36F0E">
      <w:pPr>
        <w:ind w:right="96"/>
        <w:jc w:val="center"/>
        <w:outlineLvl w:val="0"/>
        <w:rPr>
          <w:b/>
          <w:szCs w:val="20"/>
          <w:lang w:val="en-US"/>
        </w:rPr>
      </w:pPr>
      <w:r w:rsidRPr="008C58E1">
        <w:rPr>
          <w:b/>
          <w:szCs w:val="20"/>
          <w:lang w:val="en-US"/>
        </w:rPr>
        <w:t>SEPARATE OPINION OF</w:t>
      </w:r>
    </w:p>
    <w:p w14:paraId="5A8DE67E" w14:textId="77777777" w:rsidR="00C36F0E" w:rsidRPr="008C58E1" w:rsidRDefault="00C36F0E" w:rsidP="00C36F0E">
      <w:pPr>
        <w:ind w:right="96"/>
        <w:jc w:val="center"/>
        <w:outlineLvl w:val="0"/>
        <w:rPr>
          <w:b/>
          <w:szCs w:val="20"/>
          <w:lang w:val="en-US"/>
        </w:rPr>
      </w:pPr>
      <w:r w:rsidRPr="008C58E1">
        <w:rPr>
          <w:b/>
          <w:szCs w:val="20"/>
          <w:lang w:val="en-US"/>
        </w:rPr>
        <w:t>JUDGE EDUARDO FERRER MAC-GREGOR POISOT</w:t>
      </w:r>
    </w:p>
    <w:p w14:paraId="10D04BA4" w14:textId="77777777" w:rsidR="00C36F0E" w:rsidRPr="008C58E1" w:rsidRDefault="00C36F0E" w:rsidP="00C36F0E">
      <w:pPr>
        <w:jc w:val="center"/>
        <w:rPr>
          <w:b/>
          <w:szCs w:val="20"/>
          <w:lang w:val="en-US"/>
        </w:rPr>
      </w:pPr>
    </w:p>
    <w:p w14:paraId="21F27A38" w14:textId="77777777" w:rsidR="00C36F0E" w:rsidRPr="008C58E1" w:rsidRDefault="00C36F0E" w:rsidP="00C36F0E">
      <w:pPr>
        <w:jc w:val="center"/>
        <w:outlineLvl w:val="0"/>
        <w:rPr>
          <w:b/>
          <w:i/>
          <w:szCs w:val="20"/>
          <w:u w:val="single"/>
          <w:lang w:val="en-US"/>
        </w:rPr>
      </w:pPr>
      <w:r w:rsidRPr="008C58E1">
        <w:rPr>
          <w:b/>
          <w:i/>
          <w:szCs w:val="20"/>
          <w:u w:val="single"/>
          <w:lang w:val="en-US"/>
        </w:rPr>
        <w:t xml:space="preserve">CASE OF CUSCUL PIVARAL ET AL. V. GUATEMALA </w:t>
      </w:r>
    </w:p>
    <w:p w14:paraId="6E476D30" w14:textId="77777777" w:rsidR="00C36F0E" w:rsidRPr="008C58E1" w:rsidRDefault="00C36F0E" w:rsidP="00C36F0E">
      <w:pPr>
        <w:jc w:val="center"/>
        <w:rPr>
          <w:b/>
          <w:szCs w:val="20"/>
          <w:lang w:val="en-US"/>
        </w:rPr>
      </w:pPr>
    </w:p>
    <w:p w14:paraId="4534C924" w14:textId="77777777" w:rsidR="00C36F0E" w:rsidRPr="008C58E1" w:rsidRDefault="00C36F0E" w:rsidP="00C36F0E">
      <w:pPr>
        <w:jc w:val="center"/>
        <w:outlineLvl w:val="0"/>
        <w:rPr>
          <w:rFonts w:eastAsia="MS Mincho" w:cs="Times New Roman"/>
          <w:b/>
          <w:szCs w:val="20"/>
          <w:lang w:val="en-US"/>
        </w:rPr>
      </w:pPr>
      <w:r w:rsidRPr="008C58E1">
        <w:rPr>
          <w:rFonts w:eastAsia="MS Mincho" w:cs="Times New Roman"/>
          <w:b/>
          <w:szCs w:val="20"/>
          <w:lang w:val="en-US"/>
        </w:rPr>
        <w:t>JUDGMENT OF AUGUST 23, 2018</w:t>
      </w:r>
    </w:p>
    <w:p w14:paraId="151549EA" w14:textId="77777777" w:rsidR="00C36F0E" w:rsidRPr="008C58E1" w:rsidRDefault="00C36F0E" w:rsidP="00C36F0E">
      <w:pPr>
        <w:jc w:val="center"/>
        <w:outlineLvl w:val="0"/>
        <w:rPr>
          <w:rFonts w:eastAsia="MS Mincho" w:cs="Times New Roman"/>
          <w:b/>
          <w:szCs w:val="20"/>
          <w:lang w:val="en-US"/>
        </w:rPr>
      </w:pPr>
      <w:r w:rsidRPr="008C58E1">
        <w:rPr>
          <w:rFonts w:eastAsia="MS Mincho" w:cs="Times New Roman"/>
          <w:b/>
          <w:szCs w:val="20"/>
          <w:lang w:val="en-US"/>
        </w:rPr>
        <w:t>(</w:t>
      </w:r>
      <w:r w:rsidRPr="008C58E1">
        <w:rPr>
          <w:rFonts w:eastAsia="MS Mincho" w:cs="Times New Roman"/>
          <w:b/>
          <w:i/>
          <w:szCs w:val="20"/>
          <w:lang w:val="en-US"/>
        </w:rPr>
        <w:t>Preliminary objection, merits, reparations and costs)</w:t>
      </w:r>
    </w:p>
    <w:p w14:paraId="6CC155B2" w14:textId="77777777" w:rsidR="00C36F0E" w:rsidRPr="008C58E1" w:rsidRDefault="00C36F0E" w:rsidP="00C36F0E">
      <w:pPr>
        <w:rPr>
          <w:szCs w:val="20"/>
          <w:lang w:val="en-US"/>
        </w:rPr>
      </w:pPr>
    </w:p>
    <w:p w14:paraId="500176A3" w14:textId="77777777" w:rsidR="00C36F0E" w:rsidRPr="008C58E1" w:rsidRDefault="00C36F0E" w:rsidP="00C36F0E">
      <w:pPr>
        <w:rPr>
          <w:szCs w:val="20"/>
          <w:lang w:val="en-US"/>
        </w:rPr>
      </w:pPr>
      <w:r w:rsidRPr="008C58E1">
        <w:rPr>
          <w:szCs w:val="20"/>
          <w:lang w:val="en-US"/>
        </w:rPr>
        <w:t xml:space="preserve">Judge Elizabeth Odio Benito and Judge Patricio Pazmiño Freire adhered to this </w:t>
      </w:r>
      <w:r>
        <w:rPr>
          <w:szCs w:val="20"/>
          <w:lang w:val="en-US"/>
        </w:rPr>
        <w:t>o</w:t>
      </w:r>
      <w:r w:rsidRPr="008C58E1">
        <w:rPr>
          <w:szCs w:val="20"/>
          <w:lang w:val="en-US"/>
        </w:rPr>
        <w:t>pinion of Judge Eduardo Ferrer Mac-Gregor Poisot.</w:t>
      </w:r>
    </w:p>
    <w:p w14:paraId="6331377C" w14:textId="77777777" w:rsidR="00C36F0E" w:rsidRDefault="00C36F0E" w:rsidP="00C36F0E">
      <w:pPr>
        <w:rPr>
          <w:szCs w:val="20"/>
          <w:lang w:val="en-US"/>
        </w:rPr>
      </w:pPr>
    </w:p>
    <w:p w14:paraId="722A7BF1" w14:textId="77777777" w:rsidR="00C36F0E" w:rsidRDefault="00C36F0E" w:rsidP="00C36F0E">
      <w:pPr>
        <w:rPr>
          <w:szCs w:val="20"/>
          <w:lang w:val="en-US"/>
        </w:rPr>
      </w:pPr>
    </w:p>
    <w:p w14:paraId="62E1BBF8" w14:textId="77777777" w:rsidR="00C36F0E" w:rsidRPr="008C58E1" w:rsidRDefault="00C36F0E" w:rsidP="00C36F0E">
      <w:pPr>
        <w:rPr>
          <w:szCs w:val="20"/>
          <w:lang w:val="en-US"/>
        </w:rPr>
      </w:pPr>
    </w:p>
    <w:p w14:paraId="08F4F6D5" w14:textId="77777777" w:rsidR="00C36F0E" w:rsidRPr="008C58E1" w:rsidRDefault="00C36F0E" w:rsidP="00C36F0E">
      <w:pPr>
        <w:jc w:val="center"/>
        <w:outlineLvl w:val="0"/>
        <w:rPr>
          <w:rFonts w:cs="Times New Roman (Cuerpo en alfa"/>
          <w:b/>
          <w:caps/>
          <w:szCs w:val="20"/>
          <w:lang w:val="en-US"/>
        </w:rPr>
      </w:pPr>
      <w:r w:rsidRPr="008C58E1">
        <w:rPr>
          <w:b/>
          <w:szCs w:val="20"/>
          <w:lang w:val="en-US"/>
        </w:rPr>
        <w:t xml:space="preserve">INTRODUCTION: </w:t>
      </w:r>
      <w:r w:rsidRPr="008C58E1">
        <w:rPr>
          <w:rFonts w:cs="Times New Roman (Cuerpo en alfa"/>
          <w:b/>
          <w:caps/>
          <w:szCs w:val="20"/>
          <w:lang w:val="en-US"/>
        </w:rPr>
        <w:t>THE DIRECT JUSTICIABILITY OF THE RIGHT TO HEALTH AND THE OBLIGATION OF PROGRESSIVITY AND NON-RETROGRESSIVITY</w:t>
      </w:r>
    </w:p>
    <w:p w14:paraId="38AE05C6" w14:textId="77777777" w:rsidR="00C36F0E" w:rsidRPr="008C58E1" w:rsidRDefault="00C36F0E" w:rsidP="00C36F0E">
      <w:pPr>
        <w:rPr>
          <w:szCs w:val="20"/>
          <w:lang w:val="en-US"/>
        </w:rPr>
      </w:pPr>
    </w:p>
    <w:p w14:paraId="07203FD8" w14:textId="77777777" w:rsidR="00C36F0E" w:rsidRPr="008C58E1" w:rsidRDefault="00C36F0E" w:rsidP="00593E37">
      <w:pPr>
        <w:pStyle w:val="Prrafodelista"/>
        <w:numPr>
          <w:ilvl w:val="0"/>
          <w:numId w:val="14"/>
        </w:numPr>
        <w:ind w:left="0" w:firstLine="0"/>
        <w:rPr>
          <w:b/>
          <w:szCs w:val="20"/>
          <w:lang w:val="en-US"/>
        </w:rPr>
      </w:pPr>
      <w:r w:rsidRPr="008C58E1">
        <w:rPr>
          <w:szCs w:val="20"/>
          <w:lang w:val="en-US"/>
        </w:rPr>
        <w:t xml:space="preserve">The judgment in the case of </w:t>
      </w:r>
      <w:proofErr w:type="spellStart"/>
      <w:r w:rsidRPr="008C58E1">
        <w:rPr>
          <w:i/>
          <w:szCs w:val="20"/>
          <w:lang w:val="en-US"/>
        </w:rPr>
        <w:t>Cuscul</w:t>
      </w:r>
      <w:proofErr w:type="spellEnd"/>
      <w:r w:rsidRPr="008C58E1">
        <w:rPr>
          <w:i/>
          <w:szCs w:val="20"/>
          <w:lang w:val="en-US"/>
        </w:rPr>
        <w:t xml:space="preserve"> </w:t>
      </w:r>
      <w:proofErr w:type="spellStart"/>
      <w:r w:rsidRPr="008C58E1">
        <w:rPr>
          <w:i/>
          <w:szCs w:val="20"/>
          <w:lang w:val="en-US"/>
        </w:rPr>
        <w:t>Pivaral</w:t>
      </w:r>
      <w:proofErr w:type="spellEnd"/>
      <w:r w:rsidRPr="008C58E1">
        <w:rPr>
          <w:i/>
          <w:szCs w:val="20"/>
          <w:lang w:val="en-US"/>
        </w:rPr>
        <w:t xml:space="preserve"> et al. v. Guatemala </w:t>
      </w:r>
      <w:r w:rsidRPr="008C58E1">
        <w:rPr>
          <w:szCs w:val="20"/>
          <w:lang w:val="en-US"/>
        </w:rPr>
        <w:t>(hereinafter “the judgment” o</w:t>
      </w:r>
      <w:r>
        <w:rPr>
          <w:szCs w:val="20"/>
          <w:lang w:val="en-US"/>
        </w:rPr>
        <w:t>r</w:t>
      </w:r>
      <w:r w:rsidRPr="008C58E1">
        <w:rPr>
          <w:szCs w:val="20"/>
          <w:lang w:val="en-US"/>
        </w:rPr>
        <w:t xml:space="preserve"> “</w:t>
      </w:r>
      <w:proofErr w:type="spellStart"/>
      <w:r w:rsidRPr="008C58E1">
        <w:rPr>
          <w:i/>
          <w:szCs w:val="20"/>
          <w:lang w:val="en-US"/>
        </w:rPr>
        <w:t>Cuscul</w:t>
      </w:r>
      <w:proofErr w:type="spellEnd"/>
      <w:r w:rsidRPr="008C58E1">
        <w:rPr>
          <w:i/>
          <w:szCs w:val="20"/>
          <w:lang w:val="en-US"/>
        </w:rPr>
        <w:t xml:space="preserve"> </w:t>
      </w:r>
      <w:proofErr w:type="spellStart"/>
      <w:r w:rsidRPr="008C58E1">
        <w:rPr>
          <w:i/>
          <w:szCs w:val="20"/>
          <w:lang w:val="en-US"/>
        </w:rPr>
        <w:t>Pivaral</w:t>
      </w:r>
      <w:proofErr w:type="spellEnd"/>
      <w:r w:rsidRPr="008C58E1">
        <w:rPr>
          <w:szCs w:val="20"/>
          <w:lang w:val="en-US"/>
        </w:rPr>
        <w:t>”)</w:t>
      </w:r>
      <w:r w:rsidRPr="008C58E1">
        <w:rPr>
          <w:rStyle w:val="Refdenotaalpie"/>
          <w:lang w:val="en-US"/>
        </w:rPr>
        <w:footnoteReference w:id="361"/>
      </w:r>
      <w:r w:rsidRPr="008C58E1">
        <w:rPr>
          <w:szCs w:val="20"/>
          <w:lang w:val="en-US"/>
        </w:rPr>
        <w:t xml:space="preserve"> makes an important contribution to </w:t>
      </w:r>
      <w:r>
        <w:rPr>
          <w:szCs w:val="20"/>
          <w:lang w:val="en-US"/>
        </w:rPr>
        <w:t>jurisprudence</w:t>
      </w:r>
      <w:r w:rsidRPr="008C58E1">
        <w:rPr>
          <w:szCs w:val="20"/>
          <w:lang w:val="en-US"/>
        </w:rPr>
        <w:t xml:space="preserve"> in the area of economic, social, cultural and environmental rights (hereinafter “ESCER”). The judgment adds to the approach followed by the Inter-American Court of Human Rights (hereinafter “the Court” or “the Inter-American Court”), in the cases of </w:t>
      </w:r>
      <w:r w:rsidRPr="008C58E1">
        <w:rPr>
          <w:i/>
          <w:szCs w:val="20"/>
          <w:lang w:val="en-US"/>
        </w:rPr>
        <w:t xml:space="preserve">Acevedo </w:t>
      </w:r>
      <w:proofErr w:type="spellStart"/>
      <w:r w:rsidRPr="008C58E1">
        <w:rPr>
          <w:i/>
          <w:szCs w:val="20"/>
          <w:lang w:val="en-US"/>
        </w:rPr>
        <w:t>Buendía</w:t>
      </w:r>
      <w:proofErr w:type="spellEnd"/>
      <w:r w:rsidRPr="008C58E1">
        <w:rPr>
          <w:i/>
          <w:szCs w:val="20"/>
          <w:lang w:val="en-US"/>
        </w:rPr>
        <w:t xml:space="preserve"> et al. (Dismissed and Retired Employees of the Comptroller’s Office”) v. Peru,</w:t>
      </w:r>
      <w:r w:rsidRPr="008C58E1">
        <w:rPr>
          <w:rStyle w:val="Refdenotaalpie"/>
          <w:lang w:val="en-US"/>
        </w:rPr>
        <w:footnoteReference w:id="362"/>
      </w:r>
      <w:r w:rsidRPr="008C58E1">
        <w:rPr>
          <w:szCs w:val="20"/>
          <w:lang w:val="en-US"/>
        </w:rPr>
        <w:t xml:space="preserve"> </w:t>
      </w:r>
      <w:r w:rsidRPr="008C58E1">
        <w:rPr>
          <w:i/>
          <w:szCs w:val="20"/>
          <w:lang w:val="en-US"/>
        </w:rPr>
        <w:t>Lagos del Campo v. Peru,</w:t>
      </w:r>
      <w:r w:rsidRPr="008C58E1">
        <w:rPr>
          <w:rStyle w:val="Refdenotaalpie"/>
          <w:lang w:val="en-US"/>
        </w:rPr>
        <w:footnoteReference w:id="363"/>
      </w:r>
      <w:r w:rsidRPr="008C58E1">
        <w:rPr>
          <w:i/>
          <w:szCs w:val="20"/>
          <w:lang w:val="en-US"/>
        </w:rPr>
        <w:t xml:space="preserve"> Dismissed Employees of </w:t>
      </w:r>
      <w:proofErr w:type="spellStart"/>
      <w:r w:rsidRPr="008C58E1">
        <w:rPr>
          <w:i/>
          <w:szCs w:val="20"/>
          <w:lang w:val="en-US"/>
        </w:rPr>
        <w:t>Petroperú</w:t>
      </w:r>
      <w:proofErr w:type="spellEnd"/>
      <w:r w:rsidRPr="008C58E1">
        <w:rPr>
          <w:i/>
          <w:szCs w:val="20"/>
          <w:lang w:val="en-US"/>
        </w:rPr>
        <w:t xml:space="preserve"> et al. v. Peru,</w:t>
      </w:r>
      <w:r w:rsidRPr="008C58E1">
        <w:rPr>
          <w:rStyle w:val="Refdenotaalpie"/>
          <w:lang w:val="en-US"/>
        </w:rPr>
        <w:footnoteReference w:id="364"/>
      </w:r>
      <w:r w:rsidRPr="008C58E1">
        <w:rPr>
          <w:i/>
          <w:szCs w:val="20"/>
          <w:lang w:val="en-US"/>
        </w:rPr>
        <w:t xml:space="preserve"> San Miguel Sosa et al. v. Venezuela,</w:t>
      </w:r>
      <w:r w:rsidRPr="008C58E1">
        <w:rPr>
          <w:rStyle w:val="Refdenotaalpie"/>
          <w:lang w:val="en-US"/>
        </w:rPr>
        <w:footnoteReference w:id="365"/>
      </w:r>
      <w:r w:rsidRPr="008C58E1">
        <w:rPr>
          <w:i/>
          <w:szCs w:val="20"/>
          <w:lang w:val="en-US"/>
        </w:rPr>
        <w:t xml:space="preserve"> Poblete </w:t>
      </w:r>
      <w:proofErr w:type="spellStart"/>
      <w:r w:rsidRPr="008C58E1">
        <w:rPr>
          <w:i/>
          <w:szCs w:val="20"/>
          <w:lang w:val="en-US"/>
        </w:rPr>
        <w:t>Vilches</w:t>
      </w:r>
      <w:proofErr w:type="spellEnd"/>
      <w:r w:rsidRPr="008C58E1">
        <w:rPr>
          <w:i/>
          <w:szCs w:val="20"/>
          <w:lang w:val="en-US"/>
        </w:rPr>
        <w:t xml:space="preserve"> et al. v. Chile,</w:t>
      </w:r>
      <w:r w:rsidRPr="008C58E1">
        <w:rPr>
          <w:rStyle w:val="Refdenotaalpie"/>
          <w:lang w:val="en-US"/>
        </w:rPr>
        <w:footnoteReference w:id="366"/>
      </w:r>
      <w:r w:rsidRPr="008C58E1">
        <w:rPr>
          <w:i/>
          <w:szCs w:val="20"/>
          <w:lang w:val="en-US"/>
        </w:rPr>
        <w:t xml:space="preserve"> </w:t>
      </w:r>
      <w:r w:rsidRPr="008C58E1">
        <w:rPr>
          <w:szCs w:val="20"/>
          <w:lang w:val="en-US"/>
        </w:rPr>
        <w:t>as well as in</w:t>
      </w:r>
      <w:r>
        <w:rPr>
          <w:szCs w:val="20"/>
          <w:lang w:val="en-US"/>
        </w:rPr>
        <w:t xml:space="preserve"> Advisory Opinion</w:t>
      </w:r>
      <w:r w:rsidRPr="008C58E1">
        <w:rPr>
          <w:i/>
          <w:szCs w:val="20"/>
          <w:lang w:val="en-US"/>
        </w:rPr>
        <w:t xml:space="preserve"> </w:t>
      </w:r>
      <w:r w:rsidRPr="008C58E1">
        <w:rPr>
          <w:szCs w:val="20"/>
          <w:lang w:val="en-US"/>
        </w:rPr>
        <w:t>OC-23/2017 on</w:t>
      </w:r>
      <w:r w:rsidRPr="008C58E1">
        <w:rPr>
          <w:i/>
          <w:szCs w:val="20"/>
          <w:lang w:val="en-US"/>
        </w:rPr>
        <w:t xml:space="preserve"> the Environment and Human Rights,</w:t>
      </w:r>
      <w:r w:rsidRPr="008C58E1">
        <w:rPr>
          <w:rStyle w:val="Refdenotaalpie"/>
          <w:lang w:val="en-US"/>
        </w:rPr>
        <w:footnoteReference w:id="367"/>
      </w:r>
      <w:r w:rsidRPr="008C58E1">
        <w:rPr>
          <w:szCs w:val="20"/>
          <w:lang w:val="en-US"/>
        </w:rPr>
        <w:t xml:space="preserve"> as regards the direct justiciability of the ESCER and the interpretive scope of Article 26 of the American Convention on Human Rights (hereinafter “the American Convention,” “the Convention” or “the Pact of San José”).</w:t>
      </w:r>
    </w:p>
    <w:p w14:paraId="7B3DFCCF" w14:textId="77777777" w:rsidR="00C36F0E" w:rsidRPr="008C58E1" w:rsidRDefault="00C36F0E" w:rsidP="00C36F0E">
      <w:pPr>
        <w:pStyle w:val="Prrafodelista"/>
        <w:ind w:left="0"/>
        <w:rPr>
          <w:b/>
          <w:szCs w:val="20"/>
          <w:lang w:val="en-US"/>
        </w:rPr>
      </w:pPr>
    </w:p>
    <w:p w14:paraId="14188C02" w14:textId="77777777" w:rsidR="00C36F0E" w:rsidRPr="008C58E1" w:rsidRDefault="00C36F0E" w:rsidP="00593E37">
      <w:pPr>
        <w:pStyle w:val="Prrafodelista"/>
        <w:numPr>
          <w:ilvl w:val="0"/>
          <w:numId w:val="14"/>
        </w:numPr>
        <w:ind w:left="0" w:firstLine="0"/>
        <w:rPr>
          <w:b/>
          <w:szCs w:val="20"/>
          <w:lang w:val="en-US"/>
        </w:rPr>
      </w:pPr>
      <w:r w:rsidRPr="008C58E1">
        <w:rPr>
          <w:szCs w:val="20"/>
          <w:lang w:val="en-US"/>
        </w:rPr>
        <w:t xml:space="preserve"> The judgment reaffirms that the right to health is derived from the economic, social, educational, scientific and cultural norms contained in the Charter of the Organization of American States (hereinafter “</w:t>
      </w:r>
      <w:r>
        <w:rPr>
          <w:szCs w:val="20"/>
          <w:lang w:val="en-US"/>
        </w:rPr>
        <w:t>t</w:t>
      </w:r>
      <w:r w:rsidRPr="008C58E1">
        <w:rPr>
          <w:szCs w:val="20"/>
          <w:lang w:val="en-US"/>
        </w:rPr>
        <w:t>he OAS Charter”) and that</w:t>
      </w:r>
      <w:r>
        <w:rPr>
          <w:szCs w:val="20"/>
          <w:lang w:val="en-US"/>
        </w:rPr>
        <w:t>,</w:t>
      </w:r>
      <w:r w:rsidRPr="008C58E1">
        <w:rPr>
          <w:szCs w:val="20"/>
          <w:lang w:val="en-US"/>
        </w:rPr>
        <w:t xml:space="preserve"> by virtue of Article 26 of the American Convention</w:t>
      </w:r>
      <w:r>
        <w:rPr>
          <w:szCs w:val="20"/>
          <w:lang w:val="en-US"/>
        </w:rPr>
        <w:t>,</w:t>
      </w:r>
      <w:r w:rsidRPr="008C58E1">
        <w:rPr>
          <w:szCs w:val="20"/>
          <w:lang w:val="en-US"/>
        </w:rPr>
        <w:t xml:space="preserve"> this right is justiciable autonomously before the Inter-American Court </w:t>
      </w:r>
      <w:r w:rsidRPr="008C58E1">
        <w:rPr>
          <w:szCs w:val="20"/>
          <w:lang w:val="en-US"/>
        </w:rPr>
        <w:lastRenderedPageBreak/>
        <w:t>of Human Rights.</w:t>
      </w:r>
      <w:r w:rsidRPr="008C58E1">
        <w:rPr>
          <w:rStyle w:val="Refdenotaalpie"/>
          <w:lang w:val="en-US"/>
        </w:rPr>
        <w:footnoteReference w:id="368"/>
      </w:r>
      <w:r w:rsidRPr="008C58E1">
        <w:rPr>
          <w:szCs w:val="20"/>
          <w:lang w:val="en-US"/>
        </w:rPr>
        <w:t xml:space="preserve"> It also refers back to and develops an important distinction that is equally important for the substance of the judgment and for future analyses o</w:t>
      </w:r>
      <w:r>
        <w:rPr>
          <w:szCs w:val="20"/>
          <w:lang w:val="en-US"/>
        </w:rPr>
        <w:t>f</w:t>
      </w:r>
      <w:r w:rsidRPr="008C58E1">
        <w:rPr>
          <w:szCs w:val="20"/>
          <w:lang w:val="en-US"/>
        </w:rPr>
        <w:t xml:space="preserve"> this matter: that some aspects of the right to health are immediately enforceable (such as that of non-discrimination), and that others are of a progressive nature (entail</w:t>
      </w:r>
      <w:r>
        <w:rPr>
          <w:szCs w:val="20"/>
          <w:lang w:val="en-US"/>
        </w:rPr>
        <w:t>ing</w:t>
      </w:r>
      <w:r w:rsidRPr="008C58E1">
        <w:rPr>
          <w:szCs w:val="20"/>
          <w:lang w:val="en-US"/>
        </w:rPr>
        <w:t xml:space="preserve"> the State obligation to move forward in the general protection of that right).</w:t>
      </w:r>
    </w:p>
    <w:p w14:paraId="0CBFF77B" w14:textId="77777777" w:rsidR="00C36F0E" w:rsidRPr="008C58E1" w:rsidRDefault="00C36F0E" w:rsidP="00C36F0E">
      <w:pPr>
        <w:pStyle w:val="Prrafodelista"/>
        <w:ind w:left="0"/>
        <w:rPr>
          <w:b/>
          <w:szCs w:val="20"/>
          <w:lang w:val="en-US"/>
        </w:rPr>
      </w:pPr>
    </w:p>
    <w:p w14:paraId="3B85D97D" w14:textId="77777777" w:rsidR="00C36F0E" w:rsidRPr="008C58E1" w:rsidRDefault="00C36F0E" w:rsidP="00593E37">
      <w:pPr>
        <w:pStyle w:val="Prrafodelista"/>
        <w:numPr>
          <w:ilvl w:val="0"/>
          <w:numId w:val="14"/>
        </w:numPr>
        <w:ind w:left="0" w:firstLine="0"/>
        <w:rPr>
          <w:szCs w:val="20"/>
          <w:lang w:val="en-US"/>
        </w:rPr>
      </w:pPr>
      <w:r w:rsidRPr="008C58E1">
        <w:rPr>
          <w:szCs w:val="20"/>
          <w:lang w:val="en-US"/>
        </w:rPr>
        <w:t xml:space="preserve">In </w:t>
      </w:r>
      <w:proofErr w:type="spellStart"/>
      <w:r w:rsidRPr="008C58E1">
        <w:rPr>
          <w:i/>
          <w:szCs w:val="20"/>
          <w:lang w:val="en-US"/>
        </w:rPr>
        <w:t>Cuscul</w:t>
      </w:r>
      <w:proofErr w:type="spellEnd"/>
      <w:r w:rsidRPr="008C58E1">
        <w:rPr>
          <w:i/>
          <w:szCs w:val="20"/>
          <w:lang w:val="en-US"/>
        </w:rPr>
        <w:t xml:space="preserve"> </w:t>
      </w:r>
      <w:proofErr w:type="spellStart"/>
      <w:r w:rsidRPr="008C58E1">
        <w:rPr>
          <w:i/>
          <w:szCs w:val="20"/>
          <w:lang w:val="en-US"/>
        </w:rPr>
        <w:t>Pivaral</w:t>
      </w:r>
      <w:proofErr w:type="spellEnd"/>
      <w:r w:rsidRPr="008C58E1">
        <w:rPr>
          <w:szCs w:val="20"/>
          <w:lang w:val="en-US"/>
        </w:rPr>
        <w:t>, the Court reiterated the advances that have been made in the Inter-American Court</w:t>
      </w:r>
      <w:r>
        <w:rPr>
          <w:szCs w:val="20"/>
          <w:lang w:val="en-US"/>
        </w:rPr>
        <w:t>’s jurisprudence</w:t>
      </w:r>
      <w:r w:rsidRPr="008C58E1">
        <w:rPr>
          <w:szCs w:val="20"/>
          <w:lang w:val="en-US"/>
        </w:rPr>
        <w:t xml:space="preserve"> in the area of ESCER and protection of the right to health,</w:t>
      </w:r>
      <w:r w:rsidRPr="008C58E1">
        <w:rPr>
          <w:rStyle w:val="Refdenotaalpie"/>
          <w:lang w:val="en-US"/>
        </w:rPr>
        <w:footnoteReference w:id="369"/>
      </w:r>
      <w:r w:rsidRPr="008C58E1">
        <w:rPr>
          <w:szCs w:val="20"/>
          <w:lang w:val="en-US"/>
        </w:rPr>
        <w:t xml:space="preserve"> introducing important considerations that it is relevant to underline. The first is that the judgment elaborates on the reasons that justify the direct justiciability of the ESCER in general,</w:t>
      </w:r>
      <w:r w:rsidRPr="008C58E1">
        <w:rPr>
          <w:rStyle w:val="Refdenotaalpie"/>
          <w:lang w:val="en-US"/>
        </w:rPr>
        <w:footnoteReference w:id="370"/>
      </w:r>
      <w:r w:rsidRPr="008C58E1">
        <w:rPr>
          <w:szCs w:val="20"/>
          <w:lang w:val="en-US"/>
        </w:rPr>
        <w:t xml:space="preserve"> and of the right to health in particular.</w:t>
      </w:r>
      <w:r w:rsidRPr="008C58E1">
        <w:rPr>
          <w:rStyle w:val="Refdenotaalpie"/>
          <w:lang w:val="en-US"/>
        </w:rPr>
        <w:footnoteReference w:id="371"/>
      </w:r>
      <w:r w:rsidRPr="008C58E1">
        <w:rPr>
          <w:szCs w:val="20"/>
          <w:lang w:val="en-US"/>
        </w:rPr>
        <w:t xml:space="preserve"> The second is that it develops standards for the right to health applicable to people living with HIV,</w:t>
      </w:r>
      <w:r w:rsidRPr="008C58E1">
        <w:rPr>
          <w:rStyle w:val="Refdenotaalpie"/>
          <w:lang w:val="en-US"/>
        </w:rPr>
        <w:footnoteReference w:id="372"/>
      </w:r>
      <w:r w:rsidRPr="008C58E1">
        <w:rPr>
          <w:szCs w:val="20"/>
          <w:lang w:val="en-US"/>
        </w:rPr>
        <w:t xml:space="preserve"> thus expanding what it had indicated in the cases of </w:t>
      </w:r>
      <w:proofErr w:type="spellStart"/>
      <w:r w:rsidRPr="008C58E1">
        <w:rPr>
          <w:i/>
          <w:szCs w:val="20"/>
          <w:lang w:val="en-US"/>
        </w:rPr>
        <w:t>Gonzáles</w:t>
      </w:r>
      <w:proofErr w:type="spellEnd"/>
      <w:r w:rsidRPr="008C58E1">
        <w:rPr>
          <w:i/>
          <w:szCs w:val="20"/>
          <w:lang w:val="en-US"/>
        </w:rPr>
        <w:t xml:space="preserve"> </w:t>
      </w:r>
      <w:proofErr w:type="spellStart"/>
      <w:r w:rsidRPr="008C58E1">
        <w:rPr>
          <w:i/>
          <w:szCs w:val="20"/>
          <w:lang w:val="en-US"/>
        </w:rPr>
        <w:t>Lluy</w:t>
      </w:r>
      <w:proofErr w:type="spellEnd"/>
      <w:r w:rsidRPr="008C58E1">
        <w:rPr>
          <w:i/>
          <w:szCs w:val="20"/>
          <w:lang w:val="en-US"/>
        </w:rPr>
        <w:t xml:space="preserve"> v. Ecuador</w:t>
      </w:r>
      <w:r w:rsidRPr="008C58E1">
        <w:rPr>
          <w:rStyle w:val="Refdenotaalpie"/>
          <w:lang w:val="en-US"/>
        </w:rPr>
        <w:footnoteReference w:id="373"/>
      </w:r>
      <w:r w:rsidRPr="008C58E1">
        <w:rPr>
          <w:i/>
          <w:szCs w:val="20"/>
          <w:lang w:val="en-US"/>
        </w:rPr>
        <w:t xml:space="preserve"> </w:t>
      </w:r>
      <w:r w:rsidRPr="008C58E1">
        <w:rPr>
          <w:szCs w:val="20"/>
          <w:lang w:val="en-US"/>
        </w:rPr>
        <w:t xml:space="preserve">and </w:t>
      </w:r>
      <w:r w:rsidRPr="008C58E1">
        <w:rPr>
          <w:i/>
          <w:szCs w:val="20"/>
          <w:lang w:val="en-US"/>
        </w:rPr>
        <w:t>Duque v. Colombia.</w:t>
      </w:r>
      <w:r w:rsidRPr="008C58E1">
        <w:rPr>
          <w:rStyle w:val="Refdenotaalpie"/>
          <w:lang w:val="en-US"/>
        </w:rPr>
        <w:footnoteReference w:id="374"/>
      </w:r>
      <w:r w:rsidRPr="008C58E1">
        <w:rPr>
          <w:i/>
          <w:szCs w:val="20"/>
          <w:lang w:val="en-US"/>
        </w:rPr>
        <w:t xml:space="preserve"> </w:t>
      </w:r>
      <w:r w:rsidRPr="008C58E1">
        <w:rPr>
          <w:szCs w:val="20"/>
          <w:lang w:val="en-US"/>
        </w:rPr>
        <w:t>The third is that it examines the scope of the prohibition of discrimination in relation to groups that are at greater risk of being discriminated against, such as pregnant women living with HIV.</w:t>
      </w:r>
      <w:r w:rsidRPr="008C58E1">
        <w:rPr>
          <w:rStyle w:val="Refdenotaalpie"/>
          <w:lang w:val="en-US"/>
        </w:rPr>
        <w:footnoteReference w:id="375"/>
      </w:r>
      <w:r w:rsidRPr="008C58E1">
        <w:rPr>
          <w:szCs w:val="20"/>
          <w:lang w:val="en-US"/>
        </w:rPr>
        <w:t xml:space="preserve"> The fourth is that</w:t>
      </w:r>
      <w:r>
        <w:rPr>
          <w:szCs w:val="20"/>
          <w:lang w:val="en-US"/>
        </w:rPr>
        <w:t xml:space="preserve">, </w:t>
      </w:r>
      <w:r w:rsidRPr="008C58E1">
        <w:rPr>
          <w:szCs w:val="20"/>
          <w:lang w:val="en-US"/>
        </w:rPr>
        <w:t>for the first time in its history, the Court determined th</w:t>
      </w:r>
      <w:r>
        <w:rPr>
          <w:szCs w:val="20"/>
          <w:lang w:val="en-US"/>
        </w:rPr>
        <w:t>e responsibility of</w:t>
      </w:r>
      <w:r w:rsidRPr="008C58E1">
        <w:rPr>
          <w:szCs w:val="20"/>
          <w:lang w:val="en-US"/>
        </w:rPr>
        <w:t xml:space="preserve"> a State for the violation of the obligation of progressivity contained in Article 26 of the American Convention.</w:t>
      </w:r>
      <w:r w:rsidRPr="008C58E1">
        <w:rPr>
          <w:rStyle w:val="Refdenotaalpie"/>
          <w:lang w:val="en-US"/>
        </w:rPr>
        <w:footnoteReference w:id="376"/>
      </w:r>
      <w:r w:rsidRPr="008C58E1">
        <w:rPr>
          <w:szCs w:val="20"/>
          <w:lang w:val="en-US"/>
        </w:rPr>
        <w:t xml:space="preserve"> Lastly, the Court established measures of reparation that respond to the two aspects of the right to health mentioned above to make reparation to the victims in the case and to address the State’s systemic deficiencies in order to ensure that it provided comprehensive health care.</w:t>
      </w:r>
      <w:r w:rsidRPr="008C58E1">
        <w:rPr>
          <w:rStyle w:val="Refdenotaalpie"/>
          <w:lang w:val="en-US"/>
        </w:rPr>
        <w:footnoteReference w:id="377"/>
      </w:r>
    </w:p>
    <w:p w14:paraId="18F565E8" w14:textId="77777777" w:rsidR="00C36F0E" w:rsidRPr="008C58E1" w:rsidRDefault="00C36F0E" w:rsidP="00C36F0E">
      <w:pPr>
        <w:pStyle w:val="Prrafodelista"/>
        <w:ind w:left="0"/>
        <w:rPr>
          <w:szCs w:val="20"/>
          <w:lang w:val="en-US"/>
        </w:rPr>
      </w:pPr>
    </w:p>
    <w:p w14:paraId="1953326D" w14:textId="77777777" w:rsidR="00C36F0E" w:rsidRPr="008C58E1" w:rsidRDefault="00C36F0E" w:rsidP="00593E37">
      <w:pPr>
        <w:pStyle w:val="Prrafodelista"/>
        <w:numPr>
          <w:ilvl w:val="0"/>
          <w:numId w:val="14"/>
        </w:numPr>
        <w:ind w:left="0" w:firstLine="0"/>
        <w:rPr>
          <w:szCs w:val="20"/>
          <w:lang w:val="en-US"/>
        </w:rPr>
      </w:pPr>
      <w:r w:rsidRPr="008C58E1">
        <w:rPr>
          <w:szCs w:val="20"/>
          <w:lang w:val="en-US"/>
        </w:rPr>
        <w:lastRenderedPageBreak/>
        <w:t>Based on the above, as well as on reasons outlined on other occasions in this regard,</w:t>
      </w:r>
      <w:r w:rsidRPr="008C58E1">
        <w:rPr>
          <w:rStyle w:val="Refdenotaalpie"/>
          <w:lang w:val="en-US"/>
        </w:rPr>
        <w:footnoteReference w:id="378"/>
      </w:r>
      <w:r w:rsidRPr="008C58E1">
        <w:rPr>
          <w:szCs w:val="20"/>
          <w:lang w:val="en-US"/>
        </w:rPr>
        <w:t xml:space="preserve"> I am issuing this separate opinion in order to reflect on some</w:t>
      </w:r>
      <w:r>
        <w:rPr>
          <w:szCs w:val="20"/>
          <w:lang w:val="en-US"/>
        </w:rPr>
        <w:t xml:space="preserve"> of the</w:t>
      </w:r>
      <w:r w:rsidRPr="008C58E1">
        <w:rPr>
          <w:szCs w:val="20"/>
          <w:lang w:val="en-US"/>
        </w:rPr>
        <w:t xml:space="preserve"> relevant aspects that arise from this judgment: (I) the principle of progressivity and the regional experience in this area (</w:t>
      </w:r>
      <w:r w:rsidRPr="008C58E1">
        <w:rPr>
          <w:i/>
          <w:szCs w:val="20"/>
          <w:u w:val="single"/>
          <w:lang w:val="en-US"/>
        </w:rPr>
        <w:t>paras.</w:t>
      </w:r>
      <w:r w:rsidRPr="008C58E1">
        <w:rPr>
          <w:szCs w:val="20"/>
          <w:u w:val="single"/>
          <w:lang w:val="en-US"/>
        </w:rPr>
        <w:t xml:space="preserve"> 5-30</w:t>
      </w:r>
      <w:r w:rsidRPr="008C58E1">
        <w:rPr>
          <w:szCs w:val="20"/>
          <w:lang w:val="en-US"/>
        </w:rPr>
        <w:t>); (II)</w:t>
      </w:r>
      <w:r w:rsidRPr="008C58E1">
        <w:rPr>
          <w:b/>
          <w:szCs w:val="20"/>
          <w:lang w:val="en-US"/>
        </w:rPr>
        <w:t xml:space="preserve"> </w:t>
      </w:r>
      <w:r w:rsidRPr="008C58E1">
        <w:rPr>
          <w:szCs w:val="20"/>
          <w:lang w:val="en-US"/>
        </w:rPr>
        <w:t>the intersectional</w:t>
      </w:r>
      <w:r w:rsidRPr="008C58E1">
        <w:rPr>
          <w:b/>
          <w:szCs w:val="20"/>
          <w:lang w:val="en-US"/>
        </w:rPr>
        <w:t xml:space="preserve"> </w:t>
      </w:r>
      <w:r w:rsidRPr="008C58E1">
        <w:rPr>
          <w:szCs w:val="20"/>
          <w:lang w:val="en-US"/>
        </w:rPr>
        <w:t>discrimination against two pregnant women living with HIV (</w:t>
      </w:r>
      <w:r w:rsidRPr="008C58E1">
        <w:rPr>
          <w:i/>
          <w:szCs w:val="20"/>
          <w:u w:val="single"/>
          <w:lang w:val="en-US"/>
        </w:rPr>
        <w:t>paras.</w:t>
      </w:r>
      <w:r w:rsidRPr="008C58E1">
        <w:rPr>
          <w:szCs w:val="20"/>
          <w:u w:val="single"/>
          <w:lang w:val="en-US"/>
        </w:rPr>
        <w:t xml:space="preserve"> 31-34</w:t>
      </w:r>
      <w:r w:rsidRPr="008C58E1">
        <w:rPr>
          <w:szCs w:val="20"/>
          <w:lang w:val="en-US"/>
        </w:rPr>
        <w:t>); (III)</w:t>
      </w:r>
      <w:r w:rsidRPr="008C58E1">
        <w:rPr>
          <w:b/>
          <w:szCs w:val="20"/>
          <w:lang w:val="en-US"/>
        </w:rPr>
        <w:t xml:space="preserve"> </w:t>
      </w:r>
      <w:r w:rsidRPr="008C58E1">
        <w:rPr>
          <w:szCs w:val="20"/>
          <w:lang w:val="en-US"/>
        </w:rPr>
        <w:t>the measures of reparation ordered to rehabilitate the victims in the case and to avoid future violations of the right to health of people living with HIV in Guatemala (</w:t>
      </w:r>
      <w:r w:rsidRPr="008C58E1">
        <w:rPr>
          <w:i/>
          <w:szCs w:val="20"/>
          <w:u w:val="single"/>
          <w:lang w:val="en-US"/>
        </w:rPr>
        <w:t xml:space="preserve">paras. </w:t>
      </w:r>
      <w:r w:rsidRPr="008C58E1">
        <w:rPr>
          <w:szCs w:val="20"/>
          <w:u w:val="single"/>
          <w:lang w:val="en-US"/>
        </w:rPr>
        <w:t>35-43</w:t>
      </w:r>
      <w:r w:rsidRPr="008C58E1">
        <w:rPr>
          <w:szCs w:val="20"/>
          <w:lang w:val="en-US"/>
        </w:rPr>
        <w:t>), and (IV) conclusions (</w:t>
      </w:r>
      <w:r w:rsidRPr="008C58E1">
        <w:rPr>
          <w:i/>
          <w:szCs w:val="20"/>
          <w:u w:val="single"/>
          <w:lang w:val="en-US"/>
        </w:rPr>
        <w:t xml:space="preserve">paras. </w:t>
      </w:r>
      <w:r w:rsidRPr="008C58E1">
        <w:rPr>
          <w:szCs w:val="20"/>
          <w:u w:val="single"/>
          <w:lang w:val="en-US"/>
        </w:rPr>
        <w:t>44-47</w:t>
      </w:r>
      <w:r w:rsidRPr="008C58E1">
        <w:rPr>
          <w:szCs w:val="20"/>
          <w:lang w:val="en-US"/>
        </w:rPr>
        <w:t xml:space="preserve">). </w:t>
      </w:r>
    </w:p>
    <w:p w14:paraId="27C23B78" w14:textId="77777777" w:rsidR="00C36F0E" w:rsidRPr="008C58E1" w:rsidRDefault="00C36F0E" w:rsidP="00C36F0E">
      <w:pPr>
        <w:pStyle w:val="Prrafodelista"/>
        <w:ind w:left="0"/>
        <w:rPr>
          <w:szCs w:val="20"/>
          <w:lang w:val="en-US"/>
        </w:rPr>
      </w:pPr>
    </w:p>
    <w:p w14:paraId="61702317" w14:textId="77777777" w:rsidR="00C36F0E" w:rsidRPr="008C58E1" w:rsidRDefault="00C36F0E" w:rsidP="00C36F0E">
      <w:pPr>
        <w:pStyle w:val="Prrafodelista"/>
        <w:ind w:left="0"/>
        <w:jc w:val="center"/>
        <w:outlineLvl w:val="0"/>
        <w:rPr>
          <w:b/>
          <w:szCs w:val="20"/>
          <w:lang w:val="en-US"/>
        </w:rPr>
      </w:pPr>
      <w:r w:rsidRPr="008C58E1">
        <w:rPr>
          <w:b/>
          <w:szCs w:val="20"/>
          <w:lang w:val="en-US"/>
        </w:rPr>
        <w:t>I. THE PRINCIPLE OF PROGRESSIVITY</w:t>
      </w:r>
    </w:p>
    <w:p w14:paraId="25FF018C" w14:textId="77777777" w:rsidR="00C36F0E" w:rsidRPr="008C58E1" w:rsidRDefault="00C36F0E" w:rsidP="00C36F0E">
      <w:pPr>
        <w:pStyle w:val="Prrafodelista"/>
        <w:ind w:left="0"/>
        <w:outlineLvl w:val="0"/>
        <w:rPr>
          <w:b/>
          <w:szCs w:val="20"/>
          <w:lang w:val="en-US"/>
        </w:rPr>
      </w:pPr>
    </w:p>
    <w:p w14:paraId="42EB29AE" w14:textId="77777777" w:rsidR="00C36F0E" w:rsidRPr="008C58E1" w:rsidRDefault="00C36F0E" w:rsidP="00C36F0E">
      <w:pPr>
        <w:pStyle w:val="Lista2"/>
        <w:spacing w:after="0" w:line="240" w:lineRule="auto"/>
        <w:ind w:left="0" w:firstLine="0"/>
        <w:jc w:val="both"/>
        <w:rPr>
          <w:rFonts w:ascii="Verdana" w:eastAsiaTheme="minorEastAsia" w:hAnsi="Verdana"/>
          <w:b/>
          <w:sz w:val="20"/>
          <w:szCs w:val="20"/>
          <w:u w:val="single"/>
          <w:lang w:val="en-US" w:eastAsia="es-ES"/>
        </w:rPr>
      </w:pPr>
      <w:r w:rsidRPr="008C58E1">
        <w:rPr>
          <w:rFonts w:ascii="Verdana" w:hAnsi="Verdana"/>
          <w:b/>
          <w:sz w:val="20"/>
          <w:szCs w:val="20"/>
          <w:u w:val="single"/>
          <w:lang w:val="en-US"/>
        </w:rPr>
        <w:t xml:space="preserve">A. The international responsibility of the State for </w:t>
      </w:r>
      <w:r>
        <w:rPr>
          <w:rFonts w:ascii="Verdana" w:hAnsi="Verdana"/>
          <w:b/>
          <w:sz w:val="20"/>
          <w:szCs w:val="20"/>
          <w:u w:val="single"/>
          <w:lang w:val="en-US"/>
        </w:rPr>
        <w:t>violating</w:t>
      </w:r>
      <w:r w:rsidRPr="008C58E1">
        <w:rPr>
          <w:rFonts w:ascii="Verdana" w:hAnsi="Verdana"/>
          <w:b/>
          <w:sz w:val="20"/>
          <w:szCs w:val="20"/>
          <w:u w:val="single"/>
          <w:lang w:val="en-US"/>
        </w:rPr>
        <w:t xml:space="preserve"> the principle of progressivity in this case</w:t>
      </w:r>
    </w:p>
    <w:p w14:paraId="52AADF89" w14:textId="77777777" w:rsidR="00C36F0E" w:rsidRPr="008C58E1" w:rsidRDefault="00C36F0E" w:rsidP="00C36F0E">
      <w:pPr>
        <w:pStyle w:val="Lista2"/>
        <w:spacing w:before="100" w:beforeAutospacing="1" w:after="0" w:line="240" w:lineRule="auto"/>
        <w:ind w:left="0" w:firstLine="0"/>
        <w:jc w:val="both"/>
        <w:rPr>
          <w:rFonts w:ascii="Verdana" w:hAnsi="Verdana"/>
          <w:b/>
          <w:sz w:val="20"/>
          <w:szCs w:val="20"/>
          <w:u w:val="single"/>
          <w:lang w:val="en-US"/>
        </w:rPr>
      </w:pPr>
    </w:p>
    <w:p w14:paraId="004E771F" w14:textId="2DFEF148" w:rsidR="00C36F0E" w:rsidRDefault="00C36F0E" w:rsidP="00C36F0E">
      <w:pPr>
        <w:pStyle w:val="Prrafodelista"/>
        <w:ind w:left="0"/>
        <w:rPr>
          <w:szCs w:val="20"/>
          <w:lang w:val="en-US"/>
        </w:rPr>
      </w:pPr>
      <w:r w:rsidRPr="008C58E1">
        <w:rPr>
          <w:szCs w:val="20"/>
          <w:lang w:val="en-US"/>
        </w:rPr>
        <w:t xml:space="preserve">5. </w:t>
      </w:r>
      <w:r w:rsidRPr="008C58E1">
        <w:rPr>
          <w:szCs w:val="20"/>
          <w:lang w:val="en-US"/>
        </w:rPr>
        <w:tab/>
        <w:t xml:space="preserve">The scope of the principle of progressivity — on which the determination of the international responsibility of the State in this case is founded — is based on the line of jurisprudence that began in the case of </w:t>
      </w:r>
      <w:r w:rsidRPr="008C58E1">
        <w:rPr>
          <w:i/>
          <w:szCs w:val="20"/>
          <w:lang w:val="en-US"/>
        </w:rPr>
        <w:t xml:space="preserve">Acevedo </w:t>
      </w:r>
      <w:proofErr w:type="spellStart"/>
      <w:r w:rsidRPr="008C58E1">
        <w:rPr>
          <w:i/>
          <w:szCs w:val="20"/>
          <w:lang w:val="en-US"/>
        </w:rPr>
        <w:t>Buendía</w:t>
      </w:r>
      <w:proofErr w:type="spellEnd"/>
      <w:r w:rsidRPr="008C58E1">
        <w:rPr>
          <w:i/>
          <w:szCs w:val="20"/>
          <w:lang w:val="en-US"/>
        </w:rPr>
        <w:t xml:space="preserve"> et al.</w:t>
      </w:r>
      <w:r w:rsidRPr="008C58E1">
        <w:rPr>
          <w:rStyle w:val="Refdenotaalpie"/>
          <w:lang w:val="en-US"/>
        </w:rPr>
        <w:footnoteReference w:id="379"/>
      </w:r>
      <w:r w:rsidRPr="008C58E1">
        <w:rPr>
          <w:szCs w:val="20"/>
          <w:lang w:val="en-US"/>
        </w:rPr>
        <w:t xml:space="preserve"> In that case, the Court recognized that the realization of the ESCER could not be achieved in the short term and that, therefore, a flexibility mechanism was required, reflecting the realities of the real world and the difficulties involved for any country in ensuring their full realization. The Court also asserted that, in the context of this flexibility, as regards the time frame and </w:t>
      </w:r>
      <w:r>
        <w:rPr>
          <w:szCs w:val="20"/>
          <w:lang w:val="en-US"/>
        </w:rPr>
        <w:t xml:space="preserve">the </w:t>
      </w:r>
      <w:r w:rsidRPr="008C58E1">
        <w:rPr>
          <w:szCs w:val="20"/>
          <w:lang w:val="en-US"/>
        </w:rPr>
        <w:t>methods of compliance, the State ha</w:t>
      </w:r>
      <w:r>
        <w:rPr>
          <w:szCs w:val="20"/>
          <w:lang w:val="en-US"/>
        </w:rPr>
        <w:t>d</w:t>
      </w:r>
      <w:r w:rsidRPr="008C58E1">
        <w:rPr>
          <w:szCs w:val="20"/>
          <w:lang w:val="en-US"/>
        </w:rPr>
        <w:t xml:space="preserve"> an obligation to act; that is to take steps and adopt the necessary measures to respond to the requirements </w:t>
      </w:r>
      <w:r>
        <w:rPr>
          <w:szCs w:val="20"/>
          <w:lang w:val="en-US"/>
        </w:rPr>
        <w:t>for</w:t>
      </w:r>
      <w:r w:rsidRPr="008C58E1">
        <w:rPr>
          <w:szCs w:val="20"/>
          <w:lang w:val="en-US"/>
        </w:rPr>
        <w:t xml:space="preserve"> the realization of the rights involved, always to the extent of the economic and financial resources available for compliance with its international commitments.</w:t>
      </w:r>
      <w:r w:rsidRPr="008C58E1">
        <w:rPr>
          <w:rStyle w:val="Refdenotaalpie"/>
          <w:lang w:val="en-US"/>
        </w:rPr>
        <w:footnoteReference w:id="380"/>
      </w:r>
      <w:r w:rsidRPr="008C58E1">
        <w:rPr>
          <w:szCs w:val="20"/>
          <w:lang w:val="en-US"/>
        </w:rPr>
        <w:t xml:space="preserve"> In </w:t>
      </w:r>
      <w:r w:rsidRPr="008C58E1">
        <w:rPr>
          <w:i/>
          <w:szCs w:val="20"/>
          <w:lang w:val="en-US"/>
        </w:rPr>
        <w:t xml:space="preserve">Acevedo </w:t>
      </w:r>
      <w:proofErr w:type="spellStart"/>
      <w:r w:rsidRPr="008C58E1">
        <w:rPr>
          <w:i/>
          <w:szCs w:val="20"/>
          <w:lang w:val="en-US"/>
        </w:rPr>
        <w:t>Buendía</w:t>
      </w:r>
      <w:proofErr w:type="spellEnd"/>
      <w:r w:rsidRPr="008C58E1">
        <w:rPr>
          <w:szCs w:val="20"/>
          <w:lang w:val="en-US"/>
        </w:rPr>
        <w:t>, the Court established that, in correlation to progressivity there is an obligation – although a conditioned one – of non-</w:t>
      </w:r>
      <w:proofErr w:type="spellStart"/>
      <w:r w:rsidRPr="008C58E1">
        <w:rPr>
          <w:szCs w:val="20"/>
          <w:lang w:val="en-US"/>
        </w:rPr>
        <w:t>retrogressivity</w:t>
      </w:r>
      <w:proofErr w:type="spellEnd"/>
      <w:r w:rsidRPr="008C58E1">
        <w:rPr>
          <w:szCs w:val="20"/>
          <w:lang w:val="en-US"/>
        </w:rPr>
        <w:t>, that should not always be understood as a prohibition of measures that restrict the exercise of a right.</w:t>
      </w:r>
      <w:r w:rsidRPr="008C58E1">
        <w:rPr>
          <w:rStyle w:val="Refdenotaalpie"/>
          <w:lang w:val="en-US"/>
        </w:rPr>
        <w:footnoteReference w:id="381"/>
      </w:r>
    </w:p>
    <w:p w14:paraId="5FA8A913" w14:textId="77777777" w:rsidR="00593E37" w:rsidRPr="008C58E1" w:rsidRDefault="00593E37" w:rsidP="00C36F0E">
      <w:pPr>
        <w:pStyle w:val="Prrafodelista"/>
        <w:ind w:left="0"/>
        <w:rPr>
          <w:szCs w:val="20"/>
          <w:lang w:val="en-US"/>
        </w:rPr>
      </w:pPr>
    </w:p>
    <w:p w14:paraId="75FCE25A" w14:textId="77777777" w:rsidR="00C36F0E" w:rsidRPr="008C58E1" w:rsidRDefault="00C36F0E" w:rsidP="00C36F0E">
      <w:pPr>
        <w:pStyle w:val="Prrafodelista"/>
        <w:ind w:left="0"/>
        <w:rPr>
          <w:szCs w:val="20"/>
          <w:lang w:val="en-US"/>
        </w:rPr>
      </w:pPr>
      <w:r w:rsidRPr="008C58E1">
        <w:rPr>
          <w:szCs w:val="20"/>
          <w:lang w:val="en-US"/>
        </w:rPr>
        <w:t xml:space="preserve">6. </w:t>
      </w:r>
      <w:r w:rsidRPr="008C58E1">
        <w:rPr>
          <w:szCs w:val="20"/>
          <w:lang w:val="en-US"/>
        </w:rPr>
        <w:tab/>
        <w:t>In the judgment, the Court concluded that the State had violated the principle of progressivity contained in Article 26 of the American Convention, in relation to Article 1(1) of this instrument, as a result of the State’s failure to act to protect the right to health of people living with HIV in Guatemala, despite the existence of an international obligation and S</w:t>
      </w:r>
      <w:r>
        <w:rPr>
          <w:szCs w:val="20"/>
          <w:lang w:val="en-US"/>
        </w:rPr>
        <w:t>t</w:t>
      </w:r>
      <w:r w:rsidRPr="008C58E1">
        <w:rPr>
          <w:szCs w:val="20"/>
          <w:lang w:val="en-US"/>
        </w:rPr>
        <w:t>ate regulations.</w:t>
      </w:r>
      <w:r w:rsidRPr="008C58E1">
        <w:rPr>
          <w:rStyle w:val="Refdenotaalpie"/>
          <w:lang w:val="en-US"/>
        </w:rPr>
        <w:footnoteReference w:id="382"/>
      </w:r>
      <w:r w:rsidRPr="008C58E1">
        <w:rPr>
          <w:szCs w:val="20"/>
          <w:lang w:val="en-US"/>
        </w:rPr>
        <w:t xml:space="preserve"> It assert</w:t>
      </w:r>
      <w:r>
        <w:rPr>
          <w:szCs w:val="20"/>
          <w:lang w:val="en-US"/>
        </w:rPr>
        <w:t>ed</w:t>
      </w:r>
      <w:r w:rsidRPr="008C58E1">
        <w:rPr>
          <w:szCs w:val="20"/>
          <w:lang w:val="en-US"/>
        </w:rPr>
        <w:t xml:space="preserve"> that the progressive dimension of</w:t>
      </w:r>
      <w:r>
        <w:rPr>
          <w:szCs w:val="20"/>
          <w:lang w:val="en-US"/>
        </w:rPr>
        <w:t xml:space="preserve"> the</w:t>
      </w:r>
      <w:r w:rsidRPr="008C58E1">
        <w:rPr>
          <w:szCs w:val="20"/>
          <w:lang w:val="en-US"/>
        </w:rPr>
        <w:t xml:space="preserve"> ESCER, while allowing a certain gradual</w:t>
      </w:r>
      <w:r>
        <w:rPr>
          <w:szCs w:val="20"/>
          <w:lang w:val="en-US"/>
        </w:rPr>
        <w:t>ness</w:t>
      </w:r>
      <w:r w:rsidRPr="008C58E1">
        <w:rPr>
          <w:szCs w:val="20"/>
          <w:lang w:val="en-US"/>
        </w:rPr>
        <w:t xml:space="preserve"> for their realization based on the legislative characteristics and available resources of each State, also include</w:t>
      </w:r>
      <w:r>
        <w:rPr>
          <w:szCs w:val="20"/>
          <w:lang w:val="en-US"/>
        </w:rPr>
        <w:t>d</w:t>
      </w:r>
      <w:r w:rsidRPr="008C58E1">
        <w:rPr>
          <w:szCs w:val="20"/>
          <w:lang w:val="en-US"/>
        </w:rPr>
        <w:t xml:space="preserve"> a sense of progress that call</w:t>
      </w:r>
      <w:r>
        <w:rPr>
          <w:szCs w:val="20"/>
          <w:lang w:val="en-US"/>
        </w:rPr>
        <w:t>ed</w:t>
      </w:r>
      <w:r w:rsidRPr="008C58E1">
        <w:rPr>
          <w:szCs w:val="20"/>
          <w:lang w:val="en-US"/>
        </w:rPr>
        <w:t xml:space="preserve"> for an effective and continuing improvement of the rights, so that social inequalities </w:t>
      </w:r>
      <w:r>
        <w:rPr>
          <w:szCs w:val="20"/>
          <w:lang w:val="en-US"/>
        </w:rPr>
        <w:t>we</w:t>
      </w:r>
      <w:r w:rsidRPr="008C58E1">
        <w:rPr>
          <w:szCs w:val="20"/>
          <w:lang w:val="en-US"/>
        </w:rPr>
        <w:t>re re</w:t>
      </w:r>
      <w:r>
        <w:rPr>
          <w:szCs w:val="20"/>
          <w:lang w:val="en-US"/>
        </w:rPr>
        <w:t>medied</w:t>
      </w:r>
      <w:r w:rsidRPr="008C58E1">
        <w:rPr>
          <w:szCs w:val="20"/>
          <w:lang w:val="en-US"/>
        </w:rPr>
        <w:t xml:space="preserve"> and the inclusion of vulnerable groups facilitated.</w:t>
      </w:r>
      <w:r w:rsidRPr="008C58E1">
        <w:rPr>
          <w:rStyle w:val="Refdenotaalpie"/>
          <w:lang w:val="en-US"/>
        </w:rPr>
        <w:footnoteReference w:id="383"/>
      </w:r>
      <w:r w:rsidRPr="008C58E1">
        <w:rPr>
          <w:szCs w:val="20"/>
          <w:lang w:val="en-US"/>
        </w:rPr>
        <w:t xml:space="preserve"> </w:t>
      </w:r>
      <w:r>
        <w:rPr>
          <w:szCs w:val="20"/>
          <w:lang w:val="en-US"/>
        </w:rPr>
        <w:t>In t</w:t>
      </w:r>
      <w:r w:rsidRPr="008C58E1">
        <w:rPr>
          <w:szCs w:val="20"/>
          <w:lang w:val="en-US"/>
        </w:rPr>
        <w:t>he analysis of the case</w:t>
      </w:r>
      <w:r>
        <w:rPr>
          <w:szCs w:val="20"/>
          <w:lang w:val="en-US"/>
        </w:rPr>
        <w:t>, the Court</w:t>
      </w:r>
      <w:r w:rsidRPr="008C58E1">
        <w:rPr>
          <w:szCs w:val="20"/>
          <w:lang w:val="en-US"/>
        </w:rPr>
        <w:t xml:space="preserve"> noted that, despite having a series of laws and public policies for the medical care of people with HIV</w:t>
      </w:r>
      <w:r>
        <w:rPr>
          <w:szCs w:val="20"/>
          <w:lang w:val="en-US"/>
        </w:rPr>
        <w:t xml:space="preserve"> </w:t>
      </w:r>
      <w:r w:rsidRPr="008C58E1">
        <w:rPr>
          <w:szCs w:val="20"/>
          <w:lang w:val="en-US"/>
        </w:rPr>
        <w:t xml:space="preserve">in force before 2004, Guatemala had only provided direct medical care to a limited number of </w:t>
      </w:r>
      <w:r>
        <w:rPr>
          <w:szCs w:val="20"/>
          <w:lang w:val="en-US"/>
        </w:rPr>
        <w:t>people</w:t>
      </w:r>
      <w:r w:rsidRPr="008C58E1">
        <w:rPr>
          <w:szCs w:val="20"/>
          <w:lang w:val="en-US"/>
        </w:rPr>
        <w:t>, which did not include 48 of the 49 victims in this case.</w:t>
      </w:r>
      <w:r w:rsidRPr="008C58E1">
        <w:rPr>
          <w:rStyle w:val="Refdenotaalpie"/>
          <w:lang w:val="en-US"/>
        </w:rPr>
        <w:footnoteReference w:id="384"/>
      </w:r>
      <w:r w:rsidRPr="008C58E1">
        <w:rPr>
          <w:szCs w:val="20"/>
          <w:lang w:val="en-US"/>
        </w:rPr>
        <w:t xml:space="preserve"> This </w:t>
      </w:r>
      <w:r w:rsidRPr="008C58E1">
        <w:rPr>
          <w:i/>
          <w:szCs w:val="20"/>
          <w:lang w:val="en-US"/>
        </w:rPr>
        <w:t xml:space="preserve">State inactivity, </w:t>
      </w:r>
      <w:r w:rsidRPr="008C58E1">
        <w:rPr>
          <w:szCs w:val="20"/>
          <w:lang w:val="en-US"/>
        </w:rPr>
        <w:t>prior to 2004, in the face of the HIV epidemic, resulted in the State’s international responsibility for the violation of the principle of progressivity in relation to health protection.</w:t>
      </w:r>
    </w:p>
    <w:p w14:paraId="0184831F" w14:textId="77777777" w:rsidR="00C36F0E" w:rsidRPr="008C58E1" w:rsidRDefault="00C36F0E" w:rsidP="00C36F0E">
      <w:pPr>
        <w:pStyle w:val="Prrafodelista"/>
        <w:ind w:left="0"/>
        <w:rPr>
          <w:szCs w:val="20"/>
          <w:lang w:val="en-US"/>
        </w:rPr>
      </w:pPr>
    </w:p>
    <w:p w14:paraId="53A6E971" w14:textId="77777777" w:rsidR="00C36F0E" w:rsidRPr="008C58E1" w:rsidRDefault="00C36F0E" w:rsidP="00C36F0E">
      <w:pPr>
        <w:pStyle w:val="Prrafodelista"/>
        <w:ind w:left="0"/>
        <w:rPr>
          <w:szCs w:val="20"/>
          <w:lang w:val="en-US"/>
        </w:rPr>
      </w:pPr>
      <w:r w:rsidRPr="008C58E1">
        <w:rPr>
          <w:szCs w:val="20"/>
          <w:lang w:val="en-US"/>
        </w:rPr>
        <w:t xml:space="preserve">7. </w:t>
      </w:r>
      <w:r w:rsidRPr="008C58E1">
        <w:rPr>
          <w:szCs w:val="20"/>
          <w:lang w:val="en-US"/>
        </w:rPr>
        <w:tab/>
        <w:t xml:space="preserve">The judgment refers specifically to the State’s failure to comply with its obligation to act, in the sense mentioned in the case of </w:t>
      </w:r>
      <w:r w:rsidRPr="008C58E1">
        <w:rPr>
          <w:i/>
          <w:szCs w:val="20"/>
          <w:lang w:val="en-US"/>
        </w:rPr>
        <w:t xml:space="preserve">Acevedo </w:t>
      </w:r>
      <w:proofErr w:type="spellStart"/>
      <w:r w:rsidRPr="008C58E1">
        <w:rPr>
          <w:i/>
          <w:szCs w:val="20"/>
          <w:lang w:val="en-US"/>
        </w:rPr>
        <w:t>Buendía</w:t>
      </w:r>
      <w:proofErr w:type="spellEnd"/>
      <w:r w:rsidRPr="008C58E1">
        <w:rPr>
          <w:szCs w:val="20"/>
          <w:lang w:val="en-US"/>
        </w:rPr>
        <w:t xml:space="preserve">. The central thesis of the majority opinion in </w:t>
      </w:r>
      <w:proofErr w:type="spellStart"/>
      <w:r w:rsidRPr="008C58E1">
        <w:rPr>
          <w:i/>
          <w:szCs w:val="20"/>
          <w:lang w:val="en-US"/>
        </w:rPr>
        <w:t>Cuscul</w:t>
      </w:r>
      <w:proofErr w:type="spellEnd"/>
      <w:r w:rsidRPr="008C58E1">
        <w:rPr>
          <w:i/>
          <w:szCs w:val="20"/>
          <w:lang w:val="en-US"/>
        </w:rPr>
        <w:t xml:space="preserve"> </w:t>
      </w:r>
      <w:proofErr w:type="spellStart"/>
      <w:r w:rsidRPr="008C58E1">
        <w:rPr>
          <w:i/>
          <w:szCs w:val="20"/>
          <w:lang w:val="en-US"/>
        </w:rPr>
        <w:t>Pivaral</w:t>
      </w:r>
      <w:proofErr w:type="spellEnd"/>
      <w:r w:rsidRPr="008C58E1">
        <w:rPr>
          <w:szCs w:val="20"/>
          <w:lang w:val="en-US"/>
        </w:rPr>
        <w:t xml:space="preserve"> is that, although the State enjoys a certain leeway to comply with its obligations of progressivity in the area of ESCER, this cannot be interpreted as a blank cheque in order not to adopt any measure of protection, or to adopt measures that are so </w:t>
      </w:r>
      <w:r>
        <w:rPr>
          <w:szCs w:val="20"/>
          <w:lang w:val="en-US"/>
        </w:rPr>
        <w:t>limited</w:t>
      </w:r>
      <w:r w:rsidRPr="008C58E1">
        <w:rPr>
          <w:szCs w:val="20"/>
          <w:lang w:val="en-US"/>
        </w:rPr>
        <w:t xml:space="preserve"> in scope that they leave vulnerable people unprotected, and at risk of suffering serious violations of their integrity or their life. This</w:t>
      </w:r>
      <w:r>
        <w:rPr>
          <w:szCs w:val="20"/>
          <w:lang w:val="en-US"/>
        </w:rPr>
        <w:t xml:space="preserve"> is</w:t>
      </w:r>
      <w:r w:rsidRPr="008C58E1">
        <w:rPr>
          <w:szCs w:val="20"/>
          <w:lang w:val="en-US"/>
        </w:rPr>
        <w:t xml:space="preserve"> the situation of people living with HIV, who are clearly at risk of contracting opportunistic diseases and, therefore, suffering violations of their personal integrity or their life</w:t>
      </w:r>
      <w:r>
        <w:rPr>
          <w:szCs w:val="20"/>
          <w:lang w:val="en-US"/>
        </w:rPr>
        <w:t>,</w:t>
      </w:r>
      <w:r w:rsidRPr="008C58E1">
        <w:rPr>
          <w:szCs w:val="20"/>
          <w:lang w:val="en-US"/>
        </w:rPr>
        <w:t xml:space="preserve"> and it is on this basis that</w:t>
      </w:r>
      <w:r>
        <w:rPr>
          <w:szCs w:val="20"/>
          <w:lang w:val="en-US"/>
        </w:rPr>
        <w:t>, in this case,</w:t>
      </w:r>
      <w:r w:rsidRPr="008C58E1">
        <w:rPr>
          <w:szCs w:val="20"/>
          <w:lang w:val="en-US"/>
        </w:rPr>
        <w:t xml:space="preserve"> the State of Guatemala has been convicted </w:t>
      </w:r>
      <w:r>
        <w:rPr>
          <w:szCs w:val="20"/>
          <w:lang w:val="en-US"/>
        </w:rPr>
        <w:t>of</w:t>
      </w:r>
      <w:r w:rsidRPr="008C58E1">
        <w:rPr>
          <w:szCs w:val="20"/>
          <w:lang w:val="en-US"/>
        </w:rPr>
        <w:t xml:space="preserve"> </w:t>
      </w:r>
      <w:r w:rsidRPr="008C58E1">
        <w:rPr>
          <w:i/>
          <w:szCs w:val="20"/>
          <w:lang w:val="en-US"/>
        </w:rPr>
        <w:t>State inaction</w:t>
      </w:r>
      <w:r w:rsidRPr="008C58E1">
        <w:rPr>
          <w:szCs w:val="20"/>
          <w:lang w:val="en-US"/>
        </w:rPr>
        <w:t xml:space="preserve"> as regards effective protection prior to 2004. In </w:t>
      </w:r>
      <w:proofErr w:type="spellStart"/>
      <w:r w:rsidRPr="008C58E1">
        <w:rPr>
          <w:i/>
          <w:szCs w:val="20"/>
          <w:lang w:val="en-US"/>
        </w:rPr>
        <w:t>Cuscul</w:t>
      </w:r>
      <w:proofErr w:type="spellEnd"/>
      <w:r w:rsidRPr="008C58E1">
        <w:rPr>
          <w:i/>
          <w:szCs w:val="20"/>
          <w:lang w:val="en-US"/>
        </w:rPr>
        <w:t xml:space="preserve"> </w:t>
      </w:r>
      <w:proofErr w:type="spellStart"/>
      <w:r w:rsidRPr="008C58E1">
        <w:rPr>
          <w:i/>
          <w:szCs w:val="20"/>
          <w:lang w:val="en-US"/>
        </w:rPr>
        <w:t>Pivaral</w:t>
      </w:r>
      <w:proofErr w:type="spellEnd"/>
      <w:r w:rsidRPr="008C58E1">
        <w:rPr>
          <w:i/>
          <w:szCs w:val="20"/>
          <w:lang w:val="en-US"/>
        </w:rPr>
        <w:t xml:space="preserve"> </w:t>
      </w:r>
      <w:r w:rsidRPr="008C58E1">
        <w:rPr>
          <w:szCs w:val="20"/>
          <w:lang w:val="en-US"/>
        </w:rPr>
        <w:t>the Court did not identify the existence of measures that had been retrogressive in the protection of people living with HIV in Guatemala. Indeed, it recognized the existence of a series of laws, government plans, and budgetary increases, above all after 2004, aimed at ensuring adequate health care. However, despite their existence after 2004, the</w:t>
      </w:r>
      <w:r>
        <w:rPr>
          <w:szCs w:val="20"/>
          <w:lang w:val="en-US"/>
        </w:rPr>
        <w:t>y</w:t>
      </w:r>
      <w:r w:rsidRPr="008C58E1">
        <w:rPr>
          <w:szCs w:val="20"/>
          <w:lang w:val="en-US"/>
        </w:rPr>
        <w:t xml:space="preserve"> failed to ensure this right effectively.</w:t>
      </w:r>
      <w:r w:rsidRPr="008C58E1">
        <w:rPr>
          <w:rStyle w:val="Refdenotaalpie"/>
          <w:lang w:val="en-US"/>
        </w:rPr>
        <w:footnoteReference w:id="385"/>
      </w:r>
    </w:p>
    <w:p w14:paraId="45568232" w14:textId="77777777" w:rsidR="00C36F0E" w:rsidRPr="008C58E1" w:rsidRDefault="00C36F0E" w:rsidP="00C36F0E">
      <w:pPr>
        <w:rPr>
          <w:szCs w:val="20"/>
          <w:lang w:val="en-US"/>
        </w:rPr>
      </w:pPr>
    </w:p>
    <w:p w14:paraId="22CD9DEB" w14:textId="77777777" w:rsidR="00C36F0E" w:rsidRPr="008C58E1" w:rsidRDefault="00C36F0E" w:rsidP="00C36F0E">
      <w:pPr>
        <w:pStyle w:val="Prrafodelista"/>
        <w:ind w:left="0"/>
        <w:rPr>
          <w:szCs w:val="20"/>
          <w:lang w:val="en-US"/>
        </w:rPr>
      </w:pPr>
      <w:r w:rsidRPr="008C58E1">
        <w:rPr>
          <w:szCs w:val="20"/>
          <w:lang w:val="en-US"/>
        </w:rPr>
        <w:t xml:space="preserve">8. </w:t>
      </w:r>
      <w:r w:rsidRPr="008C58E1">
        <w:rPr>
          <w:szCs w:val="20"/>
          <w:lang w:val="en-US"/>
        </w:rPr>
        <w:tab/>
        <w:t>That said, the criteri</w:t>
      </w:r>
      <w:r>
        <w:rPr>
          <w:szCs w:val="20"/>
          <w:lang w:val="en-US"/>
        </w:rPr>
        <w:t>a expressed in</w:t>
      </w:r>
      <w:r w:rsidRPr="008C58E1">
        <w:rPr>
          <w:szCs w:val="20"/>
          <w:lang w:val="en-US"/>
        </w:rPr>
        <w:t xml:space="preserve"> the judgment, in addition to its value in relation to care for people living with HIV in Guatemala, open</w:t>
      </w:r>
      <w:r>
        <w:rPr>
          <w:szCs w:val="20"/>
          <w:lang w:val="en-US"/>
        </w:rPr>
        <w:t xml:space="preserve"> </w:t>
      </w:r>
      <w:r w:rsidRPr="008C58E1">
        <w:rPr>
          <w:szCs w:val="20"/>
          <w:lang w:val="en-US"/>
        </w:rPr>
        <w:t xml:space="preserve">an important </w:t>
      </w:r>
      <w:r>
        <w:rPr>
          <w:szCs w:val="20"/>
          <w:lang w:val="en-US"/>
        </w:rPr>
        <w:t>door</w:t>
      </w:r>
      <w:r w:rsidRPr="008C58E1">
        <w:rPr>
          <w:szCs w:val="20"/>
          <w:lang w:val="en-US"/>
        </w:rPr>
        <w:t xml:space="preserve"> so that, in future, the Commission and the victims’ representatives may submit arguments to the Inter-American Court concerning either State inactivity as regards protection of the ESCER, or the existence of retrogressive measures in their protection that can be attributed to the State. However, this must be done respecting the methodological challenges involved in </w:t>
      </w:r>
      <w:r>
        <w:rPr>
          <w:szCs w:val="20"/>
          <w:lang w:val="en-US"/>
        </w:rPr>
        <w:t>evaluating</w:t>
      </w:r>
      <w:r w:rsidRPr="008C58E1">
        <w:rPr>
          <w:szCs w:val="20"/>
          <w:lang w:val="en-US"/>
        </w:rPr>
        <w:t xml:space="preserve"> State </w:t>
      </w:r>
      <w:r w:rsidRPr="008C58E1">
        <w:rPr>
          <w:szCs w:val="20"/>
          <w:lang w:val="en-US"/>
        </w:rPr>
        <w:lastRenderedPageBreak/>
        <w:t xml:space="preserve">policy in the area of the protection of the social rights in a democratic society. For </w:t>
      </w:r>
      <w:r>
        <w:rPr>
          <w:szCs w:val="20"/>
          <w:lang w:val="en-US"/>
        </w:rPr>
        <w:t xml:space="preserve">the </w:t>
      </w:r>
      <w:r w:rsidRPr="008C58E1">
        <w:rPr>
          <w:szCs w:val="20"/>
          <w:lang w:val="en-US"/>
        </w:rPr>
        <w:t xml:space="preserve">Commission and the victims’ representatives the challenge lies in being able to prove that the State effectively adopted retrogressive measures that affected the realization of one or several ESCER protected by Article 26 of the American Convention. This will involve formulating arguments that demonstrate the explicit or implicit recognition of a right protected under Article 26 of the Pact of San José, as well as the submission of the necessary evidence to prove that the State’s actions truly involved an unjustified lack of action and/or a retrogression in the realization of that right. Meanwhile, the State must justify that its actions have tended towards the full realization of the right or that they were not retrogressive, and if they were retrogressive, prove that this </w:t>
      </w:r>
      <w:proofErr w:type="spellStart"/>
      <w:r w:rsidRPr="008C58E1">
        <w:rPr>
          <w:szCs w:val="20"/>
          <w:lang w:val="en-US"/>
        </w:rPr>
        <w:t>retrogressivity</w:t>
      </w:r>
      <w:proofErr w:type="spellEnd"/>
      <w:r w:rsidRPr="008C58E1">
        <w:rPr>
          <w:szCs w:val="20"/>
          <w:lang w:val="en-US"/>
        </w:rPr>
        <w:t xml:space="preserve"> was justified based on the standards recognized in international law.</w:t>
      </w:r>
    </w:p>
    <w:p w14:paraId="45300D79" w14:textId="77777777" w:rsidR="00C36F0E" w:rsidRPr="008C58E1" w:rsidRDefault="00C36F0E" w:rsidP="00C36F0E">
      <w:pPr>
        <w:pStyle w:val="Prrafodelista"/>
        <w:ind w:left="0"/>
        <w:rPr>
          <w:szCs w:val="20"/>
          <w:lang w:val="en-US"/>
        </w:rPr>
      </w:pPr>
    </w:p>
    <w:p w14:paraId="5F81B146" w14:textId="77777777" w:rsidR="00C36F0E" w:rsidRPr="008C58E1" w:rsidRDefault="00C36F0E" w:rsidP="00C36F0E">
      <w:pPr>
        <w:pStyle w:val="Prrafodelista"/>
        <w:ind w:left="0"/>
        <w:rPr>
          <w:szCs w:val="20"/>
          <w:lang w:val="en-US"/>
        </w:rPr>
      </w:pPr>
      <w:r w:rsidRPr="00932630">
        <w:rPr>
          <w:szCs w:val="20"/>
          <w:lang w:val="en-US"/>
        </w:rPr>
        <w:t xml:space="preserve">9. </w:t>
      </w:r>
      <w:r w:rsidRPr="00932630">
        <w:rPr>
          <w:szCs w:val="20"/>
          <w:lang w:val="en-US"/>
        </w:rPr>
        <w:tab/>
        <w:t>In any case, State</w:t>
      </w:r>
      <w:r>
        <w:rPr>
          <w:szCs w:val="20"/>
          <w:lang w:val="en-US"/>
        </w:rPr>
        <w:t>s</w:t>
      </w:r>
      <w:r w:rsidRPr="00932630">
        <w:rPr>
          <w:szCs w:val="20"/>
          <w:lang w:val="en-US"/>
        </w:rPr>
        <w:t xml:space="preserve"> must continue their efforts to ensure the transparency of the way</w:t>
      </w:r>
      <w:r w:rsidRPr="008C58E1">
        <w:rPr>
          <w:szCs w:val="20"/>
          <w:lang w:val="en-US"/>
        </w:rPr>
        <w:t xml:space="preserve"> in which the ESCER are protected in their territory. Here, it is worth underlining the June 4, 2012, resolution of the General Assembly of the Organization of American States in which the States adopted the document “Progress Indicators for Measuring Rights under the Protocol of San Salvador,” which contains the standards and criteria adopted by the States Parties to the Additional Protocol to the American Convention on Human Rights in the Area of Economic, Social and Cultural Rights (hereinafter “Protocol of San Salvador”) to measure compliance with the rights established in the Protocol.</w:t>
      </w:r>
      <w:r w:rsidRPr="008C58E1">
        <w:rPr>
          <w:rStyle w:val="Refdenotaalpie"/>
          <w:lang w:val="en-US"/>
        </w:rPr>
        <w:footnoteReference w:id="386"/>
      </w:r>
    </w:p>
    <w:p w14:paraId="0D7AADDD" w14:textId="77777777" w:rsidR="00C36F0E" w:rsidRPr="008C58E1" w:rsidRDefault="00C36F0E" w:rsidP="00C36F0E">
      <w:pPr>
        <w:pStyle w:val="Prrafodelista"/>
        <w:ind w:left="0"/>
        <w:rPr>
          <w:szCs w:val="20"/>
          <w:lang w:val="en-US"/>
        </w:rPr>
      </w:pPr>
    </w:p>
    <w:p w14:paraId="366CAC2F" w14:textId="77777777" w:rsidR="00C36F0E" w:rsidRPr="008C58E1" w:rsidRDefault="00C36F0E" w:rsidP="00C36F0E">
      <w:pPr>
        <w:pStyle w:val="Prrafodelista"/>
        <w:ind w:left="0"/>
        <w:rPr>
          <w:szCs w:val="20"/>
          <w:lang w:val="en-US"/>
        </w:rPr>
      </w:pPr>
      <w:r w:rsidRPr="008C58E1">
        <w:rPr>
          <w:szCs w:val="20"/>
          <w:lang w:val="en-US"/>
        </w:rPr>
        <w:t xml:space="preserve">10. </w:t>
      </w:r>
      <w:r w:rsidRPr="008C58E1">
        <w:rPr>
          <w:szCs w:val="20"/>
          <w:lang w:val="en-US"/>
        </w:rPr>
        <w:tab/>
        <w:t>These criteria form the basis for the States to present information on compliance with their obligations in the area of the rights contained in the Protocol of San Salvador,</w:t>
      </w:r>
      <w:r w:rsidRPr="008C58E1">
        <w:rPr>
          <w:rStyle w:val="Refdenotaalpie"/>
          <w:lang w:val="en-US"/>
        </w:rPr>
        <w:footnoteReference w:id="387"/>
      </w:r>
      <w:r w:rsidRPr="008C58E1">
        <w:rPr>
          <w:szCs w:val="20"/>
          <w:lang w:val="en-US"/>
        </w:rPr>
        <w:t xml:space="preserve"> and can also be important elements to evaluate State compliance with the ESCER in relation </w:t>
      </w:r>
      <w:proofErr w:type="gramStart"/>
      <w:r w:rsidRPr="008C58E1">
        <w:rPr>
          <w:szCs w:val="20"/>
          <w:lang w:val="en-US"/>
        </w:rPr>
        <w:t>to  Article</w:t>
      </w:r>
      <w:proofErr w:type="gramEnd"/>
      <w:r w:rsidRPr="008C58E1">
        <w:rPr>
          <w:szCs w:val="20"/>
          <w:lang w:val="en-US"/>
        </w:rPr>
        <w:t xml:space="preserve"> 26 of the Convention. Evidently, as the judgment asserts,</w:t>
      </w:r>
      <w:r w:rsidRPr="008C58E1">
        <w:rPr>
          <w:rStyle w:val="Refdenotaalpie"/>
          <w:lang w:val="en-US"/>
        </w:rPr>
        <w:footnoteReference w:id="388"/>
      </w:r>
      <w:r w:rsidRPr="008C58E1">
        <w:rPr>
          <w:szCs w:val="20"/>
          <w:lang w:val="en-US"/>
        </w:rPr>
        <w:t xml:space="preserve"> the competence of the Court to examine violation</w:t>
      </w:r>
      <w:r>
        <w:rPr>
          <w:szCs w:val="20"/>
          <w:lang w:val="en-US"/>
        </w:rPr>
        <w:t>s</w:t>
      </w:r>
      <w:r w:rsidRPr="008C58E1">
        <w:rPr>
          <w:szCs w:val="20"/>
          <w:lang w:val="en-US"/>
        </w:rPr>
        <w:t xml:space="preserve"> of the Protocol of San Salvador is limited by the provisions of Article 19(6) of that instrument. But this does not mean that the information presented by the States in their national reports cannot be used as evidence, either by the Commission, the </w:t>
      </w:r>
      <w:r>
        <w:rPr>
          <w:szCs w:val="20"/>
          <w:lang w:val="en-US"/>
        </w:rPr>
        <w:t xml:space="preserve">victims’ </w:t>
      </w:r>
      <w:r w:rsidRPr="008C58E1">
        <w:rPr>
          <w:szCs w:val="20"/>
          <w:lang w:val="en-US"/>
        </w:rPr>
        <w:t xml:space="preserve">representatives, or the State. The important point – for the purposes of this opinion – is that the allegations </w:t>
      </w:r>
      <w:r>
        <w:rPr>
          <w:szCs w:val="20"/>
          <w:lang w:val="en-US"/>
        </w:rPr>
        <w:t>concerning</w:t>
      </w:r>
      <w:r w:rsidRPr="008C58E1">
        <w:rPr>
          <w:szCs w:val="20"/>
          <w:lang w:val="en-US"/>
        </w:rPr>
        <w:t xml:space="preserve"> the failure to realize the ESCER are formulated as solid legal arguments, and based on the data and other </w:t>
      </w:r>
      <w:r>
        <w:rPr>
          <w:szCs w:val="20"/>
          <w:lang w:val="en-US"/>
        </w:rPr>
        <w:t>evidentiary</w:t>
      </w:r>
      <w:r w:rsidRPr="008C58E1">
        <w:rPr>
          <w:szCs w:val="20"/>
          <w:lang w:val="en-US"/>
        </w:rPr>
        <w:t xml:space="preserve"> material that proves the way in which the State has complied – or failed to comply - with the effective realization of the rights in the terms of Article 26 of the American Convention.</w:t>
      </w:r>
    </w:p>
    <w:p w14:paraId="02166A0F" w14:textId="77777777" w:rsidR="00C36F0E" w:rsidRPr="008C58E1" w:rsidRDefault="00C36F0E" w:rsidP="00C36F0E">
      <w:pPr>
        <w:pStyle w:val="Prrafodelista"/>
        <w:ind w:left="0"/>
        <w:rPr>
          <w:szCs w:val="20"/>
          <w:lang w:val="en-US"/>
        </w:rPr>
      </w:pPr>
    </w:p>
    <w:p w14:paraId="30EF72E7" w14:textId="7BF458B5" w:rsidR="00C36F0E" w:rsidRDefault="00C36F0E" w:rsidP="00C36F0E">
      <w:pPr>
        <w:pStyle w:val="Prrafodelista"/>
        <w:ind w:left="0"/>
        <w:rPr>
          <w:b/>
          <w:szCs w:val="20"/>
          <w:u w:val="single"/>
          <w:lang w:val="en-US"/>
        </w:rPr>
      </w:pPr>
      <w:r w:rsidRPr="008C58E1">
        <w:rPr>
          <w:b/>
          <w:szCs w:val="20"/>
          <w:u w:val="single"/>
          <w:lang w:val="en-US"/>
        </w:rPr>
        <w:t>B. Some decisions of high national jurisdictions related to the mandate of progressivity and the protection of the right to health of people living with HIV</w:t>
      </w:r>
    </w:p>
    <w:p w14:paraId="67FC005A" w14:textId="77777777" w:rsidR="00316B86" w:rsidRPr="008C58E1" w:rsidRDefault="00316B86" w:rsidP="00C36F0E">
      <w:pPr>
        <w:pStyle w:val="Prrafodelista"/>
        <w:ind w:left="0"/>
        <w:rPr>
          <w:szCs w:val="20"/>
          <w:lang w:val="en-US"/>
        </w:rPr>
      </w:pPr>
    </w:p>
    <w:p w14:paraId="6D17DD43" w14:textId="77777777" w:rsidR="00C36F0E" w:rsidRPr="008C58E1" w:rsidRDefault="00C36F0E" w:rsidP="00C36F0E">
      <w:pPr>
        <w:pStyle w:val="Lista2"/>
        <w:spacing w:before="100" w:beforeAutospacing="1" w:after="0" w:line="240" w:lineRule="auto"/>
        <w:ind w:left="0" w:firstLine="0"/>
        <w:jc w:val="both"/>
        <w:rPr>
          <w:rFonts w:ascii="Verdana" w:hAnsi="Verdana"/>
          <w:sz w:val="20"/>
          <w:szCs w:val="20"/>
          <w:lang w:val="en-US"/>
        </w:rPr>
      </w:pPr>
      <w:r w:rsidRPr="008C58E1">
        <w:rPr>
          <w:rFonts w:ascii="Verdana" w:hAnsi="Verdana"/>
          <w:sz w:val="20"/>
          <w:szCs w:val="20"/>
          <w:lang w:val="en-US"/>
        </w:rPr>
        <w:lastRenderedPageBreak/>
        <w:t>11.</w:t>
      </w:r>
      <w:r w:rsidRPr="008C58E1">
        <w:rPr>
          <w:rFonts w:ascii="Verdana" w:hAnsi="Verdana"/>
          <w:sz w:val="20"/>
          <w:szCs w:val="20"/>
          <w:lang w:val="en-US"/>
        </w:rPr>
        <w:tab/>
        <w:t xml:space="preserve">The approach taken by the Inter-American Court in this case is not new in our region. The high national jurisdictions have developed important standards to achieve the full realization of the right to health within the framework of the obligation of progressivity and the prohibition of </w:t>
      </w:r>
      <w:proofErr w:type="spellStart"/>
      <w:r w:rsidRPr="008C58E1">
        <w:rPr>
          <w:rFonts w:ascii="Verdana" w:hAnsi="Verdana"/>
          <w:sz w:val="20"/>
          <w:szCs w:val="20"/>
          <w:lang w:val="en-US"/>
        </w:rPr>
        <w:t>retrogressivity</w:t>
      </w:r>
      <w:proofErr w:type="spellEnd"/>
      <w:r w:rsidRPr="008C58E1">
        <w:rPr>
          <w:rFonts w:ascii="Verdana" w:hAnsi="Verdana"/>
          <w:sz w:val="20"/>
          <w:szCs w:val="20"/>
          <w:lang w:val="en-US"/>
        </w:rPr>
        <w:t>.</w:t>
      </w:r>
      <w:r w:rsidRPr="008C58E1">
        <w:rPr>
          <w:rStyle w:val="Refdenotaalpie"/>
          <w:rFonts w:ascii="Verdana" w:hAnsi="Verdana"/>
          <w:sz w:val="20"/>
          <w:lang w:val="en-US"/>
        </w:rPr>
        <w:footnoteReference w:id="389"/>
      </w:r>
      <w:r w:rsidRPr="008C58E1">
        <w:rPr>
          <w:rFonts w:ascii="Verdana" w:hAnsi="Verdana"/>
          <w:sz w:val="20"/>
          <w:szCs w:val="20"/>
          <w:lang w:val="en-US"/>
        </w:rPr>
        <w:t xml:space="preserve"> In some cases they have considered the particular circumstances of people with HIV/AIDS and their situation of vulnerability. I will now refer to some of these standards in order to provide a general overview of the matter.</w:t>
      </w:r>
    </w:p>
    <w:p w14:paraId="47903FE9" w14:textId="77777777" w:rsidR="00C36F0E" w:rsidRPr="008C58E1" w:rsidRDefault="00C36F0E" w:rsidP="00C36F0E">
      <w:pPr>
        <w:pStyle w:val="Lista2"/>
        <w:spacing w:before="100" w:beforeAutospacing="1" w:after="0" w:line="240" w:lineRule="auto"/>
        <w:ind w:left="0" w:firstLine="0"/>
        <w:jc w:val="both"/>
        <w:rPr>
          <w:rFonts w:ascii="Verdana" w:hAnsi="Verdana"/>
          <w:b/>
          <w:sz w:val="20"/>
          <w:szCs w:val="20"/>
          <w:lang w:val="en-US"/>
        </w:rPr>
      </w:pPr>
    </w:p>
    <w:p w14:paraId="03F0AF21" w14:textId="77777777" w:rsidR="00C36F0E" w:rsidRPr="008C58E1" w:rsidRDefault="00C36F0E" w:rsidP="00C36F0E">
      <w:pPr>
        <w:pStyle w:val="Lista2"/>
        <w:spacing w:before="100" w:beforeAutospacing="1" w:after="0" w:line="240" w:lineRule="auto"/>
        <w:ind w:left="0" w:firstLine="0"/>
        <w:jc w:val="both"/>
        <w:rPr>
          <w:rFonts w:ascii="Verdana" w:hAnsi="Verdana"/>
          <w:b/>
          <w:sz w:val="20"/>
          <w:szCs w:val="20"/>
          <w:u w:val="single"/>
          <w:lang w:val="en-US"/>
        </w:rPr>
      </w:pPr>
      <w:r w:rsidRPr="008C58E1">
        <w:rPr>
          <w:rFonts w:ascii="Verdana" w:hAnsi="Verdana"/>
          <w:b/>
          <w:sz w:val="20"/>
          <w:szCs w:val="20"/>
          <w:u w:val="single"/>
          <w:lang w:val="en-US"/>
        </w:rPr>
        <w:t xml:space="preserve">a. The </w:t>
      </w:r>
      <w:proofErr w:type="spellStart"/>
      <w:r w:rsidRPr="008C58E1">
        <w:rPr>
          <w:rFonts w:ascii="Verdana" w:hAnsi="Verdana"/>
          <w:b/>
          <w:sz w:val="20"/>
          <w:szCs w:val="20"/>
          <w:u w:val="single"/>
          <w:lang w:val="en-US"/>
        </w:rPr>
        <w:t>constitutionalization</w:t>
      </w:r>
      <w:proofErr w:type="spellEnd"/>
      <w:r w:rsidRPr="008C58E1">
        <w:rPr>
          <w:rFonts w:ascii="Verdana" w:hAnsi="Verdana"/>
          <w:b/>
          <w:sz w:val="20"/>
          <w:szCs w:val="20"/>
          <w:u w:val="single"/>
          <w:lang w:val="en-US"/>
        </w:rPr>
        <w:t xml:space="preserve"> of the obligation of progressivity</w:t>
      </w:r>
    </w:p>
    <w:p w14:paraId="437B4487" w14:textId="77777777" w:rsidR="00C36F0E" w:rsidRPr="008C58E1" w:rsidRDefault="00C36F0E" w:rsidP="00C36F0E">
      <w:pPr>
        <w:pStyle w:val="Lista2"/>
        <w:spacing w:before="100" w:beforeAutospacing="1" w:after="0" w:line="240" w:lineRule="auto"/>
        <w:ind w:left="0" w:firstLine="0"/>
        <w:jc w:val="both"/>
        <w:rPr>
          <w:rFonts w:ascii="Verdana" w:hAnsi="Verdana"/>
          <w:sz w:val="20"/>
          <w:szCs w:val="20"/>
          <w:u w:val="single"/>
          <w:lang w:val="en-US"/>
        </w:rPr>
      </w:pPr>
    </w:p>
    <w:p w14:paraId="6B00CA14" w14:textId="77777777" w:rsidR="00C36F0E" w:rsidRPr="008C58E1" w:rsidRDefault="00C36F0E" w:rsidP="00C36F0E">
      <w:pPr>
        <w:pStyle w:val="Lista2"/>
        <w:spacing w:before="100" w:beforeAutospacing="1" w:after="0" w:line="240" w:lineRule="auto"/>
        <w:ind w:left="0" w:firstLine="0"/>
        <w:jc w:val="both"/>
        <w:rPr>
          <w:rFonts w:ascii="Verdana" w:hAnsi="Verdana"/>
          <w:sz w:val="20"/>
          <w:szCs w:val="20"/>
          <w:lang w:val="en-US"/>
        </w:rPr>
      </w:pPr>
      <w:r w:rsidRPr="008C58E1">
        <w:rPr>
          <w:rFonts w:ascii="Verdana" w:hAnsi="Verdana"/>
          <w:sz w:val="20"/>
          <w:szCs w:val="20"/>
          <w:lang w:val="en-US"/>
        </w:rPr>
        <w:t xml:space="preserve">12. </w:t>
      </w:r>
      <w:r w:rsidRPr="008C58E1">
        <w:rPr>
          <w:rFonts w:ascii="Verdana" w:hAnsi="Verdana"/>
          <w:sz w:val="20"/>
          <w:szCs w:val="20"/>
          <w:lang w:val="en-US"/>
        </w:rPr>
        <w:tab/>
        <w:t>Various Constitutions in the region have recognized</w:t>
      </w:r>
      <w:r>
        <w:rPr>
          <w:rFonts w:ascii="Verdana" w:hAnsi="Verdana"/>
          <w:sz w:val="20"/>
          <w:szCs w:val="20"/>
          <w:lang w:val="en-US"/>
        </w:rPr>
        <w:t>,</w:t>
      </w:r>
      <w:r w:rsidRPr="008C58E1">
        <w:rPr>
          <w:rFonts w:ascii="Verdana" w:hAnsi="Verdana"/>
          <w:sz w:val="20"/>
          <w:szCs w:val="20"/>
          <w:lang w:val="en-US"/>
        </w:rPr>
        <w:t xml:space="preserve"> </w:t>
      </w:r>
      <w:r>
        <w:rPr>
          <w:rFonts w:ascii="Verdana" w:hAnsi="Verdana"/>
          <w:sz w:val="20"/>
          <w:szCs w:val="20"/>
          <w:lang w:val="en-US"/>
        </w:rPr>
        <w:t xml:space="preserve">either </w:t>
      </w:r>
      <w:r w:rsidRPr="008C58E1">
        <w:rPr>
          <w:rFonts w:ascii="Verdana" w:hAnsi="Verdana"/>
          <w:sz w:val="20"/>
          <w:szCs w:val="20"/>
          <w:lang w:val="en-US"/>
        </w:rPr>
        <w:t>expressly or implicitly</w:t>
      </w:r>
      <w:r>
        <w:rPr>
          <w:rFonts w:ascii="Verdana" w:hAnsi="Verdana"/>
          <w:sz w:val="20"/>
          <w:szCs w:val="20"/>
          <w:lang w:val="en-US"/>
        </w:rPr>
        <w:t>,</w:t>
      </w:r>
      <w:r w:rsidRPr="008C58E1">
        <w:rPr>
          <w:rFonts w:ascii="Verdana" w:hAnsi="Verdana"/>
          <w:sz w:val="20"/>
          <w:szCs w:val="20"/>
          <w:lang w:val="en-US"/>
        </w:rPr>
        <w:t xml:space="preserve"> the obligation or progressivity (principle of progressivity with regard to human rights).</w:t>
      </w:r>
    </w:p>
    <w:p w14:paraId="185555B5" w14:textId="77777777" w:rsidR="00C36F0E" w:rsidRPr="008C58E1" w:rsidRDefault="00C36F0E" w:rsidP="00C36F0E">
      <w:pPr>
        <w:pStyle w:val="Lista2"/>
        <w:spacing w:before="100" w:beforeAutospacing="1" w:after="0" w:line="240" w:lineRule="auto"/>
        <w:ind w:left="0" w:firstLine="0"/>
        <w:jc w:val="both"/>
        <w:rPr>
          <w:rFonts w:ascii="Verdana" w:hAnsi="Verdana"/>
          <w:sz w:val="20"/>
          <w:szCs w:val="20"/>
          <w:lang w:val="en-US"/>
        </w:rPr>
      </w:pPr>
    </w:p>
    <w:p w14:paraId="1CC5BEB9" w14:textId="77777777" w:rsidR="00C36F0E" w:rsidRPr="008C58E1" w:rsidRDefault="00C36F0E" w:rsidP="00C36F0E">
      <w:pPr>
        <w:pStyle w:val="Lista2"/>
        <w:spacing w:before="100" w:beforeAutospacing="1" w:after="0" w:line="240" w:lineRule="auto"/>
        <w:ind w:left="0" w:firstLine="0"/>
        <w:jc w:val="both"/>
        <w:rPr>
          <w:rFonts w:ascii="Verdana" w:hAnsi="Verdana"/>
          <w:sz w:val="20"/>
          <w:szCs w:val="20"/>
          <w:lang w:val="en-US"/>
        </w:rPr>
      </w:pPr>
      <w:r w:rsidRPr="008C58E1">
        <w:rPr>
          <w:rFonts w:ascii="Verdana" w:hAnsi="Verdana"/>
          <w:sz w:val="20"/>
          <w:szCs w:val="20"/>
          <w:lang w:val="en-US"/>
        </w:rPr>
        <w:t>13.</w:t>
      </w:r>
      <w:r w:rsidRPr="008C58E1">
        <w:rPr>
          <w:rFonts w:ascii="Verdana" w:hAnsi="Verdana"/>
          <w:sz w:val="20"/>
          <w:szCs w:val="20"/>
          <w:lang w:val="en-US"/>
        </w:rPr>
        <w:tab/>
        <w:t xml:space="preserve">In this regard, some fundamental texts expressly state, in general, that this obligation or principle </w:t>
      </w:r>
      <w:r>
        <w:rPr>
          <w:rFonts w:ascii="Verdana" w:hAnsi="Verdana"/>
          <w:sz w:val="20"/>
          <w:szCs w:val="20"/>
          <w:lang w:val="en-US"/>
        </w:rPr>
        <w:t>encompasses</w:t>
      </w:r>
      <w:r w:rsidRPr="008C58E1">
        <w:rPr>
          <w:rFonts w:ascii="Verdana" w:hAnsi="Verdana"/>
          <w:sz w:val="20"/>
          <w:szCs w:val="20"/>
          <w:lang w:val="en-US"/>
        </w:rPr>
        <w:t xml:space="preserve"> all human rights and not only the ESCER. Countries such Bolivia,</w:t>
      </w:r>
      <w:r w:rsidRPr="008C58E1">
        <w:rPr>
          <w:rStyle w:val="Refdenotaalpie"/>
          <w:rFonts w:ascii="Verdana" w:hAnsi="Verdana"/>
          <w:sz w:val="20"/>
          <w:lang w:val="en-US"/>
        </w:rPr>
        <w:footnoteReference w:id="390"/>
      </w:r>
      <w:r w:rsidRPr="008C58E1">
        <w:rPr>
          <w:rFonts w:ascii="Verdana" w:hAnsi="Verdana"/>
          <w:sz w:val="20"/>
          <w:szCs w:val="20"/>
          <w:lang w:val="en-US"/>
        </w:rPr>
        <w:t xml:space="preserve"> Ecuador,</w:t>
      </w:r>
      <w:r w:rsidRPr="008C58E1">
        <w:rPr>
          <w:rStyle w:val="Refdenotaalpie"/>
          <w:rFonts w:ascii="Verdana" w:hAnsi="Verdana"/>
          <w:sz w:val="20"/>
          <w:lang w:val="en-US"/>
        </w:rPr>
        <w:footnoteReference w:id="391"/>
      </w:r>
      <w:r w:rsidRPr="008C58E1">
        <w:rPr>
          <w:rFonts w:ascii="Verdana" w:hAnsi="Verdana"/>
          <w:sz w:val="20"/>
          <w:szCs w:val="20"/>
          <w:lang w:val="en-US"/>
        </w:rPr>
        <w:t xml:space="preserve"> Mexico</w:t>
      </w:r>
      <w:r w:rsidRPr="008C58E1">
        <w:rPr>
          <w:rStyle w:val="Refdenotaalpie"/>
          <w:rFonts w:ascii="Verdana" w:hAnsi="Verdana"/>
          <w:sz w:val="20"/>
          <w:lang w:val="en-US"/>
        </w:rPr>
        <w:footnoteReference w:id="392"/>
      </w:r>
      <w:r w:rsidRPr="008C58E1">
        <w:rPr>
          <w:rFonts w:ascii="Verdana" w:hAnsi="Verdana"/>
          <w:sz w:val="20"/>
          <w:szCs w:val="20"/>
          <w:lang w:val="en-US"/>
        </w:rPr>
        <w:t>, Dominican Republic</w:t>
      </w:r>
      <w:r w:rsidRPr="008C58E1">
        <w:rPr>
          <w:rStyle w:val="Refdenotaalpie"/>
          <w:rFonts w:ascii="Verdana" w:hAnsi="Verdana"/>
          <w:sz w:val="20"/>
          <w:lang w:val="en-US"/>
        </w:rPr>
        <w:footnoteReference w:id="393"/>
      </w:r>
      <w:r w:rsidRPr="008C58E1">
        <w:rPr>
          <w:rFonts w:ascii="Verdana" w:hAnsi="Verdana"/>
          <w:sz w:val="20"/>
          <w:szCs w:val="20"/>
          <w:lang w:val="en-US"/>
        </w:rPr>
        <w:t xml:space="preserve"> and Venezuela</w:t>
      </w:r>
      <w:r w:rsidRPr="008C58E1">
        <w:rPr>
          <w:rStyle w:val="Refdenotaalpie"/>
          <w:rFonts w:ascii="Verdana" w:hAnsi="Verdana"/>
          <w:sz w:val="20"/>
          <w:lang w:val="en-US"/>
        </w:rPr>
        <w:footnoteReference w:id="394"/>
      </w:r>
      <w:r w:rsidRPr="008C58E1">
        <w:rPr>
          <w:rFonts w:ascii="Verdana" w:hAnsi="Verdana"/>
          <w:sz w:val="20"/>
          <w:szCs w:val="20"/>
          <w:lang w:val="en-US"/>
        </w:rPr>
        <w:t xml:space="preserve"> fall within this scenario.  A second variant includes those Constitutions that – exclusively – have recognized the programmatic nature of certain rights that, in general, are ESCER. </w:t>
      </w:r>
      <w:r>
        <w:rPr>
          <w:rFonts w:ascii="Verdana" w:hAnsi="Verdana"/>
          <w:sz w:val="20"/>
          <w:szCs w:val="20"/>
          <w:lang w:val="en-US"/>
        </w:rPr>
        <w:t>C</w:t>
      </w:r>
      <w:r w:rsidRPr="008C58E1">
        <w:rPr>
          <w:rFonts w:ascii="Verdana" w:hAnsi="Verdana"/>
          <w:sz w:val="20"/>
          <w:szCs w:val="20"/>
          <w:lang w:val="en-US"/>
        </w:rPr>
        <w:t>ountries such as Colombia,</w:t>
      </w:r>
      <w:r w:rsidRPr="008C58E1">
        <w:rPr>
          <w:rStyle w:val="Refdenotaalpie"/>
          <w:rFonts w:ascii="Verdana" w:hAnsi="Verdana"/>
          <w:sz w:val="20"/>
          <w:lang w:val="en-US"/>
        </w:rPr>
        <w:footnoteReference w:id="395"/>
      </w:r>
      <w:r w:rsidRPr="008C58E1">
        <w:rPr>
          <w:rFonts w:ascii="Verdana" w:hAnsi="Verdana"/>
          <w:sz w:val="20"/>
          <w:szCs w:val="20"/>
          <w:lang w:val="en-US"/>
        </w:rPr>
        <w:t xml:space="preserve"> Guatemala,</w:t>
      </w:r>
      <w:r w:rsidRPr="008C58E1">
        <w:rPr>
          <w:rStyle w:val="Refdenotaalpie"/>
          <w:rFonts w:ascii="Verdana" w:hAnsi="Verdana"/>
          <w:sz w:val="20"/>
          <w:lang w:val="en-US"/>
        </w:rPr>
        <w:footnoteReference w:id="396"/>
      </w:r>
      <w:r w:rsidRPr="008C58E1">
        <w:rPr>
          <w:rFonts w:ascii="Verdana" w:hAnsi="Verdana"/>
          <w:sz w:val="20"/>
          <w:szCs w:val="20"/>
          <w:lang w:val="en-US"/>
        </w:rPr>
        <w:t xml:space="preserve"> Honduras</w:t>
      </w:r>
      <w:r w:rsidRPr="008C58E1">
        <w:rPr>
          <w:rStyle w:val="Refdenotaalpie"/>
          <w:rFonts w:ascii="Verdana" w:hAnsi="Verdana"/>
          <w:sz w:val="20"/>
          <w:lang w:val="en-US"/>
        </w:rPr>
        <w:footnoteReference w:id="397"/>
      </w:r>
      <w:r w:rsidRPr="008C58E1">
        <w:rPr>
          <w:rFonts w:ascii="Verdana" w:hAnsi="Verdana"/>
          <w:sz w:val="20"/>
          <w:szCs w:val="20"/>
          <w:lang w:val="en-US"/>
        </w:rPr>
        <w:t xml:space="preserve"> and Peru</w:t>
      </w:r>
      <w:r>
        <w:rPr>
          <w:rFonts w:ascii="Verdana" w:hAnsi="Verdana"/>
          <w:sz w:val="20"/>
          <w:szCs w:val="20"/>
          <w:lang w:val="en-US"/>
        </w:rPr>
        <w:t xml:space="preserve"> employ this model.</w:t>
      </w:r>
      <w:r w:rsidRPr="008C58E1">
        <w:rPr>
          <w:rStyle w:val="Refdenotaalpie"/>
          <w:rFonts w:ascii="Verdana" w:hAnsi="Verdana"/>
          <w:sz w:val="20"/>
          <w:lang w:val="en-US"/>
        </w:rPr>
        <w:footnoteReference w:id="398"/>
      </w:r>
      <w:r w:rsidRPr="008C58E1">
        <w:rPr>
          <w:rFonts w:ascii="Verdana" w:hAnsi="Verdana"/>
          <w:sz w:val="20"/>
          <w:szCs w:val="20"/>
          <w:lang w:val="en-US"/>
        </w:rPr>
        <w:t xml:space="preserve"> A third block of </w:t>
      </w:r>
      <w:r w:rsidRPr="008C58E1">
        <w:rPr>
          <w:rFonts w:ascii="Verdana" w:hAnsi="Verdana"/>
          <w:sz w:val="20"/>
          <w:szCs w:val="20"/>
          <w:lang w:val="en-US"/>
        </w:rPr>
        <w:lastRenderedPageBreak/>
        <w:t xml:space="preserve">Constitutions is characterized because, although they do not refer expressly to the principle of progressivity with regard to human rights, in some ways they establish duties that the State must comply with to realize the rights contained in these fundamental </w:t>
      </w:r>
      <w:r>
        <w:rPr>
          <w:rFonts w:ascii="Verdana" w:hAnsi="Verdana"/>
          <w:sz w:val="20"/>
          <w:szCs w:val="20"/>
          <w:lang w:val="en-US"/>
        </w:rPr>
        <w:t>instruments</w:t>
      </w:r>
      <w:r w:rsidRPr="008C58E1">
        <w:rPr>
          <w:rFonts w:ascii="Verdana" w:hAnsi="Verdana"/>
          <w:sz w:val="20"/>
          <w:szCs w:val="20"/>
          <w:lang w:val="en-US"/>
        </w:rPr>
        <w:t xml:space="preserve"> – and, in some case, with real equality criteria – </w:t>
      </w:r>
      <w:r>
        <w:rPr>
          <w:rFonts w:ascii="Verdana" w:hAnsi="Verdana"/>
          <w:sz w:val="20"/>
          <w:szCs w:val="20"/>
          <w:lang w:val="en-US"/>
        </w:rPr>
        <w:t>of</w:t>
      </w:r>
      <w:r w:rsidRPr="008C58E1">
        <w:rPr>
          <w:rFonts w:ascii="Verdana" w:hAnsi="Verdana"/>
          <w:sz w:val="20"/>
          <w:szCs w:val="20"/>
          <w:lang w:val="en-US"/>
        </w:rPr>
        <w:t xml:space="preserve"> the persons subject to </w:t>
      </w:r>
      <w:r>
        <w:rPr>
          <w:rFonts w:ascii="Verdana" w:hAnsi="Verdana"/>
          <w:sz w:val="20"/>
          <w:szCs w:val="20"/>
          <w:lang w:val="en-US"/>
        </w:rPr>
        <w:t>its</w:t>
      </w:r>
      <w:r w:rsidRPr="008C58E1">
        <w:rPr>
          <w:rFonts w:ascii="Verdana" w:hAnsi="Verdana"/>
          <w:sz w:val="20"/>
          <w:szCs w:val="20"/>
          <w:lang w:val="en-US"/>
        </w:rPr>
        <w:t xml:space="preserve"> jurisdiction. In this category we find countries such as Argentina,</w:t>
      </w:r>
      <w:r w:rsidRPr="008C58E1">
        <w:rPr>
          <w:rStyle w:val="Refdenotaalpie"/>
          <w:rFonts w:ascii="Verdana" w:hAnsi="Verdana"/>
          <w:sz w:val="20"/>
          <w:lang w:val="en-US"/>
        </w:rPr>
        <w:footnoteReference w:id="399"/>
      </w:r>
      <w:r w:rsidRPr="008C58E1">
        <w:rPr>
          <w:rFonts w:ascii="Verdana" w:hAnsi="Verdana"/>
          <w:sz w:val="20"/>
          <w:szCs w:val="20"/>
          <w:lang w:val="en-US"/>
        </w:rPr>
        <w:t xml:space="preserve"> Brazil,</w:t>
      </w:r>
      <w:r w:rsidRPr="008C58E1">
        <w:rPr>
          <w:rStyle w:val="Refdenotaalpie"/>
          <w:rFonts w:ascii="Verdana" w:hAnsi="Verdana"/>
          <w:sz w:val="20"/>
          <w:lang w:val="en-US"/>
        </w:rPr>
        <w:footnoteReference w:id="400"/>
      </w:r>
      <w:r w:rsidRPr="008C58E1">
        <w:rPr>
          <w:rFonts w:ascii="Verdana" w:hAnsi="Verdana"/>
          <w:sz w:val="20"/>
          <w:szCs w:val="20"/>
          <w:lang w:val="en-US"/>
        </w:rPr>
        <w:t xml:space="preserve"> Costa Rica</w:t>
      </w:r>
      <w:r w:rsidRPr="008C58E1">
        <w:rPr>
          <w:rStyle w:val="Refdenotaalpie"/>
          <w:rFonts w:ascii="Verdana" w:hAnsi="Verdana"/>
          <w:sz w:val="20"/>
          <w:lang w:val="en-US"/>
        </w:rPr>
        <w:footnoteReference w:id="401"/>
      </w:r>
      <w:r w:rsidRPr="008C58E1">
        <w:rPr>
          <w:rFonts w:ascii="Verdana" w:hAnsi="Verdana"/>
          <w:sz w:val="20"/>
          <w:szCs w:val="20"/>
          <w:lang w:val="en-US"/>
        </w:rPr>
        <w:t xml:space="preserve"> and Paraguay.</w:t>
      </w:r>
      <w:r w:rsidRPr="008C58E1">
        <w:rPr>
          <w:rStyle w:val="Refdenotaalpie"/>
          <w:rFonts w:ascii="Verdana" w:hAnsi="Verdana"/>
          <w:sz w:val="20"/>
          <w:lang w:val="en-US"/>
        </w:rPr>
        <w:footnoteReference w:id="402"/>
      </w:r>
      <w:r w:rsidRPr="008C58E1">
        <w:rPr>
          <w:rFonts w:ascii="Verdana" w:hAnsi="Verdana"/>
          <w:sz w:val="20"/>
          <w:szCs w:val="20"/>
          <w:lang w:val="en-US"/>
        </w:rPr>
        <w:t xml:space="preserve"> </w:t>
      </w:r>
    </w:p>
    <w:p w14:paraId="69327AFF" w14:textId="77777777" w:rsidR="00C36F0E" w:rsidRPr="008C58E1" w:rsidRDefault="00C36F0E" w:rsidP="00C36F0E">
      <w:pPr>
        <w:pStyle w:val="Lista2"/>
        <w:spacing w:before="100" w:beforeAutospacing="1" w:after="0" w:line="240" w:lineRule="auto"/>
        <w:ind w:left="0" w:firstLine="0"/>
        <w:jc w:val="both"/>
        <w:rPr>
          <w:rFonts w:ascii="Verdana" w:hAnsi="Verdana"/>
          <w:sz w:val="20"/>
          <w:szCs w:val="20"/>
          <w:lang w:val="en-US"/>
        </w:rPr>
      </w:pPr>
    </w:p>
    <w:p w14:paraId="50A586E4" w14:textId="77777777" w:rsidR="00C36F0E" w:rsidRPr="008C58E1" w:rsidRDefault="00C36F0E" w:rsidP="00C36F0E">
      <w:pPr>
        <w:pStyle w:val="Lista2"/>
        <w:spacing w:before="100" w:beforeAutospacing="1" w:after="0" w:line="240" w:lineRule="auto"/>
        <w:ind w:left="0" w:firstLine="0"/>
        <w:jc w:val="both"/>
        <w:rPr>
          <w:rFonts w:ascii="Verdana" w:hAnsi="Verdana"/>
          <w:b/>
          <w:sz w:val="20"/>
          <w:szCs w:val="20"/>
          <w:u w:val="single"/>
          <w:lang w:val="en-US"/>
        </w:rPr>
      </w:pPr>
      <w:r w:rsidRPr="008C58E1">
        <w:rPr>
          <w:rFonts w:ascii="Verdana" w:hAnsi="Verdana"/>
          <w:b/>
          <w:sz w:val="20"/>
          <w:szCs w:val="20"/>
          <w:u w:val="single"/>
          <w:lang w:val="en-US"/>
        </w:rPr>
        <w:t>b. Judicial decisions on progressivity of the high courts of the region</w:t>
      </w:r>
    </w:p>
    <w:p w14:paraId="7934B523" w14:textId="77777777" w:rsidR="00C36F0E" w:rsidRPr="008C58E1" w:rsidRDefault="00C36F0E" w:rsidP="00C36F0E">
      <w:pPr>
        <w:pStyle w:val="Lista2"/>
        <w:spacing w:before="100" w:beforeAutospacing="1" w:after="0" w:line="240" w:lineRule="auto"/>
        <w:ind w:left="0" w:firstLine="0"/>
        <w:jc w:val="both"/>
        <w:rPr>
          <w:rFonts w:ascii="Verdana" w:hAnsi="Verdana"/>
          <w:sz w:val="20"/>
          <w:szCs w:val="20"/>
          <w:lang w:val="en-US"/>
        </w:rPr>
      </w:pPr>
    </w:p>
    <w:p w14:paraId="7615F786" w14:textId="77777777" w:rsidR="00C36F0E" w:rsidRPr="008C58E1" w:rsidRDefault="00C36F0E" w:rsidP="00C36F0E">
      <w:pPr>
        <w:pStyle w:val="Lista2"/>
        <w:spacing w:before="100" w:beforeAutospacing="1" w:after="0" w:line="240" w:lineRule="auto"/>
        <w:ind w:left="0" w:firstLine="0"/>
        <w:jc w:val="both"/>
        <w:rPr>
          <w:rFonts w:ascii="Verdana" w:hAnsi="Verdana"/>
          <w:sz w:val="20"/>
          <w:szCs w:val="20"/>
          <w:lang w:val="en-US"/>
        </w:rPr>
      </w:pPr>
      <w:r w:rsidRPr="008C58E1">
        <w:rPr>
          <w:rFonts w:ascii="Verdana" w:hAnsi="Verdana"/>
          <w:sz w:val="20"/>
          <w:szCs w:val="20"/>
          <w:lang w:val="en-US"/>
        </w:rPr>
        <w:t xml:space="preserve">14. </w:t>
      </w:r>
      <w:r w:rsidRPr="008C58E1">
        <w:rPr>
          <w:rFonts w:ascii="Verdana" w:hAnsi="Verdana"/>
          <w:sz w:val="20"/>
          <w:szCs w:val="20"/>
          <w:lang w:val="en-US"/>
        </w:rPr>
        <w:tab/>
        <w:t xml:space="preserve">The result of the </w:t>
      </w:r>
      <w:proofErr w:type="spellStart"/>
      <w:r w:rsidRPr="008C58E1">
        <w:rPr>
          <w:rFonts w:ascii="Verdana" w:hAnsi="Verdana"/>
          <w:sz w:val="20"/>
          <w:szCs w:val="20"/>
          <w:lang w:val="en-US"/>
        </w:rPr>
        <w:t>constitutionalization</w:t>
      </w:r>
      <w:proofErr w:type="spellEnd"/>
      <w:r w:rsidRPr="008C58E1">
        <w:rPr>
          <w:rFonts w:ascii="Verdana" w:hAnsi="Verdana"/>
          <w:sz w:val="20"/>
          <w:szCs w:val="20"/>
          <w:lang w:val="en-US"/>
        </w:rPr>
        <w:t xml:space="preserve"> of social rights and the principle of their progressive realization (by any of the three methods mentioned) has been that complaints are filed before the courts in which, in addition to citing the specific violation of an ESCER, the high constitutional jurisdictions are asked to decide whether any aspect of their progressivity/</w:t>
      </w:r>
      <w:proofErr w:type="spellStart"/>
      <w:r w:rsidRPr="008C58E1">
        <w:rPr>
          <w:rFonts w:ascii="Verdana" w:hAnsi="Verdana"/>
          <w:sz w:val="20"/>
          <w:szCs w:val="20"/>
          <w:lang w:val="en-US"/>
        </w:rPr>
        <w:t>retrogressivity</w:t>
      </w:r>
      <w:proofErr w:type="spellEnd"/>
      <w:r w:rsidRPr="008C58E1">
        <w:rPr>
          <w:rFonts w:ascii="Verdana" w:hAnsi="Verdana"/>
          <w:sz w:val="20"/>
          <w:szCs w:val="20"/>
          <w:lang w:val="en-US"/>
        </w:rPr>
        <w:t xml:space="preserve"> has been violated. In this regard, various courts have developed standards to assess when the progressivity of a right has not been complied with, or whether measures of a retrogressive nature have been adopted. Each constitutional jurisdiction has developed this issue in its own way, although in accordance with these standards.</w:t>
      </w:r>
    </w:p>
    <w:p w14:paraId="43C5BA9A" w14:textId="77777777" w:rsidR="00C36F0E" w:rsidRPr="008C58E1" w:rsidRDefault="00C36F0E" w:rsidP="00C36F0E">
      <w:pPr>
        <w:pStyle w:val="Lista2"/>
        <w:spacing w:before="100" w:beforeAutospacing="1" w:after="120" w:line="240" w:lineRule="auto"/>
        <w:ind w:left="0" w:firstLine="0"/>
        <w:contextualSpacing w:val="0"/>
        <w:jc w:val="both"/>
        <w:rPr>
          <w:rFonts w:ascii="Verdana" w:hAnsi="Verdana"/>
          <w:sz w:val="20"/>
          <w:szCs w:val="20"/>
          <w:lang w:val="en-US"/>
        </w:rPr>
      </w:pPr>
      <w:r w:rsidRPr="008C58E1">
        <w:rPr>
          <w:rFonts w:ascii="Verdana" w:eastAsia="Times New Roman" w:hAnsi="Verdana" w:cs="Times New Roman"/>
          <w:sz w:val="20"/>
          <w:szCs w:val="20"/>
          <w:bdr w:val="none" w:sz="0" w:space="0" w:color="auto" w:frame="1"/>
          <w:lang w:val="en-US" w:eastAsia="es-MX"/>
        </w:rPr>
        <w:lastRenderedPageBreak/>
        <w:t xml:space="preserve">15. </w:t>
      </w:r>
      <w:r w:rsidRPr="008C58E1">
        <w:rPr>
          <w:rFonts w:ascii="Verdana" w:eastAsia="Times New Roman" w:hAnsi="Verdana" w:cs="Times New Roman"/>
          <w:sz w:val="20"/>
          <w:szCs w:val="20"/>
          <w:bdr w:val="none" w:sz="0" w:space="0" w:color="auto" w:frame="1"/>
          <w:lang w:val="en-US" w:eastAsia="es-MX"/>
        </w:rPr>
        <w:tab/>
        <w:t xml:space="preserve">The Constitutional Court of Colombia (hereinafter “the CCC”) is an important source in relation to developments on the scope of progressivity. On this point, the CCC has understood that </w:t>
      </w:r>
      <w:r>
        <w:rPr>
          <w:rFonts w:ascii="Verdana" w:eastAsia="Times New Roman" w:hAnsi="Verdana" w:cs="Times New Roman"/>
          <w:sz w:val="20"/>
          <w:szCs w:val="20"/>
          <w:bdr w:val="none" w:sz="0" w:space="0" w:color="auto" w:frame="1"/>
          <w:lang w:val="en-US" w:eastAsia="es-MX"/>
        </w:rPr>
        <w:t xml:space="preserve">social benefit </w:t>
      </w:r>
      <w:r w:rsidRPr="008C58E1">
        <w:rPr>
          <w:rFonts w:ascii="Verdana" w:eastAsia="Times New Roman" w:hAnsi="Verdana" w:cs="Times New Roman"/>
          <w:sz w:val="20"/>
          <w:szCs w:val="20"/>
          <w:bdr w:val="none" w:sz="0" w:space="0" w:color="auto" w:frame="1"/>
          <w:lang w:val="en-US" w:eastAsia="es-MX"/>
        </w:rPr>
        <w:t xml:space="preserve">content </w:t>
      </w:r>
      <w:r>
        <w:rPr>
          <w:rFonts w:ascii="Verdana" w:eastAsia="Times New Roman" w:hAnsi="Verdana" w:cs="Times New Roman"/>
          <w:sz w:val="20"/>
          <w:szCs w:val="20"/>
          <w:bdr w:val="none" w:sz="0" w:space="0" w:color="auto" w:frame="1"/>
          <w:lang w:val="en-US" w:eastAsia="es-MX"/>
        </w:rPr>
        <w:t>is</w:t>
      </w:r>
      <w:r w:rsidRPr="008C58E1">
        <w:rPr>
          <w:rFonts w:ascii="Verdana" w:eastAsia="Times New Roman" w:hAnsi="Verdana" w:cs="Times New Roman"/>
          <w:sz w:val="20"/>
          <w:szCs w:val="20"/>
          <w:bdr w:val="none" w:sz="0" w:space="0" w:color="auto" w:frame="1"/>
          <w:lang w:val="en-US" w:eastAsia="es-MX"/>
        </w:rPr>
        <w:t xml:space="preserve"> not for immediate application, but </w:t>
      </w:r>
      <w:r>
        <w:rPr>
          <w:rFonts w:ascii="Verdana" w:eastAsia="Times New Roman" w:hAnsi="Verdana" w:cs="Times New Roman"/>
          <w:sz w:val="20"/>
          <w:szCs w:val="20"/>
          <w:bdr w:val="none" w:sz="0" w:space="0" w:color="auto" w:frame="1"/>
          <w:lang w:val="en-US" w:eastAsia="es-MX"/>
        </w:rPr>
        <w:t>is</w:t>
      </w:r>
      <w:r w:rsidRPr="008C58E1">
        <w:rPr>
          <w:rFonts w:ascii="Verdana" w:eastAsia="Times New Roman" w:hAnsi="Verdana" w:cs="Times New Roman"/>
          <w:sz w:val="20"/>
          <w:szCs w:val="20"/>
          <w:bdr w:val="none" w:sz="0" w:space="0" w:color="auto" w:frame="1"/>
          <w:lang w:val="en-US" w:eastAsia="es-MX"/>
        </w:rPr>
        <w:t xml:space="preserve"> subject to the principle of progressivity, and that, under the rule of law, court </w:t>
      </w:r>
      <w:r>
        <w:rPr>
          <w:rFonts w:ascii="Verdana" w:eastAsia="Times New Roman" w:hAnsi="Verdana" w:cs="Times New Roman"/>
          <w:sz w:val="20"/>
          <w:szCs w:val="20"/>
          <w:bdr w:val="none" w:sz="0" w:space="0" w:color="auto" w:frame="1"/>
          <w:lang w:val="en-US" w:eastAsia="es-MX"/>
        </w:rPr>
        <w:t>decisions</w:t>
      </w:r>
      <w:r w:rsidRPr="008C58E1">
        <w:rPr>
          <w:rFonts w:ascii="Verdana" w:eastAsia="Times New Roman" w:hAnsi="Verdana" w:cs="Times New Roman"/>
          <w:sz w:val="20"/>
          <w:szCs w:val="20"/>
          <w:bdr w:val="none" w:sz="0" w:space="0" w:color="auto" w:frame="1"/>
          <w:lang w:val="en-US" w:eastAsia="es-MX"/>
        </w:rPr>
        <w:t xml:space="preserve"> are not sufficient; rather the construction of rights within the democratic process calls for both a legal and a budgetary framework.</w:t>
      </w:r>
      <w:r w:rsidRPr="008C58E1">
        <w:rPr>
          <w:rStyle w:val="Refdenotaalpie"/>
          <w:rFonts w:ascii="Verdana" w:eastAsia="Times New Roman" w:hAnsi="Verdana"/>
          <w:sz w:val="20"/>
          <w:bdr w:val="none" w:sz="0" w:space="0" w:color="auto" w:frame="1"/>
          <w:lang w:val="en-US" w:eastAsia="es-MX"/>
        </w:rPr>
        <w:footnoteReference w:id="403"/>
      </w:r>
      <w:r w:rsidRPr="008C58E1">
        <w:rPr>
          <w:rFonts w:ascii="Verdana" w:hAnsi="Verdana"/>
          <w:sz w:val="20"/>
          <w:szCs w:val="20"/>
          <w:lang w:val="en-US"/>
        </w:rPr>
        <w:t xml:space="preserve"> According to the CCC, the principle of progressivity has at least three specific consequences for the effects of the judicial enforceability of the social rights: (</w:t>
      </w:r>
      <w:proofErr w:type="spellStart"/>
      <w:r w:rsidRPr="008C58E1">
        <w:rPr>
          <w:rFonts w:ascii="Verdana" w:hAnsi="Verdana"/>
          <w:sz w:val="20"/>
          <w:szCs w:val="20"/>
          <w:lang w:val="en-US"/>
        </w:rPr>
        <w:t>i</w:t>
      </w:r>
      <w:proofErr w:type="spellEnd"/>
      <w:r w:rsidRPr="008C58E1">
        <w:rPr>
          <w:rFonts w:ascii="Verdana" w:hAnsi="Verdana"/>
          <w:sz w:val="20"/>
          <w:szCs w:val="20"/>
          <w:lang w:val="en-US"/>
        </w:rPr>
        <w:t xml:space="preserve">) the existence of a public policy aimed at the effective enjoyment of the rights; (ii) if the public policy exists, that its content is protected by means of a judicial remedy, and (iii) </w:t>
      </w:r>
      <w:r>
        <w:rPr>
          <w:rFonts w:ascii="Verdana" w:hAnsi="Verdana"/>
          <w:sz w:val="20"/>
          <w:szCs w:val="20"/>
          <w:lang w:val="en-US"/>
        </w:rPr>
        <w:t xml:space="preserve">the </w:t>
      </w:r>
      <w:r w:rsidRPr="008C58E1">
        <w:rPr>
          <w:rFonts w:ascii="Verdana" w:hAnsi="Verdana"/>
          <w:sz w:val="20"/>
          <w:szCs w:val="20"/>
          <w:lang w:val="en-US"/>
        </w:rPr>
        <w:t>limitation of the discretionary powers of the authority to implement retrogressive measures.</w:t>
      </w:r>
      <w:r w:rsidRPr="008C58E1">
        <w:rPr>
          <w:rStyle w:val="Refdenotaalpie"/>
          <w:rFonts w:ascii="Verdana" w:hAnsi="Verdana"/>
          <w:sz w:val="20"/>
          <w:lang w:val="en-US"/>
        </w:rPr>
        <w:footnoteReference w:id="404"/>
      </w:r>
    </w:p>
    <w:p w14:paraId="13948794" w14:textId="77777777" w:rsidR="00C36F0E" w:rsidRPr="008C58E1" w:rsidRDefault="00C36F0E" w:rsidP="00C36F0E">
      <w:pPr>
        <w:pStyle w:val="Lista2"/>
        <w:spacing w:before="100" w:beforeAutospacing="1" w:after="120" w:line="240" w:lineRule="auto"/>
        <w:ind w:left="0" w:firstLine="0"/>
        <w:contextualSpacing w:val="0"/>
        <w:jc w:val="both"/>
        <w:rPr>
          <w:rFonts w:ascii="Verdana" w:hAnsi="Verdana"/>
          <w:sz w:val="20"/>
          <w:szCs w:val="20"/>
          <w:lang w:val="en-US"/>
        </w:rPr>
      </w:pPr>
      <w:r w:rsidRPr="008C58E1">
        <w:rPr>
          <w:rFonts w:ascii="Verdana" w:hAnsi="Verdana"/>
          <w:sz w:val="20"/>
          <w:szCs w:val="20"/>
          <w:lang w:val="en-US"/>
        </w:rPr>
        <w:t xml:space="preserve">16. </w:t>
      </w:r>
      <w:r w:rsidRPr="008C58E1">
        <w:rPr>
          <w:rFonts w:ascii="Verdana" w:hAnsi="Verdana"/>
          <w:sz w:val="20"/>
          <w:szCs w:val="20"/>
          <w:lang w:val="en-US"/>
        </w:rPr>
        <w:tab/>
        <w:t xml:space="preserve">Furthermore, </w:t>
      </w:r>
      <w:r>
        <w:rPr>
          <w:rFonts w:ascii="Verdana" w:hAnsi="Verdana"/>
          <w:sz w:val="20"/>
          <w:szCs w:val="20"/>
          <w:lang w:val="en-US"/>
        </w:rPr>
        <w:t>the CCC</w:t>
      </w:r>
      <w:r w:rsidRPr="008C58E1">
        <w:rPr>
          <w:rFonts w:ascii="Verdana" w:hAnsi="Verdana"/>
          <w:sz w:val="20"/>
          <w:szCs w:val="20"/>
          <w:lang w:val="en-US"/>
        </w:rPr>
        <w:t xml:space="preserve"> has indicated that a measure is understood to be retrogressive when: (</w:t>
      </w:r>
      <w:proofErr w:type="spellStart"/>
      <w:r w:rsidRPr="008C58E1">
        <w:rPr>
          <w:rFonts w:ascii="Verdana" w:hAnsi="Verdana"/>
          <w:sz w:val="20"/>
          <w:szCs w:val="20"/>
          <w:lang w:val="en-US"/>
        </w:rPr>
        <w:t>i</w:t>
      </w:r>
      <w:proofErr w:type="spellEnd"/>
      <w:r w:rsidRPr="008C58E1">
        <w:rPr>
          <w:rFonts w:ascii="Verdana" w:hAnsi="Verdana"/>
          <w:sz w:val="20"/>
          <w:szCs w:val="20"/>
          <w:lang w:val="en-US"/>
        </w:rPr>
        <w:t>) the substantive sphere of protection of the right in question is reduced or limited; (ii) it substantially increase</w:t>
      </w:r>
      <w:r>
        <w:rPr>
          <w:rFonts w:ascii="Verdana" w:hAnsi="Verdana"/>
          <w:sz w:val="20"/>
          <w:szCs w:val="20"/>
          <w:lang w:val="en-US"/>
        </w:rPr>
        <w:t>s</w:t>
      </w:r>
      <w:r w:rsidRPr="008C58E1">
        <w:rPr>
          <w:rFonts w:ascii="Verdana" w:hAnsi="Verdana"/>
          <w:sz w:val="20"/>
          <w:szCs w:val="20"/>
          <w:lang w:val="en-US"/>
        </w:rPr>
        <w:t xml:space="preserve"> the requirements to access the respective right, and (iii) when it significantly reduces or diverts the public resources allocated to satisfying it.</w:t>
      </w:r>
      <w:r w:rsidRPr="008C58E1">
        <w:rPr>
          <w:rStyle w:val="Refdenotaalpie"/>
          <w:rFonts w:ascii="Verdana" w:hAnsi="Verdana"/>
          <w:sz w:val="20"/>
          <w:lang w:val="en-US"/>
        </w:rPr>
        <w:footnoteReference w:id="405"/>
      </w:r>
      <w:r w:rsidRPr="008C58E1">
        <w:rPr>
          <w:rFonts w:ascii="Verdana" w:hAnsi="Verdana"/>
          <w:sz w:val="20"/>
          <w:szCs w:val="20"/>
          <w:lang w:val="en-US"/>
        </w:rPr>
        <w:t xml:space="preserve"> It has also considered that the judgment should be especially strict when the retrogressive measure affects the social rights of people or groups who have special protection owing to their situation of marginalization or vulnerability.</w:t>
      </w:r>
      <w:r w:rsidRPr="008C58E1">
        <w:rPr>
          <w:rStyle w:val="Refdenotaalpie"/>
          <w:rFonts w:ascii="Verdana" w:hAnsi="Verdana"/>
          <w:sz w:val="20"/>
          <w:lang w:val="en-US"/>
        </w:rPr>
        <w:footnoteReference w:id="406"/>
      </w:r>
      <w:r w:rsidRPr="008C58E1">
        <w:rPr>
          <w:rFonts w:ascii="Verdana" w:hAnsi="Verdana"/>
          <w:sz w:val="20"/>
          <w:szCs w:val="20"/>
          <w:lang w:val="en-US"/>
        </w:rPr>
        <w:t xml:space="preserve"> In this way, the CCC has indicated that, when a retrogressive measure is subject to constitutional control, it is for the State to prove with sufficient and pertinent information: (</w:t>
      </w:r>
      <w:proofErr w:type="spellStart"/>
      <w:r w:rsidRPr="008C58E1">
        <w:rPr>
          <w:rFonts w:ascii="Verdana" w:hAnsi="Verdana"/>
          <w:sz w:val="20"/>
          <w:szCs w:val="20"/>
          <w:lang w:val="en-US"/>
        </w:rPr>
        <w:t>i</w:t>
      </w:r>
      <w:proofErr w:type="spellEnd"/>
      <w:r w:rsidRPr="008C58E1">
        <w:rPr>
          <w:rFonts w:ascii="Verdana" w:hAnsi="Verdana"/>
          <w:sz w:val="20"/>
          <w:szCs w:val="20"/>
          <w:lang w:val="en-US"/>
        </w:rPr>
        <w:t>) that the measure seeks to meet the peremptory constitutional purpose; (ii) that, following prudent assessment, it is demonstrated that the measure is truly conducive to achieving the objective sought; (iii) that, following an analysis of the different alternatives, the measure appears necessary to achieve the proposed purpose; (iv) that it does not affect the unavailable minimum content of the social right in question, and (v) that the benefit achieved is clearly superior to the cost involved.</w:t>
      </w:r>
      <w:r w:rsidRPr="008C58E1">
        <w:rPr>
          <w:rStyle w:val="Refdenotaalpie"/>
          <w:rFonts w:ascii="Verdana" w:hAnsi="Verdana"/>
          <w:sz w:val="20"/>
          <w:lang w:val="en-US"/>
        </w:rPr>
        <w:footnoteReference w:id="407"/>
      </w:r>
      <w:r w:rsidRPr="008C58E1">
        <w:rPr>
          <w:rFonts w:ascii="Verdana" w:hAnsi="Verdana"/>
          <w:sz w:val="20"/>
          <w:szCs w:val="20"/>
          <w:lang w:val="en-US"/>
        </w:rPr>
        <w:t xml:space="preserve"> In addition to these conditions, the CCC has recently determined that, in order to implement a retrogressive measure, it is necessary: (vi) to identify the constitutionality of the measure, and (vii) </w:t>
      </w:r>
      <w:r>
        <w:rPr>
          <w:rFonts w:ascii="Verdana" w:hAnsi="Verdana"/>
          <w:sz w:val="20"/>
          <w:szCs w:val="20"/>
          <w:lang w:val="en-US"/>
        </w:rPr>
        <w:t xml:space="preserve">to </w:t>
      </w:r>
      <w:r w:rsidRPr="008C58E1">
        <w:rPr>
          <w:rFonts w:ascii="Verdana" w:hAnsi="Verdana"/>
          <w:sz w:val="20"/>
          <w:szCs w:val="20"/>
          <w:lang w:val="en-US"/>
        </w:rPr>
        <w:t>consider the inclusion of a deliberative procedure in which the sectors affected by the retrogression are included, even when the measure is issued by an administrative authority.</w:t>
      </w:r>
      <w:r w:rsidRPr="008C58E1">
        <w:rPr>
          <w:rStyle w:val="Refdenotaalpie"/>
          <w:rFonts w:ascii="Verdana" w:hAnsi="Verdana"/>
          <w:sz w:val="20"/>
          <w:lang w:val="en-US"/>
        </w:rPr>
        <w:footnoteReference w:id="408"/>
      </w:r>
    </w:p>
    <w:p w14:paraId="4422063E" w14:textId="77777777" w:rsidR="00C36F0E" w:rsidRPr="008C58E1" w:rsidRDefault="00C36F0E" w:rsidP="00C36F0E">
      <w:pPr>
        <w:pStyle w:val="Lista2"/>
        <w:spacing w:before="100" w:beforeAutospacing="1" w:after="120" w:line="240" w:lineRule="auto"/>
        <w:ind w:left="0" w:firstLine="0"/>
        <w:contextualSpacing w:val="0"/>
        <w:jc w:val="both"/>
        <w:rPr>
          <w:rFonts w:ascii="Verdana" w:hAnsi="Verdana"/>
          <w:sz w:val="20"/>
          <w:szCs w:val="20"/>
          <w:lang w:val="en-US"/>
        </w:rPr>
      </w:pPr>
      <w:r w:rsidRPr="008C58E1">
        <w:rPr>
          <w:rFonts w:ascii="Verdana" w:hAnsi="Verdana"/>
          <w:sz w:val="20"/>
          <w:szCs w:val="20"/>
          <w:lang w:val="en-US"/>
        </w:rPr>
        <w:lastRenderedPageBreak/>
        <w:t xml:space="preserve">17. </w:t>
      </w:r>
      <w:r w:rsidRPr="008C58E1">
        <w:rPr>
          <w:rFonts w:ascii="Verdana" w:hAnsi="Verdana"/>
          <w:sz w:val="20"/>
          <w:szCs w:val="20"/>
          <w:lang w:val="en-US"/>
        </w:rPr>
        <w:tab/>
        <w:t>The Supreme Court of Justice of the Argentine Nation proposes an abstract analysis in which it assesses whether the retrogressive measure in question is justified,</w:t>
      </w:r>
      <w:r w:rsidRPr="008C58E1">
        <w:rPr>
          <w:rStyle w:val="Refdenotaalpie"/>
          <w:rFonts w:ascii="Verdana" w:hAnsi="Verdana"/>
          <w:sz w:val="20"/>
          <w:lang w:val="en-US"/>
        </w:rPr>
        <w:footnoteReference w:id="409"/>
      </w:r>
      <w:r w:rsidRPr="008C58E1">
        <w:rPr>
          <w:rFonts w:ascii="Verdana" w:hAnsi="Verdana"/>
          <w:sz w:val="20"/>
          <w:szCs w:val="20"/>
          <w:lang w:val="en-US"/>
        </w:rPr>
        <w:t xml:space="preserve"> considering a special protection for the most vulnerable groups.</w:t>
      </w:r>
      <w:r w:rsidRPr="008C58E1">
        <w:rPr>
          <w:rStyle w:val="Refdenotaalpie"/>
          <w:rFonts w:ascii="Verdana" w:hAnsi="Verdana"/>
          <w:sz w:val="20"/>
          <w:lang w:val="en-US"/>
        </w:rPr>
        <w:footnoteReference w:id="410"/>
      </w:r>
    </w:p>
    <w:p w14:paraId="68564B51" w14:textId="77777777" w:rsidR="00C36F0E" w:rsidRPr="008C58E1" w:rsidRDefault="00C36F0E" w:rsidP="00C36F0E">
      <w:pPr>
        <w:pStyle w:val="Lista2"/>
        <w:spacing w:before="100" w:beforeAutospacing="1" w:after="120" w:line="240" w:lineRule="auto"/>
        <w:ind w:left="0" w:firstLine="0"/>
        <w:contextualSpacing w:val="0"/>
        <w:jc w:val="both"/>
        <w:rPr>
          <w:rFonts w:ascii="Verdana" w:hAnsi="Verdana"/>
          <w:sz w:val="20"/>
          <w:szCs w:val="20"/>
          <w:lang w:val="en-US"/>
        </w:rPr>
      </w:pPr>
      <w:r w:rsidRPr="008C58E1">
        <w:rPr>
          <w:rFonts w:ascii="Verdana" w:hAnsi="Verdana"/>
          <w:sz w:val="20"/>
          <w:szCs w:val="20"/>
          <w:lang w:val="en-US"/>
        </w:rPr>
        <w:t xml:space="preserve">18. </w:t>
      </w:r>
      <w:r w:rsidRPr="008C58E1">
        <w:rPr>
          <w:rFonts w:ascii="Verdana" w:hAnsi="Verdana"/>
          <w:sz w:val="20"/>
          <w:szCs w:val="20"/>
          <w:lang w:val="en-US"/>
        </w:rPr>
        <w:tab/>
        <w:t>The Constitutional Court of Ecuador has recognized</w:t>
      </w:r>
      <w:r>
        <w:rPr>
          <w:rFonts w:ascii="Verdana" w:hAnsi="Verdana"/>
          <w:sz w:val="20"/>
          <w:szCs w:val="20"/>
          <w:lang w:val="en-US"/>
        </w:rPr>
        <w:t xml:space="preserve"> that</w:t>
      </w:r>
      <w:r w:rsidRPr="008C58E1">
        <w:rPr>
          <w:rFonts w:ascii="Verdana" w:hAnsi="Verdana"/>
          <w:sz w:val="20"/>
          <w:szCs w:val="20"/>
          <w:lang w:val="en-US"/>
        </w:rPr>
        <w:t xml:space="preserve"> the principle is not exhausted </w:t>
      </w:r>
      <w:r>
        <w:rPr>
          <w:rFonts w:ascii="Verdana" w:hAnsi="Verdana"/>
          <w:sz w:val="20"/>
          <w:szCs w:val="20"/>
          <w:lang w:val="en-US"/>
        </w:rPr>
        <w:t>by</w:t>
      </w:r>
      <w:r w:rsidRPr="008C58E1">
        <w:rPr>
          <w:rFonts w:ascii="Verdana" w:hAnsi="Verdana"/>
          <w:sz w:val="20"/>
          <w:szCs w:val="20"/>
          <w:lang w:val="en-US"/>
        </w:rPr>
        <w:t xml:space="preserve"> the abstention from adopting retrogressive measures, but rather the failure to take positive steps, such as legislative measures. Regarding the principle of non-</w:t>
      </w:r>
      <w:proofErr w:type="spellStart"/>
      <w:r w:rsidRPr="008C58E1">
        <w:rPr>
          <w:rFonts w:ascii="Verdana" w:hAnsi="Verdana"/>
          <w:sz w:val="20"/>
          <w:szCs w:val="20"/>
          <w:lang w:val="en-US"/>
        </w:rPr>
        <w:t>retrogressivity</w:t>
      </w:r>
      <w:proofErr w:type="spellEnd"/>
      <w:r w:rsidRPr="008C58E1">
        <w:rPr>
          <w:rFonts w:ascii="Verdana" w:hAnsi="Verdana"/>
          <w:sz w:val="20"/>
          <w:szCs w:val="20"/>
          <w:lang w:val="en-US"/>
        </w:rPr>
        <w:t xml:space="preserve"> in the analysis of legislative measures, it has considered that a provision is retrogressive, and therefore unconstitutional and non-conventional, when two elements have been verified: (</w:t>
      </w:r>
      <w:proofErr w:type="spellStart"/>
      <w:r w:rsidRPr="008C58E1">
        <w:rPr>
          <w:rFonts w:ascii="Verdana" w:hAnsi="Verdana"/>
          <w:sz w:val="20"/>
          <w:szCs w:val="20"/>
          <w:lang w:val="en-US"/>
        </w:rPr>
        <w:t>i</w:t>
      </w:r>
      <w:proofErr w:type="spellEnd"/>
      <w:r w:rsidRPr="008C58E1">
        <w:rPr>
          <w:rFonts w:ascii="Verdana" w:hAnsi="Verdana"/>
          <w:sz w:val="20"/>
          <w:szCs w:val="20"/>
          <w:lang w:val="en-US"/>
        </w:rPr>
        <w:t>) the real reduction of the constitutional content of the rights, and (ii) that the measure has not been adopted based on the “most careful consideration.”</w:t>
      </w:r>
      <w:r w:rsidRPr="008C58E1">
        <w:rPr>
          <w:rStyle w:val="Refdenotaalpie"/>
          <w:rFonts w:ascii="Verdana" w:hAnsi="Verdana"/>
          <w:sz w:val="20"/>
          <w:lang w:val="en-US"/>
        </w:rPr>
        <w:footnoteReference w:id="411"/>
      </w:r>
      <w:r w:rsidRPr="008C58E1">
        <w:rPr>
          <w:rFonts w:ascii="Verdana" w:hAnsi="Verdana"/>
          <w:sz w:val="20"/>
          <w:szCs w:val="20"/>
          <w:lang w:val="en-US"/>
        </w:rPr>
        <w:t xml:space="preserve"> Regarding the “most careful consideration” of the restrictions and of retrogressive legislative measures, it has determined the need for their justification in function of the satisfaction of another constitutional right and of </w:t>
      </w:r>
      <w:r>
        <w:rPr>
          <w:rFonts w:ascii="Verdana" w:hAnsi="Verdana"/>
          <w:sz w:val="20"/>
          <w:szCs w:val="20"/>
          <w:lang w:val="en-US"/>
        </w:rPr>
        <w:t>their</w:t>
      </w:r>
      <w:r w:rsidRPr="008C58E1">
        <w:rPr>
          <w:rFonts w:ascii="Verdana" w:hAnsi="Verdana"/>
          <w:sz w:val="20"/>
          <w:szCs w:val="20"/>
          <w:lang w:val="en-US"/>
        </w:rPr>
        <w:t xml:space="preserve"> proportionality.</w:t>
      </w:r>
      <w:r w:rsidRPr="008C58E1">
        <w:rPr>
          <w:rStyle w:val="Refdenotaalpie"/>
          <w:rFonts w:ascii="Verdana" w:hAnsi="Verdana"/>
          <w:sz w:val="20"/>
          <w:lang w:val="en-US"/>
        </w:rPr>
        <w:footnoteReference w:id="412"/>
      </w:r>
    </w:p>
    <w:p w14:paraId="5194579D" w14:textId="77777777" w:rsidR="00C36F0E" w:rsidRPr="008C58E1" w:rsidRDefault="00C36F0E" w:rsidP="00C36F0E">
      <w:pPr>
        <w:pStyle w:val="Lista2"/>
        <w:spacing w:before="100" w:beforeAutospacing="1" w:after="120" w:line="240" w:lineRule="auto"/>
        <w:ind w:left="0" w:firstLine="0"/>
        <w:contextualSpacing w:val="0"/>
        <w:jc w:val="both"/>
        <w:rPr>
          <w:rFonts w:ascii="Verdana" w:hAnsi="Verdana"/>
          <w:sz w:val="20"/>
          <w:szCs w:val="20"/>
          <w:lang w:val="en-US"/>
        </w:rPr>
      </w:pPr>
      <w:r w:rsidRPr="008C58E1">
        <w:rPr>
          <w:rFonts w:ascii="Verdana" w:hAnsi="Verdana"/>
          <w:sz w:val="20"/>
          <w:szCs w:val="20"/>
          <w:lang w:val="en-US"/>
        </w:rPr>
        <w:t xml:space="preserve">19. </w:t>
      </w:r>
      <w:r w:rsidRPr="008C58E1">
        <w:rPr>
          <w:rFonts w:ascii="Verdana" w:hAnsi="Verdana"/>
          <w:sz w:val="20"/>
          <w:szCs w:val="20"/>
          <w:lang w:val="en-US"/>
        </w:rPr>
        <w:tab/>
      </w:r>
      <w:r w:rsidRPr="006E0BE2">
        <w:rPr>
          <w:rFonts w:ascii="Verdana" w:hAnsi="Verdana"/>
          <w:sz w:val="20"/>
          <w:szCs w:val="20"/>
          <w:lang w:val="en-US"/>
        </w:rPr>
        <w:t>Meanwhile, the Constitutional Court of Peru, even though, initially, it merely made a</w:t>
      </w:r>
      <w:r>
        <w:rPr>
          <w:rFonts w:ascii="Verdana" w:hAnsi="Verdana"/>
          <w:sz w:val="20"/>
          <w:szCs w:val="20"/>
          <w:lang w:val="en-US"/>
        </w:rPr>
        <w:t>n</w:t>
      </w:r>
      <w:r w:rsidRPr="006E0BE2">
        <w:rPr>
          <w:rFonts w:ascii="Verdana" w:hAnsi="Verdana"/>
          <w:sz w:val="20"/>
          <w:szCs w:val="20"/>
          <w:lang w:val="en-US"/>
        </w:rPr>
        <w:t xml:space="preserve"> </w:t>
      </w:r>
      <w:r>
        <w:rPr>
          <w:rFonts w:ascii="Verdana" w:hAnsi="Verdana"/>
          <w:sz w:val="20"/>
          <w:szCs w:val="20"/>
          <w:lang w:val="en-US"/>
        </w:rPr>
        <w:t>imprecise</w:t>
      </w:r>
      <w:r w:rsidRPr="006E0BE2">
        <w:rPr>
          <w:rFonts w:ascii="Verdana" w:hAnsi="Verdana"/>
          <w:sz w:val="20"/>
          <w:szCs w:val="20"/>
          <w:lang w:val="en-US"/>
        </w:rPr>
        <w:t xml:space="preserve"> examination</w:t>
      </w:r>
      <w:r w:rsidRPr="008C58E1">
        <w:rPr>
          <w:rFonts w:ascii="Verdana" w:hAnsi="Verdana"/>
          <w:sz w:val="20"/>
          <w:szCs w:val="20"/>
          <w:lang w:val="en-US"/>
        </w:rPr>
        <w:t xml:space="preserve"> of the principle of </w:t>
      </w:r>
      <w:proofErr w:type="spellStart"/>
      <w:r w:rsidRPr="008C58E1">
        <w:rPr>
          <w:rFonts w:ascii="Verdana" w:hAnsi="Verdana"/>
          <w:sz w:val="20"/>
          <w:szCs w:val="20"/>
          <w:lang w:val="en-US"/>
        </w:rPr>
        <w:t>retrogressivity</w:t>
      </w:r>
      <w:proofErr w:type="spellEnd"/>
      <w:r w:rsidRPr="008C58E1">
        <w:rPr>
          <w:rFonts w:ascii="Verdana" w:hAnsi="Verdana"/>
          <w:sz w:val="20"/>
          <w:szCs w:val="20"/>
          <w:lang w:val="en-US"/>
        </w:rPr>
        <w:t xml:space="preserve"> in which the measure could be justified by reasons of the common good,</w:t>
      </w:r>
      <w:r w:rsidRPr="008C58E1">
        <w:rPr>
          <w:rStyle w:val="Refdenotaalpie"/>
          <w:rFonts w:ascii="Verdana" w:hAnsi="Verdana"/>
          <w:sz w:val="20"/>
          <w:lang w:val="en-US"/>
        </w:rPr>
        <w:footnoteReference w:id="413"/>
      </w:r>
      <w:r w:rsidRPr="008C58E1">
        <w:rPr>
          <w:rFonts w:ascii="Verdana" w:hAnsi="Verdana"/>
          <w:sz w:val="20"/>
          <w:szCs w:val="20"/>
          <w:lang w:val="en-US"/>
        </w:rPr>
        <w:t xml:space="preserve"> in recent years it has opted for criteria that could be the start</w:t>
      </w:r>
      <w:r>
        <w:rPr>
          <w:rFonts w:ascii="Verdana" w:hAnsi="Verdana"/>
          <w:sz w:val="20"/>
          <w:szCs w:val="20"/>
          <w:lang w:val="en-US"/>
        </w:rPr>
        <w:t>ing point</w:t>
      </w:r>
      <w:r w:rsidRPr="008C58E1">
        <w:rPr>
          <w:rFonts w:ascii="Verdana" w:hAnsi="Verdana"/>
          <w:sz w:val="20"/>
          <w:szCs w:val="20"/>
          <w:lang w:val="en-US"/>
        </w:rPr>
        <w:t xml:space="preserve"> </w:t>
      </w:r>
      <w:r>
        <w:rPr>
          <w:rFonts w:ascii="Verdana" w:hAnsi="Verdana"/>
          <w:sz w:val="20"/>
          <w:szCs w:val="20"/>
          <w:lang w:val="en-US"/>
        </w:rPr>
        <w:t>for</w:t>
      </w:r>
      <w:r w:rsidRPr="008C58E1">
        <w:rPr>
          <w:rFonts w:ascii="Verdana" w:hAnsi="Verdana"/>
          <w:sz w:val="20"/>
          <w:szCs w:val="20"/>
          <w:lang w:val="en-US"/>
        </w:rPr>
        <w:t xml:space="preserve"> a more detailed test for the analysis of retrogressive measures. For example, in order to analyze the constitutionality of a reduction in remuneration, it has noted whether: (</w:t>
      </w:r>
      <w:proofErr w:type="spellStart"/>
      <w:r w:rsidRPr="008C58E1">
        <w:rPr>
          <w:rFonts w:ascii="Verdana" w:hAnsi="Verdana"/>
          <w:sz w:val="20"/>
          <w:szCs w:val="20"/>
          <w:lang w:val="en-US"/>
        </w:rPr>
        <w:t>i</w:t>
      </w:r>
      <w:proofErr w:type="spellEnd"/>
      <w:r w:rsidRPr="008C58E1">
        <w:rPr>
          <w:rFonts w:ascii="Verdana" w:hAnsi="Verdana"/>
          <w:sz w:val="20"/>
          <w:szCs w:val="20"/>
          <w:lang w:val="en-US"/>
        </w:rPr>
        <w:t>) it is justified for reasons of social interest or, which is the same, provided that there is a legal or objective cause that justifies it; (ii) it is a special measure; (iii) it is a measure to meet certain circumstances, and (iv) its effect is for a limited time.</w:t>
      </w:r>
      <w:r w:rsidRPr="008C58E1">
        <w:rPr>
          <w:rStyle w:val="Refdenotaalpie"/>
          <w:rFonts w:ascii="Verdana" w:hAnsi="Verdana"/>
          <w:sz w:val="20"/>
          <w:lang w:val="en-US"/>
        </w:rPr>
        <w:footnoteReference w:id="414"/>
      </w:r>
    </w:p>
    <w:p w14:paraId="42F1FF2C" w14:textId="77777777" w:rsidR="00C36F0E" w:rsidRPr="008C58E1" w:rsidRDefault="00C36F0E" w:rsidP="00C36F0E">
      <w:pPr>
        <w:pStyle w:val="Lista2"/>
        <w:spacing w:before="100" w:beforeAutospacing="1" w:after="120" w:line="240" w:lineRule="auto"/>
        <w:ind w:left="0" w:firstLine="0"/>
        <w:contextualSpacing w:val="0"/>
        <w:jc w:val="both"/>
        <w:rPr>
          <w:rFonts w:ascii="Verdana" w:hAnsi="Verdana"/>
          <w:sz w:val="20"/>
          <w:szCs w:val="20"/>
          <w:lang w:val="en-US"/>
        </w:rPr>
      </w:pPr>
      <w:r w:rsidRPr="008C58E1">
        <w:rPr>
          <w:rFonts w:ascii="Verdana" w:hAnsi="Verdana"/>
          <w:sz w:val="20"/>
          <w:szCs w:val="20"/>
          <w:lang w:val="en-US"/>
        </w:rPr>
        <w:t xml:space="preserve">20. </w:t>
      </w:r>
      <w:r w:rsidRPr="008C58E1">
        <w:rPr>
          <w:rFonts w:ascii="Verdana" w:hAnsi="Verdana"/>
          <w:sz w:val="20"/>
          <w:szCs w:val="20"/>
          <w:lang w:val="en-US"/>
        </w:rPr>
        <w:tab/>
        <w:t>The Constitutional Court of Guatemala has established that a measure may be retrogressive: (</w:t>
      </w:r>
      <w:proofErr w:type="spellStart"/>
      <w:r w:rsidRPr="008C58E1">
        <w:rPr>
          <w:rFonts w:ascii="Verdana" w:hAnsi="Verdana"/>
          <w:sz w:val="20"/>
          <w:szCs w:val="20"/>
          <w:lang w:val="en-US"/>
        </w:rPr>
        <w:t>i</w:t>
      </w:r>
      <w:proofErr w:type="spellEnd"/>
      <w:r w:rsidRPr="008C58E1">
        <w:rPr>
          <w:rFonts w:ascii="Verdana" w:hAnsi="Verdana"/>
          <w:sz w:val="20"/>
          <w:szCs w:val="20"/>
          <w:lang w:val="en-US"/>
        </w:rPr>
        <w:t>) when it cuts or limits the substantive sphere of protection of the respective</w:t>
      </w:r>
      <w:r>
        <w:rPr>
          <w:rFonts w:ascii="Verdana" w:hAnsi="Verdana"/>
          <w:sz w:val="20"/>
          <w:szCs w:val="20"/>
          <w:lang w:val="en-US"/>
        </w:rPr>
        <w:t xml:space="preserve"> </w:t>
      </w:r>
      <w:r w:rsidRPr="008C58E1">
        <w:rPr>
          <w:rFonts w:ascii="Verdana" w:hAnsi="Verdana"/>
          <w:sz w:val="20"/>
          <w:szCs w:val="20"/>
          <w:lang w:val="en-US"/>
        </w:rPr>
        <w:t>right</w:t>
      </w:r>
      <w:r>
        <w:rPr>
          <w:rFonts w:ascii="Verdana" w:hAnsi="Verdana"/>
          <w:sz w:val="20"/>
          <w:szCs w:val="20"/>
          <w:lang w:val="en-US"/>
        </w:rPr>
        <w:t xml:space="preserve"> to a social benefit</w:t>
      </w:r>
      <w:r w:rsidRPr="008C58E1">
        <w:rPr>
          <w:rFonts w:ascii="Verdana" w:hAnsi="Verdana"/>
          <w:sz w:val="20"/>
          <w:szCs w:val="20"/>
          <w:lang w:val="en-US"/>
        </w:rPr>
        <w:t>; (ii) when it substantially increases the requirements to access the right in question, and (iii) when it decreases or deviates, effectively and significantly, the public reso</w:t>
      </w:r>
      <w:r w:rsidRPr="006E0BE2">
        <w:rPr>
          <w:rFonts w:ascii="Verdana" w:hAnsi="Verdana"/>
          <w:sz w:val="20"/>
          <w:szCs w:val="20"/>
          <w:lang w:val="en-US"/>
        </w:rPr>
        <w:t>urces allocated to satisfy the right, before compliance with the respective social benefit has</w:t>
      </w:r>
      <w:r w:rsidRPr="008C58E1">
        <w:rPr>
          <w:rFonts w:ascii="Verdana" w:hAnsi="Verdana"/>
          <w:sz w:val="20"/>
          <w:szCs w:val="20"/>
          <w:lang w:val="en-US"/>
        </w:rPr>
        <w:t xml:space="preserve"> been verified.</w:t>
      </w:r>
      <w:r w:rsidRPr="008C58E1">
        <w:rPr>
          <w:rStyle w:val="Refdenotaalpie"/>
          <w:rFonts w:ascii="Verdana" w:hAnsi="Verdana"/>
          <w:sz w:val="20"/>
          <w:lang w:val="en-US"/>
        </w:rPr>
        <w:footnoteReference w:id="415"/>
      </w:r>
      <w:r w:rsidRPr="008C58E1">
        <w:rPr>
          <w:rFonts w:ascii="Verdana" w:hAnsi="Verdana"/>
          <w:sz w:val="20"/>
          <w:szCs w:val="20"/>
          <w:lang w:val="en-US"/>
        </w:rPr>
        <w:t xml:space="preserve"> Notwithstanding the foregoing, it has also considered that re</w:t>
      </w:r>
      <w:r>
        <w:rPr>
          <w:rFonts w:ascii="Verdana" w:hAnsi="Verdana"/>
          <w:sz w:val="20"/>
          <w:szCs w:val="20"/>
          <w:lang w:val="en-US"/>
        </w:rPr>
        <w:t>tro</w:t>
      </w:r>
      <w:r w:rsidRPr="008C58E1">
        <w:rPr>
          <w:rFonts w:ascii="Verdana" w:hAnsi="Verdana"/>
          <w:sz w:val="20"/>
          <w:szCs w:val="20"/>
          <w:lang w:val="en-US"/>
        </w:rPr>
        <w:t>gression could be justified at a specific moment</w:t>
      </w:r>
      <w:r>
        <w:rPr>
          <w:rFonts w:ascii="Verdana" w:hAnsi="Verdana"/>
          <w:sz w:val="20"/>
          <w:szCs w:val="20"/>
          <w:lang w:val="en-US"/>
        </w:rPr>
        <w:t xml:space="preserve"> in time</w:t>
      </w:r>
      <w:r w:rsidRPr="008C58E1">
        <w:rPr>
          <w:rFonts w:ascii="Verdana" w:hAnsi="Verdana"/>
          <w:sz w:val="20"/>
          <w:szCs w:val="20"/>
          <w:lang w:val="en-US"/>
        </w:rPr>
        <w:t>, provided that the principles of reasonableness and proportionality were respected.</w:t>
      </w:r>
      <w:r w:rsidRPr="008C58E1">
        <w:rPr>
          <w:rStyle w:val="Refdenotaalpie"/>
          <w:rFonts w:ascii="Verdana" w:hAnsi="Verdana"/>
          <w:sz w:val="20"/>
          <w:lang w:val="en-US"/>
        </w:rPr>
        <w:footnoteReference w:id="416"/>
      </w:r>
      <w:r w:rsidRPr="008C58E1">
        <w:rPr>
          <w:rFonts w:ascii="Verdana" w:hAnsi="Verdana"/>
          <w:sz w:val="20"/>
          <w:szCs w:val="20"/>
          <w:lang w:val="en-US"/>
        </w:rPr>
        <w:t xml:space="preserve"> </w:t>
      </w:r>
    </w:p>
    <w:p w14:paraId="58D70C5B" w14:textId="77777777" w:rsidR="00C36F0E" w:rsidRPr="008C58E1" w:rsidRDefault="00C36F0E" w:rsidP="00C36F0E">
      <w:pPr>
        <w:pStyle w:val="Lista2"/>
        <w:spacing w:before="100" w:beforeAutospacing="1" w:after="120" w:line="240" w:lineRule="auto"/>
        <w:ind w:left="0" w:firstLine="0"/>
        <w:contextualSpacing w:val="0"/>
        <w:jc w:val="both"/>
        <w:rPr>
          <w:rFonts w:ascii="Verdana" w:hAnsi="Verdana" w:cs="Times New Roman"/>
          <w:sz w:val="20"/>
          <w:szCs w:val="20"/>
          <w:lang w:val="en-US"/>
        </w:rPr>
      </w:pPr>
      <w:r w:rsidRPr="008C58E1">
        <w:rPr>
          <w:rFonts w:ascii="Verdana" w:hAnsi="Verdana"/>
          <w:sz w:val="20"/>
          <w:szCs w:val="20"/>
          <w:lang w:val="en-US"/>
        </w:rPr>
        <w:lastRenderedPageBreak/>
        <w:t xml:space="preserve">21. </w:t>
      </w:r>
      <w:r w:rsidRPr="008C58E1">
        <w:rPr>
          <w:rFonts w:ascii="Verdana" w:hAnsi="Verdana"/>
          <w:sz w:val="20"/>
          <w:szCs w:val="20"/>
          <w:lang w:val="en-US"/>
        </w:rPr>
        <w:tab/>
        <w:t>In general, the Mexican Supreme Court of Justice of the Nation (hereinafter, “SCJN”) has used different criteria with regard to the elements required to analyze the constitutionality of a retrogressive measure.</w:t>
      </w:r>
      <w:r w:rsidRPr="008C58E1">
        <w:rPr>
          <w:rStyle w:val="Refdenotaalpie"/>
          <w:rFonts w:ascii="Verdana" w:hAnsi="Verdana"/>
          <w:sz w:val="20"/>
          <w:lang w:val="en-US"/>
        </w:rPr>
        <w:footnoteReference w:id="417"/>
      </w:r>
      <w:r w:rsidRPr="008C58E1">
        <w:rPr>
          <w:rFonts w:ascii="Verdana" w:hAnsi="Verdana" w:cs="Times New Roman"/>
          <w:sz w:val="20"/>
          <w:szCs w:val="20"/>
          <w:lang w:val="en-US"/>
        </w:rPr>
        <w:t xml:space="preserve"> In addition, it can be noted that its two chambers have established different tests to analyze the constitutionality of measures that are allegedly retrogressive. According to the First Chamber of the SCJN, a retrogressive measure is constitutional, when any issue relating to budgetary resources is involved, if: (</w:t>
      </w:r>
      <w:proofErr w:type="spellStart"/>
      <w:r w:rsidRPr="008C58E1">
        <w:rPr>
          <w:rFonts w:ascii="Verdana" w:hAnsi="Verdana" w:cs="Times New Roman"/>
          <w:sz w:val="20"/>
          <w:szCs w:val="20"/>
          <w:lang w:val="en-US"/>
        </w:rPr>
        <w:t>i</w:t>
      </w:r>
      <w:proofErr w:type="spellEnd"/>
      <w:r w:rsidRPr="008C58E1">
        <w:rPr>
          <w:rFonts w:ascii="Verdana" w:hAnsi="Verdana" w:cs="Times New Roman"/>
          <w:sz w:val="20"/>
          <w:szCs w:val="20"/>
          <w:lang w:val="en-US"/>
        </w:rPr>
        <w:t>) a lack of resources is proved; (ii) it is demonstrated that every necessary effort was made to obtain them, unsuccessfully, and (iii) it is proved that the maximum of available resources w</w:t>
      </w:r>
      <w:r>
        <w:rPr>
          <w:rFonts w:ascii="Verdana" w:hAnsi="Verdana" w:cs="Times New Roman"/>
          <w:sz w:val="20"/>
          <w:szCs w:val="20"/>
          <w:lang w:val="en-US"/>
        </w:rPr>
        <w:t>ere</w:t>
      </w:r>
      <w:r w:rsidRPr="008C58E1">
        <w:rPr>
          <w:rFonts w:ascii="Verdana" w:hAnsi="Verdana" w:cs="Times New Roman"/>
          <w:sz w:val="20"/>
          <w:szCs w:val="20"/>
          <w:lang w:val="en-US"/>
        </w:rPr>
        <w:t xml:space="preserve"> applied, or that the resources available were applied to protect another human right (and not any social purpose), and that the relative importance of fulfilling that right first and foremost was greater.</w:t>
      </w:r>
      <w:r w:rsidRPr="008C58E1">
        <w:rPr>
          <w:rStyle w:val="Refdenotaalpie"/>
          <w:rFonts w:ascii="Verdana" w:hAnsi="Verdana"/>
          <w:sz w:val="20"/>
          <w:lang w:val="en-US"/>
        </w:rPr>
        <w:footnoteReference w:id="418"/>
      </w:r>
      <w:r w:rsidRPr="008C58E1">
        <w:rPr>
          <w:rFonts w:ascii="Verdana" w:hAnsi="Verdana" w:cs="Times New Roman"/>
          <w:sz w:val="20"/>
          <w:szCs w:val="20"/>
          <w:lang w:val="en-US"/>
        </w:rPr>
        <w:t xml:space="preserve"> Meanwhile, the Second Chamber of the SCJN has indicated that to conclude that a retrogressive measure is justified, it is necessary to analyze whether: (</w:t>
      </w:r>
      <w:proofErr w:type="spellStart"/>
      <w:r w:rsidRPr="008C58E1">
        <w:rPr>
          <w:rFonts w:ascii="Verdana" w:hAnsi="Verdana" w:cs="Times New Roman"/>
          <w:sz w:val="20"/>
          <w:szCs w:val="20"/>
          <w:lang w:val="en-US"/>
        </w:rPr>
        <w:t>i</w:t>
      </w:r>
      <w:proofErr w:type="spellEnd"/>
      <w:r w:rsidRPr="008C58E1">
        <w:rPr>
          <w:rFonts w:ascii="Verdana" w:hAnsi="Verdana" w:cs="Times New Roman"/>
          <w:sz w:val="20"/>
          <w:szCs w:val="20"/>
          <w:lang w:val="en-US"/>
        </w:rPr>
        <w:t>) the essential purpose of this reversion is to increase the level of protection of a human right, and (ii) it creates a reasonable balance between the fundamental rights in play, without having too great effect on the realization of one of them.</w:t>
      </w:r>
      <w:r w:rsidRPr="008C58E1">
        <w:rPr>
          <w:rStyle w:val="Refdenotaalpie"/>
          <w:rFonts w:ascii="Verdana" w:hAnsi="Verdana"/>
          <w:sz w:val="20"/>
          <w:lang w:val="en-US"/>
        </w:rPr>
        <w:footnoteReference w:id="419"/>
      </w:r>
    </w:p>
    <w:p w14:paraId="4D01E2F0" w14:textId="77777777" w:rsidR="00C36F0E" w:rsidRPr="008C58E1" w:rsidRDefault="00C36F0E" w:rsidP="00C36F0E">
      <w:pPr>
        <w:pStyle w:val="Lista2"/>
        <w:spacing w:before="100" w:beforeAutospacing="1" w:after="120" w:line="240" w:lineRule="auto"/>
        <w:ind w:left="0" w:firstLine="0"/>
        <w:contextualSpacing w:val="0"/>
        <w:jc w:val="both"/>
        <w:rPr>
          <w:rFonts w:ascii="Verdana" w:hAnsi="Verdana"/>
          <w:sz w:val="20"/>
          <w:szCs w:val="20"/>
          <w:lang w:val="en-US"/>
        </w:rPr>
      </w:pPr>
      <w:r w:rsidRPr="008C58E1">
        <w:rPr>
          <w:rFonts w:ascii="Verdana" w:hAnsi="Verdana"/>
          <w:sz w:val="20"/>
          <w:szCs w:val="20"/>
          <w:lang w:val="en-US"/>
        </w:rPr>
        <w:t xml:space="preserve">22. </w:t>
      </w:r>
      <w:r w:rsidRPr="008C58E1">
        <w:rPr>
          <w:rFonts w:ascii="Verdana" w:hAnsi="Verdana"/>
          <w:sz w:val="20"/>
          <w:szCs w:val="20"/>
          <w:lang w:val="en-US"/>
        </w:rPr>
        <w:tab/>
        <w:t>As can be appreciated, different national constitutional jurisdictions have assessed whether there has been a failure to comply with the gradual realization of the ESCER in the context of the principle of progressivity. It should be noted that, even though the Constitutions in the region do not expressly recognize the prohibition of retrogression, the high national jurisdictions have addressed the issue. Thus, as in the case of the CESCR, a prohibition of retrogression exists implicitly with</w:t>
      </w:r>
      <w:r>
        <w:rPr>
          <w:rFonts w:ascii="Verdana" w:hAnsi="Verdana"/>
          <w:sz w:val="20"/>
          <w:szCs w:val="20"/>
          <w:lang w:val="en-US"/>
        </w:rPr>
        <w:t>in</w:t>
      </w:r>
      <w:r w:rsidRPr="008C58E1">
        <w:rPr>
          <w:rFonts w:ascii="Verdana" w:hAnsi="Verdana"/>
          <w:sz w:val="20"/>
          <w:szCs w:val="20"/>
          <w:lang w:val="en-US"/>
        </w:rPr>
        <w:t xml:space="preserve"> the content of progressivity.</w:t>
      </w:r>
      <w:r w:rsidRPr="008C58E1">
        <w:rPr>
          <w:rStyle w:val="Refdenotaalpie"/>
          <w:rFonts w:ascii="Verdana" w:hAnsi="Verdana"/>
          <w:sz w:val="20"/>
          <w:lang w:val="en-US"/>
        </w:rPr>
        <w:footnoteReference w:id="420"/>
      </w:r>
      <w:r w:rsidRPr="008C58E1">
        <w:rPr>
          <w:rFonts w:ascii="Verdana" w:hAnsi="Verdana"/>
          <w:sz w:val="20"/>
          <w:szCs w:val="20"/>
          <w:lang w:val="en-US"/>
        </w:rPr>
        <w:t xml:space="preserve"> </w:t>
      </w:r>
    </w:p>
    <w:p w14:paraId="5C6BEFE5" w14:textId="77777777" w:rsidR="00C36F0E" w:rsidRPr="008F5C09" w:rsidRDefault="00C36F0E" w:rsidP="00C36F0E">
      <w:pPr>
        <w:pStyle w:val="Lista2"/>
        <w:spacing w:before="100" w:beforeAutospacing="1" w:after="120" w:line="240" w:lineRule="auto"/>
        <w:ind w:left="0" w:firstLine="0"/>
        <w:contextualSpacing w:val="0"/>
        <w:jc w:val="both"/>
        <w:rPr>
          <w:rFonts w:ascii="Verdana" w:hAnsi="Verdana"/>
          <w:b/>
          <w:sz w:val="20"/>
          <w:szCs w:val="20"/>
          <w:u w:val="single"/>
          <w:lang w:val="en-US"/>
        </w:rPr>
      </w:pPr>
      <w:r w:rsidRPr="008F5C09">
        <w:rPr>
          <w:rFonts w:ascii="Verdana" w:hAnsi="Verdana"/>
          <w:b/>
          <w:sz w:val="20"/>
          <w:szCs w:val="20"/>
          <w:u w:val="single"/>
          <w:lang w:val="en-US"/>
        </w:rPr>
        <w:t>c. Decisions concerning the right to health of people living with HIV</w:t>
      </w:r>
    </w:p>
    <w:p w14:paraId="33DF14CF" w14:textId="77777777" w:rsidR="00C36F0E" w:rsidRPr="008C58E1" w:rsidRDefault="00C36F0E" w:rsidP="00C36F0E">
      <w:pPr>
        <w:pStyle w:val="Lista2"/>
        <w:spacing w:before="100" w:beforeAutospacing="1" w:after="120" w:line="240" w:lineRule="auto"/>
        <w:ind w:left="0" w:firstLine="0"/>
        <w:contextualSpacing w:val="0"/>
        <w:jc w:val="both"/>
        <w:rPr>
          <w:rFonts w:ascii="Verdana" w:hAnsi="Verdana"/>
          <w:color w:val="000000" w:themeColor="text1"/>
          <w:sz w:val="20"/>
          <w:szCs w:val="20"/>
          <w:lang w:val="en-US"/>
        </w:rPr>
      </w:pPr>
      <w:r w:rsidRPr="008C58E1">
        <w:rPr>
          <w:rFonts w:ascii="Verdana" w:hAnsi="Verdana"/>
          <w:sz w:val="20"/>
          <w:szCs w:val="20"/>
          <w:lang w:val="en-US"/>
        </w:rPr>
        <w:lastRenderedPageBreak/>
        <w:t xml:space="preserve">23. </w:t>
      </w:r>
      <w:r w:rsidRPr="008C58E1">
        <w:rPr>
          <w:rFonts w:ascii="Verdana" w:hAnsi="Verdana"/>
          <w:sz w:val="20"/>
          <w:szCs w:val="20"/>
          <w:lang w:val="en-US"/>
        </w:rPr>
        <w:tab/>
        <w:t xml:space="preserve">In this context, </w:t>
      </w:r>
      <w:r w:rsidRPr="008C58E1">
        <w:rPr>
          <w:rFonts w:ascii="Verdana" w:hAnsi="Verdana"/>
          <w:color w:val="000000" w:themeColor="text1"/>
          <w:sz w:val="20"/>
          <w:szCs w:val="20"/>
          <w:lang w:val="en-US"/>
        </w:rPr>
        <w:t>the right to health of people living with HIV is not an issue that is entirely foreign to the jurisprudence of the high courts and they have had occasion to rule in this regard. This is of fundamental importance, because many of the advances made in jurisprudence with regard to protection of the right to health have been jurisprudential developments at the national level.</w:t>
      </w:r>
    </w:p>
    <w:p w14:paraId="102E2344" w14:textId="77777777" w:rsidR="00C36F0E" w:rsidRPr="008C58E1" w:rsidRDefault="00C36F0E" w:rsidP="00C36F0E">
      <w:pPr>
        <w:pStyle w:val="Lista2"/>
        <w:spacing w:before="100" w:beforeAutospacing="1" w:after="120" w:line="240" w:lineRule="auto"/>
        <w:ind w:left="0" w:firstLine="0"/>
        <w:contextualSpacing w:val="0"/>
        <w:jc w:val="both"/>
        <w:rPr>
          <w:rFonts w:ascii="Verdana" w:hAnsi="Verdana"/>
          <w:sz w:val="20"/>
          <w:szCs w:val="20"/>
          <w:lang w:val="en-US"/>
        </w:rPr>
      </w:pPr>
      <w:r w:rsidRPr="008C58E1">
        <w:rPr>
          <w:rFonts w:ascii="Verdana" w:hAnsi="Verdana"/>
          <w:sz w:val="20"/>
          <w:szCs w:val="20"/>
          <w:lang w:val="en-US"/>
        </w:rPr>
        <w:t xml:space="preserve">24. </w:t>
      </w:r>
      <w:r w:rsidRPr="008C58E1">
        <w:rPr>
          <w:rFonts w:ascii="Verdana" w:hAnsi="Verdana"/>
          <w:sz w:val="20"/>
          <w:szCs w:val="20"/>
          <w:lang w:val="en-US"/>
        </w:rPr>
        <w:tab/>
        <w:t xml:space="preserve">The Argentine Supreme Court of Justice of the Nation determined that the Ministry of Health and Social Action was obliged to provide assistance, treatment and the special provision of drugs to people living with HIV/AIDS under the premise that health is included in the right to life. It considered that adequate treatment included the provision of drugs, </w:t>
      </w:r>
      <w:r>
        <w:rPr>
          <w:rFonts w:ascii="Verdana" w:hAnsi="Verdana"/>
          <w:sz w:val="20"/>
          <w:szCs w:val="20"/>
          <w:lang w:val="en-US"/>
        </w:rPr>
        <w:t>and</w:t>
      </w:r>
      <w:r w:rsidRPr="008C58E1">
        <w:rPr>
          <w:rFonts w:ascii="Verdana" w:hAnsi="Verdana"/>
          <w:sz w:val="20"/>
          <w:szCs w:val="20"/>
          <w:lang w:val="en-US"/>
        </w:rPr>
        <w:t xml:space="preserve"> that they should</w:t>
      </w:r>
      <w:r>
        <w:rPr>
          <w:rFonts w:ascii="Verdana" w:hAnsi="Verdana"/>
          <w:sz w:val="20"/>
          <w:szCs w:val="20"/>
          <w:lang w:val="en-US"/>
        </w:rPr>
        <w:t xml:space="preserve"> therefore</w:t>
      </w:r>
      <w:r w:rsidRPr="008C58E1">
        <w:rPr>
          <w:rFonts w:ascii="Verdana" w:hAnsi="Verdana"/>
          <w:sz w:val="20"/>
          <w:szCs w:val="20"/>
          <w:lang w:val="en-US"/>
        </w:rPr>
        <w:t xml:space="preserve"> be supplied on a regular, prompt and continuing basis to avoid the risks related to their interruption. In addition, it indicated that, to ensure adequate assistance, programs aimed at detection, research, diagnosis, treatment, prevention and rehabilitation should be implemented, with the provision of the necessary financial resources.</w:t>
      </w:r>
      <w:r w:rsidRPr="008C58E1">
        <w:rPr>
          <w:rStyle w:val="Refdenotaalpie"/>
          <w:rFonts w:ascii="Verdana" w:hAnsi="Verdana"/>
          <w:color w:val="000000" w:themeColor="text1"/>
          <w:sz w:val="20"/>
          <w:lang w:val="en-US"/>
        </w:rPr>
        <w:footnoteReference w:id="421"/>
      </w:r>
    </w:p>
    <w:p w14:paraId="550BA7EA" w14:textId="77777777" w:rsidR="00C36F0E" w:rsidRPr="008C58E1" w:rsidRDefault="00C36F0E" w:rsidP="00C36F0E">
      <w:pPr>
        <w:pStyle w:val="Lista2"/>
        <w:spacing w:before="100" w:beforeAutospacing="1" w:after="120" w:line="240" w:lineRule="auto"/>
        <w:ind w:left="0" w:firstLine="0"/>
        <w:contextualSpacing w:val="0"/>
        <w:jc w:val="both"/>
        <w:rPr>
          <w:rFonts w:ascii="Verdana" w:hAnsi="Verdana"/>
          <w:color w:val="000000" w:themeColor="text1"/>
          <w:sz w:val="20"/>
          <w:szCs w:val="20"/>
          <w:lang w:val="en-US"/>
        </w:rPr>
      </w:pPr>
      <w:r w:rsidRPr="008C58E1">
        <w:rPr>
          <w:rFonts w:ascii="Verdana" w:hAnsi="Verdana"/>
          <w:color w:val="000000" w:themeColor="text1"/>
          <w:sz w:val="20"/>
          <w:szCs w:val="20"/>
          <w:lang w:val="en-US"/>
        </w:rPr>
        <w:t xml:space="preserve">25. </w:t>
      </w:r>
      <w:r w:rsidRPr="008C58E1">
        <w:rPr>
          <w:rFonts w:ascii="Verdana" w:hAnsi="Verdana"/>
          <w:color w:val="000000" w:themeColor="text1"/>
          <w:sz w:val="20"/>
          <w:szCs w:val="20"/>
          <w:lang w:val="en-US"/>
        </w:rPr>
        <w:tab/>
        <w:t xml:space="preserve">The </w:t>
      </w:r>
      <w:proofErr w:type="spellStart"/>
      <w:r w:rsidRPr="008C58E1">
        <w:rPr>
          <w:rFonts w:ascii="Verdana" w:hAnsi="Verdana"/>
          <w:color w:val="000000" w:themeColor="text1"/>
          <w:sz w:val="20"/>
          <w:szCs w:val="20"/>
          <w:lang w:val="en-US"/>
        </w:rPr>
        <w:t>Plurinational</w:t>
      </w:r>
      <w:proofErr w:type="spellEnd"/>
      <w:r w:rsidRPr="008C58E1">
        <w:rPr>
          <w:rFonts w:ascii="Verdana" w:hAnsi="Verdana"/>
          <w:color w:val="000000" w:themeColor="text1"/>
          <w:sz w:val="20"/>
          <w:szCs w:val="20"/>
          <w:lang w:val="en-US"/>
        </w:rPr>
        <w:t xml:space="preserve"> Constitutional Court of Bolivia determined that, given the failure to provide drugs regularly to a minor living with HIV/AIDS, the rights to life and to health had been violated, considering the special protection</w:t>
      </w:r>
      <w:r>
        <w:rPr>
          <w:rFonts w:ascii="Verdana" w:hAnsi="Verdana"/>
          <w:color w:val="000000" w:themeColor="text1"/>
          <w:sz w:val="20"/>
          <w:szCs w:val="20"/>
          <w:lang w:val="en-US"/>
        </w:rPr>
        <w:t xml:space="preserve"> called for</w:t>
      </w:r>
      <w:r w:rsidRPr="008C58E1">
        <w:rPr>
          <w:rFonts w:ascii="Verdana" w:hAnsi="Verdana"/>
          <w:color w:val="000000" w:themeColor="text1"/>
          <w:sz w:val="20"/>
          <w:szCs w:val="20"/>
          <w:lang w:val="en-US"/>
        </w:rPr>
        <w:t xml:space="preserve"> in the case of children, especially if they do not have sufficient resources.</w:t>
      </w:r>
      <w:r w:rsidRPr="008C58E1">
        <w:rPr>
          <w:rStyle w:val="Refdenotaalpie"/>
          <w:rFonts w:ascii="Verdana" w:hAnsi="Verdana"/>
          <w:color w:val="000000" w:themeColor="text1"/>
          <w:sz w:val="20"/>
          <w:lang w:val="en-US"/>
        </w:rPr>
        <w:footnoteReference w:id="422"/>
      </w:r>
      <w:r w:rsidRPr="008C58E1">
        <w:rPr>
          <w:rFonts w:ascii="Verdana" w:hAnsi="Verdana"/>
          <w:color w:val="000000" w:themeColor="text1"/>
          <w:sz w:val="20"/>
          <w:szCs w:val="20"/>
          <w:lang w:val="en-US"/>
        </w:rPr>
        <w:t xml:space="preserve"> In addition, it recognized that this disease was “catastrophic” in view of its impact on the patient’s personal and family relations and financial resources. It also deliberated on the continuity of the treatment owing to the imminent risk for the life of the person living with the disease, due both to the occurrence of opportunistic infections and to the development of </w:t>
      </w:r>
      <w:r>
        <w:rPr>
          <w:rFonts w:ascii="Verdana" w:hAnsi="Verdana"/>
          <w:color w:val="000000" w:themeColor="text1"/>
          <w:sz w:val="20"/>
          <w:szCs w:val="20"/>
          <w:lang w:val="en-US"/>
        </w:rPr>
        <w:t xml:space="preserve">drug </w:t>
      </w:r>
      <w:r w:rsidRPr="008C58E1">
        <w:rPr>
          <w:rFonts w:ascii="Verdana" w:hAnsi="Verdana"/>
          <w:color w:val="000000" w:themeColor="text1"/>
          <w:sz w:val="20"/>
          <w:szCs w:val="20"/>
          <w:lang w:val="en-US"/>
        </w:rPr>
        <w:t>resistance.</w:t>
      </w:r>
      <w:r w:rsidRPr="008C58E1">
        <w:rPr>
          <w:rStyle w:val="Refdenotaalpie"/>
          <w:rFonts w:ascii="Verdana" w:hAnsi="Verdana"/>
          <w:color w:val="000000" w:themeColor="text1"/>
          <w:sz w:val="20"/>
          <w:lang w:val="en-US"/>
        </w:rPr>
        <w:footnoteReference w:id="423"/>
      </w:r>
      <w:r w:rsidRPr="008C58E1">
        <w:rPr>
          <w:rFonts w:ascii="Verdana" w:hAnsi="Verdana"/>
          <w:color w:val="000000" w:themeColor="text1"/>
          <w:sz w:val="20"/>
          <w:szCs w:val="20"/>
          <w:lang w:val="en-US"/>
        </w:rPr>
        <w:t xml:space="preserve"> It further indicated that it corresponded to the authorities to develop policies of prevention, care and rehabilitation.</w:t>
      </w:r>
      <w:r w:rsidRPr="008C58E1">
        <w:rPr>
          <w:rStyle w:val="Refdenotaalpie"/>
          <w:rFonts w:ascii="Verdana" w:hAnsi="Verdana"/>
          <w:color w:val="000000" w:themeColor="text1"/>
          <w:sz w:val="20"/>
          <w:lang w:val="en-US"/>
        </w:rPr>
        <w:footnoteReference w:id="424"/>
      </w:r>
    </w:p>
    <w:p w14:paraId="3B35AF66" w14:textId="77777777" w:rsidR="00C36F0E" w:rsidRPr="008C58E1" w:rsidRDefault="00C36F0E" w:rsidP="00C36F0E">
      <w:pPr>
        <w:pStyle w:val="Lista2"/>
        <w:spacing w:before="100" w:beforeAutospacing="1" w:after="120" w:line="240" w:lineRule="auto"/>
        <w:ind w:left="0" w:firstLine="0"/>
        <w:contextualSpacing w:val="0"/>
        <w:jc w:val="both"/>
        <w:rPr>
          <w:rFonts w:ascii="Verdana" w:hAnsi="Verdana"/>
          <w:color w:val="000000" w:themeColor="text1"/>
          <w:sz w:val="20"/>
          <w:szCs w:val="20"/>
          <w:lang w:val="en-US"/>
        </w:rPr>
      </w:pPr>
      <w:r w:rsidRPr="008C58E1">
        <w:rPr>
          <w:rFonts w:ascii="Verdana" w:hAnsi="Verdana"/>
          <w:color w:val="000000" w:themeColor="text1"/>
          <w:sz w:val="20"/>
          <w:szCs w:val="20"/>
          <w:lang w:val="en-US"/>
        </w:rPr>
        <w:t xml:space="preserve">26. </w:t>
      </w:r>
      <w:r w:rsidRPr="008C58E1">
        <w:rPr>
          <w:rFonts w:ascii="Verdana" w:hAnsi="Verdana"/>
          <w:color w:val="000000" w:themeColor="text1"/>
          <w:sz w:val="20"/>
          <w:szCs w:val="20"/>
          <w:lang w:val="en-US"/>
        </w:rPr>
        <w:tab/>
        <w:t>The Constitutional Court of Colombia has decided that people living with HIV/AIDS form part of a group that requires special constitutional protection, so that the protection of their right to health is reinforced by developing the right to equality. It has also considered that, in the provision of health services, the “principle of continuity” should be observed, which include</w:t>
      </w:r>
      <w:r>
        <w:rPr>
          <w:rFonts w:ascii="Verdana" w:hAnsi="Verdana"/>
          <w:color w:val="000000" w:themeColor="text1"/>
          <w:sz w:val="20"/>
          <w:szCs w:val="20"/>
          <w:lang w:val="en-US"/>
        </w:rPr>
        <w:t>d</w:t>
      </w:r>
      <w:r w:rsidRPr="008C58E1">
        <w:rPr>
          <w:rFonts w:ascii="Verdana" w:hAnsi="Verdana"/>
          <w:color w:val="000000" w:themeColor="text1"/>
          <w:sz w:val="20"/>
          <w:szCs w:val="20"/>
          <w:lang w:val="en-US"/>
        </w:rPr>
        <w:t xml:space="preserve"> the constant and uninterrupted supply of the medical services governed by the “principle of comprehensiveness” (drugs, surgical procedures, </w:t>
      </w:r>
      <w:r>
        <w:rPr>
          <w:rFonts w:ascii="Verdana" w:hAnsi="Verdana"/>
          <w:color w:val="000000" w:themeColor="text1"/>
          <w:sz w:val="20"/>
          <w:szCs w:val="20"/>
          <w:lang w:val="en-US"/>
        </w:rPr>
        <w:t xml:space="preserve">and </w:t>
      </w:r>
      <w:r w:rsidRPr="008C58E1">
        <w:rPr>
          <w:rFonts w:ascii="Verdana" w:hAnsi="Verdana"/>
          <w:color w:val="000000" w:themeColor="text1"/>
          <w:sz w:val="20"/>
          <w:szCs w:val="20"/>
          <w:lang w:val="en-US"/>
        </w:rPr>
        <w:t>diagnostic and other tests).</w:t>
      </w:r>
      <w:r w:rsidRPr="008C58E1">
        <w:rPr>
          <w:rStyle w:val="Refdenotaalpie"/>
          <w:rFonts w:ascii="Verdana" w:hAnsi="Verdana"/>
          <w:color w:val="000000" w:themeColor="text1"/>
          <w:lang w:val="en-US"/>
        </w:rPr>
        <w:footnoteReference w:id="425"/>
      </w:r>
    </w:p>
    <w:p w14:paraId="1596AB68" w14:textId="77777777" w:rsidR="00C36F0E" w:rsidRPr="008C58E1" w:rsidRDefault="00C36F0E" w:rsidP="00C36F0E">
      <w:pPr>
        <w:pStyle w:val="Prrafodelista"/>
        <w:spacing w:before="100" w:beforeAutospacing="1" w:after="120"/>
        <w:ind w:left="0"/>
        <w:contextualSpacing w:val="0"/>
        <w:rPr>
          <w:color w:val="000000" w:themeColor="text1"/>
          <w:szCs w:val="20"/>
          <w:lang w:val="en-US"/>
        </w:rPr>
      </w:pPr>
      <w:r w:rsidRPr="008C58E1">
        <w:rPr>
          <w:color w:val="000000" w:themeColor="text1"/>
          <w:szCs w:val="20"/>
          <w:lang w:val="en-US"/>
        </w:rPr>
        <w:t xml:space="preserve">27. </w:t>
      </w:r>
      <w:r w:rsidRPr="008C58E1">
        <w:rPr>
          <w:color w:val="000000" w:themeColor="text1"/>
          <w:szCs w:val="20"/>
          <w:lang w:val="en-US"/>
        </w:rPr>
        <w:tab/>
        <w:t>The Constitutional Court of Ecuador has also determined that people living with HIV are part of a group requiring priority care, and that it therefore corresponded to the State to implement reinforced mechanisms of protection, by either legislation or public policies</w:t>
      </w:r>
      <w:r>
        <w:rPr>
          <w:color w:val="000000" w:themeColor="text1"/>
          <w:szCs w:val="20"/>
          <w:lang w:val="en-US"/>
        </w:rPr>
        <w:t>,</w:t>
      </w:r>
      <w:r w:rsidRPr="008C58E1">
        <w:rPr>
          <w:color w:val="000000" w:themeColor="text1"/>
          <w:szCs w:val="20"/>
          <w:lang w:val="en-US"/>
        </w:rPr>
        <w:t xml:space="preserve"> to this end.</w:t>
      </w:r>
      <w:r w:rsidRPr="008C58E1">
        <w:rPr>
          <w:rStyle w:val="Refdenotaalpie"/>
          <w:color w:val="000000" w:themeColor="text1"/>
          <w:lang w:val="en-US"/>
        </w:rPr>
        <w:footnoteReference w:id="426"/>
      </w:r>
      <w:r w:rsidRPr="008C58E1">
        <w:rPr>
          <w:color w:val="000000" w:themeColor="text1"/>
          <w:szCs w:val="20"/>
          <w:lang w:val="en-US"/>
        </w:rPr>
        <w:t xml:space="preserve"> Accordingly, the State should guarantee their right to comprehensive health </w:t>
      </w:r>
      <w:r w:rsidRPr="008C58E1">
        <w:rPr>
          <w:color w:val="000000" w:themeColor="text1"/>
          <w:szCs w:val="20"/>
          <w:lang w:val="en-US"/>
        </w:rPr>
        <w:lastRenderedPageBreak/>
        <w:t>through treatment and prompt access to drugs free of charge. That Court also referred to the need for the health authorities to develop mechanisms for education on HIV/AIDS and</w:t>
      </w:r>
      <w:r>
        <w:rPr>
          <w:color w:val="000000" w:themeColor="text1"/>
          <w:szCs w:val="20"/>
          <w:lang w:val="en-US"/>
        </w:rPr>
        <w:t xml:space="preserve"> its</w:t>
      </w:r>
      <w:r w:rsidRPr="008C58E1">
        <w:rPr>
          <w:color w:val="000000" w:themeColor="text1"/>
          <w:szCs w:val="20"/>
          <w:lang w:val="en-US"/>
        </w:rPr>
        <w:t xml:space="preserve"> prevention.</w:t>
      </w:r>
      <w:r w:rsidRPr="008C58E1">
        <w:rPr>
          <w:rStyle w:val="Refdenotaalpie"/>
          <w:color w:val="000000" w:themeColor="text1"/>
          <w:lang w:val="en-US"/>
        </w:rPr>
        <w:footnoteReference w:id="427"/>
      </w:r>
    </w:p>
    <w:p w14:paraId="503A75F8" w14:textId="77777777" w:rsidR="00C36F0E" w:rsidRPr="008C58E1" w:rsidRDefault="00C36F0E" w:rsidP="00C36F0E">
      <w:pPr>
        <w:pStyle w:val="Lista2"/>
        <w:spacing w:before="100" w:beforeAutospacing="1" w:after="120" w:line="240" w:lineRule="auto"/>
        <w:ind w:left="0" w:firstLine="0"/>
        <w:contextualSpacing w:val="0"/>
        <w:jc w:val="both"/>
        <w:rPr>
          <w:rFonts w:ascii="Verdana" w:hAnsi="Verdana"/>
          <w:color w:val="000000" w:themeColor="text1"/>
          <w:sz w:val="20"/>
          <w:szCs w:val="20"/>
          <w:lang w:val="en-US"/>
        </w:rPr>
      </w:pPr>
      <w:r w:rsidRPr="008C58E1">
        <w:rPr>
          <w:rFonts w:ascii="Verdana" w:hAnsi="Verdana"/>
          <w:color w:val="000000" w:themeColor="text1"/>
          <w:sz w:val="20"/>
          <w:szCs w:val="20"/>
          <w:lang w:val="en-US"/>
        </w:rPr>
        <w:t xml:space="preserve">28. </w:t>
      </w:r>
      <w:r w:rsidRPr="008C58E1">
        <w:rPr>
          <w:rFonts w:ascii="Verdana" w:hAnsi="Verdana"/>
          <w:color w:val="000000" w:themeColor="text1"/>
          <w:sz w:val="20"/>
          <w:szCs w:val="20"/>
          <w:lang w:val="en-US"/>
        </w:rPr>
        <w:tab/>
        <w:t xml:space="preserve">The Constitutional Court of Peru has determined that comprehensive care for a person living with HIV is not limited to mitigating the effects of the disease with the provision of drugs and regular testing, but requires more actions at the stage of </w:t>
      </w:r>
      <w:r>
        <w:rPr>
          <w:rFonts w:ascii="Verdana" w:hAnsi="Verdana"/>
          <w:color w:val="000000" w:themeColor="text1"/>
          <w:sz w:val="20"/>
          <w:szCs w:val="20"/>
          <w:lang w:val="en-US"/>
        </w:rPr>
        <w:t xml:space="preserve">disease </w:t>
      </w:r>
      <w:r w:rsidRPr="008C58E1">
        <w:rPr>
          <w:rFonts w:ascii="Verdana" w:hAnsi="Verdana"/>
          <w:color w:val="000000" w:themeColor="text1"/>
          <w:sz w:val="20"/>
          <w:szCs w:val="20"/>
          <w:lang w:val="en-US"/>
        </w:rPr>
        <w:t>prevention.</w:t>
      </w:r>
      <w:r w:rsidRPr="008C58E1">
        <w:rPr>
          <w:rStyle w:val="Refdenotaalpie"/>
          <w:rFonts w:ascii="Verdana" w:hAnsi="Verdana"/>
          <w:color w:val="000000" w:themeColor="text1"/>
          <w:sz w:val="20"/>
          <w:lang w:val="en-US"/>
        </w:rPr>
        <w:footnoteReference w:id="428"/>
      </w:r>
      <w:r w:rsidRPr="008C58E1">
        <w:rPr>
          <w:rFonts w:ascii="Verdana" w:hAnsi="Verdana"/>
          <w:color w:val="000000" w:themeColor="text1"/>
          <w:sz w:val="20"/>
          <w:szCs w:val="20"/>
          <w:lang w:val="en-US"/>
        </w:rPr>
        <w:t xml:space="preserve"> In addition, it has deliberated on the special circumstances of extreme poverty of some of those living with the infection, finding that providing them with care was a priority.</w:t>
      </w:r>
      <w:r w:rsidRPr="008C58E1">
        <w:rPr>
          <w:rStyle w:val="Refdenotaalpie"/>
          <w:rFonts w:ascii="Verdana" w:hAnsi="Verdana"/>
          <w:color w:val="000000" w:themeColor="text1"/>
          <w:sz w:val="20"/>
          <w:lang w:val="en-US"/>
        </w:rPr>
        <w:footnoteReference w:id="429"/>
      </w:r>
    </w:p>
    <w:p w14:paraId="6DCC85FB" w14:textId="77777777" w:rsidR="00C36F0E" w:rsidRPr="008C58E1" w:rsidRDefault="00C36F0E" w:rsidP="00C36F0E">
      <w:pPr>
        <w:pStyle w:val="Lista2"/>
        <w:spacing w:before="100" w:beforeAutospacing="1" w:after="120" w:line="240" w:lineRule="auto"/>
        <w:ind w:left="0" w:firstLine="0"/>
        <w:contextualSpacing w:val="0"/>
        <w:jc w:val="both"/>
        <w:rPr>
          <w:rFonts w:ascii="Verdana" w:hAnsi="Verdana"/>
          <w:color w:val="000000" w:themeColor="text1"/>
          <w:sz w:val="20"/>
          <w:szCs w:val="20"/>
          <w:lang w:val="en-US"/>
        </w:rPr>
      </w:pPr>
      <w:r w:rsidRPr="008C58E1">
        <w:rPr>
          <w:rFonts w:ascii="Verdana" w:hAnsi="Verdana"/>
          <w:color w:val="000000" w:themeColor="text1"/>
          <w:sz w:val="20"/>
          <w:szCs w:val="20"/>
          <w:lang w:val="en-US"/>
        </w:rPr>
        <w:t xml:space="preserve">29. </w:t>
      </w:r>
      <w:r w:rsidRPr="008C58E1">
        <w:rPr>
          <w:rFonts w:ascii="Verdana" w:hAnsi="Verdana"/>
          <w:color w:val="000000" w:themeColor="text1"/>
          <w:sz w:val="20"/>
          <w:szCs w:val="20"/>
          <w:lang w:val="en-US"/>
        </w:rPr>
        <w:tab/>
        <w:t>The SCJN studied the shortcomings in the</w:t>
      </w:r>
      <w:r>
        <w:rPr>
          <w:rFonts w:ascii="Verdana" w:hAnsi="Verdana"/>
          <w:color w:val="000000" w:themeColor="text1"/>
          <w:sz w:val="20"/>
          <w:szCs w:val="20"/>
          <w:lang w:val="en-US"/>
        </w:rPr>
        <w:t xml:space="preserve"> facilities of the</w:t>
      </w:r>
      <w:r w:rsidRPr="008C58E1">
        <w:rPr>
          <w:rFonts w:ascii="Verdana" w:hAnsi="Verdana"/>
          <w:color w:val="000000" w:themeColor="text1"/>
          <w:sz w:val="20"/>
          <w:szCs w:val="20"/>
          <w:lang w:val="en-US"/>
        </w:rPr>
        <w:t xml:space="preserve"> public health </w:t>
      </w:r>
      <w:r>
        <w:rPr>
          <w:rFonts w:ascii="Verdana" w:hAnsi="Verdana"/>
          <w:color w:val="000000" w:themeColor="text1"/>
          <w:sz w:val="20"/>
          <w:szCs w:val="20"/>
          <w:lang w:val="en-US"/>
        </w:rPr>
        <w:t>services</w:t>
      </w:r>
      <w:r w:rsidRPr="008C58E1">
        <w:rPr>
          <w:rFonts w:ascii="Verdana" w:hAnsi="Verdana"/>
          <w:color w:val="000000" w:themeColor="text1"/>
          <w:sz w:val="20"/>
          <w:szCs w:val="20"/>
          <w:lang w:val="en-US"/>
        </w:rPr>
        <w:t xml:space="preserve"> that </w:t>
      </w:r>
      <w:r>
        <w:rPr>
          <w:rFonts w:ascii="Verdana" w:hAnsi="Verdana"/>
          <w:color w:val="000000" w:themeColor="text1"/>
          <w:sz w:val="20"/>
          <w:szCs w:val="20"/>
          <w:lang w:val="en-US"/>
        </w:rPr>
        <w:t>resulted in</w:t>
      </w:r>
      <w:r w:rsidRPr="008C58E1">
        <w:rPr>
          <w:rFonts w:ascii="Verdana" w:hAnsi="Verdana"/>
          <w:color w:val="000000" w:themeColor="text1"/>
          <w:sz w:val="20"/>
          <w:szCs w:val="20"/>
          <w:lang w:val="en-US"/>
        </w:rPr>
        <w:t xml:space="preserve"> </w:t>
      </w:r>
      <w:r>
        <w:rPr>
          <w:rFonts w:ascii="Verdana" w:hAnsi="Verdana"/>
          <w:color w:val="000000" w:themeColor="text1"/>
          <w:sz w:val="20"/>
          <w:szCs w:val="20"/>
          <w:lang w:val="en-US"/>
        </w:rPr>
        <w:t xml:space="preserve">the </w:t>
      </w:r>
      <w:r w:rsidRPr="008C58E1">
        <w:rPr>
          <w:rFonts w:ascii="Verdana" w:hAnsi="Verdana"/>
          <w:color w:val="000000" w:themeColor="text1"/>
          <w:sz w:val="20"/>
          <w:szCs w:val="20"/>
          <w:lang w:val="en-US"/>
        </w:rPr>
        <w:t xml:space="preserve">infection with opportunistic diseases </w:t>
      </w:r>
      <w:r>
        <w:rPr>
          <w:rFonts w:ascii="Verdana" w:hAnsi="Verdana"/>
          <w:color w:val="000000" w:themeColor="text1"/>
          <w:sz w:val="20"/>
          <w:szCs w:val="20"/>
          <w:lang w:val="en-US"/>
        </w:rPr>
        <w:t>of</w:t>
      </w:r>
      <w:r w:rsidRPr="008C58E1">
        <w:rPr>
          <w:rFonts w:ascii="Verdana" w:hAnsi="Verdana"/>
          <w:color w:val="000000" w:themeColor="text1"/>
          <w:sz w:val="20"/>
          <w:szCs w:val="20"/>
          <w:lang w:val="en-US"/>
        </w:rPr>
        <w:t xml:space="preserve"> people living with HIV, who were treated in a certain hospital. It considered that the lack of adequate facilities was sufficient to constitute a violation of the right to health and ordered the authorities to ensure to people living with HIV/AIDS the broadest possible enjoyment of the right to health by investing in facilities – based on existing financial circumstances – and establish</w:t>
      </w:r>
      <w:r>
        <w:rPr>
          <w:rFonts w:ascii="Verdana" w:hAnsi="Verdana"/>
          <w:color w:val="000000" w:themeColor="text1"/>
          <w:sz w:val="20"/>
          <w:szCs w:val="20"/>
          <w:lang w:val="en-US"/>
        </w:rPr>
        <w:t>ed</w:t>
      </w:r>
      <w:r w:rsidRPr="008C58E1">
        <w:rPr>
          <w:rFonts w:ascii="Verdana" w:hAnsi="Verdana"/>
          <w:color w:val="000000" w:themeColor="text1"/>
          <w:sz w:val="20"/>
          <w:szCs w:val="20"/>
          <w:lang w:val="en-US"/>
        </w:rPr>
        <w:t xml:space="preserve"> that the respective new investment should be made from a medical and scientific perspective.</w:t>
      </w:r>
      <w:r w:rsidRPr="008C58E1">
        <w:rPr>
          <w:rStyle w:val="Refdenotaalpie"/>
          <w:rFonts w:ascii="Verdana" w:hAnsi="Verdana"/>
          <w:color w:val="000000" w:themeColor="text1"/>
          <w:sz w:val="20"/>
          <w:lang w:val="en-US"/>
        </w:rPr>
        <w:footnoteReference w:id="430"/>
      </w:r>
    </w:p>
    <w:p w14:paraId="5A3CD4AF" w14:textId="77777777" w:rsidR="00C36F0E" w:rsidRPr="008C58E1" w:rsidRDefault="00C36F0E" w:rsidP="00C36F0E">
      <w:pPr>
        <w:pStyle w:val="Prrafodelista"/>
        <w:ind w:left="0"/>
        <w:rPr>
          <w:szCs w:val="20"/>
          <w:lang w:val="en-US"/>
        </w:rPr>
      </w:pPr>
      <w:r w:rsidRPr="008C58E1">
        <w:rPr>
          <w:color w:val="000000" w:themeColor="text1"/>
          <w:szCs w:val="20"/>
          <w:lang w:val="en-US"/>
        </w:rPr>
        <w:t xml:space="preserve">30. </w:t>
      </w:r>
      <w:r w:rsidRPr="008C58E1">
        <w:rPr>
          <w:color w:val="000000" w:themeColor="text1"/>
          <w:szCs w:val="20"/>
          <w:lang w:val="en-US"/>
        </w:rPr>
        <w:tab/>
        <w:t xml:space="preserve">As can be </w:t>
      </w:r>
      <w:r>
        <w:rPr>
          <w:color w:val="000000" w:themeColor="text1"/>
          <w:szCs w:val="20"/>
          <w:lang w:val="en-US"/>
        </w:rPr>
        <w:t>seen</w:t>
      </w:r>
      <w:r w:rsidRPr="008C58E1">
        <w:rPr>
          <w:color w:val="000000" w:themeColor="text1"/>
          <w:szCs w:val="20"/>
          <w:lang w:val="en-US"/>
        </w:rPr>
        <w:t>, high national jurisdictions have developed important standards in this area, under which people living with HIV are a group requiring priority care in which one of the essential components to safeguard their rights (to health, life and personal integrity) is the continu</w:t>
      </w:r>
      <w:r>
        <w:rPr>
          <w:color w:val="000000" w:themeColor="text1"/>
          <w:szCs w:val="20"/>
          <w:lang w:val="en-US"/>
        </w:rPr>
        <w:t>ous</w:t>
      </w:r>
      <w:r w:rsidRPr="008C58E1">
        <w:rPr>
          <w:color w:val="000000" w:themeColor="text1"/>
          <w:szCs w:val="20"/>
          <w:lang w:val="en-US"/>
        </w:rPr>
        <w:t xml:space="preserve"> and uninterrupted provision of antiretroviral drugs. However, for the treatment to be comprehensive, it is also necessary to provide medical care for opportunistic infections, using the maximum available resources. This series of obligations </w:t>
      </w:r>
      <w:r>
        <w:rPr>
          <w:color w:val="000000" w:themeColor="text1"/>
          <w:szCs w:val="20"/>
          <w:lang w:val="en-US"/>
        </w:rPr>
        <w:t>is</w:t>
      </w:r>
      <w:r w:rsidRPr="008C58E1">
        <w:rPr>
          <w:color w:val="000000" w:themeColor="text1"/>
          <w:szCs w:val="20"/>
          <w:lang w:val="en-US"/>
        </w:rPr>
        <w:t xml:space="preserve"> in keeping with the obligations that </w:t>
      </w:r>
      <w:r w:rsidRPr="008C58E1">
        <w:rPr>
          <w:szCs w:val="20"/>
          <w:lang w:val="en-US"/>
        </w:rPr>
        <w:t>the Inter-American Court has incorporated in</w:t>
      </w:r>
      <w:r>
        <w:rPr>
          <w:szCs w:val="20"/>
          <w:lang w:val="en-US"/>
        </w:rPr>
        <w:t>to</w:t>
      </w:r>
      <w:r w:rsidRPr="008C58E1">
        <w:rPr>
          <w:szCs w:val="20"/>
          <w:lang w:val="en-US"/>
        </w:rPr>
        <w:t xml:space="preserve"> this judgment.</w:t>
      </w:r>
      <w:r w:rsidRPr="008C58E1">
        <w:rPr>
          <w:rStyle w:val="Refdenotaalpie"/>
          <w:lang w:val="en-US"/>
        </w:rPr>
        <w:footnoteReference w:id="431"/>
      </w:r>
      <w:r w:rsidRPr="008C58E1">
        <w:rPr>
          <w:szCs w:val="20"/>
          <w:lang w:val="en-US"/>
        </w:rPr>
        <w:t xml:space="preserve"> Consequently, the provisions that the Inter-American Court has incorporated into this case constitute a minimum threshold as regard the right to health of people living with HIV.</w:t>
      </w:r>
    </w:p>
    <w:p w14:paraId="6AB829FE" w14:textId="77777777" w:rsidR="00C36F0E" w:rsidRPr="008C58E1" w:rsidRDefault="00C36F0E" w:rsidP="00C36F0E">
      <w:pPr>
        <w:pStyle w:val="Prrafodelista"/>
        <w:ind w:left="0"/>
        <w:rPr>
          <w:szCs w:val="20"/>
          <w:lang w:val="en-US"/>
        </w:rPr>
      </w:pPr>
    </w:p>
    <w:p w14:paraId="362FEF1C" w14:textId="77777777" w:rsidR="00C36F0E" w:rsidRPr="008C58E1" w:rsidRDefault="00C36F0E" w:rsidP="00C36F0E">
      <w:pPr>
        <w:pStyle w:val="Prrafodelista"/>
        <w:ind w:left="0"/>
        <w:jc w:val="center"/>
        <w:rPr>
          <w:b/>
          <w:szCs w:val="20"/>
          <w:lang w:val="en-US"/>
        </w:rPr>
      </w:pPr>
      <w:r w:rsidRPr="008C58E1">
        <w:rPr>
          <w:b/>
          <w:szCs w:val="20"/>
          <w:lang w:val="en-US"/>
        </w:rPr>
        <w:t>II. THE INTERSECTIONAL DISCRIMINATION AGAINST TWO PREGNANT WOMEN LIVING WITH HIV</w:t>
      </w:r>
    </w:p>
    <w:p w14:paraId="67F4C5FC" w14:textId="77777777" w:rsidR="00C36F0E" w:rsidRPr="008C58E1" w:rsidRDefault="00C36F0E" w:rsidP="00C36F0E">
      <w:pPr>
        <w:rPr>
          <w:b/>
          <w:szCs w:val="20"/>
          <w:lang w:val="en-US"/>
        </w:rPr>
      </w:pPr>
    </w:p>
    <w:p w14:paraId="345C32F5" w14:textId="77777777" w:rsidR="00C36F0E" w:rsidRPr="008C58E1" w:rsidRDefault="00C36F0E" w:rsidP="00C36F0E">
      <w:pPr>
        <w:pStyle w:val="Prrafodelista"/>
        <w:ind w:left="0"/>
        <w:rPr>
          <w:szCs w:val="20"/>
          <w:lang w:val="en-US"/>
        </w:rPr>
      </w:pPr>
      <w:r w:rsidRPr="008C58E1">
        <w:rPr>
          <w:szCs w:val="20"/>
          <w:lang w:val="en-US"/>
        </w:rPr>
        <w:t xml:space="preserve">31. </w:t>
      </w:r>
      <w:r w:rsidRPr="008C58E1">
        <w:rPr>
          <w:szCs w:val="20"/>
          <w:lang w:val="en-US"/>
        </w:rPr>
        <w:tab/>
        <w:t>The judgment also addressed the allegations concerning the discrimination that some pregnant women had presumably suffered, who had not received medical treatment that took into consideration the intersection</w:t>
      </w:r>
      <w:r>
        <w:rPr>
          <w:szCs w:val="20"/>
          <w:lang w:val="en-US"/>
        </w:rPr>
        <w:t>al</w:t>
      </w:r>
      <w:r w:rsidRPr="008C58E1">
        <w:rPr>
          <w:szCs w:val="20"/>
          <w:lang w:val="en-US"/>
        </w:rPr>
        <w:t xml:space="preserve"> form of discrimination they faced. In this regard, the judgment concluded that the State had failed to comply with the prohibition of discrimination in relation to the obligation to ensure the right to health recognized in Article 26 of the Convention, to the detriment of two victims in the case.</w:t>
      </w:r>
      <w:r w:rsidRPr="008C58E1">
        <w:rPr>
          <w:rStyle w:val="Refdenotaalpie"/>
          <w:lang w:val="en-US"/>
        </w:rPr>
        <w:footnoteReference w:id="432"/>
      </w:r>
      <w:r w:rsidRPr="008C58E1">
        <w:rPr>
          <w:szCs w:val="20"/>
          <w:lang w:val="en-US"/>
        </w:rPr>
        <w:t xml:space="preserve"> This conclusion was </w:t>
      </w:r>
      <w:r w:rsidRPr="008C58E1">
        <w:rPr>
          <w:szCs w:val="20"/>
          <w:lang w:val="en-US"/>
        </w:rPr>
        <w:lastRenderedPageBreak/>
        <w:t xml:space="preserve">based on the fact that the State failed to provide antiretroviral treatment for one victim when she was pregnant, and did not practice a cesarean birth for the other victim when this constituted a preventive measure to avoid </w:t>
      </w:r>
      <w:r>
        <w:rPr>
          <w:szCs w:val="20"/>
          <w:lang w:val="en-US"/>
        </w:rPr>
        <w:t>vertical</w:t>
      </w:r>
      <w:r w:rsidRPr="008C58E1">
        <w:rPr>
          <w:szCs w:val="20"/>
          <w:lang w:val="en-US"/>
        </w:rPr>
        <w:t xml:space="preserve"> transmission of HIV. These omissions by the State constituted a form of gender-based discrimination because they had a differentiated impact on the two women who are living with HIV, and gave rise to a risk of mother-to-child transmission of the virus.</w:t>
      </w:r>
      <w:r w:rsidRPr="008C58E1">
        <w:rPr>
          <w:rStyle w:val="Refdenotaalpie"/>
          <w:lang w:val="en-US"/>
        </w:rPr>
        <w:footnoteReference w:id="433"/>
      </w:r>
      <w:r w:rsidRPr="008C58E1">
        <w:rPr>
          <w:szCs w:val="20"/>
          <w:lang w:val="en-US"/>
        </w:rPr>
        <w:t xml:space="preserve"> Added to this, the majority considered that an intersectional discrimination existed because the two victims are women living with HIV, who </w:t>
      </w:r>
      <w:r w:rsidRPr="00250A1F">
        <w:rPr>
          <w:szCs w:val="20"/>
          <w:lang w:val="en-US"/>
        </w:rPr>
        <w:t>were pregnant, so that the discrimination was the result of several factors that intersected and conditioned each other.</w:t>
      </w:r>
      <w:r w:rsidRPr="00250A1F">
        <w:rPr>
          <w:rStyle w:val="Refdenotaalpie"/>
          <w:lang w:val="en-US"/>
        </w:rPr>
        <w:footnoteReference w:id="434"/>
      </w:r>
      <w:r w:rsidRPr="008C58E1">
        <w:rPr>
          <w:szCs w:val="20"/>
          <w:lang w:val="en-US"/>
        </w:rPr>
        <w:t xml:space="preserve"> </w:t>
      </w:r>
    </w:p>
    <w:p w14:paraId="501BB5BF" w14:textId="77777777" w:rsidR="00C36F0E" w:rsidRPr="008C58E1" w:rsidRDefault="00C36F0E" w:rsidP="00C36F0E">
      <w:pPr>
        <w:pStyle w:val="Prrafodelista"/>
        <w:ind w:left="0"/>
        <w:rPr>
          <w:szCs w:val="20"/>
          <w:lang w:val="en-US"/>
        </w:rPr>
      </w:pPr>
    </w:p>
    <w:p w14:paraId="52184AEF" w14:textId="77777777" w:rsidR="00C36F0E" w:rsidRPr="008C58E1" w:rsidRDefault="00C36F0E" w:rsidP="00C36F0E">
      <w:pPr>
        <w:pStyle w:val="Prrafodelista"/>
        <w:ind w:left="0"/>
        <w:rPr>
          <w:szCs w:val="20"/>
          <w:lang w:val="en-US"/>
        </w:rPr>
      </w:pPr>
      <w:r w:rsidRPr="008C58E1">
        <w:rPr>
          <w:szCs w:val="20"/>
          <w:lang w:val="en-US"/>
        </w:rPr>
        <w:t xml:space="preserve">32. </w:t>
      </w:r>
      <w:r w:rsidRPr="008C58E1">
        <w:rPr>
          <w:szCs w:val="20"/>
          <w:lang w:val="en-US"/>
        </w:rPr>
        <w:tab/>
        <w:t xml:space="preserve">The jurisprudential precedent for the Court’s analysis can be found in the case of </w:t>
      </w:r>
      <w:proofErr w:type="spellStart"/>
      <w:r w:rsidRPr="008C58E1">
        <w:rPr>
          <w:i/>
          <w:szCs w:val="20"/>
          <w:lang w:val="en-US"/>
        </w:rPr>
        <w:t>Gonzáles</w:t>
      </w:r>
      <w:proofErr w:type="spellEnd"/>
      <w:r w:rsidRPr="008C58E1">
        <w:rPr>
          <w:i/>
          <w:szCs w:val="20"/>
          <w:lang w:val="en-US"/>
        </w:rPr>
        <w:t xml:space="preserve"> </w:t>
      </w:r>
      <w:proofErr w:type="spellStart"/>
      <w:r w:rsidRPr="008C58E1">
        <w:rPr>
          <w:i/>
          <w:szCs w:val="20"/>
          <w:lang w:val="en-US"/>
        </w:rPr>
        <w:t>Lluy</w:t>
      </w:r>
      <w:proofErr w:type="spellEnd"/>
      <w:r w:rsidRPr="008C58E1">
        <w:rPr>
          <w:i/>
          <w:szCs w:val="20"/>
          <w:lang w:val="en-US"/>
        </w:rPr>
        <w:t xml:space="preserve"> et al.</w:t>
      </w:r>
      <w:r w:rsidRPr="008C58E1">
        <w:rPr>
          <w:szCs w:val="20"/>
          <w:lang w:val="en-US"/>
        </w:rPr>
        <w:t xml:space="preserve">, where the Court determined that </w:t>
      </w:r>
      <w:proofErr w:type="spellStart"/>
      <w:r w:rsidRPr="008C58E1">
        <w:rPr>
          <w:szCs w:val="20"/>
          <w:lang w:val="en-US"/>
        </w:rPr>
        <w:t>Talía</w:t>
      </w:r>
      <w:proofErr w:type="spellEnd"/>
      <w:r w:rsidRPr="008C58E1">
        <w:rPr>
          <w:szCs w:val="20"/>
          <w:lang w:val="en-US"/>
        </w:rPr>
        <w:t xml:space="preserve"> Gabriela suffered discrimination on the basis of her condition as a person living with HIV, and being a </w:t>
      </w:r>
      <w:r>
        <w:rPr>
          <w:szCs w:val="20"/>
          <w:lang w:val="en-US"/>
        </w:rPr>
        <w:t>child</w:t>
      </w:r>
      <w:r w:rsidRPr="008C58E1">
        <w:rPr>
          <w:szCs w:val="20"/>
          <w:lang w:val="en-US"/>
        </w:rPr>
        <w:t>, female, and living in poverty.</w:t>
      </w:r>
      <w:r w:rsidRPr="008C58E1">
        <w:rPr>
          <w:szCs w:val="20"/>
          <w:vertAlign w:val="superscript"/>
          <w:lang w:val="en-US"/>
        </w:rPr>
        <w:footnoteReference w:id="435"/>
      </w:r>
      <w:r w:rsidRPr="008C58E1">
        <w:rPr>
          <w:szCs w:val="20"/>
          <w:lang w:val="en-US"/>
        </w:rPr>
        <w:t xml:space="preserve"> These factors made the victim more vulnerable and increased the harm she suffered.</w:t>
      </w:r>
      <w:r w:rsidRPr="008C58E1">
        <w:rPr>
          <w:szCs w:val="20"/>
          <w:vertAlign w:val="superscript"/>
          <w:lang w:val="en-US"/>
        </w:rPr>
        <w:footnoteReference w:id="436"/>
      </w:r>
      <w:r w:rsidRPr="008C58E1">
        <w:rPr>
          <w:szCs w:val="20"/>
          <w:lang w:val="en-US"/>
        </w:rPr>
        <w:t xml:space="preserve"> On that occasion, the Court reflected on how certain groups of women suffer </w:t>
      </w:r>
      <w:r>
        <w:rPr>
          <w:szCs w:val="20"/>
          <w:lang w:val="en-US"/>
        </w:rPr>
        <w:t xml:space="preserve">lifelong </w:t>
      </w:r>
      <w:r w:rsidRPr="008C58E1">
        <w:rPr>
          <w:szCs w:val="20"/>
          <w:lang w:val="en-US"/>
        </w:rPr>
        <w:t>discrimination based on more than one factor combined with their sex, which increase</w:t>
      </w:r>
      <w:r>
        <w:rPr>
          <w:szCs w:val="20"/>
          <w:lang w:val="en-US"/>
        </w:rPr>
        <w:t>d</w:t>
      </w:r>
      <w:r w:rsidRPr="008C58E1">
        <w:rPr>
          <w:szCs w:val="20"/>
          <w:lang w:val="en-US"/>
        </w:rPr>
        <w:t xml:space="preserve"> their risk of be</w:t>
      </w:r>
      <w:r>
        <w:rPr>
          <w:szCs w:val="20"/>
          <w:lang w:val="en-US"/>
        </w:rPr>
        <w:t>com</w:t>
      </w:r>
      <w:r w:rsidRPr="008C58E1">
        <w:rPr>
          <w:szCs w:val="20"/>
          <w:lang w:val="en-US"/>
        </w:rPr>
        <w:t>ing a victim of violence and other violations of their human rights.</w:t>
      </w:r>
      <w:r w:rsidRPr="008C58E1">
        <w:rPr>
          <w:szCs w:val="20"/>
          <w:vertAlign w:val="superscript"/>
          <w:lang w:val="en-US"/>
        </w:rPr>
        <w:footnoteReference w:id="437"/>
      </w:r>
      <w:r w:rsidRPr="008C58E1">
        <w:rPr>
          <w:szCs w:val="20"/>
          <w:lang w:val="en-US"/>
        </w:rPr>
        <w:t xml:space="preserve"> It also emphasized that the stigmatization related to HIV does not have the same impact on everyone and the impact on groups that are already marginalized is more severe.</w:t>
      </w:r>
      <w:r w:rsidRPr="008C58E1">
        <w:rPr>
          <w:szCs w:val="20"/>
          <w:vertAlign w:val="superscript"/>
          <w:lang w:val="en-US"/>
        </w:rPr>
        <w:footnoteReference w:id="438"/>
      </w:r>
      <w:r w:rsidRPr="008C58E1">
        <w:rPr>
          <w:szCs w:val="20"/>
          <w:lang w:val="en-US"/>
        </w:rPr>
        <w:t xml:space="preserve"> It has taken this position in the cases of </w:t>
      </w:r>
      <w:r w:rsidRPr="008C58E1">
        <w:rPr>
          <w:i/>
          <w:szCs w:val="20"/>
          <w:lang w:val="en-US"/>
        </w:rPr>
        <w:t>I.V. v. Bolivia,</w:t>
      </w:r>
      <w:r w:rsidRPr="008C58E1">
        <w:rPr>
          <w:rStyle w:val="Refdenotaalpie"/>
          <w:i/>
          <w:lang w:val="en-US"/>
        </w:rPr>
        <w:footnoteReference w:id="439"/>
      </w:r>
      <w:r w:rsidRPr="008C58E1">
        <w:rPr>
          <w:szCs w:val="20"/>
          <w:lang w:val="en-US"/>
        </w:rPr>
        <w:t xml:space="preserve"> </w:t>
      </w:r>
      <w:r w:rsidRPr="008C58E1">
        <w:rPr>
          <w:i/>
          <w:szCs w:val="20"/>
          <w:lang w:val="en-US"/>
        </w:rPr>
        <w:t>Ramírez Escobar et al. v. Guatemala</w:t>
      </w:r>
      <w:r w:rsidRPr="008C58E1">
        <w:rPr>
          <w:szCs w:val="20"/>
          <w:vertAlign w:val="superscript"/>
          <w:lang w:val="en-US"/>
        </w:rPr>
        <w:footnoteReference w:id="440"/>
      </w:r>
      <w:r w:rsidRPr="008C58E1">
        <w:rPr>
          <w:szCs w:val="20"/>
          <w:lang w:val="en-US"/>
        </w:rPr>
        <w:t xml:space="preserve"> and </w:t>
      </w:r>
      <w:r w:rsidRPr="008C58E1">
        <w:rPr>
          <w:rStyle w:val="Textoennegrita"/>
          <w:i/>
          <w:color w:val="000000"/>
          <w:shd w:val="clear" w:color="auto" w:fill="FFFFFF"/>
          <w:lang w:val="en-US"/>
        </w:rPr>
        <w:t>V.R.P., V.P.C. et al. v. Nicaragua.</w:t>
      </w:r>
      <w:r w:rsidRPr="008C58E1">
        <w:rPr>
          <w:rStyle w:val="Refdenotaalpie"/>
          <w:bCs/>
          <w:i/>
          <w:color w:val="000000"/>
          <w:shd w:val="clear" w:color="auto" w:fill="FFFFFF"/>
          <w:lang w:val="en-US"/>
        </w:rPr>
        <w:footnoteReference w:id="441"/>
      </w:r>
    </w:p>
    <w:p w14:paraId="08FF97E8" w14:textId="77777777" w:rsidR="00C36F0E" w:rsidRPr="008C58E1" w:rsidRDefault="00C36F0E" w:rsidP="00C36F0E">
      <w:pPr>
        <w:pStyle w:val="Prrafodelista"/>
        <w:ind w:left="0"/>
        <w:rPr>
          <w:szCs w:val="20"/>
          <w:lang w:val="en-US"/>
        </w:rPr>
      </w:pPr>
    </w:p>
    <w:p w14:paraId="50735408" w14:textId="77777777" w:rsidR="00C36F0E" w:rsidRPr="008C58E1" w:rsidRDefault="00C36F0E" w:rsidP="00C36F0E">
      <w:pPr>
        <w:pStyle w:val="Prrafodelista"/>
        <w:ind w:left="0"/>
        <w:rPr>
          <w:szCs w:val="20"/>
          <w:lang w:val="en-US"/>
        </w:rPr>
      </w:pPr>
      <w:r w:rsidRPr="008C58E1">
        <w:rPr>
          <w:szCs w:val="20"/>
          <w:lang w:val="en-US"/>
        </w:rPr>
        <w:t xml:space="preserve">33. </w:t>
      </w:r>
      <w:r w:rsidRPr="008C58E1">
        <w:rPr>
          <w:szCs w:val="20"/>
          <w:lang w:val="en-US"/>
        </w:rPr>
        <w:tab/>
        <w:t xml:space="preserve">In the said cases – and in </w:t>
      </w:r>
      <w:proofErr w:type="spellStart"/>
      <w:r w:rsidRPr="008C58E1">
        <w:rPr>
          <w:i/>
          <w:szCs w:val="20"/>
          <w:lang w:val="en-US"/>
        </w:rPr>
        <w:t>Cuscul</w:t>
      </w:r>
      <w:proofErr w:type="spellEnd"/>
      <w:r w:rsidRPr="008C58E1">
        <w:rPr>
          <w:i/>
          <w:szCs w:val="20"/>
          <w:lang w:val="en-US"/>
        </w:rPr>
        <w:t xml:space="preserve"> </w:t>
      </w:r>
      <w:proofErr w:type="spellStart"/>
      <w:r w:rsidRPr="008C58E1">
        <w:rPr>
          <w:i/>
          <w:szCs w:val="20"/>
          <w:lang w:val="en-US"/>
        </w:rPr>
        <w:t>Pivaral</w:t>
      </w:r>
      <w:proofErr w:type="spellEnd"/>
      <w:r w:rsidRPr="008C58E1">
        <w:rPr>
          <w:i/>
          <w:szCs w:val="20"/>
          <w:lang w:val="en-US"/>
        </w:rPr>
        <w:t xml:space="preserve"> </w:t>
      </w:r>
      <w:r w:rsidRPr="008C58E1">
        <w:rPr>
          <w:rStyle w:val="Refdenotaalpie"/>
          <w:i/>
          <w:lang w:val="en-US"/>
        </w:rPr>
        <w:footnoteReference w:id="442"/>
      </w:r>
      <w:r w:rsidRPr="008C58E1">
        <w:rPr>
          <w:i/>
          <w:szCs w:val="20"/>
          <w:lang w:val="en-US"/>
        </w:rPr>
        <w:t>—</w:t>
      </w:r>
      <w:r w:rsidRPr="008C58E1">
        <w:rPr>
          <w:szCs w:val="20"/>
          <w:lang w:val="en-US"/>
        </w:rPr>
        <w:t xml:space="preserve"> the Court </w:t>
      </w:r>
      <w:r>
        <w:rPr>
          <w:szCs w:val="20"/>
          <w:lang w:val="en-US"/>
        </w:rPr>
        <w:t xml:space="preserve">has </w:t>
      </w:r>
      <w:r w:rsidRPr="008C58E1">
        <w:rPr>
          <w:szCs w:val="20"/>
          <w:lang w:val="en-US"/>
        </w:rPr>
        <w:t>maintained that</w:t>
      </w:r>
      <w:r>
        <w:rPr>
          <w:szCs w:val="20"/>
          <w:lang w:val="en-US"/>
        </w:rPr>
        <w:t>,</w:t>
      </w:r>
      <w:r w:rsidRPr="008C58E1">
        <w:rPr>
          <w:szCs w:val="20"/>
          <w:lang w:val="en-US"/>
        </w:rPr>
        <w:t xml:space="preserve"> when there is a confluence of factors of intersectional discrimination</w:t>
      </w:r>
      <w:r>
        <w:rPr>
          <w:szCs w:val="20"/>
          <w:lang w:val="en-US"/>
        </w:rPr>
        <w:t>,</w:t>
      </w:r>
      <w:r w:rsidRPr="008C58E1">
        <w:rPr>
          <w:szCs w:val="20"/>
          <w:lang w:val="en-US"/>
        </w:rPr>
        <w:t xml:space="preserve"> this produces a specific discriminatory experience that is different from other forms of discrimination. This position that the Court has been developing progressively in its case law for the protection of vulnerable groups gives rise to certain challenges that must be addressed in future. The Inter-American Commission and the victims’ representatives must argue more clearly and precisely: (</w:t>
      </w:r>
      <w:proofErr w:type="spellStart"/>
      <w:r w:rsidRPr="008C58E1">
        <w:rPr>
          <w:szCs w:val="20"/>
          <w:lang w:val="en-US"/>
        </w:rPr>
        <w:t>i</w:t>
      </w:r>
      <w:proofErr w:type="spellEnd"/>
      <w:r w:rsidRPr="008C58E1">
        <w:rPr>
          <w:szCs w:val="20"/>
          <w:lang w:val="en-US"/>
        </w:rPr>
        <w:t xml:space="preserve">) that the factors of risk or vulnerability that are alleged are categories protected </w:t>
      </w:r>
      <w:r w:rsidRPr="008C58E1">
        <w:rPr>
          <w:szCs w:val="20"/>
          <w:lang w:val="en-US"/>
        </w:rPr>
        <w:lastRenderedPageBreak/>
        <w:t xml:space="preserve">by the American Convention; (ii) that these factors interact or concur with each other, giving rise to a particular type of discrimination, and (iii) that this </w:t>
      </w:r>
      <w:r>
        <w:rPr>
          <w:szCs w:val="20"/>
          <w:lang w:val="en-US"/>
        </w:rPr>
        <w:t>tru</w:t>
      </w:r>
      <w:r w:rsidRPr="008C58E1">
        <w:rPr>
          <w:szCs w:val="20"/>
          <w:lang w:val="en-US"/>
        </w:rPr>
        <w:t xml:space="preserve">ly affects the victims in the specific case. In other words, it is not sufficient to argue that different elements exist that coalesce in an individual, but rather it should be proved that the combination of these elements resulted in a new increased form of discrimination with specific characteristics. </w:t>
      </w:r>
    </w:p>
    <w:p w14:paraId="736B8BF2" w14:textId="77777777" w:rsidR="00C36F0E" w:rsidRPr="008C58E1" w:rsidRDefault="00C36F0E" w:rsidP="00C36F0E">
      <w:pPr>
        <w:pStyle w:val="Prrafodelista"/>
        <w:ind w:left="0"/>
        <w:rPr>
          <w:szCs w:val="20"/>
          <w:lang w:val="en-US"/>
        </w:rPr>
      </w:pPr>
    </w:p>
    <w:p w14:paraId="7FE4C955" w14:textId="77777777" w:rsidR="00C36F0E" w:rsidRPr="008C58E1" w:rsidRDefault="00C36F0E" w:rsidP="00C36F0E">
      <w:pPr>
        <w:pStyle w:val="Prrafodelista"/>
        <w:ind w:left="0"/>
        <w:rPr>
          <w:szCs w:val="20"/>
          <w:lang w:val="en-US"/>
        </w:rPr>
      </w:pPr>
      <w:r w:rsidRPr="008C58E1">
        <w:rPr>
          <w:szCs w:val="20"/>
          <w:lang w:val="en-US"/>
        </w:rPr>
        <w:t xml:space="preserve">34. </w:t>
      </w:r>
      <w:r w:rsidRPr="008C58E1">
        <w:rPr>
          <w:szCs w:val="20"/>
          <w:lang w:val="en-US"/>
        </w:rPr>
        <w:tab/>
        <w:t xml:space="preserve">The judgment is particularly relevant on this issue, because it </w:t>
      </w:r>
      <w:r>
        <w:rPr>
          <w:szCs w:val="20"/>
          <w:lang w:val="en-US"/>
        </w:rPr>
        <w:t>gives visibility to</w:t>
      </w:r>
      <w:r w:rsidRPr="008C58E1">
        <w:rPr>
          <w:szCs w:val="20"/>
          <w:lang w:val="en-US"/>
        </w:rPr>
        <w:t xml:space="preserve"> the confrontation between gender and maternity, factors that are usually concealed by the condition of a person living with HIV. The majority considered that a new type of increased discrimination existed based on the interaction of the said circumstances, recognizing that the State needed to provide a differentiated protection on the basis of the particular needs faced by pregnant women living with HIV. This approach has dual merits: on the one hand, it </w:t>
      </w:r>
      <w:r>
        <w:rPr>
          <w:szCs w:val="20"/>
          <w:lang w:val="en-US"/>
        </w:rPr>
        <w:t>gives visibility to</w:t>
      </w:r>
      <w:r w:rsidRPr="008C58E1">
        <w:rPr>
          <w:szCs w:val="20"/>
          <w:lang w:val="en-US"/>
        </w:rPr>
        <w:t xml:space="preserve"> a group that has historically been discriminated against and establishes legal consequences for the State for failing to provide protection with a differentiated approach</w:t>
      </w:r>
      <w:r w:rsidRPr="008C58E1">
        <w:rPr>
          <w:rStyle w:val="Refdenotaalpie"/>
          <w:lang w:val="en-US"/>
        </w:rPr>
        <w:footnoteReference w:id="443"/>
      </w:r>
      <w:r w:rsidRPr="008C58E1">
        <w:rPr>
          <w:szCs w:val="20"/>
          <w:lang w:val="en-US"/>
        </w:rPr>
        <w:t xml:space="preserve"> and, on the other hand, it opens the way for the State to adopt measures in the future that provide a more effective and much more specific protection </w:t>
      </w:r>
      <w:r>
        <w:rPr>
          <w:szCs w:val="20"/>
          <w:lang w:val="en-US"/>
        </w:rPr>
        <w:t>for</w:t>
      </w:r>
      <w:r w:rsidRPr="008C58E1">
        <w:rPr>
          <w:szCs w:val="20"/>
          <w:lang w:val="en-US"/>
        </w:rPr>
        <w:t xml:space="preserve"> the right to health of pregnant women living with HIV. Thus, the judgment —</w:t>
      </w:r>
      <w:r>
        <w:rPr>
          <w:szCs w:val="20"/>
          <w:lang w:val="en-US"/>
        </w:rPr>
        <w:t xml:space="preserve"> </w:t>
      </w:r>
      <w:r w:rsidRPr="008C58E1">
        <w:rPr>
          <w:szCs w:val="20"/>
          <w:lang w:val="en-US"/>
        </w:rPr>
        <w:t xml:space="preserve">in both its analysis of the merits, and with regard </w:t>
      </w:r>
      <w:r w:rsidRPr="004E080E">
        <w:rPr>
          <w:szCs w:val="20"/>
          <w:lang w:val="en-US"/>
        </w:rPr>
        <w:t xml:space="preserve">to reparations – adheres to what has already been defined by UNAIDS concerning the need to </w:t>
      </w:r>
      <w:r w:rsidRPr="004E080E">
        <w:rPr>
          <w:rFonts w:eastAsia="Times New Roman"/>
          <w:szCs w:val="20"/>
          <w:lang w:val="en-US"/>
        </w:rPr>
        <w:t>promote a supportive and enabling environment for women, addressing the underlying prejudices and inequalities that</w:t>
      </w:r>
      <w:r w:rsidRPr="008C58E1">
        <w:rPr>
          <w:rFonts w:eastAsia="Times New Roman"/>
          <w:szCs w:val="20"/>
          <w:lang w:val="en-US"/>
        </w:rPr>
        <w:t xml:space="preserve"> lead to this vulnerability.</w:t>
      </w:r>
      <w:r w:rsidRPr="008C58E1">
        <w:rPr>
          <w:rStyle w:val="Refdenotaalpie"/>
          <w:lang w:val="en-US"/>
        </w:rPr>
        <w:footnoteReference w:id="444"/>
      </w:r>
    </w:p>
    <w:p w14:paraId="070CBCFD" w14:textId="77777777" w:rsidR="00C36F0E" w:rsidRPr="008C58E1" w:rsidRDefault="00C36F0E" w:rsidP="00C36F0E">
      <w:pPr>
        <w:pStyle w:val="Prrafodelista"/>
        <w:ind w:left="0"/>
        <w:rPr>
          <w:szCs w:val="20"/>
          <w:lang w:val="en-US"/>
        </w:rPr>
      </w:pPr>
    </w:p>
    <w:p w14:paraId="0EBAFA2C" w14:textId="77777777" w:rsidR="00C36F0E" w:rsidRPr="008C58E1" w:rsidRDefault="00C36F0E" w:rsidP="00C36F0E">
      <w:pPr>
        <w:pStyle w:val="Prrafodelista"/>
        <w:ind w:left="0"/>
        <w:jc w:val="center"/>
        <w:rPr>
          <w:b/>
          <w:szCs w:val="20"/>
          <w:lang w:val="en-US"/>
        </w:rPr>
      </w:pPr>
      <w:r w:rsidRPr="008C58E1">
        <w:rPr>
          <w:b/>
          <w:szCs w:val="20"/>
          <w:lang w:val="en-US"/>
        </w:rPr>
        <w:t xml:space="preserve">III. THE MEASURES OF REPARATION ORDERD IN THIS CASE </w:t>
      </w:r>
    </w:p>
    <w:p w14:paraId="361C2FAB" w14:textId="77777777" w:rsidR="00C36F0E" w:rsidRPr="008C58E1" w:rsidRDefault="00C36F0E" w:rsidP="00C36F0E">
      <w:pPr>
        <w:rPr>
          <w:szCs w:val="20"/>
          <w:lang w:val="en-US"/>
        </w:rPr>
      </w:pPr>
    </w:p>
    <w:p w14:paraId="725D8A1C" w14:textId="77777777" w:rsidR="00C36F0E" w:rsidRPr="008C58E1" w:rsidRDefault="00C36F0E" w:rsidP="00C36F0E">
      <w:pPr>
        <w:pStyle w:val="Prrafodelista"/>
        <w:ind w:left="0"/>
        <w:rPr>
          <w:szCs w:val="20"/>
          <w:lang w:val="en-US"/>
        </w:rPr>
      </w:pPr>
      <w:r w:rsidRPr="008C58E1">
        <w:rPr>
          <w:szCs w:val="20"/>
          <w:lang w:val="en-US"/>
        </w:rPr>
        <w:t xml:space="preserve">35. </w:t>
      </w:r>
      <w:r w:rsidRPr="008C58E1">
        <w:rPr>
          <w:szCs w:val="20"/>
          <w:lang w:val="en-US"/>
        </w:rPr>
        <w:tab/>
        <w:t>In the judgment, the Court also established a series of measures aimed at redressing the violati</w:t>
      </w:r>
      <w:r>
        <w:rPr>
          <w:szCs w:val="20"/>
          <w:lang w:val="en-US"/>
        </w:rPr>
        <w:t>ons</w:t>
      </w:r>
      <w:r w:rsidRPr="008C58E1">
        <w:rPr>
          <w:szCs w:val="20"/>
          <w:lang w:val="en-US"/>
        </w:rPr>
        <w:t xml:space="preserve"> </w:t>
      </w:r>
      <w:r>
        <w:rPr>
          <w:szCs w:val="20"/>
          <w:lang w:val="en-US"/>
        </w:rPr>
        <w:t>suffered by</w:t>
      </w:r>
      <w:r w:rsidRPr="008C58E1">
        <w:rPr>
          <w:szCs w:val="20"/>
          <w:lang w:val="en-US"/>
        </w:rPr>
        <w:t xml:space="preserve"> the victims in the case and to avoid their repetition in the future, as it has in its consistent case law on reparations. First, the Court ordered the State </w:t>
      </w:r>
      <w:r>
        <w:rPr>
          <w:szCs w:val="20"/>
          <w:lang w:val="en-US"/>
        </w:rPr>
        <w:t xml:space="preserve">to </w:t>
      </w:r>
      <w:r w:rsidRPr="008C58E1">
        <w:rPr>
          <w:szCs w:val="20"/>
          <w:lang w:val="en-US"/>
        </w:rPr>
        <w:t>provide medical and psychological or psychiatric treatment for the victims of violations of the right to health</w:t>
      </w:r>
      <w:r w:rsidRPr="00966660">
        <w:rPr>
          <w:szCs w:val="20"/>
          <w:lang w:val="en-US"/>
        </w:rPr>
        <w:t xml:space="preserve"> </w:t>
      </w:r>
      <w:r w:rsidRPr="008C58E1">
        <w:rPr>
          <w:szCs w:val="20"/>
          <w:lang w:val="en-US"/>
        </w:rPr>
        <w:t>through its public institutions and in keeping with standards of medical care for people living with HIV</w:t>
      </w:r>
      <w:r>
        <w:rPr>
          <w:szCs w:val="20"/>
          <w:lang w:val="en-US"/>
        </w:rPr>
        <w:t>.</w:t>
      </w:r>
    </w:p>
    <w:p w14:paraId="09884FF5" w14:textId="77777777" w:rsidR="00C36F0E" w:rsidRPr="008C58E1" w:rsidRDefault="00C36F0E" w:rsidP="00C36F0E">
      <w:pPr>
        <w:pStyle w:val="Prrafodelista"/>
        <w:ind w:left="0"/>
        <w:rPr>
          <w:szCs w:val="20"/>
          <w:lang w:val="en-US"/>
        </w:rPr>
      </w:pPr>
    </w:p>
    <w:p w14:paraId="4D70202D" w14:textId="77777777" w:rsidR="00C36F0E" w:rsidRPr="008C58E1" w:rsidRDefault="00C36F0E" w:rsidP="00C36F0E">
      <w:pPr>
        <w:pStyle w:val="Prrafodelista"/>
        <w:ind w:left="0"/>
        <w:rPr>
          <w:szCs w:val="20"/>
          <w:lang w:val="en-US"/>
        </w:rPr>
      </w:pPr>
      <w:r w:rsidRPr="008C58E1">
        <w:rPr>
          <w:szCs w:val="20"/>
          <w:lang w:val="en-US"/>
        </w:rPr>
        <w:t xml:space="preserve">36. </w:t>
      </w:r>
      <w:r w:rsidRPr="008C58E1">
        <w:rPr>
          <w:szCs w:val="20"/>
          <w:lang w:val="en-US"/>
        </w:rPr>
        <w:tab/>
        <w:t>This treatment should include crucial elements such as the free and lifelong provision of the drugs required to combat HIV and opportunistic infections, diagnostic tests, social support including aspects such as nutritional and psychological assistance, and access to technologies to prevent infection.</w:t>
      </w:r>
      <w:r w:rsidRPr="008C58E1">
        <w:rPr>
          <w:rStyle w:val="Refdenotaalpie"/>
          <w:lang w:val="en-US"/>
        </w:rPr>
        <w:footnoteReference w:id="445"/>
      </w:r>
      <w:r w:rsidRPr="008C58E1">
        <w:rPr>
          <w:szCs w:val="20"/>
          <w:lang w:val="en-US"/>
        </w:rPr>
        <w:t xml:space="preserve"> All these aspects have a causal </w:t>
      </w:r>
      <w:r>
        <w:rPr>
          <w:szCs w:val="20"/>
          <w:lang w:val="en-US"/>
        </w:rPr>
        <w:t>n</w:t>
      </w:r>
      <w:r w:rsidRPr="008C58E1">
        <w:rPr>
          <w:szCs w:val="20"/>
          <w:lang w:val="en-US"/>
        </w:rPr>
        <w:t xml:space="preserve">exus with the type of treatment that the State failed to provide to the victims and which is necessary for the medical treatment of people living with HIV according to the standards defined in the </w:t>
      </w:r>
      <w:r w:rsidRPr="008C58E1">
        <w:rPr>
          <w:szCs w:val="20"/>
          <w:lang w:val="en-US"/>
        </w:rPr>
        <w:lastRenderedPageBreak/>
        <w:t>judgment. These standards are based – as regards the medical aspects – on the expert opinion of institutions such as UNAIDS and the World Health Organization.</w:t>
      </w:r>
    </w:p>
    <w:p w14:paraId="618F44B3" w14:textId="77777777" w:rsidR="00C36F0E" w:rsidRPr="008C58E1" w:rsidRDefault="00C36F0E" w:rsidP="00C36F0E">
      <w:pPr>
        <w:pStyle w:val="Prrafodelista"/>
        <w:ind w:left="0"/>
        <w:rPr>
          <w:szCs w:val="20"/>
          <w:lang w:val="en-US"/>
        </w:rPr>
      </w:pPr>
    </w:p>
    <w:p w14:paraId="504B6583" w14:textId="77777777" w:rsidR="00C36F0E" w:rsidRPr="008C58E1" w:rsidRDefault="00C36F0E" w:rsidP="00C36F0E">
      <w:pPr>
        <w:pStyle w:val="Prrafodelista"/>
        <w:ind w:left="0"/>
        <w:rPr>
          <w:szCs w:val="20"/>
          <w:lang w:val="en-US"/>
        </w:rPr>
      </w:pPr>
      <w:r w:rsidRPr="008C58E1">
        <w:rPr>
          <w:szCs w:val="20"/>
          <w:lang w:val="en-US"/>
        </w:rPr>
        <w:t xml:space="preserve">37. </w:t>
      </w:r>
      <w:r w:rsidRPr="008C58E1">
        <w:rPr>
          <w:szCs w:val="20"/>
          <w:lang w:val="en-US"/>
        </w:rPr>
        <w:tab/>
        <w:t>In addition to the above, the judgment</w:t>
      </w:r>
      <w:r w:rsidRPr="008C58E1">
        <w:rPr>
          <w:rStyle w:val="Refdenotaalpie"/>
          <w:lang w:val="en-US"/>
        </w:rPr>
        <w:footnoteReference w:id="446"/>
      </w:r>
      <w:r w:rsidRPr="008C58E1">
        <w:rPr>
          <w:szCs w:val="20"/>
          <w:lang w:val="en-US"/>
        </w:rPr>
        <w:t xml:space="preserve"> ordered certain guarantees of non-repetition the purpose of which is for the State to improve the care for people living with HIV in Guatemala, whether or not they are victims in the case.</w:t>
      </w:r>
      <w:r w:rsidRPr="008C58E1">
        <w:rPr>
          <w:rStyle w:val="Refdenotaalpie"/>
          <w:lang w:val="en-US"/>
        </w:rPr>
        <w:footnoteReference w:id="447"/>
      </w:r>
      <w:r>
        <w:rPr>
          <w:szCs w:val="20"/>
          <w:lang w:val="en-US"/>
        </w:rPr>
        <w:t xml:space="preserve"> </w:t>
      </w:r>
      <w:r w:rsidRPr="008C58E1">
        <w:rPr>
          <w:szCs w:val="20"/>
          <w:lang w:val="en-US"/>
        </w:rPr>
        <w:t xml:space="preserve">This is an aspect that should be stressed because it seeks to promote those systemic changes required for the State to comply more effectively with its obligations in relation to protection of the right to health. </w:t>
      </w:r>
    </w:p>
    <w:p w14:paraId="77822E4D" w14:textId="77777777" w:rsidR="00C36F0E" w:rsidRPr="008C58E1" w:rsidRDefault="00C36F0E" w:rsidP="00C36F0E">
      <w:pPr>
        <w:pStyle w:val="Prrafodelista"/>
        <w:ind w:left="0"/>
        <w:rPr>
          <w:szCs w:val="20"/>
          <w:lang w:val="en-US"/>
        </w:rPr>
      </w:pPr>
    </w:p>
    <w:p w14:paraId="58372666" w14:textId="77777777" w:rsidR="00C36F0E" w:rsidRPr="008C58E1" w:rsidRDefault="00C36F0E" w:rsidP="00C36F0E">
      <w:pPr>
        <w:pStyle w:val="Prrafodelista"/>
        <w:ind w:left="0"/>
        <w:rPr>
          <w:szCs w:val="20"/>
          <w:lang w:val="en-US"/>
        </w:rPr>
      </w:pPr>
      <w:r w:rsidRPr="008C58E1">
        <w:rPr>
          <w:szCs w:val="20"/>
          <w:lang w:val="en-US"/>
        </w:rPr>
        <w:t xml:space="preserve">38. </w:t>
      </w:r>
      <w:r w:rsidRPr="008C58E1">
        <w:rPr>
          <w:szCs w:val="20"/>
          <w:lang w:val="en-US"/>
        </w:rPr>
        <w:tab/>
        <w:t xml:space="preserve">From this perspective, the judgment ordered the implementation of mechanisms of periodic monitoring and supervision of public hospitals to ensure that they provide </w:t>
      </w:r>
      <w:r w:rsidRPr="004E080E">
        <w:rPr>
          <w:szCs w:val="20"/>
          <w:lang w:val="en-US"/>
        </w:rPr>
        <w:t>comprehensive health care to people living with HIV.</w:t>
      </w:r>
      <w:r w:rsidRPr="004E080E">
        <w:rPr>
          <w:rStyle w:val="Refdenotaalpie"/>
          <w:lang w:val="en-US"/>
        </w:rPr>
        <w:footnoteReference w:id="448"/>
      </w:r>
      <w:r w:rsidRPr="004E080E">
        <w:rPr>
          <w:szCs w:val="20"/>
          <w:lang w:val="en-US"/>
        </w:rPr>
        <w:t xml:space="preserve"> In addition, and of special relevance, it ordered that the State </w:t>
      </w:r>
      <w:r w:rsidRPr="004E080E">
        <w:rPr>
          <w:rFonts w:cs="Vrinda"/>
          <w:szCs w:val="20"/>
          <w:lang w:val="en-US"/>
        </w:rPr>
        <w:t>design a mechanism to ensure the accessibility, availability and quality of antiretroviral drugs, diagnostic tests, and health services for people living with HIV, with the participation of the medical community and other sectors.</w:t>
      </w:r>
      <w:r w:rsidRPr="004E080E">
        <w:rPr>
          <w:rStyle w:val="Refdenotaalpie"/>
          <w:lang w:val="en-US"/>
        </w:rPr>
        <w:footnoteReference w:id="449"/>
      </w:r>
      <w:r w:rsidRPr="004E080E">
        <w:rPr>
          <w:szCs w:val="20"/>
          <w:lang w:val="en-US"/>
        </w:rPr>
        <w:t xml:space="preserve"> These are measures</w:t>
      </w:r>
      <w:r w:rsidRPr="008C58E1">
        <w:rPr>
          <w:szCs w:val="20"/>
          <w:lang w:val="en-US"/>
        </w:rPr>
        <w:t xml:space="preserve"> that seek to encourage the State institutions, based on discussions and dialogue with other sectors involved in medical care, to design strategies and actions. Th</w:t>
      </w:r>
      <w:r>
        <w:rPr>
          <w:szCs w:val="20"/>
          <w:lang w:val="en-US"/>
        </w:rPr>
        <w:t>ese</w:t>
      </w:r>
      <w:r w:rsidRPr="008C58E1">
        <w:rPr>
          <w:szCs w:val="20"/>
          <w:lang w:val="en-US"/>
        </w:rPr>
        <w:t xml:space="preserve"> type</w:t>
      </w:r>
      <w:r>
        <w:rPr>
          <w:szCs w:val="20"/>
          <w:lang w:val="en-US"/>
        </w:rPr>
        <w:t>s</w:t>
      </w:r>
      <w:r w:rsidRPr="008C58E1">
        <w:rPr>
          <w:szCs w:val="20"/>
          <w:lang w:val="en-US"/>
        </w:rPr>
        <w:t xml:space="preserve"> of mechanism</w:t>
      </w:r>
      <w:r>
        <w:rPr>
          <w:szCs w:val="20"/>
          <w:lang w:val="en-US"/>
        </w:rPr>
        <w:t>s</w:t>
      </w:r>
      <w:r w:rsidRPr="008C58E1">
        <w:rPr>
          <w:szCs w:val="20"/>
          <w:lang w:val="en-US"/>
        </w:rPr>
        <w:t xml:space="preserve"> resulting from discussion and dialogue </w:t>
      </w:r>
      <w:r>
        <w:rPr>
          <w:szCs w:val="20"/>
          <w:lang w:val="en-US"/>
        </w:rPr>
        <w:t>are</w:t>
      </w:r>
      <w:r w:rsidRPr="008C58E1">
        <w:rPr>
          <w:szCs w:val="20"/>
          <w:lang w:val="en-US"/>
        </w:rPr>
        <w:t xml:space="preserve"> not unknown </w:t>
      </w:r>
      <w:r>
        <w:rPr>
          <w:szCs w:val="20"/>
          <w:lang w:val="en-US"/>
        </w:rPr>
        <w:t>in</w:t>
      </w:r>
      <w:r w:rsidRPr="008C58E1">
        <w:rPr>
          <w:szCs w:val="20"/>
          <w:lang w:val="en-US"/>
        </w:rPr>
        <w:t xml:space="preserve"> the </w:t>
      </w:r>
      <w:proofErr w:type="spellStart"/>
      <w:r w:rsidRPr="008C58E1">
        <w:rPr>
          <w:szCs w:val="20"/>
          <w:lang w:val="en-US"/>
        </w:rPr>
        <w:t>constitutionali</w:t>
      </w:r>
      <w:r>
        <w:rPr>
          <w:szCs w:val="20"/>
          <w:lang w:val="en-US"/>
        </w:rPr>
        <w:t>zation</w:t>
      </w:r>
      <w:proofErr w:type="spellEnd"/>
      <w:r w:rsidRPr="008C58E1">
        <w:rPr>
          <w:szCs w:val="20"/>
          <w:lang w:val="en-US"/>
        </w:rPr>
        <w:t xml:space="preserve"> of social rights</w:t>
      </w:r>
      <w:r w:rsidRPr="008C58E1">
        <w:rPr>
          <w:rStyle w:val="Refdenotaalpie"/>
          <w:lang w:val="en-US"/>
        </w:rPr>
        <w:footnoteReference w:id="450"/>
      </w:r>
      <w:r w:rsidRPr="008C58E1">
        <w:rPr>
          <w:szCs w:val="20"/>
          <w:lang w:val="en-US"/>
        </w:rPr>
        <w:t xml:space="preserve"> </w:t>
      </w:r>
      <w:r>
        <w:rPr>
          <w:szCs w:val="20"/>
          <w:lang w:val="en-US"/>
        </w:rPr>
        <w:t>that</w:t>
      </w:r>
      <w:r w:rsidRPr="008C58E1">
        <w:rPr>
          <w:szCs w:val="20"/>
          <w:lang w:val="en-US"/>
        </w:rPr>
        <w:t xml:space="preserve"> seeks to create effective </w:t>
      </w:r>
      <w:r>
        <w:rPr>
          <w:szCs w:val="20"/>
          <w:lang w:val="en-US"/>
        </w:rPr>
        <w:t>ways</w:t>
      </w:r>
      <w:r w:rsidRPr="008C58E1">
        <w:rPr>
          <w:szCs w:val="20"/>
          <w:lang w:val="en-US"/>
        </w:rPr>
        <w:t xml:space="preserve"> </w:t>
      </w:r>
      <w:r>
        <w:rPr>
          <w:szCs w:val="20"/>
          <w:lang w:val="en-US"/>
        </w:rPr>
        <w:t>to convert</w:t>
      </w:r>
      <w:r w:rsidRPr="008C58E1">
        <w:rPr>
          <w:szCs w:val="20"/>
          <w:lang w:val="en-US"/>
        </w:rPr>
        <w:t xml:space="preserve"> the ESCER </w:t>
      </w:r>
      <w:r>
        <w:rPr>
          <w:szCs w:val="20"/>
          <w:lang w:val="en-US"/>
        </w:rPr>
        <w:t>into</w:t>
      </w:r>
      <w:r w:rsidRPr="008C58E1">
        <w:rPr>
          <w:szCs w:val="20"/>
          <w:lang w:val="en-US"/>
        </w:rPr>
        <w:t xml:space="preserve"> a reality, </w:t>
      </w:r>
      <w:r>
        <w:rPr>
          <w:szCs w:val="20"/>
          <w:lang w:val="en-US"/>
        </w:rPr>
        <w:t>so that they</w:t>
      </w:r>
      <w:r w:rsidRPr="008C58E1">
        <w:rPr>
          <w:szCs w:val="20"/>
          <w:lang w:val="en-US"/>
        </w:rPr>
        <w:t xml:space="preserve"> are not only enshrined in judicial rulings</w:t>
      </w:r>
      <w:r w:rsidRPr="008C58E1">
        <w:rPr>
          <w:rStyle w:val="Refdenotaalpie"/>
          <w:lang w:val="en-US"/>
        </w:rPr>
        <w:footnoteReference w:id="451"/>
      </w:r>
      <w:r w:rsidRPr="008C58E1">
        <w:rPr>
          <w:szCs w:val="20"/>
          <w:lang w:val="en-US"/>
        </w:rPr>
        <w:t xml:space="preserve"> and </w:t>
      </w:r>
      <w:r>
        <w:rPr>
          <w:szCs w:val="20"/>
          <w:lang w:val="en-US"/>
        </w:rPr>
        <w:t>are,</w:t>
      </w:r>
      <w:r w:rsidRPr="008C58E1">
        <w:rPr>
          <w:szCs w:val="20"/>
          <w:lang w:val="en-US"/>
        </w:rPr>
        <w:t xml:space="preserve"> also, </w:t>
      </w:r>
      <w:r>
        <w:rPr>
          <w:szCs w:val="20"/>
          <w:lang w:val="en-US"/>
        </w:rPr>
        <w:t xml:space="preserve">a </w:t>
      </w:r>
      <w:r>
        <w:rPr>
          <w:szCs w:val="20"/>
          <w:lang w:val="en-US"/>
        </w:rPr>
        <w:lastRenderedPageBreak/>
        <w:t>way</w:t>
      </w:r>
      <w:r w:rsidRPr="008C58E1">
        <w:rPr>
          <w:szCs w:val="20"/>
          <w:lang w:val="en-US"/>
        </w:rPr>
        <w:t xml:space="preserve"> in which the </w:t>
      </w:r>
      <w:r>
        <w:rPr>
          <w:szCs w:val="20"/>
          <w:lang w:val="en-US"/>
        </w:rPr>
        <w:t>principal</w:t>
      </w:r>
      <w:r w:rsidRPr="008C58E1">
        <w:rPr>
          <w:szCs w:val="20"/>
          <w:lang w:val="en-US"/>
        </w:rPr>
        <w:t xml:space="preserve"> interested parties can be part of the decision-making that </w:t>
      </w:r>
      <w:r>
        <w:rPr>
          <w:szCs w:val="20"/>
          <w:lang w:val="en-US"/>
        </w:rPr>
        <w:t>will have an impact on</w:t>
      </w:r>
      <w:r w:rsidRPr="008C58E1">
        <w:rPr>
          <w:szCs w:val="20"/>
          <w:lang w:val="en-US"/>
        </w:rPr>
        <w:t xml:space="preserve"> them.</w:t>
      </w:r>
      <w:r w:rsidRPr="008C58E1">
        <w:rPr>
          <w:rStyle w:val="Refdenotaalpie"/>
          <w:lang w:val="en-US"/>
        </w:rPr>
        <w:footnoteReference w:id="452"/>
      </w:r>
      <w:r w:rsidRPr="008C58E1">
        <w:rPr>
          <w:szCs w:val="20"/>
          <w:lang w:val="en-US"/>
        </w:rPr>
        <w:t xml:space="preserve"> </w:t>
      </w:r>
    </w:p>
    <w:p w14:paraId="56C8FC95" w14:textId="77777777" w:rsidR="00C36F0E" w:rsidRPr="008C58E1" w:rsidRDefault="00C36F0E" w:rsidP="00C36F0E">
      <w:pPr>
        <w:pStyle w:val="Prrafodelista"/>
        <w:ind w:left="0"/>
        <w:rPr>
          <w:szCs w:val="20"/>
          <w:lang w:val="en-US"/>
        </w:rPr>
      </w:pPr>
    </w:p>
    <w:p w14:paraId="778EBEAF" w14:textId="77777777" w:rsidR="00C36F0E" w:rsidRPr="008C58E1" w:rsidRDefault="00C36F0E" w:rsidP="00C36F0E">
      <w:pPr>
        <w:pStyle w:val="Prrafodelista"/>
        <w:spacing w:before="240" w:after="240"/>
        <w:ind w:left="0"/>
        <w:rPr>
          <w:szCs w:val="20"/>
          <w:lang w:val="en-US"/>
        </w:rPr>
      </w:pPr>
      <w:r w:rsidRPr="008C58E1">
        <w:rPr>
          <w:szCs w:val="20"/>
          <w:lang w:val="en-US"/>
        </w:rPr>
        <w:t xml:space="preserve">39. </w:t>
      </w:r>
      <w:r w:rsidRPr="008C58E1">
        <w:rPr>
          <w:szCs w:val="20"/>
          <w:lang w:val="en-US"/>
        </w:rPr>
        <w:tab/>
        <w:t xml:space="preserve">In this regard, it is important to underline that the judgment pays special attention to women who have been victims of discrimination. Thus, the Court ordered guarantees of non-repetition aimed at ensuring that pregnant women living with HIV have a series of minimum conditions that allow them to confront the different forms of discrimination that collectively affect them. </w:t>
      </w:r>
    </w:p>
    <w:p w14:paraId="3A36489E" w14:textId="77777777" w:rsidR="00C36F0E" w:rsidRPr="008C58E1" w:rsidRDefault="00C36F0E" w:rsidP="00C36F0E">
      <w:pPr>
        <w:pStyle w:val="Prrafodelista"/>
        <w:spacing w:before="240" w:after="240"/>
        <w:ind w:left="0"/>
        <w:rPr>
          <w:szCs w:val="20"/>
          <w:lang w:val="en-US"/>
        </w:rPr>
      </w:pPr>
    </w:p>
    <w:p w14:paraId="4F8CB7C7" w14:textId="77777777" w:rsidR="00C36F0E" w:rsidRPr="008C58E1" w:rsidRDefault="00C36F0E" w:rsidP="00C36F0E">
      <w:pPr>
        <w:pStyle w:val="Prrafodelista"/>
        <w:spacing w:before="240" w:after="240"/>
        <w:ind w:left="0"/>
        <w:rPr>
          <w:szCs w:val="20"/>
          <w:lang w:val="en-US"/>
        </w:rPr>
      </w:pPr>
      <w:r w:rsidRPr="008C58E1">
        <w:rPr>
          <w:szCs w:val="20"/>
          <w:lang w:val="en-US"/>
        </w:rPr>
        <w:t xml:space="preserve">40. </w:t>
      </w:r>
      <w:r w:rsidRPr="008C58E1">
        <w:rPr>
          <w:szCs w:val="20"/>
          <w:lang w:val="en-US"/>
        </w:rPr>
        <w:tab/>
        <w:t xml:space="preserve">The Court opted to require the State to take steps in the area of health with an intersectional approach as a result of the discrimination declared in the judgment, taking into account the urgency of the needs of pregnant women living with HIV in Guatemala. This </w:t>
      </w:r>
      <w:r>
        <w:rPr>
          <w:szCs w:val="20"/>
          <w:lang w:val="en-US"/>
        </w:rPr>
        <w:t>signifies</w:t>
      </w:r>
      <w:r w:rsidRPr="008C58E1">
        <w:rPr>
          <w:szCs w:val="20"/>
          <w:lang w:val="en-US"/>
        </w:rPr>
        <w:t xml:space="preserve"> a step forward in the development of the Court’s case law, because the Inter-American Court recognized the relevance of adopting different measures for the treatment of intersectional discrimination for all the women in Guatemala. In other words, the Court indicated that the adoption of measures with a unitary approach may not be sufficient to alleviate these forms of discrimination, </w:t>
      </w:r>
      <w:r>
        <w:rPr>
          <w:szCs w:val="20"/>
          <w:lang w:val="en-US"/>
        </w:rPr>
        <w:t>because it</w:t>
      </w:r>
      <w:r w:rsidRPr="008C58E1">
        <w:rPr>
          <w:szCs w:val="20"/>
          <w:lang w:val="en-US"/>
        </w:rPr>
        <w:t xml:space="preserve"> perpetuat</w:t>
      </w:r>
      <w:r>
        <w:rPr>
          <w:szCs w:val="20"/>
          <w:lang w:val="en-US"/>
        </w:rPr>
        <w:t>es</w:t>
      </w:r>
      <w:r w:rsidRPr="008C58E1">
        <w:rPr>
          <w:szCs w:val="20"/>
          <w:lang w:val="en-US"/>
        </w:rPr>
        <w:t xml:space="preserve"> the inequalities that coalesce in a single social sector.</w:t>
      </w:r>
    </w:p>
    <w:p w14:paraId="64733A16" w14:textId="77777777" w:rsidR="00C36F0E" w:rsidRPr="008C58E1" w:rsidRDefault="00C36F0E" w:rsidP="00C36F0E">
      <w:pPr>
        <w:pStyle w:val="Prrafodelista"/>
        <w:spacing w:before="240" w:after="240"/>
        <w:ind w:left="0"/>
        <w:rPr>
          <w:szCs w:val="20"/>
          <w:lang w:val="en-US"/>
        </w:rPr>
      </w:pPr>
    </w:p>
    <w:p w14:paraId="3388544E" w14:textId="77777777" w:rsidR="00C36F0E" w:rsidRPr="008C58E1" w:rsidRDefault="00C36F0E" w:rsidP="00C36F0E">
      <w:pPr>
        <w:pStyle w:val="Prrafodelista"/>
        <w:spacing w:before="240"/>
        <w:ind w:left="0"/>
        <w:rPr>
          <w:szCs w:val="20"/>
          <w:lang w:val="en-US"/>
        </w:rPr>
      </w:pPr>
      <w:r w:rsidRPr="008C58E1">
        <w:rPr>
          <w:szCs w:val="20"/>
          <w:lang w:val="en-US"/>
        </w:rPr>
        <w:t xml:space="preserve">41. </w:t>
      </w:r>
      <w:r w:rsidRPr="008C58E1">
        <w:rPr>
          <w:szCs w:val="20"/>
          <w:lang w:val="en-US"/>
        </w:rPr>
        <w:tab/>
        <w:t xml:space="preserve">Without doubt, the reparations ordered in </w:t>
      </w:r>
      <w:proofErr w:type="spellStart"/>
      <w:r w:rsidRPr="008C58E1">
        <w:rPr>
          <w:i/>
          <w:szCs w:val="20"/>
          <w:lang w:val="en-US"/>
        </w:rPr>
        <w:t>Cuscul</w:t>
      </w:r>
      <w:proofErr w:type="spellEnd"/>
      <w:r w:rsidRPr="008C58E1">
        <w:rPr>
          <w:i/>
          <w:szCs w:val="20"/>
          <w:lang w:val="en-US"/>
        </w:rPr>
        <w:t xml:space="preserve"> </w:t>
      </w:r>
      <w:proofErr w:type="spellStart"/>
      <w:r w:rsidRPr="008C58E1">
        <w:rPr>
          <w:i/>
          <w:szCs w:val="20"/>
          <w:lang w:val="en-US"/>
        </w:rPr>
        <w:t>Pivaral</w:t>
      </w:r>
      <w:proofErr w:type="spellEnd"/>
      <w:r w:rsidRPr="008C58E1">
        <w:rPr>
          <w:szCs w:val="20"/>
          <w:lang w:val="en-US"/>
        </w:rPr>
        <w:t xml:space="preserve">, as regards measures of rehabilitation and guarantees of non-repetition, have the dual purpose of redressing the omissions that led to </w:t>
      </w:r>
      <w:r>
        <w:rPr>
          <w:szCs w:val="20"/>
          <w:lang w:val="en-US"/>
        </w:rPr>
        <w:t xml:space="preserve">the </w:t>
      </w:r>
      <w:r w:rsidRPr="008C58E1">
        <w:rPr>
          <w:szCs w:val="20"/>
          <w:lang w:val="en-US"/>
        </w:rPr>
        <w:t xml:space="preserve">violations of the rights to health, life and personal integrity of the victims, and serving as a </w:t>
      </w:r>
      <w:r>
        <w:rPr>
          <w:szCs w:val="20"/>
          <w:lang w:val="en-US"/>
        </w:rPr>
        <w:t>way</w:t>
      </w:r>
      <w:r w:rsidRPr="008C58E1">
        <w:rPr>
          <w:szCs w:val="20"/>
          <w:lang w:val="en-US"/>
        </w:rPr>
        <w:t xml:space="preserve"> of urging the State to comply with its obligation of progressive protection of the right to health of people living with HIV in Guatemala. This dual dimension has been a constant throughout the Court’s case law and, doubtless, will play a central role in those cases in which – as this one – the actions aimed at making systemic changes in the States are essential for the effective protection of an ESCER in a specific context. </w:t>
      </w:r>
    </w:p>
    <w:p w14:paraId="101706E9" w14:textId="77777777" w:rsidR="00C36F0E" w:rsidRPr="008C58E1" w:rsidRDefault="00C36F0E" w:rsidP="00C36F0E">
      <w:pPr>
        <w:pStyle w:val="Prrafodelista"/>
        <w:spacing w:before="240"/>
        <w:ind w:left="0"/>
        <w:rPr>
          <w:szCs w:val="20"/>
          <w:lang w:val="en-US"/>
        </w:rPr>
      </w:pPr>
    </w:p>
    <w:p w14:paraId="5E70D290" w14:textId="77777777" w:rsidR="00C36F0E" w:rsidRPr="008C58E1" w:rsidRDefault="00C36F0E" w:rsidP="00C36F0E">
      <w:pPr>
        <w:pStyle w:val="Prrafodelista"/>
        <w:spacing w:before="240"/>
        <w:ind w:left="0"/>
        <w:rPr>
          <w:szCs w:val="20"/>
          <w:lang w:val="en-US"/>
        </w:rPr>
      </w:pPr>
      <w:r w:rsidRPr="008C58E1">
        <w:rPr>
          <w:szCs w:val="20"/>
          <w:lang w:val="en-US"/>
        </w:rPr>
        <w:t xml:space="preserve">42. </w:t>
      </w:r>
      <w:r w:rsidRPr="008C58E1">
        <w:rPr>
          <w:szCs w:val="20"/>
          <w:lang w:val="en-US"/>
        </w:rPr>
        <w:tab/>
        <w:t xml:space="preserve">In this regard, it is important to reflect on how the judgment, by ordering guarantees of non-repetition, took into consideration the Goals and </w:t>
      </w:r>
      <w:r>
        <w:rPr>
          <w:szCs w:val="20"/>
          <w:lang w:val="en-US"/>
        </w:rPr>
        <w:t>t</w:t>
      </w:r>
      <w:r w:rsidRPr="008C58E1">
        <w:rPr>
          <w:szCs w:val="20"/>
          <w:lang w:val="en-US"/>
        </w:rPr>
        <w:t>argets established by the United Nations General Assembly in the 2030 Agenda for Sustainable Development.</w:t>
      </w:r>
      <w:r w:rsidRPr="008C58E1">
        <w:rPr>
          <w:rStyle w:val="Refdenotaalpie"/>
          <w:lang w:val="en-US"/>
        </w:rPr>
        <w:footnoteReference w:id="453"/>
      </w:r>
      <w:r w:rsidRPr="008C58E1">
        <w:rPr>
          <w:szCs w:val="20"/>
          <w:lang w:val="en-US"/>
        </w:rPr>
        <w:t xml:space="preserve"> One of these </w:t>
      </w:r>
      <w:r w:rsidRPr="003D737E">
        <w:rPr>
          <w:szCs w:val="20"/>
          <w:lang w:val="en-US"/>
        </w:rPr>
        <w:t>Goals is that the States ensure health</w:t>
      </w:r>
      <w:r>
        <w:rPr>
          <w:szCs w:val="20"/>
          <w:lang w:val="en-US"/>
        </w:rPr>
        <w:t>y</w:t>
      </w:r>
      <w:r w:rsidRPr="003D737E">
        <w:rPr>
          <w:szCs w:val="20"/>
          <w:lang w:val="en-US"/>
        </w:rPr>
        <w:t xml:space="preserve"> lives and promote well-being for all at all ages, taking</w:t>
      </w:r>
      <w:r w:rsidRPr="008C58E1">
        <w:rPr>
          <w:szCs w:val="20"/>
          <w:lang w:val="en-US"/>
        </w:rPr>
        <w:t xml:space="preserve"> into consideration the vulnerability of people living with HIV.</w:t>
      </w:r>
      <w:r w:rsidRPr="008C58E1">
        <w:rPr>
          <w:rStyle w:val="Refdenotaalpie"/>
          <w:lang w:val="en-US"/>
        </w:rPr>
        <w:footnoteReference w:id="454"/>
      </w:r>
      <w:r w:rsidRPr="008C58E1">
        <w:rPr>
          <w:szCs w:val="20"/>
          <w:lang w:val="en-US"/>
        </w:rPr>
        <w:t xml:space="preserve"> The States undertook to take the necessary steps to end, by 2030, epidemics such as AIDS and other communicable diseases such as HIV,</w:t>
      </w:r>
      <w:r w:rsidRPr="008C58E1">
        <w:rPr>
          <w:rStyle w:val="Refdenotaalpie"/>
          <w:lang w:val="en-US"/>
        </w:rPr>
        <w:footnoteReference w:id="455"/>
      </w:r>
      <w:r w:rsidRPr="008C58E1">
        <w:rPr>
          <w:szCs w:val="20"/>
          <w:lang w:val="en-US"/>
        </w:rPr>
        <w:t xml:space="preserve"> in the same sense in which the judgment ordered the </w:t>
      </w:r>
      <w:r w:rsidRPr="008C58E1">
        <w:rPr>
          <w:szCs w:val="20"/>
          <w:lang w:val="en-US"/>
        </w:rPr>
        <w:lastRenderedPageBreak/>
        <w:t xml:space="preserve">State to take a series of measures to ensure treatment for people living with HIV in Guatemala. </w:t>
      </w:r>
    </w:p>
    <w:p w14:paraId="294AC7D0" w14:textId="77777777" w:rsidR="00C36F0E" w:rsidRPr="008C58E1" w:rsidRDefault="00C36F0E" w:rsidP="00C36F0E">
      <w:pPr>
        <w:pStyle w:val="Prrafodelista"/>
        <w:spacing w:before="240"/>
        <w:ind w:left="0"/>
        <w:rPr>
          <w:szCs w:val="20"/>
          <w:lang w:val="en-US"/>
        </w:rPr>
      </w:pPr>
    </w:p>
    <w:p w14:paraId="34E046D0" w14:textId="77777777" w:rsidR="00C36F0E" w:rsidRPr="008C58E1" w:rsidRDefault="00C36F0E" w:rsidP="00C36F0E">
      <w:pPr>
        <w:pStyle w:val="Prrafodelista"/>
        <w:spacing w:before="240"/>
        <w:ind w:left="0"/>
        <w:rPr>
          <w:szCs w:val="20"/>
          <w:lang w:val="en-US"/>
        </w:rPr>
      </w:pPr>
      <w:r w:rsidRPr="008C58E1">
        <w:rPr>
          <w:szCs w:val="20"/>
          <w:lang w:val="en-US"/>
        </w:rPr>
        <w:t xml:space="preserve">43. </w:t>
      </w:r>
      <w:r w:rsidRPr="008C58E1">
        <w:rPr>
          <w:szCs w:val="20"/>
          <w:lang w:val="en-US"/>
        </w:rPr>
        <w:tab/>
        <w:t>The Court</w:t>
      </w:r>
      <w:r>
        <w:rPr>
          <w:szCs w:val="20"/>
          <w:lang w:val="en-US"/>
        </w:rPr>
        <w:t xml:space="preserve"> knows</w:t>
      </w:r>
      <w:r w:rsidRPr="008C58E1">
        <w:rPr>
          <w:szCs w:val="20"/>
          <w:lang w:val="en-US"/>
        </w:rPr>
        <w:t xml:space="preserve"> – as </w:t>
      </w:r>
      <w:r>
        <w:rPr>
          <w:szCs w:val="20"/>
          <w:lang w:val="en-US"/>
        </w:rPr>
        <w:t xml:space="preserve">does </w:t>
      </w:r>
      <w:r w:rsidRPr="008C58E1">
        <w:rPr>
          <w:szCs w:val="20"/>
          <w:lang w:val="en-US"/>
        </w:rPr>
        <w:t>the General Assembly –</w:t>
      </w:r>
      <w:r>
        <w:rPr>
          <w:szCs w:val="20"/>
          <w:lang w:val="en-US"/>
        </w:rPr>
        <w:t xml:space="preserve"> </w:t>
      </w:r>
      <w:r w:rsidRPr="008C58E1">
        <w:rPr>
          <w:szCs w:val="20"/>
          <w:lang w:val="en-US"/>
        </w:rPr>
        <w:t>that achievement of the target of eradicating HIV/AIDS depends to a certain extent on the different levels of development of the States, but one of the most important consideration</w:t>
      </w:r>
      <w:r>
        <w:rPr>
          <w:szCs w:val="20"/>
          <w:lang w:val="en-US"/>
        </w:rPr>
        <w:t>s</w:t>
      </w:r>
      <w:r w:rsidRPr="008C58E1">
        <w:rPr>
          <w:szCs w:val="20"/>
          <w:lang w:val="en-US"/>
        </w:rPr>
        <w:t xml:space="preserve"> that arise</w:t>
      </w:r>
      <w:r>
        <w:rPr>
          <w:szCs w:val="20"/>
          <w:lang w:val="en-US"/>
        </w:rPr>
        <w:t>s</w:t>
      </w:r>
      <w:r w:rsidRPr="008C58E1">
        <w:rPr>
          <w:szCs w:val="20"/>
          <w:lang w:val="en-US"/>
        </w:rPr>
        <w:t xml:space="preserve"> in this case is that the progressive realization of the ESCER cannot mean t</w:t>
      </w:r>
      <w:r>
        <w:rPr>
          <w:szCs w:val="20"/>
          <w:lang w:val="en-US"/>
        </w:rPr>
        <w:t>he failure to adopt</w:t>
      </w:r>
      <w:r w:rsidRPr="008C58E1">
        <w:rPr>
          <w:szCs w:val="20"/>
          <w:lang w:val="en-US"/>
        </w:rPr>
        <w:t xml:space="preserve"> effective measures to achieve the full realization of the right to health. This is especially urgent in cases in which the personal integrity and the life of the individual is at risk. The measures of reparation ordered, as well as the Goals of the 2030 Agenda</w:t>
      </w:r>
      <w:r>
        <w:rPr>
          <w:szCs w:val="20"/>
          <w:lang w:val="en-US"/>
        </w:rPr>
        <w:t>,</w:t>
      </w:r>
      <w:r w:rsidRPr="008C58E1">
        <w:rPr>
          <w:szCs w:val="20"/>
          <w:lang w:val="en-US"/>
        </w:rPr>
        <w:t xml:space="preserve"> point precisely in that direction aimed at the full realization of the right to health of people living with HIV. </w:t>
      </w:r>
    </w:p>
    <w:p w14:paraId="1B0961A5" w14:textId="77777777" w:rsidR="00C36F0E" w:rsidRPr="008C58E1" w:rsidRDefault="00C36F0E" w:rsidP="00C36F0E">
      <w:pPr>
        <w:pStyle w:val="Lista2"/>
        <w:ind w:left="0" w:firstLine="0"/>
        <w:jc w:val="both"/>
        <w:rPr>
          <w:rFonts w:ascii="Verdana" w:hAnsi="Verdana"/>
          <w:b/>
          <w:sz w:val="20"/>
          <w:szCs w:val="20"/>
          <w:lang w:val="en-US"/>
        </w:rPr>
      </w:pPr>
    </w:p>
    <w:p w14:paraId="51F3C6BD" w14:textId="77777777" w:rsidR="00C36F0E" w:rsidRPr="008C58E1" w:rsidRDefault="00C36F0E" w:rsidP="00C36F0E">
      <w:pPr>
        <w:pStyle w:val="Prrafodelista"/>
        <w:ind w:left="0"/>
        <w:jc w:val="center"/>
        <w:rPr>
          <w:b/>
          <w:szCs w:val="20"/>
          <w:lang w:val="en-US"/>
        </w:rPr>
      </w:pPr>
      <w:r w:rsidRPr="008C58E1">
        <w:rPr>
          <w:b/>
          <w:szCs w:val="20"/>
          <w:lang w:val="en-US"/>
        </w:rPr>
        <w:t>IV. CONCLUSI0N</w:t>
      </w:r>
    </w:p>
    <w:p w14:paraId="101C2BA9" w14:textId="77777777" w:rsidR="00C36F0E" w:rsidRPr="008C58E1" w:rsidRDefault="00C36F0E" w:rsidP="00C36F0E">
      <w:pPr>
        <w:pStyle w:val="Prrafodelista"/>
        <w:ind w:left="0"/>
        <w:rPr>
          <w:szCs w:val="20"/>
          <w:lang w:val="en-US"/>
        </w:rPr>
      </w:pPr>
    </w:p>
    <w:p w14:paraId="23C3B48F" w14:textId="77777777" w:rsidR="00C36F0E" w:rsidRPr="008C58E1" w:rsidRDefault="00C36F0E" w:rsidP="00C36F0E">
      <w:pPr>
        <w:pStyle w:val="Prrafodelista"/>
        <w:ind w:left="0"/>
        <w:rPr>
          <w:szCs w:val="20"/>
          <w:lang w:val="en-US"/>
        </w:rPr>
      </w:pPr>
      <w:r w:rsidRPr="008C58E1">
        <w:rPr>
          <w:szCs w:val="20"/>
          <w:lang w:val="en-US"/>
        </w:rPr>
        <w:t xml:space="preserve">44. </w:t>
      </w:r>
      <w:r w:rsidRPr="008C58E1">
        <w:rPr>
          <w:szCs w:val="20"/>
          <w:lang w:val="en-US"/>
        </w:rPr>
        <w:tab/>
        <w:t>The judgment represents a</w:t>
      </w:r>
      <w:r>
        <w:rPr>
          <w:szCs w:val="20"/>
          <w:lang w:val="en-US"/>
        </w:rPr>
        <w:t xml:space="preserve"> key development</w:t>
      </w:r>
      <w:r w:rsidRPr="008C58E1">
        <w:rPr>
          <w:szCs w:val="20"/>
          <w:lang w:val="en-US"/>
        </w:rPr>
        <w:t xml:space="preserve"> in the jurisprudential line that addresses a crucial issue in our region: the need for States to comply with their obligations to respect and ensure the economic, social, cultural and environmental rights. The case of </w:t>
      </w:r>
      <w:proofErr w:type="spellStart"/>
      <w:r w:rsidRPr="008C58E1">
        <w:rPr>
          <w:i/>
          <w:szCs w:val="20"/>
          <w:lang w:val="en-US"/>
        </w:rPr>
        <w:t>Cuscul</w:t>
      </w:r>
      <w:proofErr w:type="spellEnd"/>
      <w:r w:rsidRPr="008C58E1">
        <w:rPr>
          <w:i/>
          <w:szCs w:val="20"/>
          <w:lang w:val="en-US"/>
        </w:rPr>
        <w:t xml:space="preserve"> </w:t>
      </w:r>
      <w:proofErr w:type="spellStart"/>
      <w:r w:rsidRPr="008C58E1">
        <w:rPr>
          <w:i/>
          <w:szCs w:val="20"/>
          <w:lang w:val="en-US"/>
        </w:rPr>
        <w:t>Pivaral</w:t>
      </w:r>
      <w:proofErr w:type="spellEnd"/>
      <w:r w:rsidRPr="008C58E1">
        <w:rPr>
          <w:i/>
          <w:szCs w:val="20"/>
          <w:lang w:val="en-US"/>
        </w:rPr>
        <w:t xml:space="preserve"> </w:t>
      </w:r>
      <w:r w:rsidRPr="008C58E1">
        <w:rPr>
          <w:szCs w:val="20"/>
          <w:lang w:val="en-US"/>
        </w:rPr>
        <w:t xml:space="preserve">addresses the specific issue of the obligation to ensure the right to health of people living with HIV, and also the content of the obligation of progressivity in ensuring this right. </w:t>
      </w:r>
    </w:p>
    <w:p w14:paraId="25F29456" w14:textId="77777777" w:rsidR="00C36F0E" w:rsidRPr="008C58E1" w:rsidRDefault="00C36F0E" w:rsidP="00C36F0E">
      <w:pPr>
        <w:pStyle w:val="Prrafodelista"/>
        <w:ind w:left="0"/>
        <w:rPr>
          <w:szCs w:val="20"/>
          <w:lang w:val="en-US"/>
        </w:rPr>
      </w:pPr>
    </w:p>
    <w:p w14:paraId="66317E88" w14:textId="77777777" w:rsidR="00C36F0E" w:rsidRPr="008C58E1" w:rsidRDefault="00C36F0E" w:rsidP="00C36F0E">
      <w:pPr>
        <w:pStyle w:val="Prrafodelista"/>
        <w:ind w:left="0"/>
        <w:rPr>
          <w:szCs w:val="20"/>
          <w:lang w:val="en-US"/>
        </w:rPr>
      </w:pPr>
      <w:r w:rsidRPr="008C58E1">
        <w:rPr>
          <w:szCs w:val="20"/>
          <w:lang w:val="en-US"/>
        </w:rPr>
        <w:t xml:space="preserve">45. </w:t>
      </w:r>
      <w:r w:rsidRPr="008C58E1">
        <w:rPr>
          <w:szCs w:val="20"/>
          <w:lang w:val="en-US"/>
        </w:rPr>
        <w:tab/>
        <w:t xml:space="preserve">This case is important if we consider that, forty years after the entry into force of the American Convention, it is the first time that the Court has addressed both dimensions of an ESCER (immediate enforceability and progressivity) and established measures of reparation in relation to both dimensions. This will be the path to follow in the future and, even though it involves both normative and methodological challenges, the Court cannot stand on the sidelines in the face of the serious problems of inequality, inequity, and social exclusion that subsist in the region together with the lack of protection of the ESCER, especially for the most vulnerable groups. </w:t>
      </w:r>
    </w:p>
    <w:p w14:paraId="13D018B3" w14:textId="77777777" w:rsidR="00C36F0E" w:rsidRPr="008C58E1" w:rsidRDefault="00C36F0E" w:rsidP="00C36F0E">
      <w:pPr>
        <w:rPr>
          <w:szCs w:val="20"/>
          <w:lang w:val="en-US"/>
        </w:rPr>
      </w:pPr>
    </w:p>
    <w:p w14:paraId="31505715" w14:textId="77777777" w:rsidR="00C36F0E" w:rsidRPr="00493F9F" w:rsidRDefault="00C36F0E" w:rsidP="00C36F0E">
      <w:pPr>
        <w:pStyle w:val="Prrafodelista"/>
        <w:ind w:left="0"/>
        <w:rPr>
          <w:szCs w:val="20"/>
          <w:lang w:val="en-US"/>
        </w:rPr>
      </w:pPr>
      <w:r w:rsidRPr="00493F9F">
        <w:rPr>
          <w:szCs w:val="20"/>
          <w:lang w:val="en-US"/>
        </w:rPr>
        <w:t xml:space="preserve">46. </w:t>
      </w:r>
      <w:r w:rsidRPr="00493F9F">
        <w:rPr>
          <w:szCs w:val="20"/>
          <w:lang w:val="en-US"/>
        </w:rPr>
        <w:tab/>
        <w:t>Regarding the above, it should be recalled that the Economic Commission for Latin American and the Caribbean (“ECLAC”) has remarked that, “in spite of the progress made over the past decade, [Latin America and the Caribbean] is still the world’s most unequal region in terms of the distribution of income.”</w:t>
      </w:r>
      <w:r w:rsidRPr="00493F9F">
        <w:rPr>
          <w:rStyle w:val="Refdenotaalpie"/>
          <w:lang w:val="en-US"/>
        </w:rPr>
        <w:footnoteReference w:id="456"/>
      </w:r>
      <w:r w:rsidRPr="00493F9F">
        <w:rPr>
          <w:szCs w:val="20"/>
          <w:lang w:val="en-US"/>
        </w:rPr>
        <w:t xml:space="preserve"> And that “equality of rights” is “the basic axis of equality, covering the </w:t>
      </w:r>
      <w:r w:rsidRPr="00493F9F">
        <w:rPr>
          <w:i/>
          <w:szCs w:val="20"/>
          <w:lang w:val="en-US"/>
        </w:rPr>
        <w:t>full realization for economic, social and cultural [and environmental] rights</w:t>
      </w:r>
      <w:r w:rsidRPr="00493F9F">
        <w:rPr>
          <w:szCs w:val="20"/>
          <w:lang w:val="en-US"/>
        </w:rPr>
        <w:t xml:space="preserve"> as the regulatory and practical horizon for all persons (without distinctions on the grounds of sex, race, ethnicity, age, religion, origin, socioeconomic situation or any other condition) and the inclusion of all citizens in the dynamics of development, which implies a genuine belonging to society and full exercise of citizenship.”</w:t>
      </w:r>
      <w:r w:rsidRPr="00493F9F">
        <w:rPr>
          <w:rStyle w:val="Refdenotaalpie"/>
          <w:lang w:val="en-US"/>
        </w:rPr>
        <w:footnoteReference w:id="457"/>
      </w:r>
      <w:r w:rsidRPr="00493F9F">
        <w:rPr>
          <w:szCs w:val="20"/>
          <w:lang w:val="en-US"/>
        </w:rPr>
        <w:t xml:space="preserve"> It cannot be overlooked that poverty and extreme poverty continue to be factor</w:t>
      </w:r>
      <w:r>
        <w:rPr>
          <w:szCs w:val="20"/>
          <w:lang w:val="en-US"/>
        </w:rPr>
        <w:t>s</w:t>
      </w:r>
      <w:r w:rsidRPr="00493F9F">
        <w:rPr>
          <w:szCs w:val="20"/>
          <w:lang w:val="en-US"/>
        </w:rPr>
        <w:t xml:space="preserve"> of special concern in the region, “that affect children, adolescents and young people more than other age groups” together with, especially, the increase in the “feminization of poverty in the youth and adult population.”</w:t>
      </w:r>
      <w:r w:rsidRPr="00493F9F">
        <w:rPr>
          <w:rStyle w:val="Refdenotaalpie"/>
          <w:lang w:val="en-US"/>
        </w:rPr>
        <w:footnoteReference w:id="458"/>
      </w:r>
    </w:p>
    <w:p w14:paraId="7229821D" w14:textId="77777777" w:rsidR="00C36F0E" w:rsidRPr="00493F9F" w:rsidRDefault="00C36F0E" w:rsidP="00C36F0E">
      <w:pPr>
        <w:pStyle w:val="Prrafodelista"/>
        <w:ind w:left="0"/>
        <w:rPr>
          <w:szCs w:val="20"/>
          <w:lang w:val="en-US"/>
        </w:rPr>
      </w:pPr>
    </w:p>
    <w:p w14:paraId="3D71894C" w14:textId="77777777" w:rsidR="00C36F0E" w:rsidRPr="008C58E1" w:rsidRDefault="00C36F0E" w:rsidP="00C36F0E">
      <w:pPr>
        <w:pStyle w:val="Prrafodelista"/>
        <w:ind w:left="0"/>
        <w:rPr>
          <w:szCs w:val="20"/>
          <w:lang w:val="en-US"/>
        </w:rPr>
      </w:pPr>
      <w:r w:rsidRPr="00493F9F">
        <w:rPr>
          <w:szCs w:val="20"/>
          <w:lang w:val="en-US"/>
        </w:rPr>
        <w:t xml:space="preserve">47. </w:t>
      </w:r>
      <w:r w:rsidRPr="00493F9F">
        <w:rPr>
          <w:szCs w:val="20"/>
          <w:lang w:val="en-US"/>
        </w:rPr>
        <w:tab/>
        <w:t>The Court cannot ignore this</w:t>
      </w:r>
      <w:r w:rsidRPr="008C58E1">
        <w:rPr>
          <w:szCs w:val="20"/>
          <w:lang w:val="en-US"/>
        </w:rPr>
        <w:t xml:space="preserve"> regional inequality – and its consequences on the protection of human rights – in its jurisprudence, or the regional challenges for achieving the </w:t>
      </w:r>
      <w:r w:rsidRPr="008C58E1">
        <w:rPr>
          <w:szCs w:val="20"/>
          <w:lang w:val="en-US"/>
        </w:rPr>
        <w:lastRenderedPageBreak/>
        <w:t>Goals of the UN 2030 Agenda for Sustainable Development.</w:t>
      </w:r>
      <w:r w:rsidRPr="008C58E1">
        <w:rPr>
          <w:rStyle w:val="Refdenotaalpie"/>
          <w:lang w:val="en-US"/>
        </w:rPr>
        <w:footnoteReference w:id="459"/>
      </w:r>
      <w:r w:rsidRPr="008C58E1">
        <w:rPr>
          <w:szCs w:val="20"/>
          <w:lang w:val="en-US"/>
        </w:rPr>
        <w:t xml:space="preserve"> Th</w:t>
      </w:r>
      <w:r>
        <w:rPr>
          <w:szCs w:val="20"/>
          <w:lang w:val="en-US"/>
        </w:rPr>
        <w:t>is</w:t>
      </w:r>
      <w:r w:rsidRPr="008C58E1">
        <w:rPr>
          <w:szCs w:val="20"/>
          <w:lang w:val="en-US"/>
        </w:rPr>
        <w:t xml:space="preserve"> judgment adheres to this regional tendency, both in its analysis and in its results and, in this way, becomes one more element for the construction of a common Latin American law on the protection of economic, social, cultural and environmental rights.</w:t>
      </w:r>
    </w:p>
    <w:p w14:paraId="47ACFEB4" w14:textId="77777777" w:rsidR="00C36F0E" w:rsidRPr="008C58E1" w:rsidRDefault="00C36F0E" w:rsidP="00C36F0E">
      <w:pPr>
        <w:pStyle w:val="Prrafodelista"/>
        <w:ind w:left="0"/>
        <w:rPr>
          <w:szCs w:val="20"/>
          <w:lang w:val="en-US"/>
        </w:rPr>
      </w:pPr>
    </w:p>
    <w:p w14:paraId="52B40DEA" w14:textId="77777777" w:rsidR="00C36F0E" w:rsidRPr="008C58E1" w:rsidRDefault="00C36F0E" w:rsidP="00C36F0E">
      <w:pPr>
        <w:pStyle w:val="Prrafodelista"/>
        <w:ind w:left="0"/>
        <w:rPr>
          <w:szCs w:val="20"/>
          <w:lang w:val="en-US"/>
        </w:rPr>
      </w:pPr>
    </w:p>
    <w:p w14:paraId="6086B1A2" w14:textId="77777777" w:rsidR="00C36F0E" w:rsidRPr="008C58E1" w:rsidRDefault="00C36F0E" w:rsidP="00C36F0E">
      <w:pPr>
        <w:pStyle w:val="Prrafodelista"/>
        <w:ind w:left="0"/>
        <w:rPr>
          <w:szCs w:val="20"/>
          <w:lang w:val="en-US"/>
        </w:rPr>
      </w:pPr>
    </w:p>
    <w:p w14:paraId="2A5975B6" w14:textId="77777777" w:rsidR="00C36F0E" w:rsidRPr="008C58E1" w:rsidRDefault="00C36F0E" w:rsidP="00C36F0E">
      <w:pPr>
        <w:pStyle w:val="Prrafodelista"/>
        <w:ind w:left="0"/>
        <w:rPr>
          <w:szCs w:val="20"/>
          <w:lang w:val="en-US"/>
        </w:rPr>
      </w:pPr>
    </w:p>
    <w:p w14:paraId="45058323" w14:textId="77777777" w:rsidR="00C36F0E" w:rsidRPr="008C58E1" w:rsidRDefault="00C36F0E" w:rsidP="00C36F0E">
      <w:pPr>
        <w:pStyle w:val="Prrafodelista"/>
        <w:ind w:left="0"/>
        <w:rPr>
          <w:szCs w:val="20"/>
          <w:lang w:val="en-US"/>
        </w:rPr>
      </w:pPr>
    </w:p>
    <w:p w14:paraId="7F849C25" w14:textId="77777777" w:rsidR="00C36F0E" w:rsidRPr="00316B86" w:rsidRDefault="00C36F0E" w:rsidP="00C36F0E">
      <w:pPr>
        <w:pStyle w:val="NormalWeb"/>
        <w:spacing w:before="0" w:beforeAutospacing="0" w:after="0" w:afterAutospacing="0"/>
        <w:ind w:left="3600" w:right="96" w:firstLine="720"/>
        <w:jc w:val="center"/>
        <w:rPr>
          <w:rFonts w:ascii="Verdana" w:eastAsia="Calibri" w:hAnsi="Verdana"/>
          <w:sz w:val="20"/>
          <w:szCs w:val="20"/>
        </w:rPr>
      </w:pPr>
      <w:r w:rsidRPr="00316B86">
        <w:rPr>
          <w:rFonts w:ascii="Verdana" w:eastAsia="Calibri" w:hAnsi="Verdana"/>
          <w:sz w:val="20"/>
          <w:szCs w:val="20"/>
        </w:rPr>
        <w:t xml:space="preserve">          Eduardo Ferrer Mac-Gregor </w:t>
      </w:r>
      <w:proofErr w:type="spellStart"/>
      <w:r w:rsidRPr="00316B86">
        <w:rPr>
          <w:rFonts w:ascii="Verdana" w:eastAsia="Calibri" w:hAnsi="Verdana"/>
          <w:sz w:val="20"/>
          <w:szCs w:val="20"/>
        </w:rPr>
        <w:t>Poisot</w:t>
      </w:r>
      <w:proofErr w:type="spellEnd"/>
    </w:p>
    <w:p w14:paraId="1D672DC1" w14:textId="77777777" w:rsidR="00C36F0E" w:rsidRPr="00316B86" w:rsidRDefault="00C36F0E" w:rsidP="00C36F0E">
      <w:pPr>
        <w:pStyle w:val="NormalWeb"/>
        <w:spacing w:before="0" w:beforeAutospacing="0" w:after="0" w:afterAutospacing="0"/>
        <w:ind w:left="3960" w:right="96" w:firstLine="360"/>
        <w:jc w:val="center"/>
        <w:rPr>
          <w:rFonts w:ascii="Verdana" w:eastAsia="Calibri" w:hAnsi="Verdana"/>
          <w:sz w:val="20"/>
          <w:szCs w:val="20"/>
        </w:rPr>
      </w:pPr>
      <w:r w:rsidRPr="00316B86">
        <w:rPr>
          <w:rFonts w:ascii="Verdana" w:eastAsia="Calibri" w:hAnsi="Verdana"/>
          <w:sz w:val="20"/>
          <w:szCs w:val="20"/>
        </w:rPr>
        <w:t xml:space="preserve">         Judge</w:t>
      </w:r>
    </w:p>
    <w:p w14:paraId="1A5317C3" w14:textId="77777777" w:rsidR="00C36F0E" w:rsidRPr="008C58E1" w:rsidRDefault="00C36F0E" w:rsidP="00C36F0E">
      <w:pPr>
        <w:rPr>
          <w:lang w:val="en-US"/>
        </w:rPr>
      </w:pPr>
    </w:p>
    <w:p w14:paraId="00C354BB" w14:textId="77777777" w:rsidR="00C36F0E" w:rsidRPr="008C58E1" w:rsidRDefault="00C36F0E" w:rsidP="00C36F0E">
      <w:pPr>
        <w:rPr>
          <w:lang w:val="en-US"/>
        </w:rPr>
      </w:pPr>
    </w:p>
    <w:p w14:paraId="609648F2" w14:textId="77777777" w:rsidR="00C36F0E" w:rsidRPr="008C58E1" w:rsidRDefault="00C36F0E" w:rsidP="00C36F0E">
      <w:pPr>
        <w:rPr>
          <w:lang w:val="en-US"/>
        </w:rPr>
      </w:pPr>
    </w:p>
    <w:p w14:paraId="007962E8" w14:textId="77777777" w:rsidR="00C36F0E" w:rsidRPr="008C58E1" w:rsidRDefault="00C36F0E" w:rsidP="00C36F0E">
      <w:pPr>
        <w:rPr>
          <w:lang w:val="en-US"/>
        </w:rPr>
      </w:pPr>
    </w:p>
    <w:p w14:paraId="4BD407F1" w14:textId="77777777" w:rsidR="00C36F0E" w:rsidRPr="008C58E1" w:rsidRDefault="00C36F0E" w:rsidP="00C36F0E">
      <w:pPr>
        <w:rPr>
          <w:lang w:val="en-US"/>
        </w:rPr>
      </w:pPr>
    </w:p>
    <w:p w14:paraId="20418218" w14:textId="77777777" w:rsidR="00C36F0E" w:rsidRPr="008C58E1" w:rsidRDefault="00C36F0E" w:rsidP="00C36F0E">
      <w:pPr>
        <w:rPr>
          <w:szCs w:val="20"/>
          <w:lang w:val="en-US"/>
        </w:rPr>
      </w:pPr>
      <w:r w:rsidRPr="008C58E1">
        <w:rPr>
          <w:szCs w:val="20"/>
          <w:lang w:val="en-US"/>
        </w:rPr>
        <w:t xml:space="preserve">      Pablo Saavedra Alessandri</w:t>
      </w:r>
    </w:p>
    <w:p w14:paraId="160F7AEB" w14:textId="77777777" w:rsidR="00AF5CC6" w:rsidRDefault="00C36F0E" w:rsidP="00C36F0E">
      <w:pPr>
        <w:pStyle w:val="Prrafodelista"/>
        <w:ind w:left="0"/>
        <w:rPr>
          <w:szCs w:val="20"/>
          <w:lang w:val="en-US"/>
        </w:rPr>
        <w:sectPr w:rsidR="00AF5CC6" w:rsidSect="00316B86">
          <w:footerReference w:type="even" r:id="rId9"/>
          <w:footerReference w:type="default" r:id="rId10"/>
          <w:footnotePr>
            <w:numRestart w:val="eachSect"/>
          </w:footnotePr>
          <w:pgSz w:w="12240" w:h="15840"/>
          <w:pgMar w:top="1418" w:right="1418" w:bottom="1418" w:left="1418" w:header="709" w:footer="709" w:gutter="0"/>
          <w:pgNumType w:start="1"/>
          <w:cols w:space="708"/>
          <w:titlePg/>
          <w:docGrid w:linePitch="360"/>
        </w:sectPr>
      </w:pPr>
      <w:r w:rsidRPr="008C58E1">
        <w:rPr>
          <w:szCs w:val="20"/>
          <w:lang w:val="en-US"/>
        </w:rPr>
        <w:tab/>
        <w:t xml:space="preserve">     Secretary</w:t>
      </w:r>
    </w:p>
    <w:p w14:paraId="6AEB3949" w14:textId="77777777" w:rsidR="00AF5CC6" w:rsidRPr="00992861" w:rsidRDefault="00AF5CC6" w:rsidP="00AF5CC6">
      <w:pPr>
        <w:tabs>
          <w:tab w:val="left" w:pos="709"/>
        </w:tabs>
        <w:jc w:val="center"/>
        <w:rPr>
          <w:b/>
          <w:szCs w:val="20"/>
        </w:rPr>
      </w:pPr>
    </w:p>
    <w:p w14:paraId="5D0198A5" w14:textId="77777777" w:rsidR="00AF5CC6" w:rsidRPr="00992861" w:rsidRDefault="00AF5CC6" w:rsidP="00AF5CC6">
      <w:pPr>
        <w:tabs>
          <w:tab w:val="left" w:pos="709"/>
        </w:tabs>
        <w:jc w:val="center"/>
        <w:rPr>
          <w:b/>
          <w:szCs w:val="20"/>
        </w:rPr>
      </w:pPr>
      <w:r w:rsidRPr="00992861">
        <w:rPr>
          <w:b/>
          <w:szCs w:val="20"/>
        </w:rPr>
        <w:t xml:space="preserve">PARTIALLY DISSENTING OPINION OF </w:t>
      </w:r>
    </w:p>
    <w:p w14:paraId="2149E290" w14:textId="77777777" w:rsidR="00AF5CC6" w:rsidRPr="00992861" w:rsidRDefault="00AF5CC6" w:rsidP="00AF5CC6">
      <w:pPr>
        <w:tabs>
          <w:tab w:val="left" w:pos="709"/>
        </w:tabs>
        <w:jc w:val="center"/>
        <w:rPr>
          <w:b/>
          <w:szCs w:val="20"/>
        </w:rPr>
      </w:pPr>
      <w:r w:rsidRPr="00992861">
        <w:rPr>
          <w:b/>
          <w:szCs w:val="20"/>
        </w:rPr>
        <w:t>JUDGE HUMBERTO ANTONIO SIERRA PORTO</w:t>
      </w:r>
    </w:p>
    <w:p w14:paraId="2A856204" w14:textId="77777777" w:rsidR="00AF5CC6" w:rsidRPr="00992861" w:rsidRDefault="00AF5CC6" w:rsidP="00AF5CC6">
      <w:pPr>
        <w:tabs>
          <w:tab w:val="left" w:pos="709"/>
        </w:tabs>
        <w:jc w:val="center"/>
        <w:rPr>
          <w:b/>
          <w:szCs w:val="20"/>
        </w:rPr>
      </w:pPr>
    </w:p>
    <w:p w14:paraId="5A0DF3AA" w14:textId="77777777" w:rsidR="00AF5CC6" w:rsidRPr="00992861" w:rsidRDefault="00AF5CC6" w:rsidP="00AF5CC6">
      <w:pPr>
        <w:jc w:val="center"/>
        <w:outlineLvl w:val="0"/>
        <w:rPr>
          <w:rFonts w:eastAsia="MS Mincho" w:cs="Times New Roman"/>
          <w:b/>
          <w:i/>
          <w:szCs w:val="20"/>
          <w:u w:val="single"/>
          <w:lang w:eastAsia="es-ES"/>
        </w:rPr>
      </w:pPr>
      <w:r w:rsidRPr="00992861">
        <w:rPr>
          <w:rFonts w:eastAsia="MS Mincho" w:cs="Times New Roman"/>
          <w:b/>
          <w:i/>
          <w:szCs w:val="20"/>
          <w:u w:val="single"/>
          <w:lang w:eastAsia="es-ES"/>
        </w:rPr>
        <w:t xml:space="preserve">CASE OF CUSCUL PIVARAL ET AL. V. GUATEMALA </w:t>
      </w:r>
    </w:p>
    <w:p w14:paraId="6449B425" w14:textId="77777777" w:rsidR="00AF5CC6" w:rsidRPr="00992861" w:rsidRDefault="00AF5CC6" w:rsidP="00AF5CC6">
      <w:pPr>
        <w:jc w:val="center"/>
        <w:rPr>
          <w:rFonts w:eastAsia="MS Mincho" w:cs="Times New Roman"/>
          <w:b/>
          <w:szCs w:val="20"/>
          <w:lang w:eastAsia="es-ES"/>
        </w:rPr>
      </w:pPr>
    </w:p>
    <w:p w14:paraId="7A90E527" w14:textId="77777777" w:rsidR="00AF5CC6" w:rsidRPr="00992861" w:rsidRDefault="00AF5CC6" w:rsidP="00AF5CC6">
      <w:pPr>
        <w:jc w:val="center"/>
        <w:outlineLvl w:val="0"/>
        <w:rPr>
          <w:rFonts w:eastAsia="MS Mincho" w:cs="Times New Roman"/>
          <w:b/>
          <w:sz w:val="18"/>
          <w:szCs w:val="18"/>
          <w:lang w:eastAsia="es-ES"/>
        </w:rPr>
      </w:pPr>
      <w:r w:rsidRPr="00992861">
        <w:rPr>
          <w:rFonts w:eastAsia="MS Mincho" w:cs="Times New Roman"/>
          <w:b/>
          <w:sz w:val="18"/>
          <w:szCs w:val="18"/>
          <w:lang w:eastAsia="es-ES"/>
        </w:rPr>
        <w:t>JUDGMENT OF AUGUST 23, 2018</w:t>
      </w:r>
    </w:p>
    <w:p w14:paraId="23B3F0B9" w14:textId="77777777" w:rsidR="00AF5CC6" w:rsidRPr="00992861" w:rsidRDefault="00AF5CC6" w:rsidP="00AF5CC6">
      <w:pPr>
        <w:jc w:val="center"/>
        <w:outlineLvl w:val="0"/>
        <w:rPr>
          <w:rFonts w:eastAsia="MS Mincho" w:cs="Times New Roman"/>
          <w:b/>
          <w:sz w:val="18"/>
          <w:szCs w:val="18"/>
          <w:lang w:eastAsia="es-ES"/>
        </w:rPr>
      </w:pPr>
      <w:r w:rsidRPr="00992861">
        <w:rPr>
          <w:rFonts w:eastAsia="MS Mincho" w:cs="Times New Roman"/>
          <w:b/>
          <w:sz w:val="18"/>
          <w:szCs w:val="18"/>
          <w:lang w:eastAsia="es-ES"/>
        </w:rPr>
        <w:t>(</w:t>
      </w:r>
      <w:r w:rsidRPr="00992861">
        <w:rPr>
          <w:rFonts w:eastAsia="MS Mincho" w:cs="Times New Roman"/>
          <w:b/>
          <w:i/>
          <w:sz w:val="18"/>
          <w:szCs w:val="18"/>
          <w:lang w:eastAsia="es-ES"/>
        </w:rPr>
        <w:t>Preliminary objection, merits, reparations and costs)</w:t>
      </w:r>
    </w:p>
    <w:p w14:paraId="49269DE2" w14:textId="77777777" w:rsidR="00AF5CC6" w:rsidRPr="00992861" w:rsidRDefault="00AF5CC6" w:rsidP="00AF5CC6"/>
    <w:p w14:paraId="6983B52D" w14:textId="77777777" w:rsidR="00AF5CC6" w:rsidRPr="00992861" w:rsidRDefault="00AF5CC6" w:rsidP="00AF5CC6">
      <w:pPr>
        <w:pStyle w:val="Prrafodelista"/>
        <w:numPr>
          <w:ilvl w:val="0"/>
          <w:numId w:val="17"/>
        </w:numPr>
        <w:ind w:left="0" w:firstLine="0"/>
        <w:contextualSpacing w:val="0"/>
      </w:pPr>
      <w:proofErr w:type="spellStart"/>
      <w:r w:rsidRPr="00992861">
        <w:t>With</w:t>
      </w:r>
      <w:proofErr w:type="spellEnd"/>
      <w:r w:rsidRPr="00992861">
        <w:t xml:space="preserve"> </w:t>
      </w:r>
      <w:proofErr w:type="spellStart"/>
      <w:r w:rsidRPr="00992861">
        <w:t>my</w:t>
      </w:r>
      <w:proofErr w:type="spellEnd"/>
      <w:r w:rsidRPr="00992861">
        <w:t xml:space="preserve"> usual </w:t>
      </w:r>
      <w:proofErr w:type="spellStart"/>
      <w:r w:rsidRPr="00992861">
        <w:t>respect</w:t>
      </w:r>
      <w:proofErr w:type="spellEnd"/>
      <w:r w:rsidRPr="00992861">
        <w:t xml:space="preserve"> </w:t>
      </w:r>
      <w:proofErr w:type="spellStart"/>
      <w:r w:rsidRPr="00992861">
        <w:t>for</w:t>
      </w:r>
      <w:proofErr w:type="spellEnd"/>
      <w:r w:rsidRPr="00992861">
        <w:t xml:space="preserve"> </w:t>
      </w:r>
      <w:proofErr w:type="spellStart"/>
      <w:r w:rsidRPr="00992861">
        <w:t>the</w:t>
      </w:r>
      <w:proofErr w:type="spellEnd"/>
      <w:r w:rsidRPr="00992861">
        <w:t xml:space="preserve"> </w:t>
      </w:r>
      <w:proofErr w:type="spellStart"/>
      <w:r w:rsidRPr="00992861">
        <w:t>decisions</w:t>
      </w:r>
      <w:proofErr w:type="spellEnd"/>
      <w:r w:rsidRPr="00992861">
        <w:t xml:space="preserve"> </w:t>
      </w:r>
      <w:proofErr w:type="spellStart"/>
      <w:r w:rsidRPr="00992861">
        <w:t>of</w:t>
      </w:r>
      <w:proofErr w:type="spellEnd"/>
      <w:r w:rsidRPr="00992861">
        <w:t xml:space="preserve"> </w:t>
      </w:r>
      <w:proofErr w:type="spellStart"/>
      <w:r w:rsidRPr="00992861">
        <w:t>the</w:t>
      </w:r>
      <w:proofErr w:type="spellEnd"/>
      <w:r w:rsidRPr="00992861">
        <w:t xml:space="preserve"> Inter-American </w:t>
      </w:r>
      <w:proofErr w:type="spellStart"/>
      <w:r w:rsidRPr="00992861">
        <w:t>Court</w:t>
      </w:r>
      <w:proofErr w:type="spellEnd"/>
      <w:r w:rsidRPr="00992861">
        <w:t xml:space="preserve"> </w:t>
      </w:r>
      <w:proofErr w:type="spellStart"/>
      <w:r w:rsidRPr="00992861">
        <w:t>of</w:t>
      </w:r>
      <w:proofErr w:type="spellEnd"/>
      <w:r w:rsidRPr="00992861">
        <w:t xml:space="preserve"> Human </w:t>
      </w:r>
      <w:proofErr w:type="spellStart"/>
      <w:r w:rsidRPr="00992861">
        <w:t>Rights</w:t>
      </w:r>
      <w:proofErr w:type="spellEnd"/>
      <w:r w:rsidRPr="00992861">
        <w:t xml:space="preserve"> (</w:t>
      </w:r>
      <w:proofErr w:type="spellStart"/>
      <w:r w:rsidRPr="00992861">
        <w:t>hereinafter</w:t>
      </w:r>
      <w:proofErr w:type="spellEnd"/>
      <w:r w:rsidRPr="00992861">
        <w:t xml:space="preserve"> </w:t>
      </w:r>
      <w:proofErr w:type="spellStart"/>
      <w:r w:rsidRPr="00992861">
        <w:t>also</w:t>
      </w:r>
      <w:proofErr w:type="spellEnd"/>
      <w:r w:rsidRPr="00992861">
        <w:t xml:space="preserve"> “</w:t>
      </w:r>
      <w:proofErr w:type="spellStart"/>
      <w:r w:rsidRPr="00992861">
        <w:t>the</w:t>
      </w:r>
      <w:proofErr w:type="spellEnd"/>
      <w:r w:rsidRPr="00992861">
        <w:t xml:space="preserve"> </w:t>
      </w:r>
      <w:proofErr w:type="spellStart"/>
      <w:r w:rsidRPr="00992861">
        <w:t>Court</w:t>
      </w:r>
      <w:proofErr w:type="spellEnd"/>
      <w:r w:rsidRPr="00992861">
        <w:t xml:space="preserve">” </w:t>
      </w:r>
      <w:proofErr w:type="spellStart"/>
      <w:r w:rsidRPr="00992861">
        <w:t>or</w:t>
      </w:r>
      <w:proofErr w:type="spellEnd"/>
      <w:r w:rsidRPr="00992861">
        <w:t xml:space="preserve"> “</w:t>
      </w:r>
      <w:proofErr w:type="spellStart"/>
      <w:r w:rsidRPr="00992861">
        <w:t>the</w:t>
      </w:r>
      <w:proofErr w:type="spellEnd"/>
      <w:r w:rsidRPr="00992861">
        <w:t xml:space="preserve"> Inter-American </w:t>
      </w:r>
      <w:proofErr w:type="spellStart"/>
      <w:r w:rsidRPr="00992861">
        <w:t>Court</w:t>
      </w:r>
      <w:proofErr w:type="spellEnd"/>
      <w:r w:rsidRPr="00992861">
        <w:t xml:space="preserve">”), </w:t>
      </w:r>
      <w:proofErr w:type="spellStart"/>
      <w:r w:rsidRPr="00992861">
        <w:t>allow</w:t>
      </w:r>
      <w:proofErr w:type="spellEnd"/>
      <w:r w:rsidRPr="00992861">
        <w:t xml:space="preserve"> me </w:t>
      </w:r>
      <w:proofErr w:type="spellStart"/>
      <w:r w:rsidRPr="00992861">
        <w:t>to</w:t>
      </w:r>
      <w:proofErr w:type="spellEnd"/>
      <w:r w:rsidRPr="00992861">
        <w:t xml:space="preserve"> </w:t>
      </w:r>
      <w:proofErr w:type="spellStart"/>
      <w:r w:rsidRPr="00992861">
        <w:t>present</w:t>
      </w:r>
      <w:proofErr w:type="spellEnd"/>
      <w:r w:rsidRPr="00992861">
        <w:t xml:space="preserve"> </w:t>
      </w:r>
      <w:proofErr w:type="spellStart"/>
      <w:r w:rsidRPr="00992861">
        <w:t>this</w:t>
      </w:r>
      <w:proofErr w:type="spellEnd"/>
      <w:r w:rsidRPr="00992861">
        <w:t xml:space="preserve"> </w:t>
      </w:r>
      <w:proofErr w:type="spellStart"/>
      <w:r w:rsidRPr="00992861">
        <w:t>partially</w:t>
      </w:r>
      <w:proofErr w:type="spellEnd"/>
      <w:r w:rsidRPr="00992861">
        <w:t xml:space="preserve"> </w:t>
      </w:r>
      <w:proofErr w:type="spellStart"/>
      <w:r w:rsidRPr="00992861">
        <w:t>dissenting</w:t>
      </w:r>
      <w:proofErr w:type="spellEnd"/>
      <w:r w:rsidRPr="00992861">
        <w:t xml:space="preserve"> </w:t>
      </w:r>
      <w:proofErr w:type="spellStart"/>
      <w:r w:rsidRPr="00992861">
        <w:t>opinion</w:t>
      </w:r>
      <w:proofErr w:type="spellEnd"/>
      <w:r w:rsidRPr="00992861">
        <w:t xml:space="preserve">. </w:t>
      </w:r>
      <w:proofErr w:type="spellStart"/>
      <w:r w:rsidRPr="00992861">
        <w:t>The</w:t>
      </w:r>
      <w:proofErr w:type="spellEnd"/>
      <w:r w:rsidRPr="00992861">
        <w:t xml:space="preserve"> </w:t>
      </w:r>
      <w:proofErr w:type="spellStart"/>
      <w:r w:rsidRPr="00992861">
        <w:t>opinion</w:t>
      </w:r>
      <w:proofErr w:type="spellEnd"/>
      <w:r w:rsidRPr="00992861">
        <w:t xml:space="preserve"> </w:t>
      </w:r>
      <w:proofErr w:type="spellStart"/>
      <w:r w:rsidRPr="00992861">
        <w:t>focuses</w:t>
      </w:r>
      <w:proofErr w:type="spellEnd"/>
      <w:r w:rsidRPr="00992861">
        <w:t xml:space="preserve"> </w:t>
      </w:r>
      <w:proofErr w:type="spellStart"/>
      <w:r w:rsidRPr="00992861">
        <w:t>on</w:t>
      </w:r>
      <w:proofErr w:type="spellEnd"/>
      <w:r w:rsidRPr="00992861">
        <w:t xml:space="preserve"> </w:t>
      </w:r>
      <w:proofErr w:type="spellStart"/>
      <w:r w:rsidRPr="00992861">
        <w:t>the</w:t>
      </w:r>
      <w:proofErr w:type="spellEnd"/>
      <w:r w:rsidRPr="00992861">
        <w:t xml:space="preserve"> </w:t>
      </w:r>
      <w:proofErr w:type="spellStart"/>
      <w:r w:rsidRPr="00992861">
        <w:t>Court’s</w:t>
      </w:r>
      <w:proofErr w:type="spellEnd"/>
      <w:r w:rsidRPr="00992861">
        <w:t xml:space="preserve"> </w:t>
      </w:r>
      <w:proofErr w:type="spellStart"/>
      <w:r w:rsidRPr="00992861">
        <w:t>analysis</w:t>
      </w:r>
      <w:proofErr w:type="spellEnd"/>
      <w:r w:rsidRPr="00992861">
        <w:t xml:space="preserve"> </w:t>
      </w:r>
      <w:proofErr w:type="spellStart"/>
      <w:r w:rsidRPr="00992861">
        <w:t>of</w:t>
      </w:r>
      <w:proofErr w:type="spellEnd"/>
      <w:r w:rsidRPr="00992861">
        <w:t xml:space="preserve"> </w:t>
      </w:r>
      <w:proofErr w:type="spellStart"/>
      <w:r w:rsidRPr="00992861">
        <w:t>the</w:t>
      </w:r>
      <w:proofErr w:type="spellEnd"/>
      <w:r w:rsidRPr="00992861">
        <w:t xml:space="preserve"> </w:t>
      </w:r>
      <w:proofErr w:type="spellStart"/>
      <w:r w:rsidRPr="00992861">
        <w:t>merits</w:t>
      </w:r>
      <w:proofErr w:type="spellEnd"/>
      <w:r w:rsidRPr="00992861">
        <w:t xml:space="preserve"> </w:t>
      </w:r>
      <w:proofErr w:type="spellStart"/>
      <w:r w:rsidRPr="00992861">
        <w:t>relating</w:t>
      </w:r>
      <w:proofErr w:type="spellEnd"/>
      <w:r w:rsidRPr="00992861">
        <w:t xml:space="preserve"> </w:t>
      </w:r>
      <w:proofErr w:type="spellStart"/>
      <w:r w:rsidRPr="00992861">
        <w:t>to</w:t>
      </w:r>
      <w:proofErr w:type="spellEnd"/>
      <w:r w:rsidRPr="00992861">
        <w:t xml:space="preserve"> </w:t>
      </w:r>
      <w:proofErr w:type="spellStart"/>
      <w:r w:rsidRPr="00992861">
        <w:t>the</w:t>
      </w:r>
      <w:proofErr w:type="spellEnd"/>
      <w:r w:rsidRPr="00992861">
        <w:t xml:space="preserve"> </w:t>
      </w:r>
      <w:proofErr w:type="spellStart"/>
      <w:r w:rsidRPr="00992861">
        <w:t>international</w:t>
      </w:r>
      <w:proofErr w:type="spellEnd"/>
      <w:r w:rsidRPr="00992861">
        <w:t xml:space="preserve"> </w:t>
      </w:r>
      <w:proofErr w:type="spellStart"/>
      <w:r w:rsidRPr="00992861">
        <w:t>responsibility</w:t>
      </w:r>
      <w:proofErr w:type="spellEnd"/>
      <w:r w:rsidRPr="00992861">
        <w:t xml:space="preserve"> </w:t>
      </w:r>
      <w:proofErr w:type="spellStart"/>
      <w:r w:rsidRPr="00992861">
        <w:t>of</w:t>
      </w:r>
      <w:proofErr w:type="spellEnd"/>
      <w:r w:rsidRPr="00992861">
        <w:t xml:space="preserve"> </w:t>
      </w:r>
      <w:proofErr w:type="spellStart"/>
      <w:r w:rsidRPr="00992861">
        <w:t>the</w:t>
      </w:r>
      <w:proofErr w:type="spellEnd"/>
      <w:r w:rsidRPr="00992861">
        <w:t xml:space="preserve"> </w:t>
      </w:r>
      <w:proofErr w:type="spellStart"/>
      <w:r w:rsidRPr="00992861">
        <w:t>State</w:t>
      </w:r>
      <w:proofErr w:type="spellEnd"/>
      <w:r w:rsidRPr="00992861">
        <w:t xml:space="preserve"> (</w:t>
      </w:r>
      <w:proofErr w:type="spellStart"/>
      <w:r w:rsidRPr="00992861">
        <w:t>hereinafter</w:t>
      </w:r>
      <w:proofErr w:type="spellEnd"/>
      <w:r w:rsidRPr="00992861">
        <w:t xml:space="preserve"> “</w:t>
      </w:r>
      <w:proofErr w:type="spellStart"/>
      <w:r w:rsidRPr="00992861">
        <w:t>the</w:t>
      </w:r>
      <w:proofErr w:type="spellEnd"/>
      <w:r w:rsidRPr="00992861">
        <w:t xml:space="preserve"> </w:t>
      </w:r>
      <w:proofErr w:type="spellStart"/>
      <w:r w:rsidRPr="00992861">
        <w:t>State</w:t>
      </w:r>
      <w:proofErr w:type="spellEnd"/>
      <w:r w:rsidRPr="00992861">
        <w:t>,” “</w:t>
      </w:r>
      <w:proofErr w:type="spellStart"/>
      <w:r w:rsidRPr="00992861">
        <w:t>the</w:t>
      </w:r>
      <w:proofErr w:type="spellEnd"/>
      <w:r w:rsidRPr="00992861">
        <w:t xml:space="preserve"> </w:t>
      </w:r>
      <w:proofErr w:type="spellStart"/>
      <w:r w:rsidRPr="00992861">
        <w:t>State</w:t>
      </w:r>
      <w:proofErr w:type="spellEnd"/>
      <w:r w:rsidRPr="00992861">
        <w:t xml:space="preserve"> </w:t>
      </w:r>
      <w:proofErr w:type="spellStart"/>
      <w:r w:rsidRPr="00992861">
        <w:t>of</w:t>
      </w:r>
      <w:proofErr w:type="spellEnd"/>
      <w:r w:rsidRPr="00992861">
        <w:t xml:space="preserve"> Guatemala” </w:t>
      </w:r>
      <w:proofErr w:type="spellStart"/>
      <w:r w:rsidRPr="00992861">
        <w:t>or</w:t>
      </w:r>
      <w:proofErr w:type="spellEnd"/>
      <w:r w:rsidRPr="00992861">
        <w:t xml:space="preserve"> “Guatemala”) </w:t>
      </w:r>
      <w:proofErr w:type="spellStart"/>
      <w:r w:rsidRPr="00992861">
        <w:t>for</w:t>
      </w:r>
      <w:proofErr w:type="spellEnd"/>
      <w:r w:rsidRPr="00992861">
        <w:t xml:space="preserve"> </w:t>
      </w:r>
      <w:proofErr w:type="spellStart"/>
      <w:r w:rsidRPr="00992861">
        <w:t>the</w:t>
      </w:r>
      <w:proofErr w:type="spellEnd"/>
      <w:r w:rsidRPr="00992861">
        <w:t xml:space="preserve"> </w:t>
      </w:r>
      <w:proofErr w:type="spellStart"/>
      <w:r w:rsidRPr="00992861">
        <w:t>violation</w:t>
      </w:r>
      <w:proofErr w:type="spellEnd"/>
      <w:r w:rsidRPr="00992861">
        <w:t xml:space="preserve"> </w:t>
      </w:r>
      <w:proofErr w:type="spellStart"/>
      <w:r w:rsidRPr="00992861">
        <w:t>of</w:t>
      </w:r>
      <w:proofErr w:type="spellEnd"/>
      <w:r w:rsidRPr="00992861">
        <w:t xml:space="preserve"> </w:t>
      </w:r>
      <w:proofErr w:type="spellStart"/>
      <w:r w:rsidRPr="00992861">
        <w:t>the</w:t>
      </w:r>
      <w:proofErr w:type="spellEnd"/>
      <w:r w:rsidRPr="00992861">
        <w:t xml:space="preserve"> </w:t>
      </w:r>
      <w:proofErr w:type="spellStart"/>
      <w:r w:rsidRPr="00992861">
        <w:t>right</w:t>
      </w:r>
      <w:proofErr w:type="spellEnd"/>
      <w:r w:rsidRPr="00992861">
        <w:t xml:space="preserve"> </w:t>
      </w:r>
      <w:proofErr w:type="spellStart"/>
      <w:r w:rsidRPr="00992861">
        <w:t>to</w:t>
      </w:r>
      <w:proofErr w:type="spellEnd"/>
      <w:r w:rsidRPr="00992861">
        <w:t xml:space="preserve"> </w:t>
      </w:r>
      <w:proofErr w:type="spellStart"/>
      <w:r w:rsidRPr="00992861">
        <w:t>health</w:t>
      </w:r>
      <w:proofErr w:type="spellEnd"/>
      <w:r w:rsidRPr="00992861">
        <w:t xml:space="preserve"> and </w:t>
      </w:r>
      <w:proofErr w:type="spellStart"/>
      <w:r w:rsidRPr="00992861">
        <w:t>the</w:t>
      </w:r>
      <w:proofErr w:type="spellEnd"/>
      <w:r w:rsidRPr="00992861">
        <w:t xml:space="preserve"> </w:t>
      </w:r>
      <w:proofErr w:type="spellStart"/>
      <w:r w:rsidRPr="00992861">
        <w:t>principle</w:t>
      </w:r>
      <w:proofErr w:type="spellEnd"/>
      <w:r w:rsidRPr="00992861">
        <w:t xml:space="preserve"> </w:t>
      </w:r>
      <w:proofErr w:type="spellStart"/>
      <w:r w:rsidRPr="00992861">
        <w:t>of</w:t>
      </w:r>
      <w:proofErr w:type="spellEnd"/>
      <w:r w:rsidRPr="00992861">
        <w:t xml:space="preserve"> </w:t>
      </w:r>
      <w:proofErr w:type="spellStart"/>
      <w:r w:rsidRPr="00992861">
        <w:t>progressivity</w:t>
      </w:r>
      <w:proofErr w:type="spellEnd"/>
      <w:r w:rsidRPr="00992861">
        <w:t xml:space="preserve">. </w:t>
      </w:r>
      <w:proofErr w:type="spellStart"/>
      <w:r w:rsidRPr="00992861">
        <w:t>Specifically</w:t>
      </w:r>
      <w:proofErr w:type="spellEnd"/>
      <w:r w:rsidRPr="00992861">
        <w:t xml:space="preserve">, I </w:t>
      </w:r>
      <w:proofErr w:type="spellStart"/>
      <w:r w:rsidRPr="00992861">
        <w:t>will</w:t>
      </w:r>
      <w:proofErr w:type="spellEnd"/>
      <w:r w:rsidRPr="00992861">
        <w:t xml:space="preserve"> </w:t>
      </w:r>
      <w:proofErr w:type="spellStart"/>
      <w:r w:rsidRPr="00992861">
        <w:t>explain</w:t>
      </w:r>
      <w:proofErr w:type="spellEnd"/>
      <w:r w:rsidRPr="00992861">
        <w:t xml:space="preserve"> </w:t>
      </w:r>
      <w:proofErr w:type="spellStart"/>
      <w:r w:rsidRPr="00992861">
        <w:t>my</w:t>
      </w:r>
      <w:proofErr w:type="spellEnd"/>
      <w:r w:rsidRPr="00992861">
        <w:t xml:space="preserve"> </w:t>
      </w:r>
      <w:proofErr w:type="spellStart"/>
      <w:r w:rsidRPr="00992861">
        <w:t>discrepancy</w:t>
      </w:r>
      <w:proofErr w:type="spellEnd"/>
      <w:r w:rsidRPr="00992861">
        <w:t xml:space="preserve"> </w:t>
      </w:r>
      <w:proofErr w:type="spellStart"/>
      <w:r w:rsidRPr="00992861">
        <w:t>with</w:t>
      </w:r>
      <w:proofErr w:type="spellEnd"/>
      <w:r w:rsidRPr="00992861">
        <w:t xml:space="preserve"> </w:t>
      </w:r>
      <w:proofErr w:type="spellStart"/>
      <w:r w:rsidRPr="00992861">
        <w:t>the</w:t>
      </w:r>
      <w:proofErr w:type="spellEnd"/>
      <w:r w:rsidRPr="00992861">
        <w:t xml:space="preserve"> position </w:t>
      </w:r>
      <w:proofErr w:type="spellStart"/>
      <w:r w:rsidRPr="00992861">
        <w:t>adopted</w:t>
      </w:r>
      <w:proofErr w:type="spellEnd"/>
      <w:r w:rsidRPr="00992861">
        <w:t xml:space="preserve"> in </w:t>
      </w:r>
      <w:proofErr w:type="spellStart"/>
      <w:r w:rsidRPr="00992861">
        <w:t>operative</w:t>
      </w:r>
      <w:proofErr w:type="spellEnd"/>
      <w:r w:rsidRPr="00992861">
        <w:t xml:space="preserve"> </w:t>
      </w:r>
      <w:proofErr w:type="spellStart"/>
      <w:r w:rsidRPr="00992861">
        <w:t>paragraphs</w:t>
      </w:r>
      <w:proofErr w:type="spellEnd"/>
      <w:r w:rsidRPr="00992861">
        <w:t xml:space="preserve"> </w:t>
      </w:r>
      <w:r w:rsidRPr="00992861">
        <w:rPr>
          <w:snapToGrid w:val="0"/>
        </w:rPr>
        <w:t xml:space="preserve">1, 2 and 4 </w:t>
      </w:r>
      <w:proofErr w:type="spellStart"/>
      <w:r w:rsidRPr="00992861">
        <w:rPr>
          <w:snapToGrid w:val="0"/>
        </w:rPr>
        <w:t>of</w:t>
      </w:r>
      <w:proofErr w:type="spellEnd"/>
      <w:r w:rsidRPr="00992861">
        <w:rPr>
          <w:snapToGrid w:val="0"/>
        </w:rPr>
        <w:t xml:space="preserve"> </w:t>
      </w:r>
      <w:proofErr w:type="spellStart"/>
      <w:r w:rsidRPr="00992861">
        <w:rPr>
          <w:snapToGrid w:val="0"/>
        </w:rPr>
        <w:t>the</w:t>
      </w:r>
      <w:proofErr w:type="spellEnd"/>
      <w:r w:rsidRPr="00992861">
        <w:rPr>
          <w:snapToGrid w:val="0"/>
        </w:rPr>
        <w:t xml:space="preserve"> </w:t>
      </w:r>
      <w:proofErr w:type="spellStart"/>
      <w:r w:rsidRPr="00992861">
        <w:rPr>
          <w:snapToGrid w:val="0"/>
        </w:rPr>
        <w:t>judgment</w:t>
      </w:r>
      <w:proofErr w:type="spellEnd"/>
      <w:r w:rsidRPr="00992861">
        <w:rPr>
          <w:snapToGrid w:val="0"/>
        </w:rPr>
        <w:t xml:space="preserve"> in </w:t>
      </w:r>
      <w:proofErr w:type="spellStart"/>
      <w:r w:rsidRPr="00992861">
        <w:rPr>
          <w:snapToGrid w:val="0"/>
        </w:rPr>
        <w:t>which</w:t>
      </w:r>
      <w:proofErr w:type="spellEnd"/>
      <w:r w:rsidRPr="00992861">
        <w:rPr>
          <w:snapToGrid w:val="0"/>
        </w:rPr>
        <w:t xml:space="preserve"> </w:t>
      </w:r>
      <w:proofErr w:type="spellStart"/>
      <w:r w:rsidRPr="00992861">
        <w:rPr>
          <w:snapToGrid w:val="0"/>
        </w:rPr>
        <w:t>it</w:t>
      </w:r>
      <w:proofErr w:type="spellEnd"/>
      <w:r w:rsidRPr="00992861">
        <w:rPr>
          <w:snapToGrid w:val="0"/>
        </w:rPr>
        <w:t xml:space="preserve"> </w:t>
      </w:r>
      <w:proofErr w:type="spellStart"/>
      <w:r w:rsidRPr="00992861">
        <w:rPr>
          <w:snapToGrid w:val="0"/>
        </w:rPr>
        <w:t>was</w:t>
      </w:r>
      <w:proofErr w:type="spellEnd"/>
      <w:r w:rsidRPr="00992861">
        <w:rPr>
          <w:snapToGrid w:val="0"/>
        </w:rPr>
        <w:t xml:space="preserve"> </w:t>
      </w:r>
      <w:proofErr w:type="spellStart"/>
      <w:r w:rsidRPr="00992861">
        <w:rPr>
          <w:snapToGrid w:val="0"/>
        </w:rPr>
        <w:t>determined</w:t>
      </w:r>
      <w:proofErr w:type="spellEnd"/>
      <w:r w:rsidRPr="00992861">
        <w:rPr>
          <w:snapToGrid w:val="0"/>
        </w:rPr>
        <w:t xml:space="preserve"> </w:t>
      </w:r>
      <w:proofErr w:type="spellStart"/>
      <w:r w:rsidRPr="00992861">
        <w:rPr>
          <w:snapToGrid w:val="0"/>
        </w:rPr>
        <w:t>that</w:t>
      </w:r>
      <w:proofErr w:type="spellEnd"/>
      <w:r>
        <w:rPr>
          <w:snapToGrid w:val="0"/>
        </w:rPr>
        <w:t xml:space="preserve">, in </w:t>
      </w:r>
      <w:proofErr w:type="spellStart"/>
      <w:r>
        <w:rPr>
          <w:snapToGrid w:val="0"/>
        </w:rPr>
        <w:t>this</w:t>
      </w:r>
      <w:proofErr w:type="spellEnd"/>
      <w:r>
        <w:rPr>
          <w:snapToGrid w:val="0"/>
        </w:rPr>
        <w:t xml:space="preserve"> case,</w:t>
      </w:r>
      <w:r w:rsidRPr="00992861">
        <w:rPr>
          <w:snapToGrid w:val="0"/>
        </w:rPr>
        <w:t xml:space="preserve"> </w:t>
      </w:r>
      <w:proofErr w:type="spellStart"/>
      <w:r w:rsidRPr="00992861">
        <w:rPr>
          <w:snapToGrid w:val="0"/>
        </w:rPr>
        <w:t>those</w:t>
      </w:r>
      <w:proofErr w:type="spellEnd"/>
      <w:r w:rsidRPr="00992861">
        <w:rPr>
          <w:snapToGrid w:val="0"/>
        </w:rPr>
        <w:t xml:space="preserve"> </w:t>
      </w:r>
      <w:proofErr w:type="spellStart"/>
      <w:r w:rsidRPr="00992861">
        <w:rPr>
          <w:snapToGrid w:val="0"/>
        </w:rPr>
        <w:t>rights</w:t>
      </w:r>
      <w:proofErr w:type="spellEnd"/>
      <w:r w:rsidRPr="00992861">
        <w:rPr>
          <w:snapToGrid w:val="0"/>
        </w:rPr>
        <w:t xml:space="preserve"> </w:t>
      </w:r>
      <w:proofErr w:type="spellStart"/>
      <w:r w:rsidRPr="00992861">
        <w:rPr>
          <w:snapToGrid w:val="0"/>
        </w:rPr>
        <w:t>had</w:t>
      </w:r>
      <w:proofErr w:type="spellEnd"/>
      <w:r w:rsidRPr="00992861">
        <w:rPr>
          <w:snapToGrid w:val="0"/>
        </w:rPr>
        <w:t xml:space="preserve"> </w:t>
      </w:r>
      <w:proofErr w:type="spellStart"/>
      <w:r w:rsidRPr="00992861">
        <w:rPr>
          <w:snapToGrid w:val="0"/>
        </w:rPr>
        <w:t>been</w:t>
      </w:r>
      <w:proofErr w:type="spellEnd"/>
      <w:r w:rsidRPr="00992861">
        <w:rPr>
          <w:snapToGrid w:val="0"/>
        </w:rPr>
        <w:t xml:space="preserve"> </w:t>
      </w:r>
      <w:proofErr w:type="spellStart"/>
      <w:r w:rsidRPr="00992861">
        <w:rPr>
          <w:snapToGrid w:val="0"/>
        </w:rPr>
        <w:t>violated</w:t>
      </w:r>
      <w:proofErr w:type="spellEnd"/>
      <w:r w:rsidRPr="00992861">
        <w:rPr>
          <w:snapToGrid w:val="0"/>
        </w:rPr>
        <w:t xml:space="preserve">. In </w:t>
      </w:r>
      <w:proofErr w:type="spellStart"/>
      <w:r w:rsidRPr="00992861">
        <w:rPr>
          <w:snapToGrid w:val="0"/>
        </w:rPr>
        <w:t>this</w:t>
      </w:r>
      <w:proofErr w:type="spellEnd"/>
      <w:r w:rsidRPr="00992861">
        <w:rPr>
          <w:snapToGrid w:val="0"/>
        </w:rPr>
        <w:t xml:space="preserve"> </w:t>
      </w:r>
      <w:proofErr w:type="spellStart"/>
      <w:r w:rsidRPr="00992861">
        <w:rPr>
          <w:snapToGrid w:val="0"/>
        </w:rPr>
        <w:t>regard</w:t>
      </w:r>
      <w:proofErr w:type="spellEnd"/>
      <w:r w:rsidRPr="00992861">
        <w:rPr>
          <w:snapToGrid w:val="0"/>
        </w:rPr>
        <w:t xml:space="preserve">, I note </w:t>
      </w:r>
      <w:proofErr w:type="spellStart"/>
      <w:r w:rsidRPr="00992861">
        <w:rPr>
          <w:snapToGrid w:val="0"/>
        </w:rPr>
        <w:t>that</w:t>
      </w:r>
      <w:proofErr w:type="spellEnd"/>
      <w:r w:rsidRPr="00992861">
        <w:rPr>
          <w:snapToGrid w:val="0"/>
        </w:rPr>
        <w:t xml:space="preserve"> </w:t>
      </w:r>
      <w:proofErr w:type="spellStart"/>
      <w:r w:rsidRPr="00992861">
        <w:rPr>
          <w:snapToGrid w:val="0"/>
        </w:rPr>
        <w:t>my</w:t>
      </w:r>
      <w:proofErr w:type="spellEnd"/>
      <w:r w:rsidRPr="00992861">
        <w:rPr>
          <w:snapToGrid w:val="0"/>
        </w:rPr>
        <w:t xml:space="preserve"> </w:t>
      </w:r>
      <w:proofErr w:type="spellStart"/>
      <w:r w:rsidRPr="00992861">
        <w:rPr>
          <w:snapToGrid w:val="0"/>
        </w:rPr>
        <w:t>considerations</w:t>
      </w:r>
      <w:proofErr w:type="spellEnd"/>
      <w:r w:rsidRPr="00992861">
        <w:rPr>
          <w:snapToGrid w:val="0"/>
        </w:rPr>
        <w:t xml:space="preserve"> </w:t>
      </w:r>
      <w:proofErr w:type="spellStart"/>
      <w:r w:rsidRPr="00992861">
        <w:rPr>
          <w:snapToGrid w:val="0"/>
        </w:rPr>
        <w:t>supplement</w:t>
      </w:r>
      <w:proofErr w:type="spellEnd"/>
      <w:r w:rsidRPr="00992861">
        <w:rPr>
          <w:snapToGrid w:val="0"/>
        </w:rPr>
        <w:t xml:space="preserve"> </w:t>
      </w:r>
      <w:proofErr w:type="spellStart"/>
      <w:r w:rsidRPr="00992861">
        <w:rPr>
          <w:snapToGrid w:val="0"/>
        </w:rPr>
        <w:t>what</w:t>
      </w:r>
      <w:proofErr w:type="spellEnd"/>
      <w:r w:rsidRPr="00992861">
        <w:rPr>
          <w:snapToGrid w:val="0"/>
        </w:rPr>
        <w:t xml:space="preserve"> I </w:t>
      </w:r>
      <w:proofErr w:type="spellStart"/>
      <w:r w:rsidRPr="00992861">
        <w:rPr>
          <w:snapToGrid w:val="0"/>
        </w:rPr>
        <w:t>have</w:t>
      </w:r>
      <w:proofErr w:type="spellEnd"/>
      <w:r w:rsidRPr="00992861">
        <w:rPr>
          <w:snapToGrid w:val="0"/>
        </w:rPr>
        <w:t xml:space="preserve"> </w:t>
      </w:r>
      <w:proofErr w:type="spellStart"/>
      <w:r w:rsidRPr="00992861">
        <w:rPr>
          <w:snapToGrid w:val="0"/>
        </w:rPr>
        <w:t>already</w:t>
      </w:r>
      <w:proofErr w:type="spellEnd"/>
      <w:r w:rsidRPr="00992861">
        <w:rPr>
          <w:snapToGrid w:val="0"/>
        </w:rPr>
        <w:t xml:space="preserve"> </w:t>
      </w:r>
      <w:proofErr w:type="spellStart"/>
      <w:r w:rsidRPr="00992861">
        <w:rPr>
          <w:snapToGrid w:val="0"/>
        </w:rPr>
        <w:t>indicated</w:t>
      </w:r>
      <w:proofErr w:type="spellEnd"/>
      <w:r w:rsidRPr="00992861">
        <w:rPr>
          <w:snapToGrid w:val="0"/>
        </w:rPr>
        <w:t xml:space="preserve"> in </w:t>
      </w:r>
      <w:proofErr w:type="spellStart"/>
      <w:r w:rsidRPr="00992861">
        <w:rPr>
          <w:snapToGrid w:val="0"/>
        </w:rPr>
        <w:t>my</w:t>
      </w:r>
      <w:proofErr w:type="spellEnd"/>
      <w:r w:rsidRPr="00992861">
        <w:rPr>
          <w:snapToGrid w:val="0"/>
        </w:rPr>
        <w:t xml:space="preserve"> </w:t>
      </w:r>
      <w:proofErr w:type="spellStart"/>
      <w:r w:rsidRPr="00992861">
        <w:rPr>
          <w:snapToGrid w:val="0"/>
        </w:rPr>
        <w:t>partially</w:t>
      </w:r>
      <w:proofErr w:type="spellEnd"/>
      <w:r w:rsidRPr="00992861">
        <w:rPr>
          <w:snapToGrid w:val="0"/>
        </w:rPr>
        <w:t xml:space="preserve"> </w:t>
      </w:r>
      <w:proofErr w:type="spellStart"/>
      <w:r w:rsidRPr="00992861">
        <w:rPr>
          <w:snapToGrid w:val="0"/>
        </w:rPr>
        <w:t>dissenting</w:t>
      </w:r>
      <w:proofErr w:type="spellEnd"/>
      <w:r w:rsidRPr="00992861">
        <w:rPr>
          <w:snapToGrid w:val="0"/>
        </w:rPr>
        <w:t xml:space="preserve"> </w:t>
      </w:r>
      <w:proofErr w:type="spellStart"/>
      <w:r w:rsidRPr="00992861">
        <w:rPr>
          <w:snapToGrid w:val="0"/>
        </w:rPr>
        <w:t>opinions</w:t>
      </w:r>
      <w:proofErr w:type="spellEnd"/>
      <w:r w:rsidRPr="00992861">
        <w:rPr>
          <w:snapToGrid w:val="0"/>
        </w:rPr>
        <w:t xml:space="preserve"> in </w:t>
      </w:r>
      <w:proofErr w:type="spellStart"/>
      <w:r w:rsidRPr="00992861">
        <w:rPr>
          <w:snapToGrid w:val="0"/>
        </w:rPr>
        <w:t>the</w:t>
      </w:r>
      <w:proofErr w:type="spellEnd"/>
      <w:r w:rsidRPr="00992861">
        <w:rPr>
          <w:snapToGrid w:val="0"/>
        </w:rPr>
        <w:t xml:space="preserve"> cases </w:t>
      </w:r>
      <w:proofErr w:type="spellStart"/>
      <w:r w:rsidRPr="00992861">
        <w:rPr>
          <w:snapToGrid w:val="0"/>
        </w:rPr>
        <w:t>of</w:t>
      </w:r>
      <w:proofErr w:type="spellEnd"/>
      <w:r w:rsidRPr="00992861">
        <w:rPr>
          <w:snapToGrid w:val="0"/>
        </w:rPr>
        <w:t xml:space="preserve"> </w:t>
      </w:r>
      <w:r w:rsidRPr="00992861">
        <w:rPr>
          <w:i/>
        </w:rPr>
        <w:t xml:space="preserve">Lagos del Campo v. </w:t>
      </w:r>
      <w:proofErr w:type="spellStart"/>
      <w:r w:rsidRPr="00992861">
        <w:rPr>
          <w:i/>
        </w:rPr>
        <w:t>Peru</w:t>
      </w:r>
      <w:proofErr w:type="spellEnd"/>
      <w:r w:rsidRPr="00992861">
        <w:rPr>
          <w:i/>
        </w:rPr>
        <w:t>,</w:t>
      </w:r>
      <w:r w:rsidRPr="00992861">
        <w:rPr>
          <w:rStyle w:val="Refdenotaalpie"/>
        </w:rPr>
        <w:footnoteReference w:id="460"/>
      </w:r>
      <w:r w:rsidRPr="00992861">
        <w:t xml:space="preserve"> </w:t>
      </w:r>
      <w:proofErr w:type="spellStart"/>
      <w:r w:rsidRPr="00992861">
        <w:rPr>
          <w:i/>
        </w:rPr>
        <w:t>Dismissed</w:t>
      </w:r>
      <w:proofErr w:type="spellEnd"/>
      <w:r w:rsidRPr="00992861">
        <w:rPr>
          <w:i/>
        </w:rPr>
        <w:t xml:space="preserve"> </w:t>
      </w:r>
      <w:proofErr w:type="spellStart"/>
      <w:r w:rsidRPr="00992861">
        <w:rPr>
          <w:i/>
        </w:rPr>
        <w:t>Employees</w:t>
      </w:r>
      <w:proofErr w:type="spellEnd"/>
      <w:r w:rsidRPr="00992861">
        <w:rPr>
          <w:i/>
        </w:rPr>
        <w:t xml:space="preserve"> </w:t>
      </w:r>
      <w:proofErr w:type="spellStart"/>
      <w:r w:rsidRPr="00992861">
        <w:rPr>
          <w:i/>
        </w:rPr>
        <w:t>of</w:t>
      </w:r>
      <w:proofErr w:type="spellEnd"/>
      <w:r w:rsidRPr="00992861">
        <w:rPr>
          <w:i/>
        </w:rPr>
        <w:t xml:space="preserve"> Petroperú et al. v. </w:t>
      </w:r>
      <w:proofErr w:type="spellStart"/>
      <w:r w:rsidRPr="00992861">
        <w:rPr>
          <w:i/>
        </w:rPr>
        <w:t>Peru</w:t>
      </w:r>
      <w:proofErr w:type="spellEnd"/>
      <w:r w:rsidRPr="00992861">
        <w:rPr>
          <w:i/>
        </w:rPr>
        <w:t>,</w:t>
      </w:r>
      <w:r w:rsidRPr="00992861">
        <w:rPr>
          <w:rStyle w:val="Refdenotaalpie"/>
          <w:i/>
        </w:rPr>
        <w:footnoteReference w:id="461"/>
      </w:r>
      <w:r w:rsidRPr="00992861">
        <w:t xml:space="preserve"> and </w:t>
      </w:r>
      <w:r w:rsidRPr="00992861">
        <w:rPr>
          <w:i/>
        </w:rPr>
        <w:t>San Miguel Sosa et al. v. Venezuela;</w:t>
      </w:r>
      <w:r w:rsidRPr="00992861">
        <w:rPr>
          <w:rStyle w:val="Refdenotaalpie"/>
          <w:i/>
        </w:rPr>
        <w:footnoteReference w:id="462"/>
      </w:r>
      <w:r w:rsidRPr="00992861">
        <w:t xml:space="preserve"> as </w:t>
      </w:r>
      <w:proofErr w:type="spellStart"/>
      <w:r w:rsidRPr="00992861">
        <w:t>well</w:t>
      </w:r>
      <w:proofErr w:type="spellEnd"/>
      <w:r w:rsidRPr="00992861">
        <w:t xml:space="preserve"> as in </w:t>
      </w:r>
      <w:proofErr w:type="spellStart"/>
      <w:r w:rsidRPr="00992861">
        <w:t>my</w:t>
      </w:r>
      <w:proofErr w:type="spellEnd"/>
      <w:r w:rsidRPr="00992861">
        <w:t xml:space="preserve"> </w:t>
      </w:r>
      <w:proofErr w:type="spellStart"/>
      <w:r w:rsidRPr="00992861">
        <w:t>concurring</w:t>
      </w:r>
      <w:proofErr w:type="spellEnd"/>
      <w:r w:rsidRPr="00992861">
        <w:t xml:space="preserve"> </w:t>
      </w:r>
      <w:proofErr w:type="spellStart"/>
      <w:r w:rsidRPr="00992861">
        <w:t>opinions</w:t>
      </w:r>
      <w:proofErr w:type="spellEnd"/>
      <w:r w:rsidRPr="00992861">
        <w:t xml:space="preserve"> in </w:t>
      </w:r>
      <w:proofErr w:type="spellStart"/>
      <w:r w:rsidRPr="00992861">
        <w:t>the</w:t>
      </w:r>
      <w:proofErr w:type="spellEnd"/>
      <w:r w:rsidRPr="00992861">
        <w:t xml:space="preserve"> cases </w:t>
      </w:r>
      <w:proofErr w:type="spellStart"/>
      <w:r w:rsidRPr="00992861">
        <w:t>of</w:t>
      </w:r>
      <w:proofErr w:type="spellEnd"/>
      <w:r w:rsidRPr="00992861">
        <w:t xml:space="preserve"> </w:t>
      </w:r>
      <w:r w:rsidRPr="00992861">
        <w:rPr>
          <w:i/>
        </w:rPr>
        <w:t xml:space="preserve">Gonzales </w:t>
      </w:r>
      <w:proofErr w:type="spellStart"/>
      <w:r w:rsidRPr="00992861">
        <w:rPr>
          <w:i/>
        </w:rPr>
        <w:t>Lluy</w:t>
      </w:r>
      <w:proofErr w:type="spellEnd"/>
      <w:r w:rsidRPr="00992861">
        <w:rPr>
          <w:i/>
        </w:rPr>
        <w:t xml:space="preserve"> et al. v. Ecuador</w:t>
      </w:r>
      <w:r w:rsidRPr="00992861">
        <w:rPr>
          <w:rStyle w:val="Refdenotaalpie"/>
        </w:rPr>
        <w:footnoteReference w:id="463"/>
      </w:r>
      <w:r w:rsidRPr="00992861">
        <w:rPr>
          <w:i/>
        </w:rPr>
        <w:t xml:space="preserve"> </w:t>
      </w:r>
      <w:r w:rsidRPr="00992861">
        <w:t>and</w:t>
      </w:r>
      <w:r w:rsidRPr="00992861">
        <w:rPr>
          <w:i/>
        </w:rPr>
        <w:t xml:space="preserve"> Poblete Vilches et al. v. Chile.</w:t>
      </w:r>
      <w:r w:rsidRPr="00992861">
        <w:rPr>
          <w:rStyle w:val="Refdenotaalpie"/>
          <w:i/>
        </w:rPr>
        <w:footnoteReference w:id="464"/>
      </w:r>
      <w:r w:rsidRPr="00992861">
        <w:t xml:space="preserve"> I </w:t>
      </w:r>
      <w:proofErr w:type="spellStart"/>
      <w:r w:rsidRPr="00992861">
        <w:t>will</w:t>
      </w:r>
      <w:proofErr w:type="spellEnd"/>
      <w:r w:rsidRPr="00992861">
        <w:t xml:space="preserve"> </w:t>
      </w:r>
      <w:proofErr w:type="spellStart"/>
      <w:r w:rsidRPr="00992861">
        <w:t>make</w:t>
      </w:r>
      <w:proofErr w:type="spellEnd"/>
      <w:r w:rsidRPr="00992861">
        <w:t xml:space="preserve"> </w:t>
      </w:r>
      <w:proofErr w:type="spellStart"/>
      <w:r>
        <w:t>my</w:t>
      </w:r>
      <w:proofErr w:type="spellEnd"/>
      <w:r>
        <w:t xml:space="preserve"> </w:t>
      </w:r>
      <w:proofErr w:type="spellStart"/>
      <w:r w:rsidRPr="00992861">
        <w:t>analysis</w:t>
      </w:r>
      <w:proofErr w:type="spellEnd"/>
      <w:r w:rsidRPr="00992861">
        <w:t xml:space="preserve"> in </w:t>
      </w:r>
      <w:proofErr w:type="spellStart"/>
      <w:r w:rsidRPr="00992861">
        <w:t>the</w:t>
      </w:r>
      <w:proofErr w:type="spellEnd"/>
      <w:r w:rsidRPr="00992861">
        <w:t xml:space="preserve"> </w:t>
      </w:r>
      <w:proofErr w:type="spellStart"/>
      <w:r w:rsidRPr="00992861">
        <w:t>following</w:t>
      </w:r>
      <w:proofErr w:type="spellEnd"/>
      <w:r w:rsidRPr="00992861">
        <w:t xml:space="preserve"> </w:t>
      </w:r>
      <w:proofErr w:type="spellStart"/>
      <w:r w:rsidRPr="00992861">
        <w:t>order</w:t>
      </w:r>
      <w:proofErr w:type="spellEnd"/>
      <w:r w:rsidRPr="00992861">
        <w:rPr>
          <w:rFonts w:cs="Arial"/>
        </w:rPr>
        <w:t xml:space="preserve">: A. </w:t>
      </w:r>
      <w:proofErr w:type="spellStart"/>
      <w:r w:rsidRPr="00992861">
        <w:rPr>
          <w:rFonts w:cs="Arial"/>
        </w:rPr>
        <w:t>The</w:t>
      </w:r>
      <w:proofErr w:type="spellEnd"/>
      <w:r w:rsidRPr="00992861">
        <w:rPr>
          <w:rFonts w:cs="Arial"/>
        </w:rPr>
        <w:t xml:space="preserve"> fundamental, </w:t>
      </w:r>
      <w:proofErr w:type="spellStart"/>
      <w:r w:rsidRPr="00992861">
        <w:rPr>
          <w:rFonts w:cs="Arial"/>
        </w:rPr>
        <w:t>or</w:t>
      </w:r>
      <w:proofErr w:type="spellEnd"/>
      <w:r w:rsidRPr="00992861">
        <w:rPr>
          <w:rFonts w:cs="Arial"/>
        </w:rPr>
        <w:t xml:space="preserve"> social </w:t>
      </w:r>
      <w:proofErr w:type="spellStart"/>
      <w:r w:rsidRPr="00992861">
        <w:rPr>
          <w:rFonts w:cs="Arial"/>
        </w:rPr>
        <w:t>benefit</w:t>
      </w:r>
      <w:proofErr w:type="spellEnd"/>
      <w:r w:rsidRPr="00992861">
        <w:rPr>
          <w:rFonts w:cs="Arial"/>
        </w:rPr>
        <w:t xml:space="preserve">, </w:t>
      </w:r>
      <w:proofErr w:type="spellStart"/>
      <w:r w:rsidRPr="00992861">
        <w:rPr>
          <w:rFonts w:cs="Arial"/>
        </w:rPr>
        <w:t>nature</w:t>
      </w:r>
      <w:proofErr w:type="spellEnd"/>
      <w:r w:rsidRPr="00992861">
        <w:rPr>
          <w:rFonts w:cs="Arial"/>
        </w:rPr>
        <w:t xml:space="preserve"> </w:t>
      </w:r>
      <w:proofErr w:type="spellStart"/>
      <w:r w:rsidRPr="00992861">
        <w:rPr>
          <w:rFonts w:cs="Arial"/>
        </w:rPr>
        <w:t>of</w:t>
      </w:r>
      <w:proofErr w:type="spellEnd"/>
      <w:r w:rsidRPr="00992861">
        <w:rPr>
          <w:rFonts w:cs="Arial"/>
        </w:rPr>
        <w:t xml:space="preserve"> </w:t>
      </w:r>
      <w:proofErr w:type="spellStart"/>
      <w:r w:rsidRPr="00992861">
        <w:rPr>
          <w:rFonts w:cs="Arial"/>
        </w:rPr>
        <w:t>the</w:t>
      </w:r>
      <w:proofErr w:type="spellEnd"/>
      <w:r w:rsidRPr="00992861">
        <w:rPr>
          <w:rFonts w:cs="Arial"/>
        </w:rPr>
        <w:t xml:space="preserve"> </w:t>
      </w:r>
      <w:proofErr w:type="spellStart"/>
      <w:r w:rsidRPr="00992861">
        <w:rPr>
          <w:rFonts w:cs="Arial"/>
        </w:rPr>
        <w:t>right</w:t>
      </w:r>
      <w:proofErr w:type="spellEnd"/>
      <w:r w:rsidRPr="00992861">
        <w:rPr>
          <w:rFonts w:cs="Arial"/>
        </w:rPr>
        <w:t xml:space="preserve"> </w:t>
      </w:r>
      <w:proofErr w:type="spellStart"/>
      <w:r w:rsidRPr="00992861">
        <w:rPr>
          <w:rFonts w:cs="Arial"/>
        </w:rPr>
        <w:t>to</w:t>
      </w:r>
      <w:proofErr w:type="spellEnd"/>
      <w:r w:rsidRPr="00992861">
        <w:rPr>
          <w:rFonts w:cs="Arial"/>
        </w:rPr>
        <w:t xml:space="preserve"> </w:t>
      </w:r>
      <w:proofErr w:type="spellStart"/>
      <w:r w:rsidRPr="00992861">
        <w:rPr>
          <w:rFonts w:cs="Arial"/>
        </w:rPr>
        <w:t>health</w:t>
      </w:r>
      <w:proofErr w:type="spellEnd"/>
      <w:r w:rsidRPr="00992861">
        <w:rPr>
          <w:rFonts w:cs="Arial"/>
        </w:rPr>
        <w:t xml:space="preserve"> in </w:t>
      </w:r>
      <w:proofErr w:type="spellStart"/>
      <w:r w:rsidRPr="00992861">
        <w:rPr>
          <w:rFonts w:cs="Arial"/>
        </w:rPr>
        <w:t>the</w:t>
      </w:r>
      <w:proofErr w:type="spellEnd"/>
      <w:r w:rsidRPr="00992861">
        <w:rPr>
          <w:rFonts w:cs="Arial"/>
        </w:rPr>
        <w:t xml:space="preserve"> American </w:t>
      </w:r>
      <w:proofErr w:type="spellStart"/>
      <w:r w:rsidRPr="00992861">
        <w:rPr>
          <w:rFonts w:cs="Arial"/>
        </w:rPr>
        <w:t>Convention</w:t>
      </w:r>
      <w:proofErr w:type="spellEnd"/>
      <w:r w:rsidRPr="00992861">
        <w:rPr>
          <w:rFonts w:cs="Arial"/>
        </w:rPr>
        <w:t xml:space="preserve"> </w:t>
      </w:r>
      <w:proofErr w:type="spellStart"/>
      <w:r w:rsidRPr="00992861">
        <w:rPr>
          <w:rFonts w:cs="Arial"/>
        </w:rPr>
        <w:t>on</w:t>
      </w:r>
      <w:proofErr w:type="spellEnd"/>
      <w:r w:rsidRPr="00992861">
        <w:rPr>
          <w:rFonts w:cs="Arial"/>
        </w:rPr>
        <w:t xml:space="preserve"> Human </w:t>
      </w:r>
      <w:proofErr w:type="spellStart"/>
      <w:r w:rsidRPr="00992861">
        <w:rPr>
          <w:rFonts w:cs="Arial"/>
        </w:rPr>
        <w:t>Rights</w:t>
      </w:r>
      <w:proofErr w:type="spellEnd"/>
      <w:r w:rsidRPr="00992861">
        <w:rPr>
          <w:rFonts w:cs="Arial"/>
        </w:rPr>
        <w:t xml:space="preserve"> (</w:t>
      </w:r>
      <w:proofErr w:type="spellStart"/>
      <w:r w:rsidRPr="00992861">
        <w:rPr>
          <w:rFonts w:cs="Arial"/>
        </w:rPr>
        <w:t>hereinafter</w:t>
      </w:r>
      <w:proofErr w:type="spellEnd"/>
      <w:r w:rsidRPr="00992861">
        <w:rPr>
          <w:rFonts w:cs="Arial"/>
        </w:rPr>
        <w:t xml:space="preserve"> “</w:t>
      </w:r>
      <w:proofErr w:type="spellStart"/>
      <w:r w:rsidRPr="00992861">
        <w:rPr>
          <w:rFonts w:cs="Arial"/>
        </w:rPr>
        <w:t>the</w:t>
      </w:r>
      <w:proofErr w:type="spellEnd"/>
      <w:r w:rsidRPr="00992861">
        <w:rPr>
          <w:rFonts w:cs="Arial"/>
        </w:rPr>
        <w:t xml:space="preserve"> American </w:t>
      </w:r>
      <w:proofErr w:type="spellStart"/>
      <w:r w:rsidRPr="00992861">
        <w:rPr>
          <w:rFonts w:cs="Arial"/>
        </w:rPr>
        <w:t>Convention</w:t>
      </w:r>
      <w:proofErr w:type="spellEnd"/>
      <w:r w:rsidRPr="00992861">
        <w:rPr>
          <w:rFonts w:cs="Arial"/>
        </w:rPr>
        <w:t xml:space="preserve">” </w:t>
      </w:r>
      <w:proofErr w:type="spellStart"/>
      <w:r w:rsidRPr="00992861">
        <w:rPr>
          <w:rFonts w:cs="Arial"/>
        </w:rPr>
        <w:t>or</w:t>
      </w:r>
      <w:proofErr w:type="spellEnd"/>
      <w:r w:rsidRPr="00992861">
        <w:rPr>
          <w:rFonts w:cs="Arial"/>
        </w:rPr>
        <w:t xml:space="preserve"> “</w:t>
      </w:r>
      <w:proofErr w:type="spellStart"/>
      <w:r w:rsidRPr="00992861">
        <w:rPr>
          <w:rFonts w:cs="Arial"/>
        </w:rPr>
        <w:t>the</w:t>
      </w:r>
      <w:proofErr w:type="spellEnd"/>
      <w:r w:rsidRPr="00992861">
        <w:rPr>
          <w:rFonts w:cs="Arial"/>
        </w:rPr>
        <w:t xml:space="preserve"> </w:t>
      </w:r>
      <w:proofErr w:type="spellStart"/>
      <w:r w:rsidRPr="00992861">
        <w:rPr>
          <w:rFonts w:cs="Arial"/>
        </w:rPr>
        <w:t>Convention</w:t>
      </w:r>
      <w:proofErr w:type="spellEnd"/>
      <w:r w:rsidRPr="00992861">
        <w:rPr>
          <w:rFonts w:cs="Arial"/>
        </w:rPr>
        <w:t xml:space="preserve">”), and B. </w:t>
      </w:r>
      <w:proofErr w:type="spellStart"/>
      <w:r w:rsidRPr="00992861">
        <w:rPr>
          <w:rFonts w:cs="Arial"/>
        </w:rPr>
        <w:t>Guarantees</w:t>
      </w:r>
      <w:proofErr w:type="spellEnd"/>
      <w:r w:rsidRPr="00992861">
        <w:rPr>
          <w:rFonts w:cs="Arial"/>
        </w:rPr>
        <w:t xml:space="preserve"> </w:t>
      </w:r>
      <w:proofErr w:type="spellStart"/>
      <w:r w:rsidRPr="00992861">
        <w:rPr>
          <w:rFonts w:cs="Arial"/>
        </w:rPr>
        <w:t>of</w:t>
      </w:r>
      <w:proofErr w:type="spellEnd"/>
      <w:r w:rsidRPr="00992861">
        <w:rPr>
          <w:rFonts w:cs="Arial"/>
        </w:rPr>
        <w:t xml:space="preserve"> non-</w:t>
      </w:r>
      <w:proofErr w:type="spellStart"/>
      <w:r w:rsidRPr="00992861">
        <w:rPr>
          <w:rFonts w:cs="Arial"/>
        </w:rPr>
        <w:t>repetition</w:t>
      </w:r>
      <w:proofErr w:type="spellEnd"/>
      <w:r w:rsidRPr="00992861">
        <w:rPr>
          <w:rFonts w:cs="Arial"/>
        </w:rPr>
        <w:t xml:space="preserve"> and </w:t>
      </w:r>
      <w:proofErr w:type="spellStart"/>
      <w:r w:rsidRPr="00992861">
        <w:rPr>
          <w:rFonts w:cs="Arial"/>
        </w:rPr>
        <w:t>public</w:t>
      </w:r>
      <w:proofErr w:type="spellEnd"/>
      <w:r w:rsidRPr="00992861">
        <w:rPr>
          <w:rFonts w:cs="Arial"/>
        </w:rPr>
        <w:t xml:space="preserve"> </w:t>
      </w:r>
      <w:proofErr w:type="spellStart"/>
      <w:r w:rsidRPr="00992861">
        <w:rPr>
          <w:rFonts w:cs="Arial"/>
        </w:rPr>
        <w:t>health</w:t>
      </w:r>
      <w:proofErr w:type="spellEnd"/>
      <w:r w:rsidRPr="00992861">
        <w:rPr>
          <w:rFonts w:cs="Arial"/>
        </w:rPr>
        <w:t xml:space="preserve"> </w:t>
      </w:r>
      <w:proofErr w:type="spellStart"/>
      <w:r w:rsidRPr="00992861">
        <w:rPr>
          <w:rFonts w:cs="Arial"/>
        </w:rPr>
        <w:t>policies</w:t>
      </w:r>
      <w:proofErr w:type="spellEnd"/>
      <w:r w:rsidRPr="00992861">
        <w:rPr>
          <w:rFonts w:cs="Arial"/>
        </w:rPr>
        <w:t xml:space="preserve"> in </w:t>
      </w:r>
      <w:proofErr w:type="spellStart"/>
      <w:r w:rsidRPr="00992861">
        <w:rPr>
          <w:rFonts w:cs="Arial"/>
        </w:rPr>
        <w:t>this</w:t>
      </w:r>
      <w:proofErr w:type="spellEnd"/>
      <w:r w:rsidRPr="00992861">
        <w:rPr>
          <w:rFonts w:cs="Arial"/>
        </w:rPr>
        <w:t xml:space="preserve"> case.</w:t>
      </w:r>
    </w:p>
    <w:p w14:paraId="7CCA6386" w14:textId="77777777" w:rsidR="00AF5CC6" w:rsidRPr="00992861" w:rsidRDefault="00AF5CC6" w:rsidP="00AF5CC6">
      <w:pPr>
        <w:pStyle w:val="Prrafodelista"/>
        <w:outlineLvl w:val="0"/>
        <w:rPr>
          <w:rFonts w:cstheme="minorBidi"/>
          <w:szCs w:val="22"/>
        </w:rPr>
      </w:pPr>
    </w:p>
    <w:p w14:paraId="7B590642" w14:textId="77777777" w:rsidR="00AF5CC6" w:rsidRPr="00992861" w:rsidRDefault="00AF5CC6" w:rsidP="00AF5CC6">
      <w:pPr>
        <w:pStyle w:val="Prrafodelista"/>
        <w:widowControl w:val="0"/>
        <w:numPr>
          <w:ilvl w:val="0"/>
          <w:numId w:val="18"/>
        </w:numPr>
        <w:autoSpaceDE w:val="0"/>
        <w:autoSpaceDN w:val="0"/>
        <w:adjustRightInd w:val="0"/>
        <w:ind w:right="22"/>
        <w:outlineLvl w:val="0"/>
        <w:rPr>
          <w:rFonts w:cs="Arial"/>
          <w:b/>
        </w:rPr>
      </w:pPr>
      <w:r w:rsidRPr="00992861">
        <w:rPr>
          <w:rFonts w:cs="Arial"/>
          <w:b/>
        </w:rPr>
        <w:t xml:space="preserve">THE FUNDAMENTAL, OR SOCIAL BENEFIT, NATURE OF THE RIGHT TO HEALTH IN THE AMERICAN CONVENTION </w:t>
      </w:r>
    </w:p>
    <w:p w14:paraId="2152187A" w14:textId="77777777" w:rsidR="00AF5CC6" w:rsidRPr="00992861" w:rsidRDefault="00AF5CC6" w:rsidP="00AF5CC6">
      <w:pPr>
        <w:pStyle w:val="Numberedparagraphs"/>
        <w:numPr>
          <w:ilvl w:val="0"/>
          <w:numId w:val="0"/>
        </w:numPr>
        <w:rPr>
          <w:rFonts w:eastAsia="Times" w:cs="Arial"/>
          <w:i/>
          <w:lang w:val="en-US"/>
        </w:rPr>
      </w:pPr>
    </w:p>
    <w:p w14:paraId="6581B598" w14:textId="77777777" w:rsidR="00AF5CC6" w:rsidRPr="00992861" w:rsidRDefault="00AF5CC6" w:rsidP="00AF5CC6">
      <w:pPr>
        <w:pStyle w:val="Numberedparagraphs"/>
        <w:numPr>
          <w:ilvl w:val="0"/>
          <w:numId w:val="17"/>
        </w:numPr>
        <w:ind w:left="0" w:firstLine="0"/>
        <w:rPr>
          <w:lang w:val="en-US"/>
        </w:rPr>
      </w:pPr>
      <w:r w:rsidRPr="00992861">
        <w:rPr>
          <w:rFonts w:eastAsia="Cambria"/>
          <w:lang w:val="en-US"/>
        </w:rPr>
        <w:t xml:space="preserve">In the judgment in this case, the Court </w:t>
      </w:r>
      <w:r w:rsidRPr="00992861">
        <w:rPr>
          <w:lang w:val="en-US" w:eastAsia="es-MX"/>
        </w:rPr>
        <w:t xml:space="preserve">recalled that </w:t>
      </w:r>
      <w:r w:rsidRPr="00992861">
        <w:rPr>
          <w:rFonts w:eastAsia="Cambria"/>
          <w:lang w:val="en-US"/>
        </w:rPr>
        <w:t>“</w:t>
      </w:r>
      <w:r w:rsidRPr="00992861">
        <w:rPr>
          <w:rFonts w:eastAsia="Times" w:cs="Arial"/>
          <w:lang w:val="en-US"/>
        </w:rPr>
        <w:t xml:space="preserve">the right to health </w:t>
      </w:r>
      <w:r w:rsidRPr="00992861">
        <w:rPr>
          <w:lang w:val="en-US" w:eastAsia="es-ES_tradnl"/>
        </w:rPr>
        <w:t xml:space="preserve">refers to the right of every human being to </w:t>
      </w:r>
      <w:r w:rsidRPr="00992861">
        <w:rPr>
          <w:lang w:val="en-US"/>
        </w:rPr>
        <w:t>enjoy the highest attainable standard of physical, mental and social well-being. This right encompasses prompt and appropriate health care provided in keeping with the principles of availability, accessibility, acceptability and quality.</w:t>
      </w:r>
      <w:r w:rsidRPr="00992861">
        <w:rPr>
          <w:rFonts w:eastAsia="Times" w:cs="Arial"/>
          <w:lang w:val="en-US"/>
        </w:rPr>
        <w:t>”</w:t>
      </w:r>
      <w:r w:rsidRPr="00992861">
        <w:rPr>
          <w:rStyle w:val="Refdenotaalpie"/>
          <w:rFonts w:eastAsia="Times"/>
          <w:lang w:val="en-US"/>
        </w:rPr>
        <w:footnoteReference w:id="465"/>
      </w:r>
      <w:r w:rsidRPr="00992861">
        <w:rPr>
          <w:rFonts w:eastAsia="Times" w:cs="Arial"/>
          <w:lang w:val="en-US"/>
        </w:rPr>
        <w:t xml:space="preserve"> In addition, the Court reiterated that it had recognized health as “</w:t>
      </w:r>
      <w:r w:rsidRPr="00992861">
        <w:rPr>
          <w:rFonts w:eastAsia="Calibri"/>
          <w:lang w:val="en-US"/>
        </w:rPr>
        <w:t>a fundamental human right, essential for the adequate exercise of the other human rights, and that every individual has the right to enjoy the highest attainable standard of health that allows him or her to live a full life, understanding health not only as the absence of disease or illness, but also as a state of complete physical, mental and social well-being, derived from a lifestyle that allows the individual to achieve an overall balance</w:t>
      </w:r>
      <w:r w:rsidRPr="00992861">
        <w:rPr>
          <w:rFonts w:eastAsia="Times" w:cs="Arial"/>
          <w:lang w:val="en-US"/>
        </w:rPr>
        <w:t xml:space="preserve">.” In addition, the Court </w:t>
      </w:r>
      <w:r w:rsidRPr="00992861">
        <w:rPr>
          <w:rFonts w:eastAsia="Calibri"/>
          <w:lang w:val="en-US"/>
        </w:rPr>
        <w:t xml:space="preserve">has specified that “the general obligation to protect health results in the State </w:t>
      </w:r>
      <w:r w:rsidRPr="00992861">
        <w:rPr>
          <w:rFonts w:eastAsia="Calibri"/>
          <w:lang w:val="en-US"/>
        </w:rPr>
        <w:lastRenderedPageBreak/>
        <w:t>obligation to ensure access to essential health services, guaranteeing good quality and efficient</w:t>
      </w:r>
      <w:r w:rsidRPr="00992861">
        <w:rPr>
          <w:rFonts w:eastAsia="Calibri"/>
          <w:i/>
          <w:lang w:val="en-US"/>
        </w:rPr>
        <w:t xml:space="preserve"> </w:t>
      </w:r>
      <w:r w:rsidRPr="00992861">
        <w:rPr>
          <w:rFonts w:eastAsia="Calibri"/>
          <w:lang w:val="en-US"/>
        </w:rPr>
        <w:t>medical care, and to promote the improvement of the health of the population as a whole.</w:t>
      </w:r>
      <w:r w:rsidRPr="00992861">
        <w:rPr>
          <w:lang w:val="en-US"/>
        </w:rPr>
        <w:t>”</w:t>
      </w:r>
      <w:r w:rsidRPr="00992861">
        <w:rPr>
          <w:rStyle w:val="Refdenotaalpie"/>
          <w:rFonts w:eastAsia="Times"/>
          <w:lang w:val="en-US"/>
        </w:rPr>
        <w:footnoteReference w:id="466"/>
      </w:r>
      <w:r w:rsidRPr="00992861">
        <w:rPr>
          <w:lang w:val="en-US"/>
        </w:rPr>
        <w:t xml:space="preserve"> In addition, </w:t>
      </w:r>
      <w:r w:rsidRPr="00992861">
        <w:rPr>
          <w:rFonts w:eastAsia="Times" w:cs="Arial"/>
          <w:lang w:val="en-US"/>
        </w:rPr>
        <w:t>the Court recalled that the dual scope of the economic, social, cultural and environmental rights (hereinafter “the ESCER”), and of the right to health, contained in Article 26 of the American Convention, may result in obligations that are enforceable immediately or in obligations of a progressive nature.</w:t>
      </w:r>
      <w:r w:rsidRPr="00992861">
        <w:rPr>
          <w:rStyle w:val="Refdenotaalpie"/>
          <w:rFonts w:eastAsia="Times"/>
          <w:lang w:val="en-US"/>
        </w:rPr>
        <w:footnoteReference w:id="467"/>
      </w:r>
    </w:p>
    <w:p w14:paraId="3C2067AE" w14:textId="77777777" w:rsidR="00AF5CC6" w:rsidRPr="00992861" w:rsidRDefault="00AF5CC6" w:rsidP="00AF5CC6">
      <w:pPr>
        <w:pStyle w:val="Numberedparagraphs"/>
        <w:numPr>
          <w:ilvl w:val="0"/>
          <w:numId w:val="0"/>
        </w:numPr>
        <w:rPr>
          <w:lang w:val="en-US"/>
        </w:rPr>
      </w:pPr>
    </w:p>
    <w:p w14:paraId="4236416C" w14:textId="77777777" w:rsidR="00AF5CC6" w:rsidRPr="00992861" w:rsidRDefault="00AF5CC6" w:rsidP="00AF5CC6">
      <w:pPr>
        <w:pStyle w:val="Numberedparagraphs"/>
        <w:numPr>
          <w:ilvl w:val="0"/>
          <w:numId w:val="17"/>
        </w:numPr>
        <w:ind w:left="0" w:hanging="11"/>
        <w:rPr>
          <w:lang w:val="en-US"/>
        </w:rPr>
      </w:pPr>
      <w:r w:rsidRPr="00992861">
        <w:rPr>
          <w:lang w:val="en-US"/>
        </w:rPr>
        <w:t>In this case, and in relation to the obligations of immediate enforceability, the judgment concluded that the Court found it proved that, prior to 2004, the presumed victims “</w:t>
      </w:r>
      <w:r w:rsidRPr="00992861">
        <w:rPr>
          <w:rFonts w:eastAsia="Times" w:cs="Arial"/>
          <w:lang w:val="en-US"/>
        </w:rPr>
        <w:t>had not received any kind of State medical treatment or that such treatment was ineffective to treat their condition as people living with HIV.”</w:t>
      </w:r>
      <w:r w:rsidRPr="00992861">
        <w:rPr>
          <w:rStyle w:val="Refdenotaalpie"/>
          <w:rFonts w:eastAsia="Times"/>
          <w:lang w:val="en-US"/>
        </w:rPr>
        <w:footnoteReference w:id="468"/>
      </w:r>
      <w:r w:rsidRPr="00992861">
        <w:rPr>
          <w:rFonts w:eastAsia="Times" w:cs="Arial"/>
          <w:lang w:val="en-US"/>
        </w:rPr>
        <w:t xml:space="preserve"> Consequently, it asserted that the State was responsible for “violating the obligation to ensure the right to health, pursuant to Article 26 of the American Convention, in relation to Article 1(1) of this instrument, of the 49 people named as victims in Annex 2 to this judgment.”</w:t>
      </w:r>
      <w:r w:rsidRPr="00992861">
        <w:rPr>
          <w:rStyle w:val="Refdenotaalpie"/>
          <w:rFonts w:eastAsia="Times"/>
          <w:lang w:val="en-US"/>
        </w:rPr>
        <w:footnoteReference w:id="469"/>
      </w:r>
      <w:r w:rsidRPr="00992861">
        <w:rPr>
          <w:rFonts w:eastAsia="Times" w:cs="Arial"/>
          <w:lang w:val="en-US"/>
        </w:rPr>
        <w:t xml:space="preserve"> In addition, the Court’s judgment concluded that, “since the irregular, inadequate or total lack of access to antiretroviral drugs, the lack of access to periodic CD4 counts, and viral load, phenotype and genotype testing, the inadequate or total lack of social support, and the impossibility of access to the health centers for financial reasons or the location of the homes of some of the presumed victims has been proved, the State failed to comply with its obligation to guarantee the right to health because its omissions are incompatible with the elements of the availability, accessibility and quality of health care</w:t>
      </w:r>
      <w:r w:rsidRPr="00992861">
        <w:rPr>
          <w:lang w:val="en-US"/>
        </w:rPr>
        <w:t>.</w:t>
      </w:r>
      <w:r w:rsidRPr="00992861">
        <w:rPr>
          <w:rFonts w:eastAsia="Times" w:cs="Arial"/>
          <w:lang w:val="en-US"/>
        </w:rPr>
        <w:t>”</w:t>
      </w:r>
      <w:r w:rsidRPr="00992861">
        <w:rPr>
          <w:rStyle w:val="Refdenotaalpie"/>
          <w:rFonts w:eastAsia="Times"/>
          <w:lang w:val="en-US"/>
        </w:rPr>
        <w:footnoteReference w:id="470"/>
      </w:r>
      <w:r w:rsidRPr="00992861">
        <w:rPr>
          <w:lang w:val="en-US"/>
        </w:rPr>
        <w:t xml:space="preserve"> </w:t>
      </w:r>
    </w:p>
    <w:p w14:paraId="3678A374" w14:textId="77777777" w:rsidR="00AF5CC6" w:rsidRPr="00992861" w:rsidRDefault="00AF5CC6" w:rsidP="00AF5CC6">
      <w:pPr>
        <w:pStyle w:val="Numberedparagraphs"/>
        <w:numPr>
          <w:ilvl w:val="0"/>
          <w:numId w:val="0"/>
        </w:numPr>
        <w:rPr>
          <w:rFonts w:eastAsia="Times" w:cs="Arial"/>
          <w:lang w:val="en-US"/>
        </w:rPr>
      </w:pPr>
    </w:p>
    <w:p w14:paraId="4D235D1A" w14:textId="77777777" w:rsidR="00AF5CC6" w:rsidRPr="00992861" w:rsidRDefault="00AF5CC6" w:rsidP="00AF5CC6">
      <w:pPr>
        <w:pStyle w:val="Numberedparagraphs"/>
        <w:numPr>
          <w:ilvl w:val="0"/>
          <w:numId w:val="17"/>
        </w:numPr>
        <w:ind w:left="0" w:firstLine="0"/>
        <w:rPr>
          <w:lang w:val="en-US"/>
        </w:rPr>
      </w:pPr>
      <w:r w:rsidRPr="00992861">
        <w:rPr>
          <w:rFonts w:eastAsia="Times" w:cs="Arial"/>
          <w:lang w:val="en-US"/>
        </w:rPr>
        <w:t>In addition to declaring the violation of Article 26 for the said reasons, the Court concluded that the State was responsible for the violation of the rights to life and to personal integrity recognized in Articles 4 and 5 of the American Convention. In this regard, the Court verified diverse omissions in the medical care provided to the presumed victims who had died and considered that the State had failed to comply with its obligation to ensure antiretroviral therapy, perform the necessary diagnostic tests for the care and treatment of HIV and opportunistic infections, and provide social support.</w:t>
      </w:r>
      <w:r w:rsidRPr="00992861">
        <w:rPr>
          <w:rStyle w:val="Refdenotaalpie"/>
          <w:lang w:val="en-US"/>
        </w:rPr>
        <w:footnoteReference w:id="471"/>
      </w:r>
      <w:r w:rsidRPr="00992861">
        <w:rPr>
          <w:lang w:val="en-US"/>
        </w:rPr>
        <w:t xml:space="preserve"> Accordingly, the Court found it proved that a causal nexus existed between the State’s omissions in relation to the medical treatment and the cause of death of the presumed victims, when death had been caused by an opportunistic infection, and therefore concluded that the State was responsible for violating the obligation to ensure the right to life contained in Article 4(1) of the Convention.</w:t>
      </w:r>
      <w:r w:rsidRPr="00992861">
        <w:rPr>
          <w:rStyle w:val="Refdenotaalpie"/>
          <w:rFonts w:eastAsia="Times"/>
          <w:lang w:val="en-US"/>
        </w:rPr>
        <w:footnoteReference w:id="472"/>
      </w:r>
      <w:r w:rsidRPr="00992861">
        <w:rPr>
          <w:lang w:val="en-US"/>
        </w:rPr>
        <w:t xml:space="preserve"> Furthermore, it found that 46 presumed victims have suffered </w:t>
      </w:r>
      <w:r>
        <w:rPr>
          <w:lang w:val="en-US"/>
        </w:rPr>
        <w:t xml:space="preserve">adverse </w:t>
      </w:r>
      <w:r w:rsidRPr="00992861">
        <w:rPr>
          <w:lang w:val="en-US"/>
        </w:rPr>
        <w:t xml:space="preserve">physical and mental effects as a result of their condition as people living with HIV and noted the existence of a causal nexus between the lack of adequate medical treatment for the presumed victims and the physical and mental effects they suffered as people </w:t>
      </w:r>
      <w:r w:rsidRPr="00992861">
        <w:rPr>
          <w:lang w:val="en-US"/>
        </w:rPr>
        <w:lastRenderedPageBreak/>
        <w:t>living with HIV</w:t>
      </w:r>
      <w:r w:rsidRPr="00992861">
        <w:rPr>
          <w:rFonts w:eastAsia="Times" w:cs="Arial"/>
          <w:lang w:val="en-US"/>
        </w:rPr>
        <w:t>. The Court therefore concluded that the State was responsible for the violation of the right to personal integrity of these individuals.</w:t>
      </w:r>
      <w:r w:rsidRPr="00992861">
        <w:rPr>
          <w:rStyle w:val="Refdenotaalpie"/>
          <w:rFonts w:eastAsia="Times"/>
          <w:lang w:val="en-US"/>
        </w:rPr>
        <w:footnoteReference w:id="473"/>
      </w:r>
      <w:r w:rsidRPr="00992861">
        <w:rPr>
          <w:rFonts w:eastAsia="Times" w:cs="Arial"/>
          <w:lang w:val="en-US"/>
        </w:rPr>
        <w:t xml:space="preserve"> </w:t>
      </w:r>
    </w:p>
    <w:p w14:paraId="60B77E9E" w14:textId="77777777" w:rsidR="00AF5CC6" w:rsidRPr="00992861" w:rsidRDefault="00AF5CC6" w:rsidP="00AF5CC6">
      <w:pPr>
        <w:pStyle w:val="Numberedparagraphs"/>
        <w:numPr>
          <w:ilvl w:val="0"/>
          <w:numId w:val="0"/>
        </w:numPr>
        <w:rPr>
          <w:lang w:val="en-US"/>
        </w:rPr>
      </w:pPr>
    </w:p>
    <w:p w14:paraId="7A815ADF" w14:textId="77777777" w:rsidR="00AF5CC6" w:rsidRPr="00992861" w:rsidRDefault="00AF5CC6" w:rsidP="00AF5CC6">
      <w:pPr>
        <w:pStyle w:val="Numberedparagraphs"/>
        <w:numPr>
          <w:ilvl w:val="0"/>
          <w:numId w:val="17"/>
        </w:numPr>
        <w:ind w:left="0" w:firstLine="0"/>
        <w:rPr>
          <w:rFonts w:eastAsia="Verdana" w:cs="Verdana"/>
          <w:lang w:val="en-US"/>
        </w:rPr>
      </w:pPr>
      <w:r w:rsidRPr="00992861">
        <w:rPr>
          <w:rFonts w:eastAsia="Verdana" w:cs="Verdana"/>
          <w:lang w:val="en-US"/>
        </w:rPr>
        <w:t>From reading these different parts of the judgment, it is possible to observe, as in previous cases before the Court,</w:t>
      </w:r>
      <w:r w:rsidRPr="00992861">
        <w:rPr>
          <w:rStyle w:val="Refdenotaalpie"/>
          <w:rFonts w:eastAsia="Times"/>
          <w:lang w:val="en-US"/>
        </w:rPr>
        <w:footnoteReference w:id="474"/>
      </w:r>
      <w:r w:rsidRPr="00992861">
        <w:rPr>
          <w:rFonts w:eastAsia="Verdana" w:cs="Verdana"/>
          <w:lang w:val="en-US"/>
        </w:rPr>
        <w:t xml:space="preserve"> that the analysis of the violation of the right to health is closely linked to the violations of the rights to life and to personal integrity of the victims in this case. In reality, it is quite difficult, if not impossible</w:t>
      </w:r>
      <w:r>
        <w:rPr>
          <w:rFonts w:eastAsia="Verdana" w:cs="Verdana"/>
          <w:lang w:val="en-US"/>
        </w:rPr>
        <w:t>,</w:t>
      </w:r>
      <w:r w:rsidRPr="00992861">
        <w:rPr>
          <w:rFonts w:eastAsia="Verdana" w:cs="Verdana"/>
          <w:lang w:val="en-US"/>
        </w:rPr>
        <w:t xml:space="preserve"> to discern where the internationally wrongful act begins and where it ends in relation to each of the rights that the Court has declared violated. </w:t>
      </w:r>
      <w:r>
        <w:rPr>
          <w:rFonts w:eastAsia="Verdana" w:cs="Verdana"/>
          <w:lang w:val="en-US"/>
        </w:rPr>
        <w:t>Thus</w:t>
      </w:r>
      <w:r w:rsidRPr="00992861">
        <w:rPr>
          <w:rFonts w:eastAsia="Verdana" w:cs="Verdana"/>
          <w:lang w:val="en-US"/>
        </w:rPr>
        <w:t xml:space="preserve">, it can be claimed that the considerations on the State’s obligations in the area of health that appear in the judgment make practical sense when they are reflected in the analysis of Articles 4(1) and 5(1) of the Convention. In my opinion, as in the case of </w:t>
      </w:r>
      <w:r w:rsidRPr="00992861">
        <w:rPr>
          <w:i/>
          <w:szCs w:val="16"/>
          <w:lang w:val="en-US"/>
        </w:rPr>
        <w:t xml:space="preserve">Poblete </w:t>
      </w:r>
      <w:proofErr w:type="spellStart"/>
      <w:r w:rsidRPr="00992861">
        <w:rPr>
          <w:i/>
          <w:szCs w:val="16"/>
          <w:lang w:val="en-US"/>
        </w:rPr>
        <w:t>Vilches</w:t>
      </w:r>
      <w:proofErr w:type="spellEnd"/>
      <w:r w:rsidRPr="00992861">
        <w:rPr>
          <w:i/>
          <w:szCs w:val="16"/>
          <w:lang w:val="en-US"/>
        </w:rPr>
        <w:t xml:space="preserve"> et al. v. Chile, </w:t>
      </w:r>
      <w:r w:rsidRPr="00992861">
        <w:rPr>
          <w:rFonts w:eastAsia="Verdana" w:cs="Verdana"/>
          <w:lang w:val="en-US"/>
        </w:rPr>
        <w:t xml:space="preserve">it </w:t>
      </w:r>
      <w:r>
        <w:rPr>
          <w:rFonts w:eastAsia="Verdana" w:cs="Verdana"/>
          <w:lang w:val="en-US"/>
        </w:rPr>
        <w:t>wa</w:t>
      </w:r>
      <w:r w:rsidRPr="00992861">
        <w:rPr>
          <w:rFonts w:eastAsia="Verdana" w:cs="Verdana"/>
          <w:lang w:val="en-US"/>
        </w:rPr>
        <w:t>s unnecessary to analyze Article 26 understood autonomous</w:t>
      </w:r>
      <w:r>
        <w:rPr>
          <w:rFonts w:eastAsia="Verdana" w:cs="Verdana"/>
          <w:lang w:val="en-US"/>
        </w:rPr>
        <w:t>l</w:t>
      </w:r>
      <w:r w:rsidRPr="00992861">
        <w:rPr>
          <w:rFonts w:eastAsia="Verdana" w:cs="Verdana"/>
          <w:lang w:val="en-US"/>
        </w:rPr>
        <w:t>y, even though it has great relevance when it is considered in connection with the rights to life and to personal integrity.</w:t>
      </w:r>
      <w:r w:rsidRPr="00992861">
        <w:rPr>
          <w:rStyle w:val="Refdenotaalpie"/>
          <w:i/>
          <w:lang w:val="en-US"/>
        </w:rPr>
        <w:footnoteReference w:id="475"/>
      </w:r>
      <w:r w:rsidRPr="00992861">
        <w:rPr>
          <w:rFonts w:eastAsia="Verdana" w:cs="Verdana"/>
          <w:lang w:val="en-US"/>
        </w:rPr>
        <w:t xml:space="preserve"> Indeed, in this specific case, such an analysis involve</w:t>
      </w:r>
      <w:r>
        <w:rPr>
          <w:rFonts w:eastAsia="Verdana" w:cs="Verdana"/>
          <w:lang w:val="en-US"/>
        </w:rPr>
        <w:t>d</w:t>
      </w:r>
      <w:r w:rsidRPr="00992861">
        <w:rPr>
          <w:rFonts w:eastAsia="Verdana" w:cs="Verdana"/>
          <w:lang w:val="en-US"/>
        </w:rPr>
        <w:t xml:space="preserve"> an unnecessary duplication as regards the declaration of the treaty-based rights that have been violated, </w:t>
      </w:r>
      <w:r>
        <w:rPr>
          <w:rFonts w:eastAsia="Verdana" w:cs="Verdana"/>
          <w:lang w:val="en-US"/>
        </w:rPr>
        <w:t>as revealed by the fact that</w:t>
      </w:r>
      <w:r w:rsidRPr="00992861">
        <w:rPr>
          <w:rFonts w:eastAsia="Verdana" w:cs="Verdana"/>
          <w:lang w:val="en-US"/>
        </w:rPr>
        <w:t xml:space="preserve"> the acts and omission</w:t>
      </w:r>
      <w:r>
        <w:rPr>
          <w:rFonts w:eastAsia="Verdana" w:cs="Verdana"/>
          <w:lang w:val="en-US"/>
        </w:rPr>
        <w:t>s</w:t>
      </w:r>
      <w:r w:rsidRPr="00992861">
        <w:rPr>
          <w:rFonts w:eastAsia="Verdana" w:cs="Verdana"/>
          <w:lang w:val="en-US"/>
        </w:rPr>
        <w:t xml:space="preserve"> attributed to the State as violating the rights to health, life and personal integrity are, in essence, the same. </w:t>
      </w:r>
    </w:p>
    <w:p w14:paraId="4F88174B" w14:textId="77777777" w:rsidR="00AF5CC6" w:rsidRPr="00992861" w:rsidRDefault="00AF5CC6" w:rsidP="00AF5CC6">
      <w:pPr>
        <w:rPr>
          <w:rFonts w:eastAsia="Verdana"/>
        </w:rPr>
      </w:pPr>
    </w:p>
    <w:p w14:paraId="32F282DF" w14:textId="77777777" w:rsidR="00AF5CC6" w:rsidRPr="00992861" w:rsidRDefault="00AF5CC6" w:rsidP="00AF5CC6">
      <w:pPr>
        <w:pStyle w:val="Numberedparagraphs"/>
        <w:numPr>
          <w:ilvl w:val="0"/>
          <w:numId w:val="17"/>
        </w:numPr>
        <w:ind w:left="0" w:firstLine="0"/>
        <w:rPr>
          <w:rFonts w:eastAsia="Verdana" w:cs="Verdana"/>
          <w:lang w:val="en-US"/>
        </w:rPr>
      </w:pPr>
      <w:r w:rsidRPr="00992861">
        <w:rPr>
          <w:rFonts w:eastAsia="Verdana" w:cs="Verdana"/>
          <w:lang w:val="en-US"/>
        </w:rPr>
        <w:t xml:space="preserve">This underlines the prudence of the thesis that maintains that the right to health should be analyzed, in its “individual” aspect, in relation to the connected fundamental rights that may be affected; in this case the rights to personal integrity </w:t>
      </w:r>
      <w:r>
        <w:rPr>
          <w:rFonts w:eastAsia="Verdana" w:cs="Verdana"/>
          <w:lang w:val="en-US"/>
        </w:rPr>
        <w:t xml:space="preserve">and </w:t>
      </w:r>
      <w:r w:rsidRPr="00992861">
        <w:rPr>
          <w:rFonts w:eastAsia="Verdana" w:cs="Verdana"/>
          <w:lang w:val="en-US"/>
        </w:rPr>
        <w:t>to life, and in its “progressive” aspect, in relation to the sufficiency of the health services provided by the State. Approaching the analysis in this way would allow the Court, on the one hand, to identify when the State’s actions in the area of health services</w:t>
      </w:r>
      <w:r>
        <w:rPr>
          <w:rFonts w:eastAsia="Verdana" w:cs="Verdana"/>
          <w:lang w:val="en-US"/>
        </w:rPr>
        <w:t xml:space="preserve"> can be linked to</w:t>
      </w:r>
      <w:r w:rsidRPr="00992861">
        <w:rPr>
          <w:rFonts w:eastAsia="Verdana" w:cs="Verdana"/>
          <w:lang w:val="en-US"/>
        </w:rPr>
        <w:t xml:space="preserve"> the violation of the personal integrity or the life of an individual and, on the other hand, to evaluate when the State’s public policy in the area of the ESCER is, </w:t>
      </w:r>
      <w:r w:rsidRPr="00992861">
        <w:rPr>
          <w:rFonts w:eastAsia="Verdana" w:cs="Verdana"/>
          <w:i/>
          <w:lang w:val="en-US"/>
        </w:rPr>
        <w:t>per se</w:t>
      </w:r>
      <w:r w:rsidRPr="00992861">
        <w:rPr>
          <w:rFonts w:eastAsia="Verdana" w:cs="Verdana"/>
          <w:lang w:val="en-US"/>
        </w:rPr>
        <w:t>, a violation of the obligations of progressivity established in Article 26 of the Convention. In the former hypothesis, the analysis would be made based on Article 4 and/or 5 in relation to Articles 26 and 1(1) of the Convention and, in the second, it would be made directly on the basis of Article 26 in relation to Article 1(1) of this instrument.</w:t>
      </w:r>
      <w:r w:rsidRPr="00992861">
        <w:rPr>
          <w:rStyle w:val="Refdenotaalpie"/>
          <w:rFonts w:eastAsia="Times"/>
          <w:lang w:val="en-US"/>
        </w:rPr>
        <w:footnoteReference w:id="476"/>
      </w:r>
    </w:p>
    <w:p w14:paraId="1C936AB3" w14:textId="77777777" w:rsidR="00AF5CC6" w:rsidRPr="00992861" w:rsidRDefault="00AF5CC6" w:rsidP="00AF5CC6">
      <w:pPr>
        <w:pStyle w:val="Numberedparagraphs"/>
        <w:numPr>
          <w:ilvl w:val="0"/>
          <w:numId w:val="0"/>
        </w:numPr>
        <w:rPr>
          <w:rFonts w:eastAsia="Verdana" w:cs="Verdana"/>
          <w:lang w:val="en-US"/>
        </w:rPr>
      </w:pPr>
    </w:p>
    <w:p w14:paraId="5E7105A7" w14:textId="77777777" w:rsidR="00AF5CC6" w:rsidRPr="00992861" w:rsidRDefault="00AF5CC6" w:rsidP="00AF5CC6">
      <w:pPr>
        <w:pStyle w:val="Numberedparagraphs"/>
        <w:numPr>
          <w:ilvl w:val="0"/>
          <w:numId w:val="17"/>
        </w:numPr>
        <w:ind w:left="0" w:firstLine="0"/>
        <w:rPr>
          <w:rFonts w:eastAsia="Verdana" w:cs="Verdana"/>
          <w:lang w:val="en-US"/>
        </w:rPr>
      </w:pPr>
      <w:r w:rsidRPr="00992861">
        <w:rPr>
          <w:rFonts w:eastAsia="Verdana" w:cs="Verdana"/>
          <w:lang w:val="en-US"/>
        </w:rPr>
        <w:t>In addition, as I have already indicated in other cases, the use of connectivity as a mechanism for the indirect protection of the ESCER can be an effective mechanism for the protection and guarantee of the rights of the victims, while it has not been demonstrated that this type of protection does not guarantee rights.</w:t>
      </w:r>
      <w:r w:rsidRPr="00992861">
        <w:rPr>
          <w:rStyle w:val="Refdenotaalpie"/>
          <w:rFonts w:eastAsia="Times"/>
          <w:lang w:val="en-US"/>
        </w:rPr>
        <w:footnoteReference w:id="477"/>
      </w:r>
      <w:r w:rsidRPr="00992861">
        <w:rPr>
          <w:rFonts w:eastAsia="Verdana" w:cs="Verdana"/>
          <w:lang w:val="en-US"/>
        </w:rPr>
        <w:t xml:space="preserve"> This line of argument does not prevent the Court from making important progress </w:t>
      </w:r>
      <w:r>
        <w:rPr>
          <w:rFonts w:eastAsia="Verdana" w:cs="Verdana"/>
          <w:lang w:val="en-US"/>
        </w:rPr>
        <w:t>concerning</w:t>
      </w:r>
      <w:r w:rsidRPr="00992861">
        <w:rPr>
          <w:rFonts w:eastAsia="Verdana" w:cs="Verdana"/>
          <w:lang w:val="en-US"/>
        </w:rPr>
        <w:t xml:space="preserve"> the requirements of </w:t>
      </w:r>
      <w:r>
        <w:rPr>
          <w:rFonts w:eastAsia="Verdana" w:cs="Verdana"/>
          <w:lang w:val="en-US"/>
        </w:rPr>
        <w:t xml:space="preserve">the </w:t>
      </w:r>
      <w:r w:rsidRPr="00992861">
        <w:rPr>
          <w:rFonts w:eastAsia="Verdana" w:cs="Verdana"/>
          <w:lang w:val="en-US"/>
        </w:rPr>
        <w:t>availability, accessibility, acceptability and quality of the provision of health services, and the obligation to regulate, monitor and supervise the provision of services in private health care centers. This does not entail the creation of a new right, but rather gives content and scope to rights such as to life and to integrity which are recognized in the Convention and, therefore, accepted by the States Parties.</w:t>
      </w:r>
      <w:r w:rsidRPr="00992861">
        <w:rPr>
          <w:rStyle w:val="Refdenotaalpie"/>
          <w:rFonts w:eastAsia="Times"/>
          <w:lang w:val="en-US"/>
        </w:rPr>
        <w:footnoteReference w:id="478"/>
      </w:r>
      <w:r w:rsidRPr="00992861">
        <w:rPr>
          <w:rFonts w:eastAsia="Verdana" w:cs="Verdana"/>
          <w:lang w:val="en-US"/>
        </w:rPr>
        <w:t xml:space="preserve"> </w:t>
      </w:r>
    </w:p>
    <w:p w14:paraId="30F2D373" w14:textId="77777777" w:rsidR="00AF5CC6" w:rsidRPr="00992861" w:rsidRDefault="00AF5CC6" w:rsidP="00AF5CC6">
      <w:pPr>
        <w:pStyle w:val="Numberedparagraphs"/>
        <w:numPr>
          <w:ilvl w:val="0"/>
          <w:numId w:val="0"/>
        </w:numPr>
        <w:rPr>
          <w:lang w:val="en-US"/>
        </w:rPr>
      </w:pPr>
    </w:p>
    <w:p w14:paraId="6EA6BF50" w14:textId="77777777" w:rsidR="00AF5CC6" w:rsidRPr="00992861" w:rsidRDefault="00AF5CC6" w:rsidP="00AF5CC6">
      <w:pPr>
        <w:pStyle w:val="Numberedparagraphs"/>
        <w:numPr>
          <w:ilvl w:val="0"/>
          <w:numId w:val="17"/>
        </w:numPr>
        <w:ind w:left="0" w:firstLine="0"/>
        <w:rPr>
          <w:lang w:val="en-US"/>
        </w:rPr>
      </w:pPr>
      <w:r w:rsidRPr="00992861">
        <w:rPr>
          <w:lang w:val="en-US"/>
        </w:rPr>
        <w:t xml:space="preserve">Furthermore, I find that the considerations developed in the judgment refer back to, or may be understood in the context of, the existing debate on the characteristics and nature of the right to health. On this issue, I share the opinion of the Constitutional Court of Colombia that the nature of the right to health may be understood in several ways. A first way would consist in analyzing it as a right of a “social benefit” nature, that it will be viable to protect provided it is closely and inseparably </w:t>
      </w:r>
      <w:r w:rsidRPr="00992861">
        <w:rPr>
          <w:rFonts w:eastAsia="Verdana" w:cs="Verdana"/>
          <w:lang w:val="en-US"/>
        </w:rPr>
        <w:t>linked to rights such as to life and to personal integrity or embodied in a right of a subjective nature when the services included in the different health care plans are unknown. The right to health can also be understood as an autonomous fundamental right when it is materialized in a subjective or individual guarantee derived from human dignity.</w:t>
      </w:r>
      <w:r w:rsidRPr="00992861">
        <w:rPr>
          <w:rStyle w:val="Refdenotaalpie"/>
          <w:rFonts w:eastAsia="Verdana"/>
          <w:lang w:val="en-US"/>
        </w:rPr>
        <w:footnoteReference w:id="479"/>
      </w:r>
      <w:r w:rsidRPr="00992861">
        <w:rPr>
          <w:lang w:val="en-US"/>
        </w:rPr>
        <w:t xml:space="preserve"> On this point, I would like to underline the most recent case law of the Colombian Constitutional Court which has consolidated around the latter position after having asserted, at a previous stage, that the nature of this right was essentially that of a social benefit.</w:t>
      </w:r>
      <w:r w:rsidRPr="00992861">
        <w:rPr>
          <w:rStyle w:val="Refdenotaalpie"/>
          <w:rFonts w:eastAsia="Verdana"/>
          <w:lang w:val="en-US"/>
        </w:rPr>
        <w:footnoteReference w:id="480"/>
      </w:r>
    </w:p>
    <w:p w14:paraId="0E06466B" w14:textId="77777777" w:rsidR="00AF5CC6" w:rsidRPr="00992861" w:rsidRDefault="00AF5CC6" w:rsidP="00AF5CC6">
      <w:pPr>
        <w:pStyle w:val="Numberedparagraphs"/>
        <w:numPr>
          <w:ilvl w:val="0"/>
          <w:numId w:val="0"/>
        </w:numPr>
        <w:rPr>
          <w:lang w:val="en-US"/>
        </w:rPr>
      </w:pPr>
    </w:p>
    <w:p w14:paraId="21C82F25" w14:textId="77777777" w:rsidR="00AF5CC6" w:rsidRPr="00992861" w:rsidRDefault="00AF5CC6" w:rsidP="00AF5CC6">
      <w:pPr>
        <w:pStyle w:val="Numberedparagraphs"/>
        <w:numPr>
          <w:ilvl w:val="0"/>
          <w:numId w:val="17"/>
        </w:numPr>
        <w:ind w:left="0" w:firstLine="0"/>
        <w:rPr>
          <w:rFonts w:ascii="Times" w:eastAsia="Times New Roman" w:hAnsi="Times"/>
          <w:lang w:val="en-US"/>
        </w:rPr>
      </w:pPr>
      <w:r w:rsidRPr="00992861">
        <w:rPr>
          <w:lang w:val="en-US"/>
        </w:rPr>
        <w:t>The judgment of the Inter-American Court in this case advances, precisely, a similar idea when, based on the provisions of the American Convention, and of Article 26 of this instrument, it assigns to this right the characteristics of a fundamental right that would also be essential and instrumental for the exercise of the other human rights (</w:t>
      </w:r>
      <w:r w:rsidRPr="00992861">
        <w:rPr>
          <w:i/>
          <w:lang w:val="en-US"/>
        </w:rPr>
        <w:t>supra</w:t>
      </w:r>
      <w:r w:rsidRPr="00992861">
        <w:rPr>
          <w:lang w:val="en-US"/>
        </w:rPr>
        <w:t xml:space="preserve"> para. 1). This means that the said right is peremptory for the States that signed this international instrument, which results in their duty to guarantee access to essential health services for everyone. Even though it could be found that this interpretation by the Inter-American Court </w:t>
      </w:r>
      <w:r>
        <w:rPr>
          <w:lang w:val="en-US"/>
        </w:rPr>
        <w:t xml:space="preserve">is in line with or </w:t>
      </w:r>
      <w:r w:rsidRPr="00992861">
        <w:rPr>
          <w:lang w:val="en-US"/>
        </w:rPr>
        <w:t xml:space="preserve">corresponds to the most recent developments of one of the region’s States, as in the case of Colombia, it is not clear whether the same conclusion could be reached for the other States. I find that the Court’s assertion is not reasonable because it is overly general and does not take into consideration the different contexts, their peculiarities, the reality of the discussions that have been held in each of those States, the different designs of the national legal and constitutional systems, or simply the real possibility of implementing such declarations. </w:t>
      </w:r>
      <w:r>
        <w:rPr>
          <w:lang w:val="en-US"/>
        </w:rPr>
        <w:t>All this</w:t>
      </w:r>
      <w:r w:rsidRPr="00992861">
        <w:rPr>
          <w:lang w:val="en-US"/>
        </w:rPr>
        <w:t xml:space="preserve"> acquires greater relevance when it is considered that Article 26 only refers to an objective of achieving progressively the full realization of the rights implicit in the economic, social, educational, scientific and cultural standards to the extent of available resources, and does not allude to any obligation of an instantaneous nature under which </w:t>
      </w:r>
      <w:r>
        <w:rPr>
          <w:lang w:val="en-US"/>
        </w:rPr>
        <w:t xml:space="preserve">it would be considered that </w:t>
      </w:r>
      <w:r w:rsidRPr="00992861">
        <w:rPr>
          <w:lang w:val="en-US"/>
        </w:rPr>
        <w:t xml:space="preserve">each State </w:t>
      </w:r>
      <w:r>
        <w:rPr>
          <w:lang w:val="en-US"/>
        </w:rPr>
        <w:t>had the same possibility of</w:t>
      </w:r>
      <w:r w:rsidRPr="00992861">
        <w:rPr>
          <w:lang w:val="en-US"/>
        </w:rPr>
        <w:t xml:space="preserve"> comply</w:t>
      </w:r>
      <w:r>
        <w:rPr>
          <w:lang w:val="en-US"/>
        </w:rPr>
        <w:t>ing</w:t>
      </w:r>
      <w:r w:rsidRPr="00992861">
        <w:rPr>
          <w:lang w:val="en-US"/>
        </w:rPr>
        <w:t xml:space="preserve"> fully and instantaneously with the ESCER. Specifically, the idea and spirit that underly this provision of the Convention is that not all States are in the same position to comply with those rights and that the particular domestic circumstances and effective possibilities should be taken into account when requiring their implementation.</w:t>
      </w:r>
    </w:p>
    <w:p w14:paraId="17C561BB" w14:textId="77777777" w:rsidR="00AF5CC6" w:rsidRPr="00992861" w:rsidRDefault="00AF5CC6" w:rsidP="00AF5CC6">
      <w:pPr>
        <w:pStyle w:val="Numberedparagraphs"/>
        <w:numPr>
          <w:ilvl w:val="0"/>
          <w:numId w:val="0"/>
        </w:numPr>
        <w:rPr>
          <w:lang w:val="en-US"/>
        </w:rPr>
      </w:pPr>
    </w:p>
    <w:p w14:paraId="0A42FAC2" w14:textId="77777777" w:rsidR="00AF5CC6" w:rsidRPr="00992861" w:rsidRDefault="00AF5CC6" w:rsidP="00AF5CC6">
      <w:pPr>
        <w:pStyle w:val="Numberedparagraphs"/>
        <w:numPr>
          <w:ilvl w:val="0"/>
          <w:numId w:val="17"/>
        </w:numPr>
        <w:ind w:left="0" w:firstLine="0"/>
        <w:rPr>
          <w:lang w:val="en-US"/>
        </w:rPr>
      </w:pPr>
      <w:r w:rsidRPr="00992861">
        <w:rPr>
          <w:lang w:val="en-US"/>
        </w:rPr>
        <w:t xml:space="preserve">The judgment in this case refers to the progressive obligation contained in </w:t>
      </w:r>
      <w:r w:rsidRPr="00992861">
        <w:rPr>
          <w:rFonts w:eastAsia="Times" w:cs="Arial"/>
          <w:lang w:val="en-US"/>
        </w:rPr>
        <w:t>Article 26 of the Convention, specifically regarding the right to health</w:t>
      </w:r>
      <w:r w:rsidRPr="00992861">
        <w:rPr>
          <w:rStyle w:val="Refdenotaalpie"/>
          <w:rFonts w:eastAsia="Times"/>
          <w:lang w:val="en-US"/>
        </w:rPr>
        <w:footnoteReference w:id="481"/>
      </w:r>
      <w:r w:rsidRPr="00992861">
        <w:rPr>
          <w:rFonts w:eastAsia="Times" w:cs="Arial"/>
          <w:lang w:val="en-US"/>
        </w:rPr>
        <w:t xml:space="preserve"> and, in this particular case, indicates that “</w:t>
      </w:r>
      <w:r w:rsidRPr="00992861">
        <w:rPr>
          <w:lang w:val="en-US" w:eastAsia="es-ES_tradnl"/>
        </w:rPr>
        <w:t xml:space="preserve">owing to the State inaction with regard to protection of the right to health of the population of people living with HIV, despite the existence of an international obligation and State regulations, the Court concludes that the State is responsible for violating the principle of progressivity contained in </w:t>
      </w:r>
      <w:r w:rsidRPr="00992861">
        <w:rPr>
          <w:lang w:val="en-US"/>
        </w:rPr>
        <w:t>Article 26 of the Convention, in relation to Article 1(1) of this instrument.”</w:t>
      </w:r>
      <w:r w:rsidRPr="00992861">
        <w:rPr>
          <w:rStyle w:val="Refdenotaalpie"/>
          <w:rFonts w:eastAsia="Times"/>
          <w:lang w:val="en-US"/>
        </w:rPr>
        <w:footnoteReference w:id="482"/>
      </w:r>
      <w:r w:rsidRPr="00992861">
        <w:rPr>
          <w:lang w:val="en-US"/>
        </w:rPr>
        <w:t xml:space="preserve"> On this point, I would like to state that I do not share the Court’s conclusion because the arguments concerning the “State inaction” to determine whether the content of Article 26 of the Convention </w:t>
      </w:r>
      <w:r w:rsidRPr="00992861">
        <w:rPr>
          <w:lang w:val="en-US"/>
        </w:rPr>
        <w:lastRenderedPageBreak/>
        <w:t xml:space="preserve">had been prejudiced do not infer a notion of </w:t>
      </w:r>
      <w:proofErr w:type="spellStart"/>
      <w:r w:rsidRPr="00992861">
        <w:rPr>
          <w:lang w:val="en-US"/>
        </w:rPr>
        <w:t>retrogressivity</w:t>
      </w:r>
      <w:proofErr w:type="spellEnd"/>
      <w:r w:rsidRPr="00992861">
        <w:rPr>
          <w:lang w:val="en-US"/>
        </w:rPr>
        <w:t>. According to the judgment, the right to health is not being violated due to retrogression, because the violation of the international standard arises from State inaction when implementing the ESCER progressively; that is, from a failure to implement the right to health effectively. I consider that, if that reasoning were to be accepted as valid, it would change the nature of the obligation of progressivity into another very different one which would be the obligation to comply with the implementation of an ESCER, such as the right to health, within a reasonable time.</w:t>
      </w:r>
    </w:p>
    <w:p w14:paraId="469AA451" w14:textId="77777777" w:rsidR="00AF5CC6" w:rsidRPr="00992861" w:rsidRDefault="00AF5CC6" w:rsidP="00AF5CC6"/>
    <w:p w14:paraId="359E87FA" w14:textId="77777777" w:rsidR="00AF5CC6" w:rsidRPr="00992861" w:rsidRDefault="00AF5CC6" w:rsidP="00AF5CC6">
      <w:pPr>
        <w:pStyle w:val="Prrafodelista"/>
        <w:widowControl w:val="0"/>
        <w:numPr>
          <w:ilvl w:val="0"/>
          <w:numId w:val="18"/>
        </w:numPr>
        <w:autoSpaceDE w:val="0"/>
        <w:autoSpaceDN w:val="0"/>
        <w:adjustRightInd w:val="0"/>
        <w:ind w:right="22"/>
        <w:outlineLvl w:val="0"/>
        <w:rPr>
          <w:rFonts w:cs="Arial"/>
          <w:b/>
        </w:rPr>
      </w:pPr>
      <w:r w:rsidRPr="00992861">
        <w:rPr>
          <w:rFonts w:cs="Arial"/>
          <w:b/>
        </w:rPr>
        <w:t>GUARANTEES OF NON-REPETITION AND PUBLIC HEALTH POLICIES IN THIS CASE</w:t>
      </w:r>
    </w:p>
    <w:p w14:paraId="1DD33F6A" w14:textId="77777777" w:rsidR="00AF5CC6" w:rsidRPr="00992861" w:rsidRDefault="00AF5CC6" w:rsidP="00AF5CC6">
      <w:pPr>
        <w:pStyle w:val="Numberedparagraphs"/>
        <w:numPr>
          <w:ilvl w:val="0"/>
          <w:numId w:val="0"/>
        </w:numPr>
        <w:rPr>
          <w:lang w:val="en-US" w:eastAsia="es-MX"/>
        </w:rPr>
      </w:pPr>
    </w:p>
    <w:p w14:paraId="4C3484D2" w14:textId="77777777" w:rsidR="00AF5CC6" w:rsidRPr="00992861" w:rsidRDefault="00AF5CC6" w:rsidP="00AF5CC6">
      <w:pPr>
        <w:pStyle w:val="Numberedparagraphs"/>
        <w:numPr>
          <w:ilvl w:val="0"/>
          <w:numId w:val="17"/>
        </w:numPr>
        <w:ind w:left="0" w:firstLine="0"/>
        <w:rPr>
          <w:lang w:val="en-US"/>
        </w:rPr>
      </w:pPr>
      <w:r w:rsidRPr="00992861">
        <w:rPr>
          <w:lang w:val="en-US" w:eastAsia="es-MX"/>
        </w:rPr>
        <w:t xml:space="preserve">In this case, after determining that the State had violated Article 26 of the American Convention, in relation to Article 1(1) of this instrument, to the detriment of the individuals named as victims in Annex 2 to the judgment, </w:t>
      </w:r>
      <w:r w:rsidRPr="00992861">
        <w:rPr>
          <w:rFonts w:cs="Vrinda"/>
          <w:lang w:val="en-US"/>
        </w:rPr>
        <w:t>the Court ordered the State to “</w:t>
      </w:r>
      <w:r w:rsidRPr="00992861">
        <w:rPr>
          <w:lang w:val="en-US"/>
        </w:rPr>
        <w:t xml:space="preserve">implement mechanisms to supervise and monitor health care services, improve the accessibility, availability and quality of health care services for people living with HIV, </w:t>
      </w:r>
      <w:r w:rsidRPr="00992861">
        <w:rPr>
          <w:i/>
          <w:lang w:val="en-US"/>
        </w:rPr>
        <w:t>guarantee the provision of antiretroviral drugs and any other medication required by all those affected</w:t>
      </w:r>
      <w:r w:rsidRPr="00992861">
        <w:rPr>
          <w:lang w:val="en-US"/>
        </w:rPr>
        <w:t>, offer the population HIV diagnostic tests, implement a training program for health system officials, guarantee adequate medical care for pregnant women living with HIV, and organize a national awareness-raising campaign, in the terms of paragraphs 225 to 230 of this judgment.”</w:t>
      </w:r>
      <w:r w:rsidRPr="00992861">
        <w:rPr>
          <w:rStyle w:val="Refdenotaalpie"/>
          <w:lang w:val="en-US"/>
        </w:rPr>
        <w:footnoteReference w:id="483"/>
      </w:r>
    </w:p>
    <w:p w14:paraId="15D858CA" w14:textId="77777777" w:rsidR="00AF5CC6" w:rsidRPr="00992861" w:rsidRDefault="00AF5CC6" w:rsidP="00AF5CC6"/>
    <w:p w14:paraId="27D2F176" w14:textId="77777777" w:rsidR="00AF5CC6" w:rsidRPr="00992861" w:rsidRDefault="00AF5CC6" w:rsidP="00AF5CC6">
      <w:pPr>
        <w:pStyle w:val="Numberedparagraphs"/>
        <w:numPr>
          <w:ilvl w:val="0"/>
          <w:numId w:val="17"/>
        </w:numPr>
        <w:ind w:left="0" w:firstLine="0"/>
        <w:rPr>
          <w:lang w:val="en-US"/>
        </w:rPr>
      </w:pPr>
      <w:r w:rsidRPr="00992861">
        <w:rPr>
          <w:lang w:val="en-US"/>
        </w:rPr>
        <w:t>My first observation in this regard, is that there are two possible interpretations of the scope of the said measure. One possible interpretation – that I consider would be the most appropriate for reasons that I will explain in this section – is that the obligation to guarantee the provision of antiretroviral drugs and other medicines to all those living with HIV should be read in light of the stipulations made by the Court in paragraphs 225 to 230. There, the obligation to “</w:t>
      </w:r>
      <w:r w:rsidRPr="00992861">
        <w:rPr>
          <w:rFonts w:cs="Vrinda"/>
          <w:lang w:val="en-US"/>
        </w:rPr>
        <w:t>design a mechanism to ensure the accessibility, availability and quality of antiretroviral drugs, diagnostic tests, and health services for the population living with HIV” is inserted within the broader obligation to “implement effective mechanisms for periodic supervision and monitoring of its public hospitals to ensure that they are providing comprehensive health care to people living with HIV.”</w:t>
      </w:r>
      <w:r w:rsidRPr="00992861">
        <w:rPr>
          <w:rStyle w:val="Refdenotaalpie"/>
          <w:lang w:val="en-US"/>
        </w:rPr>
        <w:footnoteReference w:id="484"/>
      </w:r>
      <w:r w:rsidRPr="00992861">
        <w:rPr>
          <w:rFonts w:cs="Vrinda"/>
          <w:lang w:val="en-US"/>
        </w:rPr>
        <w:t xml:space="preserve"> In other words, under this interpretation, the State has an obligation to put in place measures that consist in implementing information systems and diagnostic mechanisms that allow it to ensure access to antiretroviral drugs for the whole population. However, a second possible interpretation is to consider that the obligation to ensure the provision of antiretroviral drugs is an obligation independent of the one that requires the implementation of mechanisms to monitor and supervise the health service. That is, it could be interpreted that the Court is placing on the State the obligation to provide </w:t>
      </w:r>
      <w:r w:rsidRPr="00992861">
        <w:rPr>
          <w:lang w:val="en-US"/>
        </w:rPr>
        <w:t>antiretroviral drugs and other prescribed medicines to all those living with HIV as an obligation of result, regardless of any consideration relating to the availability of resources or of reasonableness, from a public policy perspective</w:t>
      </w:r>
      <w:r w:rsidRPr="00992861">
        <w:rPr>
          <w:rFonts w:cs="Vrinda"/>
          <w:lang w:val="en-US"/>
        </w:rPr>
        <w:t xml:space="preserve">. </w:t>
      </w:r>
    </w:p>
    <w:p w14:paraId="6285F88F" w14:textId="77777777" w:rsidR="00AF5CC6" w:rsidRPr="00992861" w:rsidRDefault="00AF5CC6" w:rsidP="00AF5CC6">
      <w:pPr>
        <w:pStyle w:val="Numberedparagraphs"/>
        <w:numPr>
          <w:ilvl w:val="0"/>
          <w:numId w:val="0"/>
        </w:numPr>
        <w:rPr>
          <w:lang w:val="en-US"/>
        </w:rPr>
      </w:pPr>
    </w:p>
    <w:p w14:paraId="489D64BC" w14:textId="77777777" w:rsidR="00AF5CC6" w:rsidRPr="00992861" w:rsidRDefault="00AF5CC6" w:rsidP="00AF5CC6">
      <w:pPr>
        <w:pStyle w:val="Numberedparagraphs"/>
        <w:numPr>
          <w:ilvl w:val="0"/>
          <w:numId w:val="17"/>
        </w:numPr>
        <w:ind w:left="0" w:firstLine="0"/>
        <w:rPr>
          <w:lang w:val="en-US"/>
        </w:rPr>
      </w:pPr>
      <w:r w:rsidRPr="00992861">
        <w:rPr>
          <w:lang w:val="en-US"/>
        </w:rPr>
        <w:t xml:space="preserve">In addition, as can be seen, the reparations ordered are not only addressed at redressing the harm suffered by the victims, but are also aimed at the creation of a public health policy for all those living with HIV. Even though this practice of ordering diverse administrative or public policy measures, with an impact that goes beyond the victims of the case in question, is not new in the Court’s case law, I consider that there are reasons that require, at least, a cautious approach to this type of measure when rights of a social benefit nature are at stake, such as the right to health. This is because, as the Constitutional Court of Colombia has stated in other cases, </w:t>
      </w:r>
      <w:r w:rsidRPr="00992861">
        <w:rPr>
          <w:lang w:val="en-US"/>
        </w:rPr>
        <w:lastRenderedPageBreak/>
        <w:t xml:space="preserve">the social benefit aspect </w:t>
      </w:r>
      <w:r w:rsidRPr="00992861">
        <w:rPr>
          <w:lang w:val="en-US" w:eastAsia="es-MX"/>
        </w:rPr>
        <w:t xml:space="preserve">of the right to health obliges the State to “rationalize the allocation of investment </w:t>
      </w:r>
      <w:r>
        <w:rPr>
          <w:lang w:val="en-US" w:eastAsia="es-MX"/>
        </w:rPr>
        <w:t xml:space="preserve">adequately </w:t>
      </w:r>
      <w:r w:rsidRPr="00992861">
        <w:rPr>
          <w:lang w:val="en-US" w:eastAsia="es-MX"/>
        </w:rPr>
        <w:t>to ensure that its guarantee has a</w:t>
      </w:r>
      <w:r>
        <w:rPr>
          <w:lang w:val="en-US" w:eastAsia="es-MX"/>
        </w:rPr>
        <w:t xml:space="preserve"> comprehensive </w:t>
      </w:r>
      <w:r w:rsidRPr="00992861">
        <w:rPr>
          <w:lang w:val="en-US" w:eastAsia="es-MX"/>
        </w:rPr>
        <w:t>scope</w:t>
      </w:r>
      <w:r w:rsidRPr="00992861">
        <w:rPr>
          <w:color w:val="auto"/>
          <w:lang w:val="en-US" w:eastAsia="es-MX"/>
        </w:rPr>
        <w:t xml:space="preserve"> </w:t>
      </w:r>
      <w:hyperlink r:id="rId11" w:history="1">
        <w:r w:rsidRPr="00353AF5">
          <w:rPr>
            <w:rStyle w:val="Hipervnculo"/>
            <w:i/>
            <w:color w:val="auto"/>
            <w:lang w:val="en-US"/>
          </w:rPr>
          <w:t>vis-à-vis</w:t>
        </w:r>
      </w:hyperlink>
      <w:r w:rsidRPr="00992861">
        <w:rPr>
          <w:lang w:val="en-US" w:eastAsia="es-MX"/>
        </w:rPr>
        <w:t xml:space="preserve"> the need for sustainability </w:t>
      </w:r>
      <w:r>
        <w:rPr>
          <w:lang w:val="en-US" w:eastAsia="es-MX"/>
        </w:rPr>
        <w:t>of</w:t>
      </w:r>
      <w:r w:rsidRPr="00992861">
        <w:rPr>
          <w:lang w:val="en-US" w:eastAsia="es-MX"/>
        </w:rPr>
        <w:t xml:space="preserve"> the guarantee of other rights.”</w:t>
      </w:r>
      <w:r w:rsidRPr="00992861">
        <w:rPr>
          <w:rStyle w:val="Refdenotaalpie"/>
          <w:lang w:val="en-US" w:eastAsia="es-MX"/>
        </w:rPr>
        <w:footnoteReference w:id="485"/>
      </w:r>
      <w:r w:rsidRPr="00992861">
        <w:rPr>
          <w:lang w:val="en-US" w:eastAsia="es-MX"/>
        </w:rPr>
        <w:t xml:space="preserve"> Indeed, although this case relates to the right to health, specifically in relation to people living with HIV, it is necessary to remember that people who need access to housing, food, water, employment opportunities and social security, among other matters, live side by side with them. Consequently, States have the obligation “to manage their resources in order to address all these claims.”</w:t>
      </w:r>
      <w:r w:rsidRPr="00992861">
        <w:rPr>
          <w:rStyle w:val="Refdenotaalpie"/>
          <w:lang w:val="en-US" w:eastAsia="es-MX"/>
        </w:rPr>
        <w:footnoteReference w:id="486"/>
      </w:r>
      <w:r w:rsidRPr="00992861">
        <w:rPr>
          <w:lang w:val="en-US" w:eastAsia="es-MX"/>
        </w:rPr>
        <w:t xml:space="preserve"> </w:t>
      </w:r>
    </w:p>
    <w:p w14:paraId="592E5185" w14:textId="77777777" w:rsidR="00AF5CC6" w:rsidRPr="00992861" w:rsidRDefault="00AF5CC6" w:rsidP="00AF5CC6">
      <w:pPr>
        <w:pStyle w:val="Numberedparagraphs"/>
        <w:numPr>
          <w:ilvl w:val="0"/>
          <w:numId w:val="0"/>
        </w:numPr>
        <w:rPr>
          <w:lang w:val="en-US" w:eastAsia="es-MX"/>
        </w:rPr>
      </w:pPr>
    </w:p>
    <w:p w14:paraId="60FA3142" w14:textId="77777777" w:rsidR="00AF5CC6" w:rsidRPr="00992861" w:rsidRDefault="00AF5CC6" w:rsidP="00AF5CC6">
      <w:pPr>
        <w:pStyle w:val="Numberedparagraphs"/>
        <w:numPr>
          <w:ilvl w:val="0"/>
          <w:numId w:val="17"/>
        </w:numPr>
        <w:ind w:left="0" w:firstLine="0"/>
        <w:rPr>
          <w:lang w:val="en-US" w:eastAsia="es-MX"/>
        </w:rPr>
      </w:pPr>
      <w:r w:rsidRPr="00992861">
        <w:rPr>
          <w:lang w:val="en-US" w:eastAsia="es-MX"/>
        </w:rPr>
        <w:t>This does not mean making</w:t>
      </w:r>
      <w:r>
        <w:rPr>
          <w:lang w:val="en-US" w:eastAsia="es-MX"/>
        </w:rPr>
        <w:t xml:space="preserve"> a</w:t>
      </w:r>
      <w:r w:rsidRPr="00992861">
        <w:rPr>
          <w:lang w:val="en-US" w:eastAsia="es-MX"/>
        </w:rPr>
        <w:t xml:space="preserve"> judgment on the justiciability of the right to health; rather, it relates to the analysis of the reasonableness of the measure ordered. In a context of scarce resources, as is the case of most countries in the region, it is essential to analyze how the introduction of a specific measure </w:t>
      </w:r>
      <w:r>
        <w:rPr>
          <w:lang w:val="en-US" w:eastAsia="es-MX"/>
        </w:rPr>
        <w:t>– with</w:t>
      </w:r>
      <w:r w:rsidRPr="00992861">
        <w:rPr>
          <w:lang w:val="en-US" w:eastAsia="es-MX"/>
        </w:rPr>
        <w:t xml:space="preserve"> regard to health services, for example</w:t>
      </w:r>
      <w:r>
        <w:rPr>
          <w:lang w:val="en-US" w:eastAsia="es-MX"/>
        </w:rPr>
        <w:t xml:space="preserve"> – may</w:t>
      </w:r>
      <w:r w:rsidRPr="00992861">
        <w:rPr>
          <w:lang w:val="en-US" w:eastAsia="es-MX"/>
        </w:rPr>
        <w:t xml:space="preserve"> affect the State’s capacity to guarantee other rights the content of which also relates to the provision of social benefits. This analysis may lead to the conclusion that, in certain cases, it is necessary to adopt an approach that takes into account the needs of society as a whole, instead of focusing on the particular needs of a specific group.</w:t>
      </w:r>
    </w:p>
    <w:p w14:paraId="794097ED" w14:textId="77777777" w:rsidR="00AF5CC6" w:rsidRPr="00992861" w:rsidRDefault="00AF5CC6" w:rsidP="00AF5CC6">
      <w:pPr>
        <w:pStyle w:val="Prrafodelista"/>
        <w:ind w:left="0"/>
        <w:rPr>
          <w:lang w:eastAsia="es-MX"/>
        </w:rPr>
      </w:pPr>
    </w:p>
    <w:p w14:paraId="3E114EF7" w14:textId="77777777" w:rsidR="00AF5CC6" w:rsidRPr="00992861" w:rsidRDefault="00AF5CC6" w:rsidP="00AF5CC6">
      <w:pPr>
        <w:pStyle w:val="Numberedparagraphs"/>
        <w:numPr>
          <w:ilvl w:val="0"/>
          <w:numId w:val="17"/>
        </w:numPr>
        <w:ind w:left="0" w:firstLine="0"/>
        <w:rPr>
          <w:lang w:val="en-US"/>
        </w:rPr>
      </w:pPr>
      <w:r w:rsidRPr="00992861">
        <w:rPr>
          <w:lang w:val="en-US" w:eastAsia="es-MX"/>
        </w:rPr>
        <w:t>Furthermore, the entity that is in the best position to analyze the reasonableness of the measure should be taken into account. Although judges can and should use their powers to order measures that affect both domestic law and public policies, it is essential that such orders are made paying due regard to the role of the Legislature and the Executive in a democracy. Thus, it should be recalled that public policy should, of necessity, have a certain degree of flexibility that allows the Executive to make the necessary changes and adjustments when appropriate, in response to material possibilities, social demand, and the particular context of the country. It is not the role of the courts to analyze which is the best option, or to elaborate detailed public policies to be implemented in a specific country, but rather to analyze whether such policies comply with the Constitution and internal laws in the case of domestic courts, and with the American Convention in the case of this Court. In other words, the orders issued by the judges should</w:t>
      </w:r>
      <w:r>
        <w:rPr>
          <w:lang w:val="en-US" w:eastAsia="es-MX"/>
        </w:rPr>
        <w:t xml:space="preserve"> not,</w:t>
      </w:r>
      <w:r w:rsidRPr="00992861">
        <w:rPr>
          <w:lang w:val="en-US" w:eastAsia="es-MX"/>
        </w:rPr>
        <w:t xml:space="preserve"> therefore</w:t>
      </w:r>
      <w:r>
        <w:rPr>
          <w:lang w:val="en-US" w:eastAsia="es-MX"/>
        </w:rPr>
        <w:t>,</w:t>
      </w:r>
      <w:r w:rsidRPr="00992861">
        <w:rPr>
          <w:lang w:val="en-US" w:eastAsia="es-MX"/>
        </w:rPr>
        <w:t xml:space="preserve"> be formulated in ways that preclude the Executive from making such legitimate public policy choices, insofar as these are aligned with the requirements and provisions of domestic law and </w:t>
      </w:r>
      <w:r w:rsidRPr="00992861">
        <w:rPr>
          <w:lang w:val="en-US"/>
        </w:rPr>
        <w:t>the American Convention.</w:t>
      </w:r>
      <w:r w:rsidRPr="00992861">
        <w:rPr>
          <w:rStyle w:val="Refdenotaalpie"/>
          <w:lang w:val="en-US" w:eastAsia="es-MX"/>
        </w:rPr>
        <w:footnoteReference w:id="487"/>
      </w:r>
      <w:r w:rsidRPr="00992861">
        <w:rPr>
          <w:lang w:val="en-US"/>
        </w:rPr>
        <w:t xml:space="preserve"> </w:t>
      </w:r>
    </w:p>
    <w:p w14:paraId="390F3AEA" w14:textId="77777777" w:rsidR="00AF5CC6" w:rsidRPr="00992861" w:rsidRDefault="00AF5CC6" w:rsidP="00AF5CC6">
      <w:pPr>
        <w:pStyle w:val="Numberedparagraphs"/>
        <w:numPr>
          <w:ilvl w:val="0"/>
          <w:numId w:val="0"/>
        </w:numPr>
        <w:rPr>
          <w:lang w:val="en-US"/>
        </w:rPr>
      </w:pPr>
    </w:p>
    <w:p w14:paraId="1853ED0A" w14:textId="77777777" w:rsidR="00AF5CC6" w:rsidRPr="00992861" w:rsidRDefault="00AF5CC6" w:rsidP="00AF5CC6">
      <w:pPr>
        <w:pStyle w:val="Numberedparagraphs"/>
        <w:numPr>
          <w:ilvl w:val="0"/>
          <w:numId w:val="17"/>
        </w:numPr>
        <w:ind w:left="0" w:firstLine="0"/>
        <w:rPr>
          <w:lang w:val="en-US"/>
        </w:rPr>
      </w:pPr>
      <w:r w:rsidRPr="00992861">
        <w:rPr>
          <w:lang w:val="en-US"/>
        </w:rPr>
        <w:t>In this regard, ordering measures aimed at affecting public policy in the area of health should take into account the country’s context, the resources available, and the effect that the prioritization of a certain right or group may have on the other economic, social and cultural rights of the population as a whole. In light of these particularities, I consider that it is the States themselves, through their competent organs as provided for in domestic law, that are in the best position to decide how to invest available resources in order to ensure both the right to health, and other rights recognized in their domestic law and in the American Convention. In the words of the Constitutional Court of South Africa, courts should be aware that “[</w:t>
      </w:r>
      <w:proofErr w:type="spellStart"/>
      <w:r w:rsidRPr="00992861">
        <w:rPr>
          <w:lang w:val="en-US"/>
        </w:rPr>
        <w:t>i</w:t>
      </w:r>
      <w:proofErr w:type="spellEnd"/>
      <w:r w:rsidRPr="00992861">
        <w:rPr>
          <w:lang w:val="en-US"/>
        </w:rPr>
        <w:t>]</w:t>
      </w:r>
      <w:proofErr w:type="spellStart"/>
      <w:r w:rsidRPr="00992861">
        <w:rPr>
          <w:lang w:val="en-US"/>
        </w:rPr>
        <w:t>mportant</w:t>
      </w:r>
      <w:proofErr w:type="spellEnd"/>
      <w:r w:rsidRPr="00992861">
        <w:rPr>
          <w:lang w:val="en-US"/>
        </w:rPr>
        <w:t xml:space="preserve"> though our review functions are, there are areas where institutional incapacity and appropriate constitutional modesty require us to be especially cautious.”</w:t>
      </w:r>
      <w:r w:rsidRPr="00992861">
        <w:rPr>
          <w:rStyle w:val="Refdenotaalpie"/>
          <w:lang w:val="en-US"/>
        </w:rPr>
        <w:footnoteReference w:id="488"/>
      </w:r>
      <w:r w:rsidRPr="00992861">
        <w:rPr>
          <w:lang w:val="en-US"/>
        </w:rPr>
        <w:t xml:space="preserve"> Indeed, public policy choices often “involve </w:t>
      </w:r>
      <w:r w:rsidRPr="00992861">
        <w:rPr>
          <w:lang w:val="en-US"/>
        </w:rPr>
        <w:lastRenderedPageBreak/>
        <w:t>difficult decisions to be taken at the political level in fixing the health budget, and at the functional level in deciding upon the priorities to be met.”</w:t>
      </w:r>
      <w:r w:rsidRPr="00992861">
        <w:rPr>
          <w:rStyle w:val="Refdenotaalpie"/>
          <w:lang w:val="en-US"/>
        </w:rPr>
        <w:footnoteReference w:id="489"/>
      </w:r>
      <w:r w:rsidRPr="00992861">
        <w:rPr>
          <w:lang w:val="en-US"/>
        </w:rPr>
        <w:t xml:space="preserve"> The courts should not interfere in the decisions of those organs that are better equipped to take them, unless such decisions violate the rights recognized in domestic law or the American Convention. It should also be noted that this is consistent with the judgment when it asserts that “[t]he State’s compliance </w:t>
      </w:r>
      <w:r w:rsidRPr="00992861">
        <w:rPr>
          <w:bCs/>
          <w:lang w:val="en-US"/>
        </w:rPr>
        <w:t>with its obligation to respect and ensure this right should include special care for vulnerable and marginalized groups, and should be provided progressively in accordance with available resources and applicable domestic law</w:t>
      </w:r>
      <w:r w:rsidRPr="00992861">
        <w:rPr>
          <w:lang w:val="en-US"/>
        </w:rPr>
        <w:t>.</w:t>
      </w:r>
      <w:r w:rsidRPr="00992861">
        <w:rPr>
          <w:rFonts w:eastAsia="Times" w:cs="Arial"/>
          <w:lang w:val="en-US"/>
        </w:rPr>
        <w:t>”</w:t>
      </w:r>
      <w:r w:rsidRPr="00992861">
        <w:rPr>
          <w:rStyle w:val="Refdenotaalpie"/>
          <w:rFonts w:eastAsia="Times"/>
          <w:lang w:val="en-US"/>
        </w:rPr>
        <w:footnoteReference w:id="490"/>
      </w:r>
      <w:r w:rsidRPr="00992861">
        <w:rPr>
          <w:rFonts w:eastAsia="Times" w:cs="Arial"/>
          <w:lang w:val="en-US"/>
        </w:rPr>
        <w:t xml:space="preserve"> </w:t>
      </w:r>
    </w:p>
    <w:p w14:paraId="66B95DCA" w14:textId="77777777" w:rsidR="00AF5CC6" w:rsidRPr="00992861" w:rsidRDefault="00AF5CC6" w:rsidP="00AF5CC6">
      <w:pPr>
        <w:pStyle w:val="Numberedparagraphs"/>
        <w:numPr>
          <w:ilvl w:val="0"/>
          <w:numId w:val="0"/>
        </w:numPr>
        <w:rPr>
          <w:lang w:val="en-US"/>
        </w:rPr>
      </w:pPr>
    </w:p>
    <w:p w14:paraId="70500152" w14:textId="77777777" w:rsidR="00AF5CC6" w:rsidRPr="00992861" w:rsidRDefault="00AF5CC6" w:rsidP="00AF5CC6">
      <w:pPr>
        <w:pStyle w:val="Numberedparagraphs"/>
        <w:numPr>
          <w:ilvl w:val="0"/>
          <w:numId w:val="17"/>
        </w:numPr>
        <w:ind w:left="0" w:firstLine="0"/>
        <w:rPr>
          <w:lang w:val="en-US"/>
        </w:rPr>
      </w:pPr>
      <w:r w:rsidRPr="00992861">
        <w:rPr>
          <w:lang w:val="en-US"/>
        </w:rPr>
        <w:t>All these issues should be adequately taken into account by this Court when ordering reparations, which need to achieve a balance between the objective pursued – that is, full redress for the violations suffered by the victims – and the need to accord the State the necessary margin of flexibility and action when rights of a social benefit nature, such as the right to health, are involved. Accordingly, in a region where resources are limited and, moreover, where there are significant disparities within the region as regards available resources, the role of a regional human rights court such as the Inter-American Court cannot be to order inflexible measures. This is because, this could jeopardize not only the possibility of complying with the measures ordered, but also have a negative effect on the allocation of resources to other rights that it is equally or more urgent to satisfy.</w:t>
      </w:r>
    </w:p>
    <w:p w14:paraId="484F990E" w14:textId="77777777" w:rsidR="00AF5CC6" w:rsidRPr="00992861" w:rsidRDefault="00AF5CC6" w:rsidP="00AF5CC6">
      <w:pPr>
        <w:pStyle w:val="Prrafodelista"/>
        <w:ind w:left="0"/>
      </w:pPr>
    </w:p>
    <w:p w14:paraId="30AF8813" w14:textId="77777777" w:rsidR="00AF5CC6" w:rsidRPr="00992861" w:rsidRDefault="00AF5CC6" w:rsidP="00AF5CC6">
      <w:pPr>
        <w:pStyle w:val="Numberedparagraphs"/>
        <w:numPr>
          <w:ilvl w:val="0"/>
          <w:numId w:val="17"/>
        </w:numPr>
        <w:ind w:left="0" w:firstLine="0"/>
        <w:rPr>
          <w:lang w:val="en-US"/>
        </w:rPr>
      </w:pPr>
      <w:r w:rsidRPr="00992861">
        <w:rPr>
          <w:lang w:val="en-US"/>
        </w:rPr>
        <w:t>Based on the above, I consider that the measure ordered by the Court, if it is interpreted in the sense of establishing an obligation to guarantee the provision of antiretroviral drugs and the other medication prescribed to those living with HIV as a</w:t>
      </w:r>
      <w:r>
        <w:rPr>
          <w:lang w:val="en-US"/>
        </w:rPr>
        <w:t>n</w:t>
      </w:r>
      <w:r w:rsidRPr="00992861">
        <w:rPr>
          <w:lang w:val="en-US"/>
        </w:rPr>
        <w:t xml:space="preserve"> obligation of results, and irrespective of any consideration concerning the reasonableness of the allocation of resources, is contrary to the social benefit nature of the right to health, and to the role entrusted to this Court by the American Convention. </w:t>
      </w:r>
    </w:p>
    <w:p w14:paraId="59042082" w14:textId="77777777" w:rsidR="00AF5CC6" w:rsidRPr="00992861" w:rsidRDefault="00AF5CC6" w:rsidP="00AF5CC6">
      <w:pPr>
        <w:pStyle w:val="Numberedparagraphs"/>
        <w:numPr>
          <w:ilvl w:val="0"/>
          <w:numId w:val="0"/>
        </w:numPr>
        <w:rPr>
          <w:lang w:val="en-US"/>
        </w:rPr>
      </w:pPr>
    </w:p>
    <w:p w14:paraId="0E6012BE" w14:textId="77777777" w:rsidR="00AF5CC6" w:rsidRPr="00992861" w:rsidRDefault="00AF5CC6" w:rsidP="00AF5CC6">
      <w:pPr>
        <w:pStyle w:val="Numberedparagraphs"/>
        <w:numPr>
          <w:ilvl w:val="0"/>
          <w:numId w:val="0"/>
        </w:numPr>
        <w:rPr>
          <w:lang w:val="en-US" w:eastAsia="es-MX"/>
        </w:rPr>
      </w:pPr>
    </w:p>
    <w:p w14:paraId="16BBABA3" w14:textId="77777777" w:rsidR="00AF5CC6" w:rsidRPr="00992861" w:rsidRDefault="00AF5CC6" w:rsidP="00AF5CC6">
      <w:pPr>
        <w:pStyle w:val="Numberedparagraphs"/>
        <w:numPr>
          <w:ilvl w:val="0"/>
          <w:numId w:val="0"/>
        </w:numPr>
        <w:rPr>
          <w:lang w:val="en-US"/>
        </w:rPr>
      </w:pPr>
    </w:p>
    <w:p w14:paraId="38B450ED" w14:textId="77777777" w:rsidR="00AF5CC6" w:rsidRPr="00992861" w:rsidRDefault="00AF5CC6" w:rsidP="00AF5CC6">
      <w:pPr>
        <w:pStyle w:val="Numberedparagraphs"/>
        <w:numPr>
          <w:ilvl w:val="0"/>
          <w:numId w:val="0"/>
        </w:numPr>
        <w:rPr>
          <w:lang w:val="en-US"/>
        </w:rPr>
      </w:pPr>
    </w:p>
    <w:p w14:paraId="78915D39" w14:textId="77777777" w:rsidR="00AF5CC6" w:rsidRPr="00992861" w:rsidRDefault="00AF5CC6" w:rsidP="00AF5CC6">
      <w:pPr>
        <w:pStyle w:val="Numberedparagraphs"/>
        <w:numPr>
          <w:ilvl w:val="0"/>
          <w:numId w:val="0"/>
        </w:numPr>
        <w:rPr>
          <w:lang w:val="en-US"/>
        </w:rPr>
      </w:pPr>
    </w:p>
    <w:p w14:paraId="7BB25EB2" w14:textId="77777777" w:rsidR="00AF5CC6" w:rsidRPr="00992861" w:rsidRDefault="00AF5CC6" w:rsidP="00AF5CC6">
      <w:pPr>
        <w:pStyle w:val="Numberedparagraphs"/>
        <w:numPr>
          <w:ilvl w:val="0"/>
          <w:numId w:val="0"/>
        </w:numPr>
        <w:rPr>
          <w:lang w:val="en-US"/>
        </w:rPr>
      </w:pPr>
    </w:p>
    <w:p w14:paraId="04E7D0C6" w14:textId="77777777" w:rsidR="00AF5CC6" w:rsidRPr="00C538F6" w:rsidRDefault="00AF5CC6" w:rsidP="00AF5CC6">
      <w:pPr>
        <w:ind w:left="3600" w:right="96" w:firstLine="720"/>
        <w:jc w:val="center"/>
        <w:rPr>
          <w:rFonts w:eastAsia="Calibri" w:cs="Times New Roman"/>
          <w:szCs w:val="20"/>
          <w:lang w:val="es-CR"/>
        </w:rPr>
      </w:pPr>
      <w:r w:rsidRPr="00992861">
        <w:rPr>
          <w:rFonts w:eastAsia="Calibri" w:cs="Times New Roman"/>
          <w:szCs w:val="20"/>
        </w:rPr>
        <w:t xml:space="preserve">          </w:t>
      </w:r>
      <w:r w:rsidRPr="00C538F6">
        <w:rPr>
          <w:rFonts w:eastAsia="Calibri" w:cs="Times New Roman"/>
          <w:szCs w:val="20"/>
          <w:lang w:val="es-CR"/>
        </w:rPr>
        <w:t>Humberto Antonio Sierra Porto</w:t>
      </w:r>
    </w:p>
    <w:p w14:paraId="4C40E404" w14:textId="77777777" w:rsidR="00AF5CC6" w:rsidRPr="00C538F6" w:rsidRDefault="00AF5CC6" w:rsidP="00AF5CC6">
      <w:pPr>
        <w:ind w:left="3960" w:right="96" w:firstLine="360"/>
        <w:jc w:val="center"/>
        <w:rPr>
          <w:rFonts w:eastAsia="Calibri" w:cs="Times New Roman"/>
          <w:szCs w:val="20"/>
          <w:lang w:val="es-CR"/>
        </w:rPr>
      </w:pPr>
      <w:r w:rsidRPr="00C538F6">
        <w:rPr>
          <w:rFonts w:eastAsia="Calibri" w:cs="Times New Roman"/>
          <w:szCs w:val="20"/>
          <w:lang w:val="es-CR"/>
        </w:rPr>
        <w:t xml:space="preserve">         Judge</w:t>
      </w:r>
    </w:p>
    <w:p w14:paraId="70784E1C" w14:textId="77777777" w:rsidR="00AF5CC6" w:rsidRPr="00C538F6" w:rsidRDefault="00AF5CC6" w:rsidP="00AF5CC6">
      <w:pPr>
        <w:jc w:val="left"/>
        <w:rPr>
          <w:rFonts w:ascii="Cambria" w:eastAsia="MS Mincho" w:hAnsi="Cambria" w:cs="Times New Roman"/>
          <w:sz w:val="24"/>
          <w:lang w:val="es-CR" w:eastAsia="es-ES"/>
        </w:rPr>
      </w:pPr>
    </w:p>
    <w:p w14:paraId="52596E26" w14:textId="77777777" w:rsidR="00AF5CC6" w:rsidRPr="00C538F6" w:rsidRDefault="00AF5CC6" w:rsidP="00AF5CC6">
      <w:pPr>
        <w:jc w:val="left"/>
        <w:rPr>
          <w:rFonts w:ascii="Cambria" w:eastAsia="MS Mincho" w:hAnsi="Cambria" w:cs="Times New Roman"/>
          <w:sz w:val="24"/>
          <w:lang w:val="es-CR" w:eastAsia="es-ES"/>
        </w:rPr>
      </w:pPr>
    </w:p>
    <w:p w14:paraId="4BE389E3" w14:textId="77777777" w:rsidR="00AF5CC6" w:rsidRPr="00C538F6" w:rsidRDefault="00AF5CC6" w:rsidP="00AF5CC6">
      <w:pPr>
        <w:jc w:val="left"/>
        <w:rPr>
          <w:rFonts w:ascii="Cambria" w:eastAsia="MS Mincho" w:hAnsi="Cambria" w:cs="Times New Roman"/>
          <w:sz w:val="24"/>
          <w:lang w:val="es-CR" w:eastAsia="es-ES"/>
        </w:rPr>
      </w:pPr>
    </w:p>
    <w:p w14:paraId="732D9A62" w14:textId="77777777" w:rsidR="00AF5CC6" w:rsidRPr="00C538F6" w:rsidRDefault="00AF5CC6" w:rsidP="00AF5CC6">
      <w:pPr>
        <w:jc w:val="left"/>
        <w:rPr>
          <w:rFonts w:ascii="Cambria" w:eastAsia="MS Mincho" w:hAnsi="Cambria" w:cs="Times New Roman"/>
          <w:sz w:val="24"/>
          <w:lang w:val="es-CR" w:eastAsia="es-ES"/>
        </w:rPr>
      </w:pPr>
    </w:p>
    <w:p w14:paraId="3788A866" w14:textId="77777777" w:rsidR="00AF5CC6" w:rsidRPr="00C538F6" w:rsidRDefault="00AF5CC6" w:rsidP="00AF5CC6">
      <w:pPr>
        <w:jc w:val="left"/>
        <w:rPr>
          <w:rFonts w:eastAsia="MS Mincho" w:cs="Times New Roman"/>
          <w:szCs w:val="20"/>
          <w:lang w:val="es-CR" w:eastAsia="es-ES"/>
        </w:rPr>
      </w:pPr>
      <w:r w:rsidRPr="00C538F6">
        <w:rPr>
          <w:rFonts w:eastAsia="MS Mincho" w:cs="Times New Roman"/>
          <w:szCs w:val="20"/>
          <w:lang w:val="es-CR" w:eastAsia="es-ES"/>
        </w:rPr>
        <w:t xml:space="preserve">      Pablo Saavedra Alessandri</w:t>
      </w:r>
    </w:p>
    <w:p w14:paraId="472726C6" w14:textId="7F873D31" w:rsidR="00AF5CC6" w:rsidRDefault="00AF5CC6" w:rsidP="0060291F">
      <w:pPr>
        <w:contextualSpacing/>
        <w:rPr>
          <w:noProof w:val="0"/>
          <w:szCs w:val="20"/>
          <w:lang w:val="en-US"/>
        </w:rPr>
      </w:pPr>
      <w:r w:rsidRPr="00C538F6">
        <w:rPr>
          <w:rFonts w:eastAsia="MS Mincho" w:cs="Times New Roman"/>
          <w:szCs w:val="20"/>
          <w:lang w:val="es-CR" w:eastAsia="es-ES"/>
        </w:rPr>
        <w:tab/>
        <w:t xml:space="preserve">     </w:t>
      </w:r>
      <w:r w:rsidRPr="00992861">
        <w:rPr>
          <w:rFonts w:eastAsia="MS Mincho" w:cs="Times New Roman"/>
          <w:szCs w:val="20"/>
          <w:lang w:eastAsia="es-ES"/>
        </w:rPr>
        <w:t>Secretary</w:t>
      </w:r>
    </w:p>
    <w:p w14:paraId="4B553925" w14:textId="77777777" w:rsidR="00C36F0E" w:rsidRPr="008C58E1" w:rsidRDefault="00C36F0E" w:rsidP="00C36F0E">
      <w:pPr>
        <w:pStyle w:val="Prrafodelista"/>
        <w:ind w:left="0"/>
        <w:rPr>
          <w:szCs w:val="20"/>
          <w:lang w:val="en-US"/>
        </w:rPr>
      </w:pPr>
    </w:p>
    <w:p w14:paraId="0BC1E60B" w14:textId="77777777" w:rsidR="00C36F0E" w:rsidRPr="008C58E1" w:rsidRDefault="00C36F0E" w:rsidP="00C36F0E">
      <w:pPr>
        <w:pStyle w:val="Prrafodelista"/>
        <w:ind w:left="0"/>
        <w:rPr>
          <w:szCs w:val="20"/>
          <w:lang w:val="en-US"/>
        </w:rPr>
      </w:pPr>
    </w:p>
    <w:p w14:paraId="28A2F004" w14:textId="77777777" w:rsidR="00C36F0E" w:rsidRPr="008C58E1" w:rsidRDefault="00C36F0E" w:rsidP="00C36F0E">
      <w:pPr>
        <w:pStyle w:val="Prrafodelista"/>
        <w:ind w:left="0"/>
        <w:rPr>
          <w:szCs w:val="20"/>
          <w:lang w:val="en-US"/>
        </w:rPr>
      </w:pPr>
    </w:p>
    <w:p w14:paraId="0DDE8FE4" w14:textId="77777777" w:rsidR="00C36F0E" w:rsidRPr="008C58E1" w:rsidRDefault="00C36F0E" w:rsidP="00C36F0E">
      <w:pPr>
        <w:pStyle w:val="Prrafodelista"/>
        <w:ind w:left="0"/>
        <w:rPr>
          <w:sz w:val="16"/>
          <w:szCs w:val="16"/>
          <w:lang w:val="en-US"/>
        </w:rPr>
      </w:pPr>
    </w:p>
    <w:p w14:paraId="193EF909" w14:textId="0404E534" w:rsidR="00AE5F9E" w:rsidRPr="00A30D95" w:rsidRDefault="00AE5F9E" w:rsidP="000352ED">
      <w:pPr>
        <w:pStyle w:val="Estilo1"/>
        <w:tabs>
          <w:tab w:val="left" w:pos="709"/>
          <w:tab w:val="left" w:pos="1134"/>
        </w:tabs>
        <w:spacing w:after="0"/>
        <w:ind w:left="0" w:right="-4" w:firstLine="0"/>
        <w:rPr>
          <w:i w:val="0"/>
          <w:lang w:val="en-US" w:eastAsia="es-ES"/>
        </w:rPr>
      </w:pPr>
    </w:p>
    <w:sectPr w:rsidR="00AE5F9E" w:rsidRPr="00A30D95" w:rsidSect="00AF5CC6">
      <w:footnotePr>
        <w:numRestart w:val="eachSect"/>
      </w:footnotePr>
      <w:pgSz w:w="12240" w:h="15840"/>
      <w:pgMar w:top="1701" w:right="1174" w:bottom="1418"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9AC36C" w14:textId="77777777" w:rsidR="00AF5CC6" w:rsidRDefault="00AF5CC6" w:rsidP="00F162A7">
      <w:r>
        <w:separator/>
      </w:r>
    </w:p>
  </w:endnote>
  <w:endnote w:type="continuationSeparator" w:id="0">
    <w:p w14:paraId="60AAC533" w14:textId="77777777" w:rsidR="00AF5CC6" w:rsidRDefault="00AF5CC6" w:rsidP="00F16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Bold">
    <w:altName w:val="Times New Roman"/>
    <w:charset w:val="00"/>
    <w:family w:val="auto"/>
    <w:pitch w:val="variable"/>
    <w:sig w:usb0="00000001" w:usb1="4000205B" w:usb2="00000010" w:usb3="00000000" w:csb0="0000019F" w:csb1="00000000"/>
  </w:font>
  <w:font w:name="Palatino-Italic">
    <w:altName w:val="Palatino Linotype"/>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ookAntiqua">
    <w:charset w:val="00"/>
    <w:family w:val="roman"/>
    <w:pitch w:val="default"/>
  </w:font>
  <w:font w:name="Arial Narrow">
    <w:panose1 w:val="020B0606020202030204"/>
    <w:charset w:val="00"/>
    <w:family w:val="swiss"/>
    <w:pitch w:val="variable"/>
    <w:sig w:usb0="00000287" w:usb1="00000800" w:usb2="00000000" w:usb3="00000000" w:csb0="0000009F" w:csb1="00000000"/>
  </w:font>
  <w:font w:name="Vrinda">
    <w:panose1 w:val="00000400000000000000"/>
    <w:charset w:val="00"/>
    <w:family w:val="swiss"/>
    <w:pitch w:val="variable"/>
    <w:sig w:usb0="0001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
    <w:panose1 w:val="00000000000000000000"/>
    <w:charset w:val="80"/>
    <w:family w:val="auto"/>
    <w:notTrueType/>
    <w:pitch w:val="variable"/>
    <w:sig w:usb0="00000001" w:usb1="08070000" w:usb2="00000010" w:usb3="00000000" w:csb0="00020000" w:csb1="00000000"/>
  </w:font>
  <w:font w:name="Times New Roman (Cuerpo en alfa">
    <w:panose1 w:val="00000000000000000000"/>
    <w:charset w:val="00"/>
    <w:family w:val="roman"/>
    <w:notTrueType/>
    <w:pitch w:val="default"/>
  </w:font>
  <w:font w:name="System Font Regular">
    <w:charset w:val="00"/>
    <w:family w:val="auto"/>
    <w:pitch w:val="variable"/>
    <w:sig w:usb0="2000028F"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3698202"/>
      <w:docPartObj>
        <w:docPartGallery w:val="Page Numbers (Bottom of Page)"/>
        <w:docPartUnique/>
      </w:docPartObj>
    </w:sdtPr>
    <w:sdtEndPr>
      <w:rPr>
        <w:noProof/>
      </w:rPr>
    </w:sdtEndPr>
    <w:sdtContent>
      <w:p w14:paraId="282D8C4C" w14:textId="281130E1" w:rsidR="00AF5CC6" w:rsidRDefault="00AF5CC6">
        <w:pPr>
          <w:pStyle w:val="Piedepgina"/>
          <w:jc w:val="center"/>
        </w:pPr>
        <w:r w:rsidRPr="00BC4444">
          <w:rPr>
            <w:rFonts w:ascii="Verdana" w:hAnsi="Verdana"/>
            <w:sz w:val="20"/>
            <w:szCs w:val="20"/>
          </w:rPr>
          <w:fldChar w:fldCharType="begin"/>
        </w:r>
        <w:r w:rsidRPr="00BC4444">
          <w:rPr>
            <w:rFonts w:ascii="Verdana" w:hAnsi="Verdana"/>
            <w:sz w:val="20"/>
            <w:szCs w:val="20"/>
          </w:rPr>
          <w:instrText xml:space="preserve"> PAGE   \* MERGEFORMAT </w:instrText>
        </w:r>
        <w:r w:rsidRPr="00BC4444">
          <w:rPr>
            <w:rFonts w:ascii="Verdana" w:hAnsi="Verdana"/>
            <w:sz w:val="20"/>
            <w:szCs w:val="20"/>
          </w:rPr>
          <w:fldChar w:fldCharType="separate"/>
        </w:r>
        <w:r>
          <w:rPr>
            <w:rFonts w:ascii="Verdana" w:hAnsi="Verdana"/>
            <w:noProof/>
            <w:sz w:val="20"/>
            <w:szCs w:val="20"/>
          </w:rPr>
          <w:t>1</w:t>
        </w:r>
        <w:r w:rsidRPr="00BC4444">
          <w:rPr>
            <w:rFonts w:ascii="Verdana" w:hAnsi="Verdana"/>
            <w:noProof/>
            <w:sz w:val="20"/>
            <w:szCs w:val="20"/>
          </w:rPr>
          <w:fldChar w:fldCharType="end"/>
        </w:r>
      </w:p>
    </w:sdtContent>
  </w:sdt>
  <w:p w14:paraId="656BE652" w14:textId="77777777" w:rsidR="00AF5CC6" w:rsidRDefault="00AF5CC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2762C" w14:textId="77777777" w:rsidR="00AF5CC6" w:rsidRDefault="00AF5CC6" w:rsidP="00C36F0E">
    <w:pPr>
      <w:pStyle w:val="Piedepgina"/>
      <w:framePr w:wrap="none"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368C4363" w14:textId="77777777" w:rsidR="00AF5CC6" w:rsidRDefault="00AF5CC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256B0" w14:textId="77777777" w:rsidR="00AF5CC6" w:rsidRPr="002747B7" w:rsidRDefault="00AF5CC6" w:rsidP="00C36F0E">
    <w:pPr>
      <w:pStyle w:val="Piedepgina"/>
      <w:framePr w:wrap="none" w:vAnchor="text" w:hAnchor="margin" w:xAlign="center" w:y="1"/>
      <w:rPr>
        <w:rStyle w:val="Nmerodepgina"/>
        <w:rFonts w:ascii="Verdana" w:hAnsi="Verdana"/>
        <w:sz w:val="20"/>
        <w:szCs w:val="20"/>
      </w:rPr>
    </w:pPr>
    <w:r w:rsidRPr="002747B7">
      <w:rPr>
        <w:rStyle w:val="Nmerodepgina"/>
        <w:rFonts w:ascii="Verdana" w:hAnsi="Verdana"/>
        <w:sz w:val="20"/>
        <w:szCs w:val="20"/>
      </w:rPr>
      <w:fldChar w:fldCharType="begin"/>
    </w:r>
    <w:r w:rsidRPr="002747B7">
      <w:rPr>
        <w:rStyle w:val="Nmerodepgina"/>
        <w:rFonts w:ascii="Verdana" w:hAnsi="Verdana"/>
        <w:sz w:val="20"/>
        <w:szCs w:val="20"/>
      </w:rPr>
      <w:instrText xml:space="preserve">PAGE  </w:instrText>
    </w:r>
    <w:r w:rsidRPr="002747B7">
      <w:rPr>
        <w:rStyle w:val="Nmerodepgina"/>
        <w:rFonts w:ascii="Verdana" w:hAnsi="Verdana"/>
        <w:sz w:val="20"/>
        <w:szCs w:val="20"/>
      </w:rPr>
      <w:fldChar w:fldCharType="separate"/>
    </w:r>
    <w:r>
      <w:rPr>
        <w:rStyle w:val="Nmerodepgina"/>
        <w:rFonts w:ascii="Verdana" w:hAnsi="Verdana"/>
        <w:noProof/>
        <w:sz w:val="20"/>
        <w:szCs w:val="20"/>
      </w:rPr>
      <w:t>20</w:t>
    </w:r>
    <w:r w:rsidRPr="002747B7">
      <w:rPr>
        <w:rStyle w:val="Nmerodepgina"/>
        <w:rFonts w:ascii="Verdana" w:hAnsi="Verdana"/>
        <w:sz w:val="20"/>
        <w:szCs w:val="20"/>
      </w:rPr>
      <w:fldChar w:fldCharType="end"/>
    </w:r>
  </w:p>
  <w:p w14:paraId="10B4A111" w14:textId="77777777" w:rsidR="00AF5CC6" w:rsidRDefault="00AF5CC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85F293" w14:textId="77777777" w:rsidR="00AF5CC6" w:rsidRDefault="00AF5CC6" w:rsidP="00F162A7">
      <w:r>
        <w:separator/>
      </w:r>
    </w:p>
  </w:footnote>
  <w:footnote w:type="continuationSeparator" w:id="0">
    <w:p w14:paraId="2DDA313D" w14:textId="77777777" w:rsidR="00AF5CC6" w:rsidRDefault="00AF5CC6" w:rsidP="00F162A7">
      <w:r>
        <w:continuationSeparator/>
      </w:r>
    </w:p>
  </w:footnote>
  <w:footnote w:id="1">
    <w:p w14:paraId="176E8F55" w14:textId="079C7B2C"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t xml:space="preserve">The Vice President of the Court, Judge Eduardo </w:t>
      </w:r>
      <w:proofErr w:type="spellStart"/>
      <w:r w:rsidRPr="009F337B">
        <w:rPr>
          <w:szCs w:val="16"/>
          <w:lang w:val="en-US"/>
        </w:rPr>
        <w:t>Vio</w:t>
      </w:r>
      <w:proofErr w:type="spellEnd"/>
      <w:r w:rsidRPr="009F337B">
        <w:rPr>
          <w:szCs w:val="16"/>
          <w:lang w:val="en-US"/>
        </w:rPr>
        <w:t xml:space="preserve"> </w:t>
      </w:r>
      <w:proofErr w:type="spellStart"/>
      <w:r w:rsidRPr="009F337B">
        <w:rPr>
          <w:szCs w:val="16"/>
          <w:lang w:val="en-US"/>
        </w:rPr>
        <w:t>Grossi</w:t>
      </w:r>
      <w:proofErr w:type="spellEnd"/>
      <w:r w:rsidRPr="009F337B">
        <w:rPr>
          <w:szCs w:val="16"/>
          <w:lang w:val="en-US"/>
        </w:rPr>
        <w:t>, did not take part in the deliberation and signature of this judgment for reasons beyond his control.</w:t>
      </w:r>
    </w:p>
  </w:footnote>
  <w:footnote w:id="2">
    <w:p w14:paraId="064F90EF" w14:textId="011AE36D"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r>
      <w:r w:rsidRPr="009F337B">
        <w:rPr>
          <w:i/>
          <w:szCs w:val="16"/>
          <w:lang w:val="en-US"/>
        </w:rPr>
        <w:t xml:space="preserve">Cf. </w:t>
      </w:r>
      <w:r w:rsidRPr="009F337B">
        <w:rPr>
          <w:szCs w:val="16"/>
          <w:lang w:val="en-US"/>
        </w:rPr>
        <w:t xml:space="preserve">IACHR, Report No. 32/05, Petition 642/2003, Admissibility, </w:t>
      </w:r>
      <w:r w:rsidRPr="009F337B">
        <w:rPr>
          <w:i/>
          <w:szCs w:val="16"/>
          <w:lang w:val="en-US"/>
        </w:rPr>
        <w:t xml:space="preserve">Luis Ronaldo </w:t>
      </w:r>
      <w:proofErr w:type="spellStart"/>
      <w:r w:rsidRPr="009F337B">
        <w:rPr>
          <w:i/>
          <w:szCs w:val="16"/>
          <w:lang w:val="en-US"/>
        </w:rPr>
        <w:t>Cuscul</w:t>
      </w:r>
      <w:proofErr w:type="spellEnd"/>
      <w:r w:rsidRPr="009F337B">
        <w:rPr>
          <w:i/>
          <w:szCs w:val="16"/>
          <w:lang w:val="en-US"/>
        </w:rPr>
        <w:t xml:space="preserve"> </w:t>
      </w:r>
      <w:proofErr w:type="spellStart"/>
      <w:r w:rsidRPr="009F337B">
        <w:rPr>
          <w:i/>
          <w:szCs w:val="16"/>
          <w:lang w:val="en-US"/>
        </w:rPr>
        <w:t>Pivaral</w:t>
      </w:r>
      <w:proofErr w:type="spellEnd"/>
      <w:r w:rsidRPr="009F337B">
        <w:rPr>
          <w:i/>
          <w:szCs w:val="16"/>
          <w:lang w:val="en-US"/>
        </w:rPr>
        <w:t xml:space="preserve"> et al. (Persons living with HIV/AIDS), </w:t>
      </w:r>
      <w:r w:rsidRPr="009F337B">
        <w:rPr>
          <w:szCs w:val="16"/>
          <w:lang w:val="en-US"/>
        </w:rPr>
        <w:t>Guatemala, March 7, 2005.</w:t>
      </w:r>
    </w:p>
  </w:footnote>
  <w:footnote w:id="3">
    <w:p w14:paraId="51EA3634" w14:textId="067241A0" w:rsidR="00AF5CC6" w:rsidRPr="009F337B" w:rsidRDefault="00AF5CC6" w:rsidP="00A30D95">
      <w:pPr>
        <w:pStyle w:val="Textonotapie"/>
        <w:spacing w:before="0"/>
        <w:rPr>
          <w:b/>
          <w:szCs w:val="16"/>
          <w:lang w:val="en-US"/>
        </w:rPr>
      </w:pPr>
      <w:r w:rsidRPr="009F337B">
        <w:rPr>
          <w:rStyle w:val="Refdenotaalpie"/>
          <w:szCs w:val="16"/>
          <w:lang w:val="en-US"/>
        </w:rPr>
        <w:footnoteRef/>
      </w:r>
      <w:r w:rsidRPr="009F337B">
        <w:rPr>
          <w:szCs w:val="16"/>
          <w:lang w:val="en-US"/>
        </w:rPr>
        <w:tab/>
      </w:r>
      <w:r w:rsidRPr="009F337B">
        <w:rPr>
          <w:rFonts w:eastAsia="Calibri" w:cs="Verdana"/>
          <w:spacing w:val="-2"/>
          <w:szCs w:val="16"/>
          <w:lang w:val="en-US" w:eastAsia="es-ES"/>
        </w:rPr>
        <w:t xml:space="preserve">On February 21, 2017, the State advised that Victor Hugo Godoy Morales and María José Ortiz </w:t>
      </w:r>
      <w:proofErr w:type="spellStart"/>
      <w:r w:rsidRPr="009F337B">
        <w:rPr>
          <w:rFonts w:eastAsia="Calibri" w:cs="Verdana"/>
          <w:spacing w:val="-2"/>
          <w:szCs w:val="16"/>
          <w:lang w:val="en-US" w:eastAsia="es-ES"/>
        </w:rPr>
        <w:t>Samayoa</w:t>
      </w:r>
      <w:proofErr w:type="spellEnd"/>
      <w:r w:rsidRPr="009F337B">
        <w:rPr>
          <w:rFonts w:eastAsia="Calibri" w:cs="Verdana"/>
          <w:spacing w:val="-2"/>
          <w:szCs w:val="16"/>
          <w:lang w:val="en-US" w:eastAsia="es-ES"/>
        </w:rPr>
        <w:t xml:space="preserve"> would be its Agents. Subsequently, in a brief of November 3, 2017, Jorge Luis </w:t>
      </w:r>
      <w:proofErr w:type="spellStart"/>
      <w:r w:rsidRPr="009F337B">
        <w:rPr>
          <w:rFonts w:eastAsia="Calibri" w:cs="Verdana"/>
          <w:spacing w:val="-2"/>
          <w:szCs w:val="16"/>
          <w:lang w:val="en-US" w:eastAsia="es-ES"/>
        </w:rPr>
        <w:t>Borrayo</w:t>
      </w:r>
      <w:proofErr w:type="spellEnd"/>
      <w:r w:rsidRPr="009F337B">
        <w:rPr>
          <w:rFonts w:eastAsia="Calibri" w:cs="Verdana"/>
          <w:spacing w:val="-2"/>
          <w:szCs w:val="16"/>
          <w:lang w:val="en-US" w:eastAsia="es-ES"/>
        </w:rPr>
        <w:t xml:space="preserve"> Reyes, President of COPREDEH, advised that, in his absence, Felipe Sánchez González would sign the communications addressed to the Court.</w:t>
      </w:r>
    </w:p>
  </w:footnote>
  <w:footnote w:id="4">
    <w:p w14:paraId="1D74736B" w14:textId="7E3D2A3D"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r>
      <w:r w:rsidRPr="009F337B">
        <w:rPr>
          <w:i/>
          <w:szCs w:val="16"/>
          <w:lang w:val="en-US"/>
        </w:rPr>
        <w:t xml:space="preserve">Cf. Case of </w:t>
      </w:r>
      <w:proofErr w:type="spellStart"/>
      <w:r w:rsidRPr="009F337B">
        <w:rPr>
          <w:i/>
          <w:szCs w:val="16"/>
          <w:lang w:val="en-US"/>
        </w:rPr>
        <w:t>Cuscul</w:t>
      </w:r>
      <w:proofErr w:type="spellEnd"/>
      <w:r w:rsidRPr="009F337B">
        <w:rPr>
          <w:i/>
          <w:szCs w:val="16"/>
          <w:lang w:val="en-US"/>
        </w:rPr>
        <w:t xml:space="preserve"> </w:t>
      </w:r>
      <w:proofErr w:type="spellStart"/>
      <w:r w:rsidRPr="009F337B">
        <w:rPr>
          <w:i/>
          <w:szCs w:val="16"/>
          <w:lang w:val="en-US"/>
        </w:rPr>
        <w:t>Pivaral</w:t>
      </w:r>
      <w:proofErr w:type="spellEnd"/>
      <w:r w:rsidRPr="009F337B">
        <w:rPr>
          <w:i/>
          <w:szCs w:val="16"/>
          <w:lang w:val="en-US"/>
        </w:rPr>
        <w:t xml:space="preserve"> et al. v. Guatemala. Victims’ Legal Assistance Fund. </w:t>
      </w:r>
      <w:r w:rsidRPr="009F337B">
        <w:rPr>
          <w:szCs w:val="16"/>
          <w:lang w:val="en-US"/>
        </w:rPr>
        <w:t>Order of July 24, 2017. Available at: http://www.corteidh.or.cr/docs/asuntos/cuscul_fv_17.pdf.</w:t>
      </w:r>
    </w:p>
  </w:footnote>
  <w:footnote w:id="5">
    <w:p w14:paraId="1F448AA4" w14:textId="0F8F25A9"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t xml:space="preserve">The brief was signed by Denise </w:t>
      </w:r>
      <w:proofErr w:type="spellStart"/>
      <w:r w:rsidRPr="009F337B">
        <w:rPr>
          <w:szCs w:val="16"/>
          <w:lang w:val="en-US"/>
        </w:rPr>
        <w:t>Ciraudo</w:t>
      </w:r>
      <w:proofErr w:type="spellEnd"/>
      <w:r w:rsidRPr="009F337B">
        <w:rPr>
          <w:szCs w:val="16"/>
          <w:lang w:val="en-US"/>
        </w:rPr>
        <w:t xml:space="preserve">, Javier Ruiz and Felipe </w:t>
      </w:r>
      <w:proofErr w:type="spellStart"/>
      <w:r w:rsidRPr="009F337B">
        <w:rPr>
          <w:szCs w:val="16"/>
          <w:lang w:val="en-US"/>
        </w:rPr>
        <w:t>Sautu</w:t>
      </w:r>
      <w:proofErr w:type="spellEnd"/>
      <w:r w:rsidRPr="009F337B">
        <w:rPr>
          <w:szCs w:val="16"/>
          <w:lang w:val="en-US"/>
        </w:rPr>
        <w:t>. It analyzed the HIV situation in Guatemala and explained that the State had provided little or no medical care to people with HIV. Following an examination of Guatemala’s national and international legal framework, it concluded that the State had failed to comply with its commitments and obligations. The document also included an analysis of the right to life of the victims, to personal integrity of those involved, to personal integrity of their next of kin, and of the right to judicial protection in relation to the application for amparo that had been filed. It concluded that the State was responsible for violating the rights mentioned and proposed that the Court should take into consideration the following measures of reparation: reparation of pecuniary and non-pecuniary damage, measures to commemorate the deceased victims, measures of non-repetition, and a public act.</w:t>
      </w:r>
    </w:p>
  </w:footnote>
  <w:footnote w:id="6">
    <w:p w14:paraId="61C87F46" w14:textId="3032831B"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t xml:space="preserve">The brief was signed by Ariel </w:t>
      </w:r>
      <w:proofErr w:type="spellStart"/>
      <w:r w:rsidRPr="009F337B">
        <w:rPr>
          <w:szCs w:val="16"/>
          <w:lang w:val="en-US"/>
        </w:rPr>
        <w:t>Dulitzky</w:t>
      </w:r>
      <w:proofErr w:type="spellEnd"/>
      <w:r w:rsidRPr="009F337B">
        <w:rPr>
          <w:szCs w:val="16"/>
          <w:lang w:val="en-US"/>
        </w:rPr>
        <w:t xml:space="preserve"> on behalf of the authors. The document emphasized that, based on the rules of interpretation established in the American Convention and in the Vienna Convention, as well as criteria developed by the Court, Article 26 of the Convention protected the economic, social and cultural rights that derive from the OAS Charter, including the right to health, and that these rights are subject to the general obligations to respect and to ensure rights imposed by Articles 1(1) and 2 of the Convention. The brief differentiated between the right to health and the rights to life and to personal integrity, because the former is a right in itself that also imposes specific obligations. The document provided an overview of HIV and its situation in Guatemala, stressing the importance of implementing public health policies focused on the provision of care. It concluded that Guatemala’s response to the HIV crisis had been belated and well below standards for clinical care, and this had had a direct impact on each victim in this case.</w:t>
      </w:r>
    </w:p>
  </w:footnote>
  <w:footnote w:id="7">
    <w:p w14:paraId="409239E1" w14:textId="79DBB147"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t xml:space="preserve">The brief was signed by María de los </w:t>
      </w:r>
      <w:proofErr w:type="spellStart"/>
      <w:r w:rsidRPr="009F337B">
        <w:rPr>
          <w:szCs w:val="16"/>
          <w:lang w:val="en-US"/>
        </w:rPr>
        <w:t>Ángeles</w:t>
      </w:r>
      <w:proofErr w:type="spellEnd"/>
      <w:r w:rsidRPr="009F337B">
        <w:rPr>
          <w:szCs w:val="16"/>
          <w:lang w:val="en-US"/>
        </w:rPr>
        <w:t xml:space="preserve"> Cruz </w:t>
      </w:r>
      <w:proofErr w:type="spellStart"/>
      <w:r w:rsidRPr="009F337B">
        <w:rPr>
          <w:szCs w:val="16"/>
          <w:lang w:val="en-US"/>
        </w:rPr>
        <w:t>Rosel</w:t>
      </w:r>
      <w:proofErr w:type="spellEnd"/>
      <w:r w:rsidRPr="009F337B">
        <w:rPr>
          <w:szCs w:val="16"/>
          <w:lang w:val="en-US"/>
        </w:rPr>
        <w:t xml:space="preserve">, Carlos Luis </w:t>
      </w:r>
      <w:proofErr w:type="spellStart"/>
      <w:r w:rsidRPr="009F337B">
        <w:rPr>
          <w:szCs w:val="16"/>
          <w:lang w:val="en-US"/>
        </w:rPr>
        <w:t>Escoffié</w:t>
      </w:r>
      <w:proofErr w:type="spellEnd"/>
      <w:r w:rsidRPr="009F337B">
        <w:rPr>
          <w:szCs w:val="16"/>
          <w:lang w:val="en-US"/>
        </w:rPr>
        <w:t xml:space="preserve"> Duarte, Jessy Guadalupe </w:t>
      </w:r>
      <w:proofErr w:type="spellStart"/>
      <w:r w:rsidRPr="009F337B">
        <w:rPr>
          <w:szCs w:val="16"/>
          <w:lang w:val="en-US"/>
        </w:rPr>
        <w:t>Cetz</w:t>
      </w:r>
      <w:proofErr w:type="spellEnd"/>
      <w:r w:rsidRPr="009F337B">
        <w:rPr>
          <w:szCs w:val="16"/>
          <w:lang w:val="en-US"/>
        </w:rPr>
        <w:t xml:space="preserve"> Ceils, Enrique de Jesús Gallegos Madrigal and Andrea Guadalupe </w:t>
      </w:r>
      <w:proofErr w:type="spellStart"/>
      <w:r w:rsidRPr="009F337B">
        <w:rPr>
          <w:szCs w:val="16"/>
          <w:lang w:val="en-US"/>
        </w:rPr>
        <w:t>Tejero</w:t>
      </w:r>
      <w:proofErr w:type="spellEnd"/>
      <w:r w:rsidRPr="009F337B">
        <w:rPr>
          <w:szCs w:val="16"/>
          <w:lang w:val="en-US"/>
        </w:rPr>
        <w:t xml:space="preserve"> </w:t>
      </w:r>
      <w:proofErr w:type="spellStart"/>
      <w:r w:rsidRPr="009F337B">
        <w:rPr>
          <w:szCs w:val="16"/>
          <w:lang w:val="en-US"/>
        </w:rPr>
        <w:t>Gamboa</w:t>
      </w:r>
      <w:proofErr w:type="spellEnd"/>
      <w:r w:rsidRPr="009F337B">
        <w:rPr>
          <w:szCs w:val="16"/>
          <w:lang w:val="en-US"/>
        </w:rPr>
        <w:t xml:space="preserve">. First, the document analyzed the concept of the principle of progressivity in international law, particularly how it has been analyzed by the region’s high courts. It emphasized the need for the Court to rule in order to produce the first inter-American standards in this regard and also </w:t>
      </w:r>
      <w:r>
        <w:rPr>
          <w:szCs w:val="16"/>
          <w:lang w:val="en-US"/>
        </w:rPr>
        <w:t>on</w:t>
      </w:r>
      <w:r w:rsidRPr="009F337B">
        <w:rPr>
          <w:szCs w:val="16"/>
          <w:lang w:val="en-US"/>
        </w:rPr>
        <w:t xml:space="preserve"> the corresponding State obligations. Second, the brief considered that it should be established as judicial criteria that the absence of indicators, information and statistics was, </w:t>
      </w:r>
      <w:r w:rsidRPr="009F337B">
        <w:rPr>
          <w:i/>
          <w:szCs w:val="16"/>
          <w:lang w:val="en-US"/>
        </w:rPr>
        <w:t>per se,</w:t>
      </w:r>
      <w:r w:rsidRPr="009F337B">
        <w:rPr>
          <w:szCs w:val="16"/>
          <w:lang w:val="en-US"/>
        </w:rPr>
        <w:t xml:space="preserve"> a violation of the principle owing to the immediate minimum obligations derived from Article 26 in relation to Articles 1(1) and 2 of the Convention. The brief examined the regional experiences in limiting patents for reasons of public interest. It stressed the need to adopt alternate measures such as the obligatory licensing of pharmaceutical patents based on public interest.</w:t>
      </w:r>
    </w:p>
  </w:footnote>
  <w:footnote w:id="8">
    <w:p w14:paraId="4EB107DF" w14:textId="4AD3003F"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r>
      <w:r w:rsidRPr="009F337B">
        <w:rPr>
          <w:i/>
          <w:szCs w:val="16"/>
          <w:lang w:val="en-US"/>
        </w:rPr>
        <w:t xml:space="preserve">Cf. Case of </w:t>
      </w:r>
      <w:proofErr w:type="spellStart"/>
      <w:r w:rsidRPr="009F337B">
        <w:rPr>
          <w:i/>
          <w:szCs w:val="16"/>
          <w:lang w:val="en-US"/>
        </w:rPr>
        <w:t>Cuscul</w:t>
      </w:r>
      <w:proofErr w:type="spellEnd"/>
      <w:r w:rsidRPr="009F337B">
        <w:rPr>
          <w:i/>
          <w:szCs w:val="16"/>
          <w:lang w:val="en-US"/>
        </w:rPr>
        <w:t xml:space="preserve"> </w:t>
      </w:r>
      <w:proofErr w:type="spellStart"/>
      <w:r w:rsidRPr="009F337B">
        <w:rPr>
          <w:i/>
          <w:szCs w:val="16"/>
          <w:lang w:val="en-US"/>
        </w:rPr>
        <w:t>Pivaral</w:t>
      </w:r>
      <w:proofErr w:type="spellEnd"/>
      <w:r w:rsidRPr="009F337B">
        <w:rPr>
          <w:i/>
          <w:szCs w:val="16"/>
          <w:lang w:val="en-US"/>
        </w:rPr>
        <w:t xml:space="preserve"> et al. v. Guatemala. Summons to a hearing</w:t>
      </w:r>
      <w:r w:rsidRPr="009F337B">
        <w:rPr>
          <w:szCs w:val="16"/>
          <w:lang w:val="en-US"/>
        </w:rPr>
        <w:t xml:space="preserve">. Order of the President of the Inter-American Court of Human Rights of February 8, 2018. Available at: </w:t>
      </w:r>
      <w:hyperlink r:id="rId1" w:history="1">
        <w:r w:rsidRPr="009F337B">
          <w:rPr>
            <w:rStyle w:val="Hipervnculo"/>
            <w:szCs w:val="16"/>
            <w:lang w:val="en-US"/>
          </w:rPr>
          <w:t>http://www.corteidh.or.cr/docs/asuntos/ cuscul_08_02_18.pdf</w:t>
        </w:r>
      </w:hyperlink>
      <w:r w:rsidRPr="009F337B">
        <w:rPr>
          <w:szCs w:val="16"/>
          <w:lang w:val="en-US"/>
        </w:rPr>
        <w:t>.</w:t>
      </w:r>
    </w:p>
  </w:footnote>
  <w:footnote w:id="9">
    <w:p w14:paraId="079A67E9" w14:textId="6C4B41B9" w:rsidR="00AF5CC6" w:rsidRPr="009F337B" w:rsidRDefault="00AF5CC6" w:rsidP="00A30D95">
      <w:pPr>
        <w:pStyle w:val="Textonotapie"/>
        <w:spacing w:before="0"/>
        <w:rPr>
          <w:rFonts w:eastAsia="Times New Roman" w:cs="Times New Roman"/>
          <w:bCs/>
          <w:iCs/>
          <w:szCs w:val="16"/>
          <w:lang w:val="en-US"/>
        </w:rPr>
      </w:pPr>
      <w:r w:rsidRPr="009F337B">
        <w:rPr>
          <w:rStyle w:val="Refdenotaalpie"/>
          <w:szCs w:val="16"/>
          <w:lang w:val="en-US"/>
        </w:rPr>
        <w:footnoteRef/>
      </w:r>
      <w:r w:rsidRPr="009F337B">
        <w:rPr>
          <w:szCs w:val="16"/>
          <w:lang w:val="en-US"/>
        </w:rPr>
        <w:tab/>
        <w:t xml:space="preserve">Those present at this hearing were: (1) for </w:t>
      </w:r>
      <w:r w:rsidRPr="009F337B">
        <w:rPr>
          <w:rFonts w:eastAsia="Times New Roman" w:cs="Times New Roman"/>
          <w:bCs/>
          <w:iCs/>
          <w:szCs w:val="16"/>
          <w:lang w:val="en-US"/>
        </w:rPr>
        <w:t xml:space="preserve">the Inter-American Commission: Silvia Serrano Guzmán and Soledad García Muñoz; (b) for the representatives: Esteban Madrigal Brenes, Gisela De Léon, Marcia </w:t>
      </w:r>
      <w:proofErr w:type="spellStart"/>
      <w:r w:rsidRPr="009F337B">
        <w:rPr>
          <w:rFonts w:eastAsia="Times New Roman" w:cs="Times New Roman"/>
          <w:bCs/>
          <w:iCs/>
          <w:szCs w:val="16"/>
          <w:lang w:val="en-US"/>
        </w:rPr>
        <w:t>Aguiluz</w:t>
      </w:r>
      <w:proofErr w:type="spellEnd"/>
      <w:r w:rsidRPr="009F337B">
        <w:rPr>
          <w:rFonts w:eastAsia="Times New Roman" w:cs="Times New Roman"/>
          <w:bCs/>
          <w:iCs/>
          <w:szCs w:val="16"/>
          <w:lang w:val="en-US"/>
        </w:rPr>
        <w:t xml:space="preserve">, Antonio </w:t>
      </w:r>
      <w:proofErr w:type="spellStart"/>
      <w:r w:rsidRPr="009F337B">
        <w:rPr>
          <w:rFonts w:eastAsia="Times New Roman" w:cs="Times New Roman"/>
          <w:bCs/>
          <w:iCs/>
          <w:szCs w:val="16"/>
          <w:lang w:val="en-US"/>
        </w:rPr>
        <w:t>Jaén</w:t>
      </w:r>
      <w:proofErr w:type="spellEnd"/>
      <w:r w:rsidRPr="009F337B">
        <w:rPr>
          <w:rFonts w:eastAsia="Times New Roman" w:cs="Times New Roman"/>
          <w:bCs/>
          <w:iCs/>
          <w:szCs w:val="16"/>
          <w:lang w:val="en-US"/>
        </w:rPr>
        <w:t xml:space="preserve">, Mariana </w:t>
      </w:r>
      <w:proofErr w:type="spellStart"/>
      <w:r w:rsidRPr="009F337B">
        <w:rPr>
          <w:rFonts w:eastAsia="Times New Roman" w:cs="Times New Roman"/>
          <w:bCs/>
          <w:iCs/>
          <w:szCs w:val="16"/>
          <w:lang w:val="en-US"/>
        </w:rPr>
        <w:t>Brocca</w:t>
      </w:r>
      <w:proofErr w:type="spellEnd"/>
      <w:r w:rsidRPr="009F337B">
        <w:rPr>
          <w:rFonts w:eastAsia="Times New Roman" w:cs="Times New Roman"/>
          <w:bCs/>
          <w:iCs/>
          <w:szCs w:val="16"/>
          <w:lang w:val="en-US"/>
        </w:rPr>
        <w:t xml:space="preserve">, Eduardo </w:t>
      </w:r>
      <w:proofErr w:type="spellStart"/>
      <w:r w:rsidRPr="009F337B">
        <w:rPr>
          <w:rFonts w:eastAsia="Times New Roman" w:cs="Times New Roman"/>
          <w:bCs/>
          <w:iCs/>
          <w:szCs w:val="16"/>
          <w:lang w:val="en-US"/>
        </w:rPr>
        <w:t>Arathoon</w:t>
      </w:r>
      <w:proofErr w:type="spellEnd"/>
      <w:r w:rsidRPr="009F337B">
        <w:rPr>
          <w:rFonts w:eastAsia="Times New Roman" w:cs="Times New Roman"/>
          <w:bCs/>
          <w:iCs/>
          <w:szCs w:val="16"/>
          <w:lang w:val="en-US"/>
        </w:rPr>
        <w:t xml:space="preserve"> and Cristina Calderón, and (c) for the State de Guatemala: Juan Carlos Orellana Juárez, Felipe Sánchez González, Lourdes Mylene Woolfolk Contreras, </w:t>
      </w:r>
      <w:proofErr w:type="spellStart"/>
      <w:r w:rsidRPr="009F337B">
        <w:rPr>
          <w:rFonts w:eastAsia="Times New Roman" w:cs="Times New Roman"/>
          <w:bCs/>
          <w:iCs/>
          <w:szCs w:val="16"/>
          <w:lang w:val="en-US"/>
        </w:rPr>
        <w:t>Briceida</w:t>
      </w:r>
      <w:proofErr w:type="spellEnd"/>
      <w:r w:rsidRPr="009F337B">
        <w:rPr>
          <w:rFonts w:eastAsia="Times New Roman" w:cs="Times New Roman"/>
          <w:bCs/>
          <w:iCs/>
          <w:szCs w:val="16"/>
          <w:lang w:val="en-US"/>
        </w:rPr>
        <w:t xml:space="preserve"> Aracely </w:t>
      </w:r>
      <w:proofErr w:type="spellStart"/>
      <w:r w:rsidRPr="009F337B">
        <w:rPr>
          <w:rFonts w:eastAsia="Times New Roman" w:cs="Times New Roman"/>
          <w:bCs/>
          <w:iCs/>
          <w:szCs w:val="16"/>
          <w:lang w:val="en-US"/>
        </w:rPr>
        <w:t>Hoenes</w:t>
      </w:r>
      <w:proofErr w:type="spellEnd"/>
      <w:r w:rsidRPr="009F337B">
        <w:rPr>
          <w:rFonts w:eastAsia="Times New Roman" w:cs="Times New Roman"/>
          <w:bCs/>
          <w:iCs/>
          <w:szCs w:val="16"/>
          <w:lang w:val="en-US"/>
        </w:rPr>
        <w:t xml:space="preserve"> Raquel, Mario Enrique </w:t>
      </w:r>
      <w:proofErr w:type="spellStart"/>
      <w:r w:rsidRPr="009F337B">
        <w:rPr>
          <w:rFonts w:eastAsia="Times New Roman" w:cs="Times New Roman"/>
          <w:bCs/>
          <w:iCs/>
          <w:szCs w:val="16"/>
          <w:lang w:val="en-US"/>
        </w:rPr>
        <w:t>Anthoon</w:t>
      </w:r>
      <w:proofErr w:type="spellEnd"/>
      <w:r w:rsidRPr="009F337B">
        <w:rPr>
          <w:rFonts w:eastAsia="Times New Roman" w:cs="Times New Roman"/>
          <w:bCs/>
          <w:iCs/>
          <w:szCs w:val="16"/>
          <w:lang w:val="en-US"/>
        </w:rPr>
        <w:t xml:space="preserve"> Urbina, Rafael Eduardo Bran Paz and Verónica Jiménez.</w:t>
      </w:r>
    </w:p>
  </w:footnote>
  <w:footnote w:id="10">
    <w:p w14:paraId="052FF46C" w14:textId="7398755D"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 xml:space="preserve"> </w:t>
      </w:r>
      <w:r w:rsidRPr="009F337B">
        <w:rPr>
          <w:szCs w:val="16"/>
          <w:lang w:val="en-US"/>
        </w:rPr>
        <w:tab/>
        <w:t>Article 62(3) of the Convention establishes that: “[t]</w:t>
      </w:r>
      <w:r w:rsidRPr="009F337B">
        <w:rPr>
          <w:spacing w:val="-3"/>
          <w:szCs w:val="16"/>
          <w:lang w:val="en-US"/>
        </w:rPr>
        <w:t>he jurisdiction of the Court shall comprise all cases concerning the interpretation and application of the provisions of this Convention that are submitted to it, provided that the States Parties to the case recognize or have recognized such jurisdiction, whether by special declaration pursuant to the preceding paragraphs, or by a special agreement.</w:t>
      </w:r>
      <w:r w:rsidRPr="009F337B">
        <w:rPr>
          <w:szCs w:val="16"/>
          <w:lang w:val="en-US"/>
        </w:rPr>
        <w:t>”</w:t>
      </w:r>
    </w:p>
  </w:footnote>
  <w:footnote w:id="11">
    <w:p w14:paraId="01F11F0B" w14:textId="60F8411E" w:rsidR="00AF5CC6" w:rsidRPr="009F337B" w:rsidRDefault="00AF5CC6" w:rsidP="00A30D95">
      <w:pPr>
        <w:spacing w:after="120"/>
        <w:rPr>
          <w:b/>
          <w:sz w:val="16"/>
          <w:szCs w:val="16"/>
          <w:lang w:val="en-US"/>
        </w:rPr>
      </w:pPr>
      <w:r w:rsidRPr="009F337B">
        <w:rPr>
          <w:rStyle w:val="Refdenotaalpie"/>
          <w:sz w:val="16"/>
          <w:szCs w:val="16"/>
          <w:lang w:val="en-US"/>
        </w:rPr>
        <w:footnoteRef/>
      </w:r>
      <w:r w:rsidRPr="009F337B">
        <w:rPr>
          <w:sz w:val="16"/>
          <w:szCs w:val="16"/>
          <w:lang w:val="es-CR"/>
        </w:rPr>
        <w:tab/>
      </w:r>
      <w:r w:rsidRPr="009F337B">
        <w:rPr>
          <w:i/>
          <w:sz w:val="16"/>
          <w:szCs w:val="16"/>
          <w:lang w:val="es-CR"/>
        </w:rPr>
        <w:t>Cf.</w:t>
      </w:r>
      <w:r w:rsidRPr="009F337B">
        <w:rPr>
          <w:sz w:val="16"/>
          <w:szCs w:val="16"/>
          <w:shd w:val="clear" w:color="auto" w:fill="FFFFFF"/>
          <w:lang w:val="es-CR"/>
        </w:rPr>
        <w:t xml:space="preserve"> </w:t>
      </w:r>
      <w:r w:rsidRPr="009F337B">
        <w:rPr>
          <w:bCs/>
          <w:i/>
          <w:sz w:val="16"/>
          <w:szCs w:val="16"/>
          <w:shd w:val="clear" w:color="auto" w:fill="FFFFFF"/>
          <w:lang w:val="es-CR"/>
        </w:rPr>
        <w:t xml:space="preserve">Case of Velásquez Rodríguez v. Honduras. </w:t>
      </w:r>
      <w:r w:rsidRPr="009F337B">
        <w:rPr>
          <w:bCs/>
          <w:i/>
          <w:sz w:val="16"/>
          <w:szCs w:val="16"/>
          <w:shd w:val="clear" w:color="auto" w:fill="FFFFFF"/>
          <w:lang w:val="en-US"/>
        </w:rPr>
        <w:t>Preliminary objections</w:t>
      </w:r>
      <w:r w:rsidRPr="009F337B">
        <w:rPr>
          <w:bCs/>
          <w:sz w:val="16"/>
          <w:szCs w:val="16"/>
          <w:shd w:val="clear" w:color="auto" w:fill="FFFFFF"/>
          <w:lang w:val="en-US"/>
        </w:rPr>
        <w:t>. Judgment of June 26, 1987. Series C No. 1, para. 63,</w:t>
      </w:r>
      <w:r w:rsidRPr="009F337B">
        <w:rPr>
          <w:rStyle w:val="Textoennegrita"/>
          <w:sz w:val="16"/>
          <w:szCs w:val="16"/>
          <w:shd w:val="clear" w:color="auto" w:fill="FFFFFF"/>
          <w:lang w:val="en-US"/>
        </w:rPr>
        <w:t xml:space="preserve"> </w:t>
      </w:r>
      <w:r w:rsidRPr="009F337B">
        <w:rPr>
          <w:rStyle w:val="Textoennegrita"/>
          <w:b w:val="0"/>
          <w:sz w:val="16"/>
          <w:szCs w:val="16"/>
          <w:shd w:val="clear" w:color="auto" w:fill="FFFFFF"/>
          <w:lang w:val="en-US"/>
        </w:rPr>
        <w:t xml:space="preserve">and </w:t>
      </w:r>
      <w:r w:rsidRPr="009F337B">
        <w:rPr>
          <w:rStyle w:val="Textoennegrita"/>
          <w:b w:val="0"/>
          <w:i/>
          <w:color w:val="000000"/>
          <w:sz w:val="16"/>
          <w:szCs w:val="16"/>
          <w:shd w:val="clear" w:color="auto" w:fill="FFFFFF"/>
          <w:lang w:val="en-US"/>
        </w:rPr>
        <w:t>Case of Amrhein et al. v. Costa Rica. Preliminary objections, merits, reparations and costs.</w:t>
      </w:r>
      <w:r w:rsidRPr="009F337B">
        <w:rPr>
          <w:rStyle w:val="Textoennegrita"/>
          <w:b w:val="0"/>
          <w:color w:val="000000"/>
          <w:sz w:val="16"/>
          <w:szCs w:val="16"/>
          <w:shd w:val="clear" w:color="auto" w:fill="FFFFFF"/>
          <w:lang w:val="en-US"/>
        </w:rPr>
        <w:t xml:space="preserve"> Judgment of April 25, 2018. Series C No. 354, para. 39.</w:t>
      </w:r>
    </w:p>
  </w:footnote>
  <w:footnote w:id="12">
    <w:p w14:paraId="1A40AA1D" w14:textId="72A3E952" w:rsidR="00AF5CC6" w:rsidRPr="009F337B" w:rsidRDefault="00AF5CC6" w:rsidP="00A30D95">
      <w:pPr>
        <w:spacing w:after="120"/>
        <w:rPr>
          <w:bCs/>
          <w:i/>
          <w:sz w:val="16"/>
          <w:szCs w:val="16"/>
          <w:shd w:val="clear" w:color="auto" w:fill="FFFFFF"/>
          <w:lang w:val="en-US"/>
        </w:rPr>
      </w:pPr>
      <w:r w:rsidRPr="009F337B">
        <w:rPr>
          <w:rStyle w:val="Refdenotaalpie"/>
          <w:sz w:val="16"/>
          <w:szCs w:val="16"/>
          <w:lang w:val="en-US"/>
        </w:rPr>
        <w:footnoteRef/>
      </w:r>
      <w:r w:rsidRPr="009F337B">
        <w:rPr>
          <w:sz w:val="16"/>
          <w:szCs w:val="16"/>
          <w:lang w:val="en-US"/>
        </w:rPr>
        <w:tab/>
      </w:r>
      <w:r w:rsidRPr="009F337B">
        <w:rPr>
          <w:rFonts w:cs="Verdana"/>
          <w:i/>
          <w:iCs/>
          <w:sz w:val="16"/>
          <w:szCs w:val="16"/>
          <w:lang w:val="en-US"/>
        </w:rPr>
        <w:t xml:space="preserve">Cf. </w:t>
      </w:r>
      <w:r w:rsidRPr="009F337B">
        <w:rPr>
          <w:rStyle w:val="Textoennegrita"/>
          <w:b w:val="0"/>
          <w:i/>
          <w:sz w:val="16"/>
          <w:szCs w:val="16"/>
          <w:shd w:val="clear" w:color="auto" w:fill="FFFFFF"/>
          <w:lang w:val="en-US"/>
        </w:rPr>
        <w:t>Case of Velásquez Rodríguez v. Honduras. Preliminary objections</w:t>
      </w:r>
      <w:r w:rsidRPr="009F337B">
        <w:rPr>
          <w:rFonts w:cs="Verdana"/>
          <w:i/>
          <w:sz w:val="16"/>
          <w:szCs w:val="16"/>
          <w:lang w:val="en-US"/>
        </w:rPr>
        <w:t>.</w:t>
      </w:r>
      <w:r w:rsidRPr="009F337B">
        <w:rPr>
          <w:rFonts w:cs="Verdana"/>
          <w:sz w:val="16"/>
          <w:szCs w:val="16"/>
          <w:lang w:val="en-US"/>
        </w:rPr>
        <w:t xml:space="preserve"> </w:t>
      </w:r>
      <w:r w:rsidRPr="009F337B">
        <w:rPr>
          <w:bCs/>
          <w:sz w:val="16"/>
          <w:szCs w:val="16"/>
          <w:shd w:val="clear" w:color="auto" w:fill="FFFFFF"/>
          <w:lang w:val="en-US"/>
        </w:rPr>
        <w:t xml:space="preserve">Judgment of June 26, 1987. Series C No. 1, </w:t>
      </w:r>
      <w:r w:rsidRPr="009F337B">
        <w:rPr>
          <w:rFonts w:cs="Verdana"/>
          <w:sz w:val="16"/>
          <w:szCs w:val="16"/>
          <w:lang w:val="en-US"/>
        </w:rPr>
        <w:t xml:space="preserve">para. 88, and </w:t>
      </w:r>
      <w:r w:rsidRPr="009F337B">
        <w:rPr>
          <w:rStyle w:val="Textoennegrita"/>
          <w:b w:val="0"/>
          <w:i/>
          <w:color w:val="000000"/>
          <w:sz w:val="16"/>
          <w:szCs w:val="16"/>
          <w:shd w:val="clear" w:color="auto" w:fill="FFFFFF"/>
          <w:lang w:val="en-US"/>
        </w:rPr>
        <w:t>Case of Amrhein et al. v. Costa Rica. Preliminary objections, merits, reparations and costs.</w:t>
      </w:r>
      <w:r w:rsidRPr="009F337B">
        <w:rPr>
          <w:rStyle w:val="Textoennegrita"/>
          <w:b w:val="0"/>
          <w:color w:val="000000"/>
          <w:sz w:val="16"/>
          <w:szCs w:val="16"/>
          <w:shd w:val="clear" w:color="auto" w:fill="FFFFFF"/>
          <w:lang w:val="en-US"/>
        </w:rPr>
        <w:t xml:space="preserve"> Judgment of April 25, 2018. Series C No. 354, para. 39.</w:t>
      </w:r>
    </w:p>
  </w:footnote>
  <w:footnote w:id="13">
    <w:p w14:paraId="28A3042D" w14:textId="057F5AB1" w:rsidR="00AF5CC6" w:rsidRPr="009F337B" w:rsidRDefault="00AF5CC6" w:rsidP="00A30D95">
      <w:pPr>
        <w:spacing w:after="120"/>
        <w:rPr>
          <w:sz w:val="16"/>
          <w:szCs w:val="16"/>
          <w:lang w:val="en-US"/>
        </w:rPr>
      </w:pPr>
      <w:r w:rsidRPr="009F337B">
        <w:rPr>
          <w:rStyle w:val="Refdenotaalpie"/>
          <w:sz w:val="16"/>
          <w:szCs w:val="16"/>
          <w:lang w:val="en-US"/>
        </w:rPr>
        <w:footnoteRef/>
      </w:r>
      <w:r w:rsidRPr="009F337B">
        <w:rPr>
          <w:sz w:val="16"/>
          <w:szCs w:val="16"/>
          <w:lang w:val="en-US"/>
        </w:rPr>
        <w:tab/>
        <w:t>Communication P-435-2004 of June 18, 2004, signed by Frank La Rue Lewy, President of COPREDEH, addressed to the Inter-American Commission on Human Rights (</w:t>
      </w:r>
      <w:r w:rsidRPr="009F337B">
        <w:rPr>
          <w:bCs/>
          <w:sz w:val="16"/>
          <w:szCs w:val="16"/>
          <w:lang w:val="en-US"/>
        </w:rPr>
        <w:t>evidence file, folio 111).</w:t>
      </w:r>
    </w:p>
  </w:footnote>
  <w:footnote w:id="14">
    <w:p w14:paraId="65C48274" w14:textId="65A78C86" w:rsidR="00AF5CC6" w:rsidRPr="009F337B" w:rsidRDefault="00AF5CC6" w:rsidP="00A30D95">
      <w:pPr>
        <w:pStyle w:val="Textonotapie"/>
        <w:tabs>
          <w:tab w:val="left" w:pos="709"/>
        </w:tabs>
        <w:spacing w:before="0"/>
        <w:rPr>
          <w:b/>
          <w:szCs w:val="16"/>
          <w:lang w:val="en-US"/>
        </w:rPr>
      </w:pPr>
      <w:r w:rsidRPr="009F337B">
        <w:rPr>
          <w:rStyle w:val="Refdenotaalpie"/>
          <w:szCs w:val="16"/>
          <w:lang w:val="en-US"/>
        </w:rPr>
        <w:footnoteRef/>
      </w:r>
      <w:r w:rsidRPr="009F337B">
        <w:rPr>
          <w:szCs w:val="16"/>
          <w:lang w:val="en-US"/>
        </w:rPr>
        <w:tab/>
      </w:r>
      <w:r w:rsidRPr="009F337B">
        <w:rPr>
          <w:szCs w:val="16"/>
          <w:lang w:val="en-US"/>
        </w:rPr>
        <w:tab/>
      </w:r>
      <w:r w:rsidRPr="009F337B">
        <w:rPr>
          <w:i/>
          <w:szCs w:val="16"/>
          <w:lang w:val="en-US"/>
        </w:rPr>
        <w:t xml:space="preserve">Cf. </w:t>
      </w:r>
      <w:r w:rsidRPr="009F337B">
        <w:rPr>
          <w:rStyle w:val="Textoennegrita"/>
          <w:b w:val="0"/>
          <w:i/>
          <w:szCs w:val="16"/>
          <w:shd w:val="clear" w:color="auto" w:fill="FFFFFF"/>
          <w:lang w:val="en-US"/>
        </w:rPr>
        <w:t xml:space="preserve">Case of the </w:t>
      </w:r>
      <w:proofErr w:type="spellStart"/>
      <w:r w:rsidRPr="009F337B">
        <w:rPr>
          <w:rStyle w:val="Textoennegrita"/>
          <w:b w:val="0"/>
          <w:i/>
          <w:szCs w:val="16"/>
          <w:shd w:val="clear" w:color="auto" w:fill="FFFFFF"/>
          <w:lang w:val="en-US"/>
        </w:rPr>
        <w:t>Ituango</w:t>
      </w:r>
      <w:proofErr w:type="spellEnd"/>
      <w:r w:rsidRPr="009F337B">
        <w:rPr>
          <w:rStyle w:val="Textoennegrita"/>
          <w:b w:val="0"/>
          <w:i/>
          <w:szCs w:val="16"/>
          <w:shd w:val="clear" w:color="auto" w:fill="FFFFFF"/>
          <w:lang w:val="en-US"/>
        </w:rPr>
        <w:t xml:space="preserve"> Massacres v. Colombia</w:t>
      </w:r>
      <w:r w:rsidRPr="009F337B">
        <w:rPr>
          <w:rStyle w:val="Textoennegrita"/>
          <w:b w:val="0"/>
          <w:szCs w:val="16"/>
          <w:shd w:val="clear" w:color="auto" w:fill="FFFFFF"/>
          <w:lang w:val="en-US"/>
        </w:rPr>
        <w:t>.</w:t>
      </w:r>
      <w:r w:rsidRPr="009F337B">
        <w:rPr>
          <w:rStyle w:val="Textoennegrita"/>
          <w:b w:val="0"/>
          <w:i/>
          <w:szCs w:val="16"/>
          <w:shd w:val="clear" w:color="auto" w:fill="FFFFFF"/>
          <w:lang w:val="en-US"/>
        </w:rPr>
        <w:t xml:space="preserve"> </w:t>
      </w:r>
      <w:r w:rsidRPr="009F337B">
        <w:rPr>
          <w:rStyle w:val="Textoennegrita"/>
          <w:b w:val="0"/>
          <w:szCs w:val="16"/>
          <w:shd w:val="clear" w:color="auto" w:fill="FFFFFF"/>
          <w:lang w:val="en-US"/>
        </w:rPr>
        <w:t xml:space="preserve">Judgment of July 1, 2006. Series C No. 148, para. 98, and </w:t>
      </w:r>
      <w:r w:rsidRPr="009F337B">
        <w:rPr>
          <w:rStyle w:val="Textoennegrita"/>
          <w:b w:val="0"/>
          <w:i/>
          <w:szCs w:val="16"/>
          <w:lang w:val="en-US"/>
        </w:rPr>
        <w:t>Case of Favela Nova Brasília v. Brazil. Preliminary objections, merits, reparations and costs</w:t>
      </w:r>
      <w:r w:rsidRPr="009F337B">
        <w:rPr>
          <w:rStyle w:val="Textoennegrita"/>
          <w:b w:val="0"/>
          <w:szCs w:val="16"/>
          <w:lang w:val="en-US"/>
        </w:rPr>
        <w:t>. Judgment of February 16, 2017. Series C No. 333, para. 36.</w:t>
      </w:r>
    </w:p>
  </w:footnote>
  <w:footnote w:id="15">
    <w:p w14:paraId="3ECD869D" w14:textId="2D133FD9" w:rsidR="00AF5CC6" w:rsidRPr="009F337B" w:rsidRDefault="00AF5CC6" w:rsidP="00A30D95">
      <w:pPr>
        <w:pStyle w:val="Textonotapie"/>
        <w:tabs>
          <w:tab w:val="left" w:pos="709"/>
        </w:tabs>
        <w:spacing w:before="0"/>
        <w:rPr>
          <w:szCs w:val="16"/>
          <w:lang w:val="en-US"/>
        </w:rPr>
      </w:pPr>
      <w:r w:rsidRPr="009F337B">
        <w:rPr>
          <w:rStyle w:val="Refdenotaalpie"/>
          <w:szCs w:val="16"/>
          <w:lang w:val="en-US"/>
        </w:rPr>
        <w:footnoteRef/>
      </w:r>
      <w:r w:rsidRPr="009F337B">
        <w:rPr>
          <w:szCs w:val="16"/>
          <w:lang w:val="en-US"/>
        </w:rPr>
        <w:tab/>
      </w:r>
      <w:r w:rsidRPr="009F337B">
        <w:rPr>
          <w:i/>
          <w:szCs w:val="16"/>
          <w:lang w:val="en-US"/>
        </w:rPr>
        <w:t xml:space="preserve">Cf. </w:t>
      </w:r>
      <w:r w:rsidRPr="009F337B">
        <w:rPr>
          <w:rStyle w:val="Textoennegrita"/>
          <w:b w:val="0"/>
          <w:i/>
          <w:szCs w:val="16"/>
          <w:shd w:val="clear" w:color="auto" w:fill="FFFFFF"/>
          <w:lang w:val="en-US"/>
        </w:rPr>
        <w:t xml:space="preserve">Case of the </w:t>
      </w:r>
      <w:proofErr w:type="spellStart"/>
      <w:r w:rsidRPr="009F337B">
        <w:rPr>
          <w:rStyle w:val="Textoennegrita"/>
          <w:b w:val="0"/>
          <w:i/>
          <w:szCs w:val="16"/>
          <w:shd w:val="clear" w:color="auto" w:fill="FFFFFF"/>
          <w:lang w:val="en-US"/>
        </w:rPr>
        <w:t>Ituango</w:t>
      </w:r>
      <w:proofErr w:type="spellEnd"/>
      <w:r w:rsidRPr="009F337B">
        <w:rPr>
          <w:rStyle w:val="Textoennegrita"/>
          <w:b w:val="0"/>
          <w:i/>
          <w:szCs w:val="16"/>
          <w:shd w:val="clear" w:color="auto" w:fill="FFFFFF"/>
          <w:lang w:val="en-US"/>
        </w:rPr>
        <w:t xml:space="preserve"> Massacres v. Colombia</w:t>
      </w:r>
      <w:r w:rsidRPr="009F337B">
        <w:rPr>
          <w:rStyle w:val="Textoennegrita"/>
          <w:b w:val="0"/>
          <w:szCs w:val="16"/>
          <w:shd w:val="clear" w:color="auto" w:fill="FFFFFF"/>
          <w:lang w:val="en-US"/>
        </w:rPr>
        <w:t>.</w:t>
      </w:r>
      <w:r w:rsidRPr="009F337B">
        <w:rPr>
          <w:rStyle w:val="Textoennegrita"/>
          <w:b w:val="0"/>
          <w:i/>
          <w:szCs w:val="16"/>
          <w:shd w:val="clear" w:color="auto" w:fill="FFFFFF"/>
          <w:lang w:val="en-US"/>
        </w:rPr>
        <w:t xml:space="preserve"> </w:t>
      </w:r>
      <w:r w:rsidRPr="009F337B">
        <w:rPr>
          <w:rStyle w:val="Textoennegrita"/>
          <w:b w:val="0"/>
          <w:szCs w:val="16"/>
          <w:shd w:val="clear" w:color="auto" w:fill="FFFFFF"/>
          <w:lang w:val="en-US"/>
        </w:rPr>
        <w:t xml:space="preserve">Judgment of July 1, 2006. Series C No. 148, para. 98, and </w:t>
      </w:r>
      <w:r w:rsidRPr="009F337B">
        <w:rPr>
          <w:rFonts w:eastAsia="Calibri"/>
          <w:bCs/>
          <w:i/>
          <w:szCs w:val="16"/>
          <w:shd w:val="clear" w:color="auto" w:fill="FFFFFF"/>
          <w:lang w:val="en-US"/>
        </w:rPr>
        <w:t>Case of I.V. v. Bolivia. Preliminary objections, merits, reparations and costs.</w:t>
      </w:r>
      <w:r w:rsidRPr="009F337B">
        <w:rPr>
          <w:rFonts w:eastAsia="Calibri"/>
          <w:bCs/>
          <w:szCs w:val="16"/>
          <w:shd w:val="clear" w:color="auto" w:fill="FFFFFF"/>
          <w:lang w:val="en-US"/>
        </w:rPr>
        <w:t xml:space="preserve"> Judgment of November 30, 2016. Series C No. 329, para. 41.</w:t>
      </w:r>
    </w:p>
  </w:footnote>
  <w:footnote w:id="16">
    <w:p w14:paraId="6DB21325" w14:textId="01938CAC" w:rsidR="00AF5CC6" w:rsidRPr="009F337B" w:rsidRDefault="00AF5CC6" w:rsidP="00A30D95">
      <w:pPr>
        <w:pStyle w:val="Textonotapie"/>
        <w:tabs>
          <w:tab w:val="left" w:pos="709"/>
        </w:tabs>
        <w:spacing w:before="0"/>
        <w:rPr>
          <w:b/>
          <w:szCs w:val="16"/>
          <w:lang w:val="en-US"/>
        </w:rPr>
      </w:pPr>
      <w:r w:rsidRPr="009F337B">
        <w:rPr>
          <w:rStyle w:val="Refdenotaalpie"/>
          <w:szCs w:val="16"/>
          <w:lang w:val="en-US"/>
        </w:rPr>
        <w:footnoteRef/>
      </w:r>
      <w:r w:rsidRPr="009F337B">
        <w:rPr>
          <w:szCs w:val="16"/>
          <w:lang w:val="en-US"/>
        </w:rPr>
        <w:tab/>
      </w:r>
      <w:r w:rsidRPr="009F337B">
        <w:rPr>
          <w:i/>
          <w:szCs w:val="16"/>
          <w:lang w:val="en-US"/>
        </w:rPr>
        <w:t xml:space="preserve">Cf. </w:t>
      </w:r>
      <w:r w:rsidRPr="009F337B">
        <w:rPr>
          <w:i/>
          <w:iCs/>
          <w:szCs w:val="16"/>
          <w:lang w:val="en-US"/>
        </w:rPr>
        <w:t>Case of the Río Negro Massacres v. Guatemala. Preliminary objection, merits, reparations and costs</w:t>
      </w:r>
      <w:r w:rsidRPr="009F337B">
        <w:rPr>
          <w:szCs w:val="16"/>
          <w:lang w:val="en-US"/>
        </w:rPr>
        <w:t xml:space="preserve">. Judgment of September 4, 2012. Series C No. 250, para. 48, and </w:t>
      </w:r>
      <w:r w:rsidRPr="009F337B">
        <w:rPr>
          <w:rStyle w:val="Textoennegrita"/>
          <w:b w:val="0"/>
          <w:i/>
          <w:szCs w:val="16"/>
          <w:lang w:val="en-US"/>
        </w:rPr>
        <w:t>Case of Favela Nova Brasília v. Brazil. Preliminary objections, merits, reparations and costs</w:t>
      </w:r>
      <w:r w:rsidRPr="009F337B">
        <w:rPr>
          <w:rStyle w:val="Textoennegrita"/>
          <w:b w:val="0"/>
          <w:szCs w:val="16"/>
          <w:lang w:val="en-US"/>
        </w:rPr>
        <w:t>.</w:t>
      </w:r>
      <w:r w:rsidRPr="009F337B">
        <w:rPr>
          <w:rStyle w:val="Textoennegrita"/>
          <w:b w:val="0"/>
          <w:i/>
          <w:szCs w:val="16"/>
          <w:lang w:val="en-US"/>
        </w:rPr>
        <w:t xml:space="preserve"> </w:t>
      </w:r>
      <w:r w:rsidRPr="009F337B">
        <w:rPr>
          <w:rStyle w:val="Textoennegrita"/>
          <w:b w:val="0"/>
          <w:szCs w:val="16"/>
          <w:lang w:val="en-US"/>
        </w:rPr>
        <w:t>Judgment of February 16, 2017. Series C No. 333, para. 36.</w:t>
      </w:r>
    </w:p>
  </w:footnote>
  <w:footnote w:id="17">
    <w:p w14:paraId="14E74168" w14:textId="381BAFDE" w:rsidR="00AF5CC6" w:rsidRPr="009F337B" w:rsidRDefault="00AF5CC6" w:rsidP="00A30D95">
      <w:pPr>
        <w:pStyle w:val="Textonotapie"/>
        <w:spacing w:before="0"/>
        <w:rPr>
          <w:b/>
          <w:szCs w:val="16"/>
          <w:lang w:val="en-US"/>
        </w:rPr>
      </w:pPr>
      <w:r w:rsidRPr="009F337B">
        <w:rPr>
          <w:rStyle w:val="Refdenotaalpie"/>
          <w:szCs w:val="16"/>
          <w:lang w:val="en-US"/>
        </w:rPr>
        <w:footnoteRef/>
      </w:r>
      <w:r w:rsidRPr="009F337B">
        <w:rPr>
          <w:szCs w:val="16"/>
          <w:lang w:val="en-US"/>
        </w:rPr>
        <w:tab/>
        <w:t xml:space="preserve">It should be noted that the Court has applied Article 35(2) of its Rules of Procedure in the following cases, among others: </w:t>
      </w:r>
      <w:r w:rsidRPr="009F337B">
        <w:rPr>
          <w:i/>
          <w:szCs w:val="16"/>
          <w:lang w:val="en-US"/>
        </w:rPr>
        <w:t>Case of the Río Negro Massacres v. Guatemala</w:t>
      </w:r>
      <w:r w:rsidRPr="009F337B">
        <w:rPr>
          <w:szCs w:val="16"/>
          <w:lang w:val="en-US"/>
        </w:rPr>
        <w:t xml:space="preserve">. </w:t>
      </w:r>
      <w:r w:rsidRPr="009F337B">
        <w:rPr>
          <w:i/>
          <w:szCs w:val="16"/>
          <w:lang w:val="en-US"/>
        </w:rPr>
        <w:t>Preliminary objection, merits, reparations and costs</w:t>
      </w:r>
      <w:r w:rsidRPr="009F337B">
        <w:rPr>
          <w:szCs w:val="16"/>
          <w:lang w:val="en-US"/>
        </w:rPr>
        <w:t xml:space="preserve">. Judgment of September 4, 2012. Series C No. 250; </w:t>
      </w:r>
      <w:r w:rsidRPr="009F337B">
        <w:rPr>
          <w:i/>
          <w:szCs w:val="16"/>
          <w:lang w:val="en-US"/>
        </w:rPr>
        <w:t xml:space="preserve">Case of </w:t>
      </w:r>
      <w:proofErr w:type="spellStart"/>
      <w:r w:rsidRPr="009F337B">
        <w:rPr>
          <w:i/>
          <w:szCs w:val="16"/>
          <w:lang w:val="en-US"/>
        </w:rPr>
        <w:t>Nadege</w:t>
      </w:r>
      <w:proofErr w:type="spellEnd"/>
      <w:r w:rsidRPr="009F337B">
        <w:rPr>
          <w:i/>
          <w:szCs w:val="16"/>
          <w:lang w:val="en-US"/>
        </w:rPr>
        <w:t xml:space="preserve"> </w:t>
      </w:r>
      <w:proofErr w:type="spellStart"/>
      <w:r w:rsidRPr="009F337B">
        <w:rPr>
          <w:i/>
          <w:szCs w:val="16"/>
          <w:lang w:val="en-US"/>
        </w:rPr>
        <w:t>Dorzema</w:t>
      </w:r>
      <w:proofErr w:type="spellEnd"/>
      <w:r w:rsidRPr="009F337B">
        <w:rPr>
          <w:i/>
          <w:szCs w:val="16"/>
          <w:lang w:val="en-US"/>
        </w:rPr>
        <w:t xml:space="preserve"> et al. v. Dominican Republic. Merits, reparations and costs</w:t>
      </w:r>
      <w:r w:rsidRPr="009F337B">
        <w:rPr>
          <w:szCs w:val="16"/>
          <w:lang w:val="en-US"/>
        </w:rPr>
        <w:t xml:space="preserve">. Judgment of October 24, 2012. Series C No. 251; </w:t>
      </w:r>
      <w:r w:rsidRPr="009F337B">
        <w:rPr>
          <w:i/>
          <w:szCs w:val="16"/>
          <w:lang w:val="en-US"/>
        </w:rPr>
        <w:t xml:space="preserve">Case of the Massacres of El </w:t>
      </w:r>
      <w:proofErr w:type="spellStart"/>
      <w:r w:rsidRPr="009F337B">
        <w:rPr>
          <w:i/>
          <w:szCs w:val="16"/>
          <w:lang w:val="en-US"/>
        </w:rPr>
        <w:t>Mozote</w:t>
      </w:r>
      <w:proofErr w:type="spellEnd"/>
      <w:r w:rsidRPr="009F337B">
        <w:rPr>
          <w:i/>
          <w:szCs w:val="16"/>
          <w:lang w:val="en-US"/>
        </w:rPr>
        <w:t xml:space="preserve"> and neighboring places v. El Salvador. Merits, reparations and costs</w:t>
      </w:r>
      <w:r w:rsidRPr="009F337B">
        <w:rPr>
          <w:szCs w:val="16"/>
          <w:lang w:val="en-US"/>
        </w:rPr>
        <w:t xml:space="preserve">. Judgment of October 25, 2012. Series C No. 252, and </w:t>
      </w:r>
      <w:r w:rsidRPr="009F337B">
        <w:rPr>
          <w:i/>
          <w:szCs w:val="16"/>
          <w:lang w:val="en-US"/>
        </w:rPr>
        <w:t xml:space="preserve">Case of the </w:t>
      </w:r>
      <w:proofErr w:type="spellStart"/>
      <w:r w:rsidRPr="009F337B">
        <w:rPr>
          <w:i/>
          <w:szCs w:val="16"/>
          <w:lang w:val="en-US"/>
        </w:rPr>
        <w:t>Afrodescendant</w:t>
      </w:r>
      <w:proofErr w:type="spellEnd"/>
      <w:r w:rsidRPr="009F337B">
        <w:rPr>
          <w:i/>
          <w:szCs w:val="16"/>
          <w:lang w:val="en-US"/>
        </w:rPr>
        <w:t xml:space="preserve"> Communities Displaced from the Río </w:t>
      </w:r>
      <w:proofErr w:type="spellStart"/>
      <w:r w:rsidRPr="009F337B">
        <w:rPr>
          <w:i/>
          <w:szCs w:val="16"/>
          <w:lang w:val="en-US"/>
        </w:rPr>
        <w:t>Cacarica</w:t>
      </w:r>
      <w:proofErr w:type="spellEnd"/>
      <w:r w:rsidRPr="009F337B">
        <w:rPr>
          <w:i/>
          <w:szCs w:val="16"/>
          <w:lang w:val="en-US"/>
        </w:rPr>
        <w:t xml:space="preserve"> Basin (Operation Genesis) v. Colombia. Preliminary objections, merits, reparations and costs</w:t>
      </w:r>
      <w:r w:rsidRPr="009F337B">
        <w:rPr>
          <w:szCs w:val="16"/>
          <w:lang w:val="en-US"/>
        </w:rPr>
        <w:t>. Judgment of November 20, 2013. Series C No. 270.</w:t>
      </w:r>
    </w:p>
  </w:footnote>
  <w:footnote w:id="18">
    <w:p w14:paraId="181EC5E8" w14:textId="608AF5CB" w:rsidR="00AF5CC6" w:rsidRPr="009F337B" w:rsidRDefault="00AF5CC6" w:rsidP="00A30D95">
      <w:pPr>
        <w:pStyle w:val="Textonotapie"/>
        <w:tabs>
          <w:tab w:val="left" w:pos="426"/>
        </w:tabs>
        <w:spacing w:before="0"/>
        <w:rPr>
          <w:bCs/>
          <w:szCs w:val="16"/>
          <w:lang w:val="en-US"/>
        </w:rPr>
      </w:pPr>
      <w:r w:rsidRPr="009F337B">
        <w:rPr>
          <w:rStyle w:val="Refdenotaalpie"/>
          <w:szCs w:val="16"/>
          <w:lang w:val="en-US"/>
        </w:rPr>
        <w:footnoteRef/>
      </w:r>
      <w:r w:rsidRPr="009F337B">
        <w:rPr>
          <w:bCs/>
          <w:szCs w:val="16"/>
          <w:lang w:val="en-US"/>
        </w:rPr>
        <w:tab/>
      </w:r>
      <w:r w:rsidRPr="009F337B">
        <w:rPr>
          <w:bCs/>
          <w:szCs w:val="16"/>
          <w:lang w:val="en-US"/>
        </w:rPr>
        <w:tab/>
        <w:t xml:space="preserve">The documentary evidence may be presented, in general, and according to Article 57(2) of the Rules of Procedure, together with the briefs submitting the case, with motions and pleadings, or answering the case, as appropriate, and evidence forwarded outside these procedural opportunities is inadmissible, unless the exceptions established in the said Article 57(2) of the Rules of Procedure apply (namely, </w:t>
      </w:r>
      <w:r w:rsidRPr="009F337B">
        <w:rPr>
          <w:bCs/>
          <w:i/>
          <w:szCs w:val="16"/>
          <w:lang w:val="en-US"/>
        </w:rPr>
        <w:t>force majeure</w:t>
      </w:r>
      <w:r w:rsidRPr="009F337B">
        <w:rPr>
          <w:bCs/>
          <w:szCs w:val="16"/>
          <w:lang w:val="en-US"/>
        </w:rPr>
        <w:t xml:space="preserve"> or serious impediment) or it relates to a supervening fact; in other words one that occurs after the said procedural moments. </w:t>
      </w:r>
      <w:r w:rsidRPr="009F337B">
        <w:rPr>
          <w:bCs/>
          <w:i/>
          <w:szCs w:val="16"/>
          <w:lang w:val="en-US"/>
        </w:rPr>
        <w:t xml:space="preserve">Cf. </w:t>
      </w:r>
      <w:r w:rsidRPr="009F337B">
        <w:rPr>
          <w:rStyle w:val="Textoennegrita"/>
          <w:b w:val="0"/>
          <w:i/>
          <w:color w:val="000000"/>
          <w:szCs w:val="16"/>
          <w:shd w:val="clear" w:color="auto" w:fill="FFFFFF"/>
          <w:lang w:val="en-US"/>
        </w:rPr>
        <w:t xml:space="preserve">Case of </w:t>
      </w:r>
      <w:proofErr w:type="spellStart"/>
      <w:r w:rsidRPr="009F337B">
        <w:rPr>
          <w:rStyle w:val="Textoennegrita"/>
          <w:b w:val="0"/>
          <w:i/>
          <w:color w:val="000000"/>
          <w:szCs w:val="16"/>
          <w:shd w:val="clear" w:color="auto" w:fill="FFFFFF"/>
          <w:lang w:val="en-US"/>
        </w:rPr>
        <w:t>Barbani</w:t>
      </w:r>
      <w:proofErr w:type="spellEnd"/>
      <w:r w:rsidRPr="009F337B">
        <w:rPr>
          <w:rStyle w:val="Textoennegrita"/>
          <w:b w:val="0"/>
          <w:i/>
          <w:color w:val="000000"/>
          <w:szCs w:val="16"/>
          <w:shd w:val="clear" w:color="auto" w:fill="FFFFFF"/>
          <w:lang w:val="en-US"/>
        </w:rPr>
        <w:t xml:space="preserve"> Duarte et al. v. Uruguay. Merits, reparations and costs</w:t>
      </w:r>
      <w:r w:rsidRPr="009F337B">
        <w:rPr>
          <w:rStyle w:val="Textoennegrita"/>
          <w:b w:val="0"/>
          <w:color w:val="000000"/>
          <w:szCs w:val="16"/>
          <w:shd w:val="clear" w:color="auto" w:fill="FFFFFF"/>
          <w:lang w:val="en-US"/>
        </w:rPr>
        <w:t>. Judgment of October 13, 2011. Series C No. 234, para. 22</w:t>
      </w:r>
      <w:r w:rsidRPr="009F337B">
        <w:rPr>
          <w:bCs/>
          <w:szCs w:val="16"/>
          <w:lang w:val="en-US"/>
        </w:rPr>
        <w:t xml:space="preserve">, and </w:t>
      </w:r>
      <w:r w:rsidRPr="009F337B">
        <w:rPr>
          <w:rStyle w:val="Textoennegrita"/>
          <w:b w:val="0"/>
          <w:i/>
          <w:color w:val="000000"/>
          <w:szCs w:val="16"/>
          <w:shd w:val="clear" w:color="auto" w:fill="FFFFFF"/>
          <w:lang w:val="en-US"/>
        </w:rPr>
        <w:t xml:space="preserve">Case of </w:t>
      </w:r>
      <w:proofErr w:type="spellStart"/>
      <w:r w:rsidRPr="009F337B">
        <w:rPr>
          <w:rStyle w:val="Textoennegrita"/>
          <w:b w:val="0"/>
          <w:i/>
          <w:color w:val="000000"/>
          <w:szCs w:val="16"/>
          <w:shd w:val="clear" w:color="auto" w:fill="FFFFFF"/>
          <w:lang w:val="en-US"/>
        </w:rPr>
        <w:t>Amrhein</w:t>
      </w:r>
      <w:proofErr w:type="spellEnd"/>
      <w:r w:rsidRPr="009F337B">
        <w:rPr>
          <w:rStyle w:val="Textoennegrita"/>
          <w:b w:val="0"/>
          <w:i/>
          <w:color w:val="000000"/>
          <w:szCs w:val="16"/>
          <w:shd w:val="clear" w:color="auto" w:fill="FFFFFF"/>
          <w:lang w:val="en-US"/>
        </w:rPr>
        <w:t xml:space="preserve"> et al. v. Costa Rica. Preliminary objections, merits, reparations and costs.</w:t>
      </w:r>
      <w:r w:rsidRPr="009F337B">
        <w:rPr>
          <w:rStyle w:val="Textoennegrita"/>
          <w:b w:val="0"/>
          <w:color w:val="000000"/>
          <w:szCs w:val="16"/>
          <w:shd w:val="clear" w:color="auto" w:fill="FFFFFF"/>
          <w:lang w:val="en-US"/>
        </w:rPr>
        <w:t xml:space="preserve"> Judgment of April 25, 2018. Series C No. 354, para. 138.</w:t>
      </w:r>
    </w:p>
  </w:footnote>
  <w:footnote w:id="19">
    <w:p w14:paraId="6F9B1E42" w14:textId="6DD910B6" w:rsidR="00AF5CC6" w:rsidRPr="009F337B" w:rsidRDefault="00AF5CC6" w:rsidP="00A30D95">
      <w:pPr>
        <w:pStyle w:val="Textonotapie"/>
        <w:tabs>
          <w:tab w:val="left" w:pos="426"/>
        </w:tabs>
        <w:spacing w:before="0"/>
        <w:rPr>
          <w:szCs w:val="16"/>
          <w:lang w:val="en-US"/>
        </w:rPr>
      </w:pPr>
      <w:r w:rsidRPr="009F337B">
        <w:rPr>
          <w:rStyle w:val="Refdenotaalpie"/>
          <w:szCs w:val="16"/>
          <w:lang w:val="en-US"/>
        </w:rPr>
        <w:footnoteRef/>
      </w:r>
      <w:r w:rsidRPr="009F337B">
        <w:rPr>
          <w:szCs w:val="16"/>
          <w:lang w:val="en-US"/>
        </w:rPr>
        <w:tab/>
      </w:r>
      <w:r w:rsidRPr="009F337B">
        <w:rPr>
          <w:szCs w:val="16"/>
          <w:lang w:val="en-US"/>
        </w:rPr>
        <w:tab/>
      </w:r>
      <w:r w:rsidRPr="009F337B">
        <w:rPr>
          <w:i/>
          <w:szCs w:val="16"/>
          <w:lang w:val="en-US"/>
        </w:rPr>
        <w:t>Cf.</w:t>
      </w:r>
      <w:r w:rsidRPr="009F337B">
        <w:rPr>
          <w:szCs w:val="16"/>
          <w:lang w:val="en-US"/>
        </w:rPr>
        <w:t xml:space="preserve"> </w:t>
      </w:r>
      <w:r w:rsidRPr="009F337B">
        <w:rPr>
          <w:i/>
          <w:szCs w:val="16"/>
          <w:lang w:val="en-US"/>
        </w:rPr>
        <w:t xml:space="preserve">Case of </w:t>
      </w:r>
      <w:proofErr w:type="spellStart"/>
      <w:r w:rsidRPr="009F337B">
        <w:rPr>
          <w:i/>
          <w:szCs w:val="16"/>
          <w:lang w:val="en-US"/>
        </w:rPr>
        <w:t>Velásquez</w:t>
      </w:r>
      <w:proofErr w:type="spellEnd"/>
      <w:r w:rsidRPr="009F337B">
        <w:rPr>
          <w:i/>
          <w:szCs w:val="16"/>
          <w:lang w:val="en-US"/>
        </w:rPr>
        <w:t xml:space="preserve"> Rodríguez v. Honduras. Merits</w:t>
      </w:r>
      <w:r w:rsidRPr="009F337B">
        <w:rPr>
          <w:szCs w:val="16"/>
          <w:lang w:val="en-US"/>
        </w:rPr>
        <w:t xml:space="preserve">. Judgment of July 29, 1988. Series C No.4, para. 140, and </w:t>
      </w:r>
      <w:r w:rsidRPr="009F337B">
        <w:rPr>
          <w:rStyle w:val="Textoennegrita"/>
          <w:b w:val="0"/>
          <w:i/>
          <w:color w:val="000000"/>
          <w:szCs w:val="16"/>
          <w:shd w:val="clear" w:color="auto" w:fill="FFFFFF"/>
          <w:lang w:val="en-US"/>
        </w:rPr>
        <w:t xml:space="preserve">Case of </w:t>
      </w:r>
      <w:proofErr w:type="spellStart"/>
      <w:r w:rsidRPr="009F337B">
        <w:rPr>
          <w:rStyle w:val="Textoennegrita"/>
          <w:b w:val="0"/>
          <w:i/>
          <w:color w:val="000000"/>
          <w:szCs w:val="16"/>
          <w:shd w:val="clear" w:color="auto" w:fill="FFFFFF"/>
          <w:lang w:val="en-US"/>
        </w:rPr>
        <w:t>Amrhein</w:t>
      </w:r>
      <w:proofErr w:type="spellEnd"/>
      <w:r w:rsidRPr="009F337B">
        <w:rPr>
          <w:rStyle w:val="Textoennegrita"/>
          <w:b w:val="0"/>
          <w:i/>
          <w:color w:val="000000"/>
          <w:szCs w:val="16"/>
          <w:shd w:val="clear" w:color="auto" w:fill="FFFFFF"/>
          <w:lang w:val="en-US"/>
        </w:rPr>
        <w:t xml:space="preserve"> et al. v. Costa Rica. Preliminary objections, merits, reparations and costs.</w:t>
      </w:r>
      <w:r w:rsidRPr="009F337B">
        <w:rPr>
          <w:rStyle w:val="Textoennegrita"/>
          <w:b w:val="0"/>
          <w:color w:val="000000"/>
          <w:szCs w:val="16"/>
          <w:shd w:val="clear" w:color="auto" w:fill="FFFFFF"/>
          <w:lang w:val="en-US"/>
        </w:rPr>
        <w:t xml:space="preserve"> Judgment of April 25, 2018. Series C No. 354, para. 137.</w:t>
      </w:r>
    </w:p>
  </w:footnote>
  <w:footnote w:id="20">
    <w:p w14:paraId="0526CE63" w14:textId="680CB625"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t>These annexes relate to the following: No. 3: Photographic record of the medical centers that have HIV/AIDS clinics; No. 4: Information on the care provided by the San José Hospice Association to people with HIV/AIDS; No. 7: Copy of press release 002 of the International Commission against Impunity in Guatemala (CICIG) and Newspaper article from “</w:t>
      </w:r>
      <w:r w:rsidRPr="009F337B">
        <w:rPr>
          <w:i/>
          <w:szCs w:val="16"/>
          <w:lang w:val="en-US"/>
        </w:rPr>
        <w:t xml:space="preserve">El </w:t>
      </w:r>
      <w:proofErr w:type="spellStart"/>
      <w:r w:rsidRPr="009F337B">
        <w:rPr>
          <w:i/>
          <w:szCs w:val="16"/>
          <w:lang w:val="en-US"/>
        </w:rPr>
        <w:t>Periódico</w:t>
      </w:r>
      <w:proofErr w:type="spellEnd"/>
      <w:r w:rsidRPr="009F337B">
        <w:rPr>
          <w:szCs w:val="16"/>
          <w:lang w:val="en-US"/>
        </w:rPr>
        <w:t xml:space="preserve">” of February 14, 2018, by the journalist Cindy </w:t>
      </w:r>
      <w:proofErr w:type="spellStart"/>
      <w:r w:rsidRPr="009F337B">
        <w:rPr>
          <w:szCs w:val="16"/>
          <w:lang w:val="en-US"/>
        </w:rPr>
        <w:t>Espina</w:t>
      </w:r>
      <w:proofErr w:type="spellEnd"/>
      <w:r w:rsidRPr="009F337B">
        <w:rPr>
          <w:szCs w:val="16"/>
          <w:lang w:val="en-US"/>
        </w:rPr>
        <w:t>; Article entitled “</w:t>
      </w:r>
      <w:r w:rsidRPr="009F337B">
        <w:rPr>
          <w:i/>
          <w:szCs w:val="16"/>
          <w:lang w:val="en-US"/>
        </w:rPr>
        <w:t xml:space="preserve">El </w:t>
      </w:r>
      <w:proofErr w:type="spellStart"/>
      <w:r w:rsidRPr="009F337B">
        <w:rPr>
          <w:i/>
          <w:szCs w:val="16"/>
          <w:lang w:val="en-US"/>
        </w:rPr>
        <w:t>Ministerio</w:t>
      </w:r>
      <w:proofErr w:type="spellEnd"/>
      <w:r w:rsidRPr="009F337B">
        <w:rPr>
          <w:i/>
          <w:szCs w:val="16"/>
          <w:lang w:val="en-US"/>
        </w:rPr>
        <w:t xml:space="preserve"> de </w:t>
      </w:r>
      <w:proofErr w:type="spellStart"/>
      <w:r w:rsidRPr="009F337B">
        <w:rPr>
          <w:i/>
          <w:szCs w:val="16"/>
          <w:lang w:val="en-US"/>
        </w:rPr>
        <w:t>Salud</w:t>
      </w:r>
      <w:proofErr w:type="spellEnd"/>
      <w:r w:rsidRPr="009F337B">
        <w:rPr>
          <w:i/>
          <w:szCs w:val="16"/>
          <w:lang w:val="en-US"/>
        </w:rPr>
        <w:t xml:space="preserve"> </w:t>
      </w:r>
      <w:proofErr w:type="spellStart"/>
      <w:r w:rsidRPr="009F337B">
        <w:rPr>
          <w:i/>
          <w:szCs w:val="16"/>
          <w:lang w:val="en-US"/>
        </w:rPr>
        <w:t>finaliza</w:t>
      </w:r>
      <w:proofErr w:type="spellEnd"/>
      <w:r w:rsidRPr="009F337B">
        <w:rPr>
          <w:i/>
          <w:szCs w:val="16"/>
          <w:lang w:val="en-US"/>
        </w:rPr>
        <w:t xml:space="preserve"> </w:t>
      </w:r>
      <w:proofErr w:type="spellStart"/>
      <w:r w:rsidRPr="009F337B">
        <w:rPr>
          <w:i/>
          <w:szCs w:val="16"/>
          <w:lang w:val="en-US"/>
        </w:rPr>
        <w:t>Convenio</w:t>
      </w:r>
      <w:proofErr w:type="spellEnd"/>
      <w:r w:rsidRPr="009F337B">
        <w:rPr>
          <w:i/>
          <w:szCs w:val="16"/>
          <w:lang w:val="en-US"/>
        </w:rPr>
        <w:t xml:space="preserve"> </w:t>
      </w:r>
      <w:proofErr w:type="spellStart"/>
      <w:r w:rsidRPr="009F337B">
        <w:rPr>
          <w:i/>
          <w:szCs w:val="16"/>
          <w:lang w:val="en-US"/>
        </w:rPr>
        <w:t>Anticorrupción</w:t>
      </w:r>
      <w:proofErr w:type="spellEnd"/>
      <w:r w:rsidRPr="009F337B">
        <w:rPr>
          <w:i/>
          <w:szCs w:val="16"/>
          <w:lang w:val="en-US"/>
        </w:rPr>
        <w:t xml:space="preserve"> con CICIG</w:t>
      </w:r>
      <w:r w:rsidRPr="009F337B">
        <w:rPr>
          <w:szCs w:val="16"/>
          <w:lang w:val="en-US"/>
        </w:rPr>
        <w:t>” [Ministry of Health ends Anti-corruption Agreement with CICIG]’; No. 10: Government Decree No. 266 of September 22, 2016.</w:t>
      </w:r>
    </w:p>
  </w:footnote>
  <w:footnote w:id="21">
    <w:p w14:paraId="53351D78" w14:textId="4ABEAE0C"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t>The purpose of the statements was established in the order of the President of the Court of February 8, 2018 (</w:t>
      </w:r>
      <w:r w:rsidRPr="009F337B">
        <w:rPr>
          <w:i/>
          <w:szCs w:val="16"/>
          <w:lang w:val="en-US"/>
        </w:rPr>
        <w:t>supra</w:t>
      </w:r>
      <w:r w:rsidRPr="009F337B">
        <w:rPr>
          <w:szCs w:val="16"/>
          <w:lang w:val="en-US"/>
        </w:rPr>
        <w:t xml:space="preserve"> footnote 8).</w:t>
      </w:r>
    </w:p>
  </w:footnote>
  <w:footnote w:id="22">
    <w:p w14:paraId="77791071" w14:textId="755B4DA5"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t>See Annex I to this judgment.</w:t>
      </w:r>
    </w:p>
  </w:footnote>
  <w:footnote w:id="23">
    <w:p w14:paraId="0C18F0E5" w14:textId="72553B40" w:rsidR="00AF5CC6" w:rsidRPr="009F337B" w:rsidRDefault="00AF5CC6" w:rsidP="00A30D95">
      <w:pPr>
        <w:spacing w:after="120"/>
        <w:outlineLvl w:val="0"/>
        <w:rPr>
          <w:rFonts w:eastAsia="Times New Roman"/>
          <w:bCs/>
          <w:kern w:val="36"/>
          <w:sz w:val="16"/>
          <w:szCs w:val="16"/>
          <w:lang w:val="en-US"/>
        </w:rPr>
      </w:pPr>
      <w:r w:rsidRPr="009F337B">
        <w:rPr>
          <w:rStyle w:val="Refdenotaalpie"/>
          <w:sz w:val="16"/>
          <w:szCs w:val="16"/>
          <w:lang w:val="en-US"/>
        </w:rPr>
        <w:footnoteRef/>
      </w:r>
      <w:r w:rsidRPr="009F337B">
        <w:rPr>
          <w:sz w:val="16"/>
          <w:szCs w:val="16"/>
          <w:lang w:val="en-US"/>
        </w:rPr>
        <w:tab/>
      </w:r>
      <w:r w:rsidRPr="009F337B">
        <w:rPr>
          <w:i/>
          <w:sz w:val="16"/>
          <w:szCs w:val="16"/>
          <w:lang w:val="en-US"/>
        </w:rPr>
        <w:t xml:space="preserve">Cf. </w:t>
      </w:r>
      <w:r w:rsidRPr="009F337B">
        <w:rPr>
          <w:sz w:val="16"/>
          <w:szCs w:val="16"/>
          <w:lang w:val="en-US"/>
        </w:rPr>
        <w:t xml:space="preserve">Joint United Nations Program on HIV and AIDS (UNAIDS), </w:t>
      </w:r>
      <w:r w:rsidRPr="009F337B">
        <w:rPr>
          <w:i/>
          <w:sz w:val="16"/>
          <w:szCs w:val="16"/>
          <w:lang w:val="en-US"/>
        </w:rPr>
        <w:t>Comunicar en VIH y SIDA, Manual de capacitación en VIH y SIDA para comunicadores sociales</w:t>
      </w:r>
      <w:r w:rsidRPr="009F337B">
        <w:rPr>
          <w:sz w:val="16"/>
          <w:szCs w:val="16"/>
          <w:lang w:val="en-US"/>
        </w:rPr>
        <w:t xml:space="preserve">, STATOIL, 1ra. Edición, Caracas, 2006, p. 4; World Health Organization (WHO), </w:t>
      </w:r>
      <w:r w:rsidRPr="009F337B">
        <w:rPr>
          <w:rFonts w:eastAsia="Times New Roman"/>
          <w:bCs/>
          <w:kern w:val="36"/>
          <w:sz w:val="16"/>
          <w:szCs w:val="16"/>
          <w:lang w:val="en-US"/>
        </w:rPr>
        <w:t xml:space="preserve">Elimination of mother-to-child transmission (EMTCT) of HIV and syphilis: </w:t>
      </w:r>
      <w:r w:rsidRPr="009F337B">
        <w:rPr>
          <w:rFonts w:eastAsia="Times New Roman"/>
          <w:bCs/>
          <w:sz w:val="16"/>
          <w:szCs w:val="16"/>
          <w:lang w:val="en-US"/>
        </w:rPr>
        <w:t>Global guidance on criteria and processes for validation</w:t>
      </w:r>
      <w:r w:rsidRPr="009F337B">
        <w:rPr>
          <w:sz w:val="16"/>
          <w:szCs w:val="16"/>
          <w:lang w:val="en-US"/>
        </w:rPr>
        <w:t xml:space="preserve">, 2015, p. 3, and Joint United Nations Program on HIV and AIDS (UNAIDS), HIV-related opportunistic diseases, 1999, p. 3. Available at: </w:t>
      </w:r>
      <w:hyperlink r:id="rId2" w:history="1">
        <w:r w:rsidRPr="009F337B">
          <w:rPr>
            <w:rStyle w:val="Hipervnculo"/>
            <w:sz w:val="16"/>
            <w:szCs w:val="16"/>
            <w:lang w:val="en-US"/>
          </w:rPr>
          <w:t>http://data.unaids.org/publications/irc-pub05/ opportu_en.pdf</w:t>
        </w:r>
      </w:hyperlink>
      <w:r w:rsidRPr="009F337B">
        <w:rPr>
          <w:sz w:val="16"/>
          <w:szCs w:val="16"/>
          <w:lang w:val="en-US"/>
        </w:rPr>
        <w:t xml:space="preserve">    </w:t>
      </w:r>
    </w:p>
  </w:footnote>
  <w:footnote w:id="24">
    <w:p w14:paraId="301F7967" w14:textId="179D479A"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r>
      <w:r w:rsidRPr="009F337B">
        <w:rPr>
          <w:i/>
          <w:szCs w:val="16"/>
          <w:lang w:val="en-US"/>
        </w:rPr>
        <w:t xml:space="preserve">Cf. </w:t>
      </w:r>
      <w:r w:rsidRPr="009F337B">
        <w:rPr>
          <w:szCs w:val="16"/>
          <w:lang w:val="en-US"/>
        </w:rPr>
        <w:t xml:space="preserve">Joint United Nations Program on HIV and AIDS (UNAIDS), HIV-related opportunistic diseases, 1999, p. 2. Available at: </w:t>
      </w:r>
      <w:hyperlink r:id="rId3" w:history="1">
        <w:r w:rsidRPr="009F337B">
          <w:rPr>
            <w:rStyle w:val="Hipervnculo"/>
            <w:szCs w:val="16"/>
            <w:lang w:val="en-US"/>
          </w:rPr>
          <w:t>http://data.unaids.org/publications/irc-pub05/opportu_en.pdf</w:t>
        </w:r>
      </w:hyperlink>
      <w:r w:rsidRPr="009F337B">
        <w:rPr>
          <w:szCs w:val="16"/>
          <w:lang w:val="en-US"/>
        </w:rPr>
        <w:t>, and expert opinion provided by Ricardo Boza Cordero at the public hearing held before the Court and written report on this opinion (merits file, folios 1459 and 1460).</w:t>
      </w:r>
    </w:p>
  </w:footnote>
  <w:footnote w:id="25">
    <w:p w14:paraId="24283745" w14:textId="6A56EAD5" w:rsidR="00AF5CC6" w:rsidRPr="009F337B" w:rsidRDefault="00AF5CC6" w:rsidP="00A30D95">
      <w:pPr>
        <w:pStyle w:val="Textonotapie"/>
        <w:spacing w:before="0"/>
        <w:rPr>
          <w:b/>
          <w:szCs w:val="16"/>
          <w:lang w:val="en-US"/>
        </w:rPr>
      </w:pPr>
      <w:r w:rsidRPr="009F337B">
        <w:rPr>
          <w:rStyle w:val="Refdenotaalpie"/>
          <w:szCs w:val="16"/>
          <w:lang w:val="en-US"/>
        </w:rPr>
        <w:footnoteRef/>
      </w:r>
      <w:r w:rsidRPr="009F337B">
        <w:rPr>
          <w:szCs w:val="16"/>
          <w:lang w:val="en-US"/>
        </w:rPr>
        <w:tab/>
      </w:r>
      <w:r w:rsidRPr="009F337B">
        <w:rPr>
          <w:i/>
          <w:szCs w:val="16"/>
          <w:lang w:val="en-US"/>
        </w:rPr>
        <w:t xml:space="preserve">Cf. </w:t>
      </w:r>
      <w:r w:rsidRPr="009F337B">
        <w:rPr>
          <w:szCs w:val="16"/>
          <w:lang w:val="en-US"/>
        </w:rPr>
        <w:t>Joint United Nations Program on HIV and AIDS (UNAIDS), UNAIDS Terminology Guidelines (evidence file, folio 8456); World Health Organization, Consolidated guidelines on the use of antiretroviral drugs for treating and preventing HIV infection. Recommendations for a public health approach (evidence file, folios 14346 and 14461), and expert opinion provided by Ricardo Boza Cordero at the public hearing held before the Court and written report on this opinion (merits file, folios 1458 and 1467).</w:t>
      </w:r>
    </w:p>
  </w:footnote>
  <w:footnote w:id="26">
    <w:p w14:paraId="19B83FC5" w14:textId="5B8B9C4C"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t xml:space="preserve">The World Health Organization has mentioned the following as key populations: “sex workers, men who have sex with men, transgender people, and those who inject drugs.” </w:t>
      </w:r>
      <w:r w:rsidRPr="009F337B">
        <w:rPr>
          <w:i/>
          <w:szCs w:val="16"/>
          <w:lang w:val="en-US"/>
        </w:rPr>
        <w:t>Cf.</w:t>
      </w:r>
      <w:r w:rsidRPr="009F337B">
        <w:rPr>
          <w:szCs w:val="16"/>
          <w:lang w:val="en-US"/>
        </w:rPr>
        <w:t xml:space="preserve"> World Health Organization, Guidance on couples HIV testing and counselling including antiretroviral therapy for treatment and prevention in </w:t>
      </w:r>
      <w:proofErr w:type="spellStart"/>
      <w:r w:rsidRPr="009F337B">
        <w:rPr>
          <w:szCs w:val="16"/>
          <w:lang w:val="en-US"/>
        </w:rPr>
        <w:t>serodiscordant</w:t>
      </w:r>
      <w:proofErr w:type="spellEnd"/>
      <w:r w:rsidRPr="009F337B">
        <w:rPr>
          <w:szCs w:val="16"/>
          <w:lang w:val="en-US"/>
        </w:rPr>
        <w:t xml:space="preserve"> couples, 2012, pp. 5 and 31.</w:t>
      </w:r>
    </w:p>
  </w:footnote>
  <w:footnote w:id="27">
    <w:p w14:paraId="0FA94186" w14:textId="3CA2CBB3"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r>
      <w:r w:rsidRPr="009F337B">
        <w:rPr>
          <w:i/>
          <w:szCs w:val="16"/>
          <w:lang w:val="en-US"/>
        </w:rPr>
        <w:t>Cf.</w:t>
      </w:r>
      <w:r w:rsidRPr="009F337B">
        <w:rPr>
          <w:szCs w:val="16"/>
          <w:lang w:val="en-US"/>
        </w:rPr>
        <w:t xml:space="preserve"> Joint United Nations Program on HIV and AIDS (UNAIDS), Fact sheet – World AIDS Day: Global HIV statistics 2017. Available at: </w:t>
      </w:r>
      <w:hyperlink r:id="rId4" w:history="1">
        <w:r w:rsidRPr="009F337B">
          <w:rPr>
            <w:rStyle w:val="Hipervnculo"/>
            <w:color w:val="auto"/>
            <w:szCs w:val="16"/>
            <w:u w:val="none"/>
            <w:lang w:val="en-US"/>
          </w:rPr>
          <w:t>http://www.unaids.org/es/resources/fact-sheet</w:t>
        </w:r>
      </w:hyperlink>
      <w:r w:rsidRPr="009F337B">
        <w:rPr>
          <w:szCs w:val="16"/>
          <w:lang w:val="en-US"/>
        </w:rPr>
        <w:t xml:space="preserve">; Pan-American Health Organization, Annual Report 2012-2013 (evidence file, folio 9581); Joint United Nations Program on HIV and AIDS (UNAIDS), UNAIDS Terminology Guidelines ONUAIDS (evidence file, folio 8460), and Joint United Nations Program on HIV and AIDS (UNAIDS), Guatemala. Available at: </w:t>
      </w:r>
      <w:r w:rsidRPr="009F337B">
        <w:rPr>
          <w:rFonts w:eastAsia="Calibri"/>
          <w:szCs w:val="16"/>
          <w:lang w:val="en-US"/>
        </w:rPr>
        <w:t>http://www.unaids.org/es/regionscountries/countries/guatemala</w:t>
      </w:r>
      <w:r w:rsidRPr="009F337B">
        <w:rPr>
          <w:szCs w:val="16"/>
          <w:lang w:val="en-US"/>
        </w:rPr>
        <w:t>.</w:t>
      </w:r>
    </w:p>
  </w:footnote>
  <w:footnote w:id="28">
    <w:p w14:paraId="0C96D656" w14:textId="16543314"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r>
      <w:r w:rsidRPr="009F337B">
        <w:rPr>
          <w:i/>
          <w:szCs w:val="16"/>
          <w:lang w:val="en-US"/>
        </w:rPr>
        <w:t>Cf.</w:t>
      </w:r>
      <w:r w:rsidRPr="009F337B">
        <w:rPr>
          <w:szCs w:val="16"/>
          <w:lang w:val="en-US"/>
        </w:rPr>
        <w:t xml:space="preserve"> 1985 Constitution of the Republic of Guatemala (evidence file, folio 9738).</w:t>
      </w:r>
    </w:p>
  </w:footnote>
  <w:footnote w:id="29">
    <w:p w14:paraId="1E92B662" w14:textId="5BF5D6CD" w:rsidR="00AF5CC6" w:rsidRPr="009F337B" w:rsidRDefault="00AF5CC6" w:rsidP="00A30D95">
      <w:pPr>
        <w:pStyle w:val="Textonotapie"/>
        <w:spacing w:before="0"/>
        <w:rPr>
          <w:bCs/>
          <w:iCs/>
          <w:szCs w:val="16"/>
          <w:lang w:val="en-US"/>
        </w:rPr>
      </w:pPr>
      <w:r w:rsidRPr="009F337B">
        <w:rPr>
          <w:rStyle w:val="Refdenotaalpie"/>
          <w:szCs w:val="16"/>
          <w:lang w:val="en-US"/>
        </w:rPr>
        <w:footnoteRef/>
      </w:r>
      <w:r w:rsidRPr="009F337B">
        <w:rPr>
          <w:szCs w:val="16"/>
          <w:lang w:val="en-US"/>
        </w:rPr>
        <w:tab/>
      </w:r>
      <w:r w:rsidRPr="009F337B">
        <w:rPr>
          <w:i/>
          <w:szCs w:val="16"/>
          <w:lang w:val="en-US"/>
        </w:rPr>
        <w:t>Cf.</w:t>
      </w:r>
      <w:r w:rsidRPr="009F337B">
        <w:rPr>
          <w:szCs w:val="16"/>
          <w:lang w:val="en-US"/>
        </w:rPr>
        <w:t xml:space="preserve"> </w:t>
      </w:r>
      <w:r w:rsidRPr="009F337B">
        <w:rPr>
          <w:bCs/>
          <w:iCs/>
          <w:szCs w:val="16"/>
          <w:lang w:val="en-US"/>
        </w:rPr>
        <w:t>Decree 90-97 of October 2, 1997, Health Code of Guatemala, articles 1, 2, 4, 21, 55 and 62 (evidence file, folios 9850, 9851, 9856, 9864 and 9865).</w:t>
      </w:r>
    </w:p>
  </w:footnote>
  <w:footnote w:id="30">
    <w:p w14:paraId="56CC7D0E" w14:textId="406746A8" w:rsidR="00AF5CC6" w:rsidRPr="009F337B" w:rsidRDefault="00AF5CC6" w:rsidP="00A30D95">
      <w:pPr>
        <w:pStyle w:val="Textonotapie"/>
        <w:spacing w:before="0"/>
        <w:rPr>
          <w:bCs/>
          <w:iCs/>
          <w:szCs w:val="16"/>
          <w:lang w:val="en-US"/>
        </w:rPr>
      </w:pPr>
      <w:r w:rsidRPr="009F337B">
        <w:rPr>
          <w:rStyle w:val="Refdenotaalpie"/>
          <w:szCs w:val="16"/>
          <w:lang w:val="en-US"/>
        </w:rPr>
        <w:footnoteRef/>
      </w:r>
      <w:r w:rsidRPr="009F337B">
        <w:rPr>
          <w:szCs w:val="16"/>
          <w:lang w:val="en-US"/>
        </w:rPr>
        <w:tab/>
      </w:r>
      <w:r w:rsidRPr="009F337B">
        <w:rPr>
          <w:i/>
          <w:szCs w:val="16"/>
          <w:lang w:val="en-US"/>
        </w:rPr>
        <w:t xml:space="preserve">Cf. </w:t>
      </w:r>
      <w:r w:rsidRPr="009F337B">
        <w:rPr>
          <w:bCs/>
          <w:iCs/>
          <w:szCs w:val="16"/>
          <w:lang w:val="en-US"/>
        </w:rPr>
        <w:t xml:space="preserve">Decree 27-2000 of June 2, 2000, </w:t>
      </w:r>
      <w:r w:rsidRPr="009F337B">
        <w:rPr>
          <w:szCs w:val="16"/>
          <w:lang w:val="en-US"/>
        </w:rPr>
        <w:t xml:space="preserve">General Law to combat the human </w:t>
      </w:r>
      <w:r w:rsidRPr="009F337B">
        <w:rPr>
          <w:rFonts w:cs="Arial"/>
          <w:szCs w:val="16"/>
          <w:lang w:val="en-US"/>
        </w:rPr>
        <w:t>immunodeficiency virus (HIV) and the acquired immunodeficiency syndrome (AIDS) and for the promotion, protection and defense of human rights in relation to</w:t>
      </w:r>
      <w:r w:rsidRPr="009F337B">
        <w:rPr>
          <w:szCs w:val="16"/>
          <w:lang w:val="en-US"/>
        </w:rPr>
        <w:t xml:space="preserve"> HIV/AIDS </w:t>
      </w:r>
      <w:r w:rsidRPr="009F337B">
        <w:rPr>
          <w:bCs/>
          <w:iCs/>
          <w:szCs w:val="16"/>
          <w:lang w:val="en-US"/>
        </w:rPr>
        <w:t>(evidence file, folios 9914-9928).</w:t>
      </w:r>
    </w:p>
  </w:footnote>
  <w:footnote w:id="31">
    <w:p w14:paraId="4AD63235" w14:textId="7E34374E" w:rsidR="00AF5CC6" w:rsidRPr="009F337B" w:rsidRDefault="00AF5CC6" w:rsidP="00A30D95">
      <w:pPr>
        <w:pStyle w:val="Textonotapie"/>
        <w:spacing w:before="0"/>
        <w:rPr>
          <w:i/>
          <w:szCs w:val="16"/>
          <w:lang w:val="en-US"/>
        </w:rPr>
      </w:pPr>
      <w:r w:rsidRPr="009F337B">
        <w:rPr>
          <w:rStyle w:val="Refdenotaalpie"/>
          <w:szCs w:val="16"/>
          <w:lang w:val="en-US"/>
        </w:rPr>
        <w:footnoteRef/>
      </w:r>
      <w:r w:rsidRPr="009F337B">
        <w:rPr>
          <w:szCs w:val="16"/>
          <w:lang w:val="en-US"/>
        </w:rPr>
        <w:tab/>
      </w:r>
      <w:r w:rsidRPr="009F337B">
        <w:rPr>
          <w:i/>
          <w:szCs w:val="16"/>
          <w:lang w:val="en-US"/>
        </w:rPr>
        <w:t>Cf.</w:t>
      </w:r>
      <w:r w:rsidRPr="009F337B">
        <w:rPr>
          <w:szCs w:val="16"/>
          <w:lang w:val="en-US"/>
        </w:rPr>
        <w:t xml:space="preserve"> </w:t>
      </w:r>
      <w:r w:rsidRPr="009F337B">
        <w:rPr>
          <w:bCs/>
          <w:iCs/>
          <w:szCs w:val="16"/>
          <w:lang w:val="en-US"/>
        </w:rPr>
        <w:t>Government Decree No. 317-2002 of September 6, 2002,</w:t>
      </w:r>
      <w:r w:rsidRPr="009F337B">
        <w:rPr>
          <w:szCs w:val="16"/>
          <w:lang w:val="en-US"/>
        </w:rPr>
        <w:t xml:space="preserve"> Regulations to the  General Law to Combat the Human Immunodeficiency Virus (HIV) and the Acquired Immunodeficiency Syndrome (AIDS) and for the Promotion, Protection and Defense of Human Rights in the presence of HIV/AIDS, article 31 (evidence file, folio 9938).</w:t>
      </w:r>
    </w:p>
  </w:footnote>
  <w:footnote w:id="32">
    <w:p w14:paraId="3CA0824B" w14:textId="3D0E9BDC"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r>
      <w:r w:rsidRPr="009F337B">
        <w:rPr>
          <w:i/>
          <w:szCs w:val="16"/>
          <w:lang w:val="en-US"/>
        </w:rPr>
        <w:t>Cf.</w:t>
      </w:r>
      <w:r w:rsidRPr="009F337B">
        <w:rPr>
          <w:szCs w:val="16"/>
          <w:lang w:val="en-US"/>
        </w:rPr>
        <w:t xml:space="preserve"> </w:t>
      </w:r>
      <w:r w:rsidRPr="009F337B">
        <w:rPr>
          <w:bCs/>
          <w:iCs/>
          <w:szCs w:val="16"/>
          <w:lang w:val="en-US"/>
        </w:rPr>
        <w:t>Government Decree No. 317-2002 of September 6, 2002,</w:t>
      </w:r>
      <w:r w:rsidRPr="009F337B">
        <w:rPr>
          <w:szCs w:val="16"/>
          <w:lang w:val="en-US"/>
        </w:rPr>
        <w:t xml:space="preserve"> Regulations to the General Law to Combat the Human Immunodeficiency Virus (HIV) and the Acquired Immunodeficiency Syndrome (AIDS) and for the Promotion, Protection and Defense of Human Rights in the presence of HIV/AIDS, Articles 2, 31, 32 and 35 (evidence file, folios 9931, 9938 and 9939).</w:t>
      </w:r>
    </w:p>
  </w:footnote>
  <w:footnote w:id="33">
    <w:p w14:paraId="708AC1FC" w14:textId="63905031"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r>
      <w:r w:rsidRPr="009F337B">
        <w:rPr>
          <w:i/>
          <w:szCs w:val="16"/>
          <w:lang w:val="en-US"/>
        </w:rPr>
        <w:t>Cf.</w:t>
      </w:r>
      <w:r w:rsidRPr="009F337B">
        <w:rPr>
          <w:szCs w:val="16"/>
          <w:lang w:val="en-US"/>
        </w:rPr>
        <w:t xml:space="preserve"> Communication M12-OAS-F.9.2.1 No. 1330-2012 of November 26, 2012, signed by the Permanent Representative to the Organization of American States, Ambassador Rodrigo </w:t>
      </w:r>
      <w:proofErr w:type="spellStart"/>
      <w:r w:rsidRPr="009F337B">
        <w:rPr>
          <w:szCs w:val="16"/>
          <w:lang w:val="en-US"/>
        </w:rPr>
        <w:t>Vielmann</w:t>
      </w:r>
      <w:proofErr w:type="spellEnd"/>
      <w:r w:rsidRPr="009F337B">
        <w:rPr>
          <w:szCs w:val="16"/>
          <w:lang w:val="en-US"/>
        </w:rPr>
        <w:t>, and addressed to the Executive Secretary of the Inter-American Commission on Human Rights, Emilio Álvarez Icaza (merits file, folio 210).</w:t>
      </w:r>
    </w:p>
  </w:footnote>
  <w:footnote w:id="34">
    <w:p w14:paraId="557ABC84" w14:textId="540EB772"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r>
      <w:r w:rsidRPr="009F337B">
        <w:rPr>
          <w:i/>
          <w:szCs w:val="16"/>
          <w:lang w:val="en-US"/>
        </w:rPr>
        <w:t>Cf.</w:t>
      </w:r>
      <w:r w:rsidRPr="009F337B">
        <w:rPr>
          <w:szCs w:val="16"/>
          <w:lang w:val="en-US"/>
        </w:rPr>
        <w:t xml:space="preserve"> National Program for the Prevention and Control of Sexually Transmitted Infections (STI), the Human Immunodeficiency Virus (HIV) and the Acquired Immunodeficiency Syndrome (AIDS) (evidence file, folio 8750); </w:t>
      </w:r>
      <w:r w:rsidRPr="009F337B">
        <w:rPr>
          <w:bCs/>
          <w:iCs/>
          <w:szCs w:val="16"/>
          <w:lang w:val="en-US"/>
        </w:rPr>
        <w:t xml:space="preserve">Decree 27-2000 of June 2, 2000, </w:t>
      </w:r>
      <w:r w:rsidRPr="009F337B">
        <w:rPr>
          <w:szCs w:val="16"/>
          <w:lang w:val="en-US"/>
        </w:rPr>
        <w:t xml:space="preserve">General Law to Combat the Human Immunodeficiency Virus (HIV) and the Acquired Immunodeficiency Syndrome (AIDS) and for the Promotion, Protection and Defense of Human Rights in the presence of HIV/AIDS, </w:t>
      </w:r>
      <w:r w:rsidRPr="009F337B">
        <w:rPr>
          <w:bCs/>
          <w:iCs/>
          <w:szCs w:val="16"/>
          <w:lang w:val="en-US"/>
        </w:rPr>
        <w:t xml:space="preserve">article 4 (evidence file, folio 9915), and the Population and Social Development Policy established as a goal the </w:t>
      </w:r>
      <w:r w:rsidRPr="009F337B">
        <w:rPr>
          <w:szCs w:val="16"/>
          <w:lang w:val="en-US"/>
        </w:rPr>
        <w:t>“a 20% decrease in sexually transmitted infections and HIV and AIDS in the long term” […] emphasizing that, “[it was] important to reinforce comprehensive care for STI, HIV and AIDS, and inform and educate the population in order to enhance prevention” (evidence file, folio 9132).</w:t>
      </w:r>
    </w:p>
  </w:footnote>
  <w:footnote w:id="35">
    <w:p w14:paraId="7ACBBBCF" w14:textId="11197D0A" w:rsidR="00AF5CC6" w:rsidRPr="009F337B" w:rsidRDefault="00AF5CC6" w:rsidP="00A30D95">
      <w:pPr>
        <w:pStyle w:val="Textonotapie"/>
        <w:spacing w:before="0"/>
        <w:rPr>
          <w:i/>
          <w:szCs w:val="16"/>
          <w:lang w:val="en-US"/>
        </w:rPr>
      </w:pPr>
      <w:r w:rsidRPr="009F337B">
        <w:rPr>
          <w:rStyle w:val="Refdenotaalpie"/>
          <w:szCs w:val="16"/>
          <w:lang w:val="en-US"/>
        </w:rPr>
        <w:footnoteRef/>
      </w:r>
      <w:r w:rsidRPr="009F337B">
        <w:rPr>
          <w:szCs w:val="16"/>
          <w:lang w:val="en-US"/>
        </w:rPr>
        <w:tab/>
      </w:r>
      <w:r w:rsidRPr="009F337B">
        <w:rPr>
          <w:i/>
          <w:szCs w:val="16"/>
          <w:lang w:val="en-US"/>
        </w:rPr>
        <w:t>Cf.</w:t>
      </w:r>
      <w:r w:rsidRPr="009F337B">
        <w:rPr>
          <w:szCs w:val="16"/>
          <w:lang w:val="en-US"/>
        </w:rPr>
        <w:t xml:space="preserve"> Government Decree No. 638-2005 of November 30, 2005, ratifying the Public Policy for the Prevention of Sexually Transmitted Infections (STI) and of Acquired Immunodeficiency Syndrome (AIDS) (evidence file, folio 9942-9944); Public Policy for the Prevention of Sexually Transmitted Infections (STI) and Response to the Epidemic of Acquired Immunodeficiency Syndrome (AIDS) (evidence file, folios 10064-10094); Guatemalan Guidelines for Antiretroviral Treatment and Treatment of Opportunistic Infections, 2005 (evidence file, folio 9946-10049); Guidance Manual on STI/HIV/AIDS, 2005 (evidence file, folio 16171-16229); National Program for the Prevention and Control of Sexually transmitted infections (STI), the Human Immunodeficiency Virus (HIV) and the Acquired Immunodeficiency Syndrome (AIDS) (evidence file, folios  8739-8797); National Information, Education and Communication Strategy to change behavior – Information, Education Communication/behavioral change (IEC/</w:t>
      </w:r>
      <w:proofErr w:type="spellStart"/>
      <w:r w:rsidRPr="009F337B">
        <w:rPr>
          <w:szCs w:val="16"/>
          <w:lang w:val="en-US"/>
        </w:rPr>
        <w:t>bc</w:t>
      </w:r>
      <w:proofErr w:type="spellEnd"/>
      <w:r w:rsidRPr="009F337B">
        <w:rPr>
          <w:szCs w:val="16"/>
          <w:lang w:val="en-US"/>
        </w:rPr>
        <w:t>) for the prevention of STI, HIV and AIDS in Guatemala, 2007 (evidence file, folio 15134-15457); Manual on the comprehensive treatment of sexually transmitted infections emphasizing syndrome management, 2007 (evidence file, folio 16092-16169), and Manual on feeding babies whose mothers are living with HIV, 2008 (evidence file, folio 15682-15749).</w:t>
      </w:r>
    </w:p>
  </w:footnote>
  <w:footnote w:id="36">
    <w:p w14:paraId="7AC5BF98" w14:textId="7B6972E6"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r>
      <w:r w:rsidRPr="009F337B">
        <w:rPr>
          <w:i/>
          <w:szCs w:val="16"/>
          <w:lang w:val="en-US"/>
        </w:rPr>
        <w:t>Cf.</w:t>
      </w:r>
      <w:r w:rsidRPr="009F337B">
        <w:rPr>
          <w:szCs w:val="16"/>
          <w:lang w:val="en-US"/>
        </w:rPr>
        <w:t xml:space="preserve"> 2011-2015 National Strategic Plan for the Prevention, Care and Control of STI, HIV and AIDS (evidence file, folio 14982-15079); Guidelines on nutritional care for people living with HIV, 2011 (evidence file, folios 13961-14072); Manual on Sexual and Reproductive Health Care for Women living with advanced HIV (AIDS), 2012 (evidence file, folio 14120-14161); Guidelines for Facilitators on gender and interculturality: sharing information on the prevention of STI, with emphasis on HIV, syphilis and hepatitis B, 2013 (evidence file, folio 15776-15844); 2013-2016 National Plan for the Elimination of Mo</w:t>
      </w:r>
      <w:r w:rsidRPr="009F337B">
        <w:rPr>
          <w:bCs/>
          <w:szCs w:val="16"/>
          <w:lang w:val="en-US"/>
        </w:rPr>
        <w:t>ther-to-Child Transmission of HIV and Congenital Syphilis</w:t>
      </w:r>
      <w:r w:rsidRPr="009F337B">
        <w:rPr>
          <w:szCs w:val="16"/>
          <w:lang w:val="en-US"/>
        </w:rPr>
        <w:t xml:space="preserve"> (evidence file, folios 14936-14974), and </w:t>
      </w:r>
      <w:r w:rsidRPr="009F337B">
        <w:rPr>
          <w:bCs/>
          <w:szCs w:val="16"/>
          <w:lang w:val="en-US"/>
        </w:rPr>
        <w:t xml:space="preserve">Guidelines for antiretroviral treatment and treatment of opportunistic infections </w:t>
      </w:r>
      <w:r w:rsidRPr="009F337B">
        <w:rPr>
          <w:szCs w:val="16"/>
          <w:lang w:val="en-US"/>
        </w:rPr>
        <w:t>in Guatemala, 2013 (evidence file, folios 14074-14118).</w:t>
      </w:r>
    </w:p>
  </w:footnote>
  <w:footnote w:id="37">
    <w:p w14:paraId="59AFE493" w14:textId="31B24629"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r>
      <w:r w:rsidRPr="009F337B">
        <w:rPr>
          <w:i/>
          <w:szCs w:val="16"/>
          <w:lang w:val="en-US"/>
        </w:rPr>
        <w:t>Cf.</w:t>
      </w:r>
      <w:r w:rsidRPr="009F337B">
        <w:rPr>
          <w:szCs w:val="16"/>
          <w:lang w:val="en-US"/>
        </w:rPr>
        <w:t xml:space="preserve"> 2015-2019 National Plan on Positive Prevention, Dignity and Health, 2014 (evidence file, folios 15081-15132), and Inter-institutional cooperation agreement on “Prevention through Education” signed by the Ministry of Education and the Ministry of Public Health and Social Assistance, June 2016 (evidence file, folios 14173-14183). </w:t>
      </w:r>
    </w:p>
  </w:footnote>
  <w:footnote w:id="38">
    <w:p w14:paraId="321D2998" w14:textId="46229EF1"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r>
      <w:r w:rsidRPr="009F337B">
        <w:rPr>
          <w:i/>
          <w:szCs w:val="16"/>
          <w:lang w:val="en-US"/>
        </w:rPr>
        <w:t>Cf.</w:t>
      </w:r>
      <w:r w:rsidRPr="009F337B">
        <w:rPr>
          <w:szCs w:val="16"/>
          <w:lang w:val="en-US"/>
        </w:rPr>
        <w:t xml:space="preserve"> Public Policy for the Prevention of Sexually Transmitted Infections (STI) and Response to the Epidemic of Acquired Immunodeficiency Syndrome (AIDS) (evidence file, folios 10069 and 10070).</w:t>
      </w:r>
    </w:p>
  </w:footnote>
  <w:footnote w:id="39">
    <w:p w14:paraId="35EE97B2" w14:textId="28CB01FA"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r>
      <w:r w:rsidRPr="009F337B">
        <w:rPr>
          <w:i/>
          <w:szCs w:val="16"/>
          <w:lang w:val="en-US"/>
        </w:rPr>
        <w:t>Cf.</w:t>
      </w:r>
      <w:r w:rsidRPr="009F337B">
        <w:rPr>
          <w:szCs w:val="16"/>
          <w:lang w:val="en-US"/>
        </w:rPr>
        <w:t xml:space="preserve"> National Program for the Prevention and Control of Sexually Transmitted Infections (STI), the Human Immunodeficiency Virus (HIV) and the Acquired Immunodeficiency Syndrome (AIDS)  (evidence file, folios 8750, 8753 and 8757).</w:t>
      </w:r>
    </w:p>
  </w:footnote>
  <w:footnote w:id="40">
    <w:p w14:paraId="28CC894D" w14:textId="7D8482D8"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r>
      <w:r w:rsidRPr="009F337B">
        <w:rPr>
          <w:i/>
          <w:szCs w:val="16"/>
          <w:lang w:val="en-US"/>
        </w:rPr>
        <w:t>Cf.</w:t>
      </w:r>
      <w:r w:rsidRPr="009F337B">
        <w:rPr>
          <w:szCs w:val="16"/>
          <w:lang w:val="en-US"/>
        </w:rPr>
        <w:t xml:space="preserve"> National Program for the Prevention and Control of Sexually Transmitted Infections (STI), the Human Immunodeficiency Virus (HIV) and the Acquired Immunodeficiency Syndrome (AIDS) (evidence file, folio 8750); Dra. </w:t>
      </w:r>
      <w:r w:rsidRPr="009F337B">
        <w:rPr>
          <w:szCs w:val="16"/>
          <w:lang w:val="es-CR"/>
        </w:rPr>
        <w:t xml:space="preserve">Laura León Noriega, </w:t>
      </w:r>
      <w:r w:rsidRPr="009F337B">
        <w:rPr>
          <w:i/>
          <w:szCs w:val="16"/>
          <w:lang w:val="es-CR"/>
        </w:rPr>
        <w:t xml:space="preserve">Diagnóstico de Situación y Respuesta al VIH-SIDA. </w:t>
      </w:r>
      <w:proofErr w:type="spellStart"/>
      <w:r w:rsidRPr="009F337B">
        <w:rPr>
          <w:i/>
          <w:szCs w:val="16"/>
          <w:lang w:val="en-US"/>
        </w:rPr>
        <w:t>Análisis</w:t>
      </w:r>
      <w:proofErr w:type="spellEnd"/>
      <w:r w:rsidRPr="009F337B">
        <w:rPr>
          <w:i/>
          <w:szCs w:val="16"/>
          <w:lang w:val="en-US"/>
        </w:rPr>
        <w:t xml:space="preserve"> y </w:t>
      </w:r>
      <w:proofErr w:type="spellStart"/>
      <w:r w:rsidRPr="009F337B">
        <w:rPr>
          <w:i/>
          <w:szCs w:val="16"/>
          <w:lang w:val="en-US"/>
        </w:rPr>
        <w:t>Conclusiones</w:t>
      </w:r>
      <w:proofErr w:type="spellEnd"/>
      <w:r w:rsidRPr="009F337B">
        <w:rPr>
          <w:szCs w:val="16"/>
          <w:lang w:val="en-US"/>
        </w:rPr>
        <w:t>, Guatemala, January 2008 (evidence file, folio 9050); Planning Secretariat of the Office of the President</w:t>
      </w:r>
      <w:r w:rsidRPr="009F337B">
        <w:rPr>
          <w:i/>
          <w:szCs w:val="16"/>
          <w:lang w:val="en-US"/>
        </w:rPr>
        <w:t xml:space="preserve"> </w:t>
      </w:r>
      <w:r w:rsidRPr="009F337B">
        <w:rPr>
          <w:szCs w:val="16"/>
          <w:lang w:val="en-US"/>
        </w:rPr>
        <w:t>of the Republic of Guatemala, Progress Report 2013. Population and Social Development Policy (evidence file, folios 9133 and 9189), and National Report on advances in the fight against HIV and AIDS, 2004 (evidence file, folio 8827).</w:t>
      </w:r>
    </w:p>
  </w:footnote>
  <w:footnote w:id="41">
    <w:p w14:paraId="77D0AC21" w14:textId="12A2F260"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t>See table in annex 1 to this judgment.</w:t>
      </w:r>
    </w:p>
  </w:footnote>
  <w:footnote w:id="42">
    <w:p w14:paraId="26E69C8A" w14:textId="2CF65351" w:rsidR="00AF5CC6" w:rsidRPr="009F337B" w:rsidRDefault="00AF5CC6" w:rsidP="00A30D95">
      <w:pPr>
        <w:spacing w:after="120"/>
        <w:rPr>
          <w:sz w:val="16"/>
          <w:szCs w:val="16"/>
          <w:lang w:val="en-US"/>
        </w:rPr>
      </w:pPr>
      <w:r w:rsidRPr="009F337B">
        <w:rPr>
          <w:rStyle w:val="Refdenotaalpie"/>
          <w:sz w:val="16"/>
          <w:szCs w:val="16"/>
          <w:lang w:val="en-US"/>
        </w:rPr>
        <w:footnoteRef/>
      </w:r>
      <w:r w:rsidRPr="009F337B">
        <w:rPr>
          <w:sz w:val="16"/>
          <w:szCs w:val="16"/>
          <w:lang w:val="en-US"/>
        </w:rPr>
        <w:t xml:space="preserve"> </w:t>
      </w:r>
      <w:r w:rsidRPr="009F337B">
        <w:rPr>
          <w:sz w:val="16"/>
          <w:szCs w:val="16"/>
          <w:lang w:val="en-US"/>
        </w:rPr>
        <w:tab/>
      </w:r>
      <w:r w:rsidRPr="009F337B">
        <w:rPr>
          <w:i/>
          <w:sz w:val="16"/>
          <w:szCs w:val="16"/>
          <w:lang w:val="en-US"/>
        </w:rPr>
        <w:t>Cf.</w:t>
      </w:r>
      <w:r w:rsidRPr="009F337B">
        <w:rPr>
          <w:b/>
          <w:i/>
          <w:sz w:val="16"/>
          <w:szCs w:val="16"/>
          <w:lang w:val="en-US"/>
        </w:rPr>
        <w:t xml:space="preserve"> </w:t>
      </w:r>
      <w:r w:rsidRPr="009F337B">
        <w:rPr>
          <w:rStyle w:val="Textoennegrita"/>
          <w:b w:val="0"/>
          <w:i/>
          <w:color w:val="000000"/>
          <w:sz w:val="16"/>
          <w:szCs w:val="16"/>
          <w:shd w:val="clear" w:color="auto" w:fill="FFFFFF"/>
          <w:lang w:val="en-US"/>
        </w:rPr>
        <w:t>Case of the Members of the village of Chichupac and neighboring communities of the Municipality of Rabinal v. Guatemala. Preliminary objections, merits, reparations and costs.</w:t>
      </w:r>
      <w:r w:rsidRPr="009F337B">
        <w:rPr>
          <w:rStyle w:val="Textoennegrita"/>
          <w:b w:val="0"/>
          <w:color w:val="000000"/>
          <w:sz w:val="16"/>
          <w:szCs w:val="16"/>
          <w:shd w:val="clear" w:color="auto" w:fill="FFFFFF"/>
          <w:lang w:val="en-US"/>
        </w:rPr>
        <w:t xml:space="preserve"> Judgment of November 30, 2016. Series C No. 328, para. 75. </w:t>
      </w:r>
      <w:r w:rsidRPr="009F337B">
        <w:rPr>
          <w:sz w:val="16"/>
          <w:szCs w:val="16"/>
          <w:lang w:val="en-US"/>
        </w:rPr>
        <w:t xml:space="preserve">The Court considered that the information forwarded by the Commission and the representatives with the regard to the presumed victims who are now deceased was provided in good faith. The Court also took into consideration that the State did not expressly deny that those individuals had died or provide any evidence in this regard. Moreover, on August 8, 2018, the Court requested the State, as helpful evidence, to forward information and/or documentation relating to the death certificates of: </w:t>
      </w:r>
      <w:r w:rsidRPr="009F337B">
        <w:rPr>
          <w:rFonts w:cs="Arial"/>
          <w:sz w:val="16"/>
          <w:szCs w:val="16"/>
          <w:lang w:val="en-US"/>
        </w:rPr>
        <w:t>1) Alberto Quiché Cuxeva, 2) Facundo Gómez Reyes, 3) Juana Aguilar, 4) Marvin Josué Lucas González, 5) Rita Mariana Dubón Orozco, 6) Roberto Gómez García, 7) José Rubén Delgado López, 8) Petrona López, and 9) Reina López Mujica. The State, in a brief of August 21, 2018, indicated that it was unable to forward the evidence requested by the Court. Consequently, the Court considered proved that the said presumed victims were deceased.</w:t>
      </w:r>
    </w:p>
  </w:footnote>
  <w:footnote w:id="43">
    <w:p w14:paraId="1585541B" w14:textId="280A9A7A" w:rsidR="00AF5CC6" w:rsidRPr="009F337B" w:rsidRDefault="00AF5CC6" w:rsidP="00A30D95">
      <w:pPr>
        <w:pStyle w:val="Textonotapie"/>
        <w:spacing w:before="0"/>
        <w:rPr>
          <w:szCs w:val="16"/>
          <w:lang w:val="es-CR"/>
        </w:rPr>
      </w:pPr>
      <w:r w:rsidRPr="009F337B">
        <w:rPr>
          <w:rStyle w:val="Refdenotaalpie"/>
          <w:szCs w:val="16"/>
          <w:lang w:val="en-US"/>
        </w:rPr>
        <w:footnoteRef/>
      </w:r>
      <w:r w:rsidRPr="009F337B">
        <w:rPr>
          <w:szCs w:val="16"/>
          <w:lang w:val="es-CR"/>
        </w:rPr>
        <w:tab/>
      </w:r>
      <w:r w:rsidRPr="009F337B">
        <w:rPr>
          <w:i/>
          <w:szCs w:val="16"/>
          <w:lang w:val="es-CR"/>
        </w:rPr>
        <w:t>Cf.</w:t>
      </w:r>
      <w:r w:rsidRPr="009F337B">
        <w:rPr>
          <w:szCs w:val="16"/>
          <w:lang w:val="es-CR"/>
        </w:rPr>
        <w:t xml:space="preserve"> </w:t>
      </w:r>
      <w:proofErr w:type="spellStart"/>
      <w:r w:rsidRPr="009F337B">
        <w:rPr>
          <w:szCs w:val="16"/>
          <w:lang w:val="es-CR"/>
        </w:rPr>
        <w:t>Letter</w:t>
      </w:r>
      <w:proofErr w:type="spellEnd"/>
      <w:r w:rsidRPr="009F337B">
        <w:rPr>
          <w:szCs w:val="16"/>
          <w:lang w:val="es-CR"/>
        </w:rPr>
        <w:t xml:space="preserve"> </w:t>
      </w:r>
      <w:proofErr w:type="spellStart"/>
      <w:r w:rsidRPr="009F337B">
        <w:rPr>
          <w:szCs w:val="16"/>
          <w:lang w:val="es-CR"/>
        </w:rPr>
        <w:t>of</w:t>
      </w:r>
      <w:proofErr w:type="spellEnd"/>
      <w:r w:rsidRPr="009F337B">
        <w:rPr>
          <w:szCs w:val="16"/>
          <w:lang w:val="es-CR"/>
        </w:rPr>
        <w:t xml:space="preserve"> </w:t>
      </w:r>
      <w:proofErr w:type="spellStart"/>
      <w:r w:rsidRPr="009F337B">
        <w:rPr>
          <w:szCs w:val="16"/>
          <w:lang w:val="es-CR"/>
        </w:rPr>
        <w:t>the</w:t>
      </w:r>
      <w:proofErr w:type="spellEnd"/>
      <w:r w:rsidRPr="009F337B">
        <w:rPr>
          <w:szCs w:val="16"/>
          <w:lang w:val="es-CR"/>
        </w:rPr>
        <w:t xml:space="preserve"> </w:t>
      </w:r>
      <w:r w:rsidRPr="009F337B">
        <w:rPr>
          <w:i/>
          <w:szCs w:val="16"/>
          <w:lang w:val="es-CR"/>
        </w:rPr>
        <w:t>Asociación Coordinadora de Sectores de Lucha contra el</w:t>
      </w:r>
      <w:r w:rsidRPr="009F337B">
        <w:rPr>
          <w:szCs w:val="16"/>
          <w:lang w:val="es-CR"/>
        </w:rPr>
        <w:t xml:space="preserve"> SIDA </w:t>
      </w:r>
      <w:proofErr w:type="spellStart"/>
      <w:r w:rsidRPr="009F337B">
        <w:rPr>
          <w:szCs w:val="16"/>
          <w:lang w:val="es-CR"/>
        </w:rPr>
        <w:t>of</w:t>
      </w:r>
      <w:proofErr w:type="spellEnd"/>
      <w:r w:rsidRPr="009F337B">
        <w:rPr>
          <w:szCs w:val="16"/>
          <w:lang w:val="es-CR"/>
        </w:rPr>
        <w:t xml:space="preserve"> </w:t>
      </w:r>
      <w:proofErr w:type="spellStart"/>
      <w:r w:rsidRPr="009F337B">
        <w:rPr>
          <w:szCs w:val="16"/>
          <w:lang w:val="es-CR"/>
        </w:rPr>
        <w:t>November</w:t>
      </w:r>
      <w:proofErr w:type="spellEnd"/>
      <w:r w:rsidRPr="009F337B">
        <w:rPr>
          <w:szCs w:val="16"/>
          <w:lang w:val="es-CR"/>
        </w:rPr>
        <w:t xml:space="preserve"> 23, 2001 (</w:t>
      </w:r>
      <w:proofErr w:type="spellStart"/>
      <w:r w:rsidRPr="009F337B">
        <w:rPr>
          <w:szCs w:val="16"/>
          <w:lang w:val="es-CR"/>
        </w:rPr>
        <w:t>evidence</w:t>
      </w:r>
      <w:proofErr w:type="spellEnd"/>
      <w:r w:rsidRPr="009F337B">
        <w:rPr>
          <w:szCs w:val="16"/>
          <w:lang w:val="es-CR"/>
        </w:rPr>
        <w:t xml:space="preserve"> file, folio 8).</w:t>
      </w:r>
    </w:p>
  </w:footnote>
  <w:footnote w:id="44">
    <w:p w14:paraId="36F851BF" w14:textId="34B7152F"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r>
      <w:r w:rsidRPr="009F337B">
        <w:rPr>
          <w:i/>
          <w:szCs w:val="16"/>
          <w:lang w:val="en-US"/>
        </w:rPr>
        <w:t xml:space="preserve">Cf. </w:t>
      </w:r>
      <w:r w:rsidRPr="009F337B">
        <w:rPr>
          <w:szCs w:val="16"/>
          <w:lang w:val="en-US"/>
        </w:rPr>
        <w:t>Letter of the Ombudsman of June 10, 2002 (evidence file, folios 10 and 11).</w:t>
      </w:r>
    </w:p>
  </w:footnote>
  <w:footnote w:id="45">
    <w:p w14:paraId="48F7FA83" w14:textId="6ED035A7"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r>
      <w:r w:rsidRPr="009F337B">
        <w:rPr>
          <w:i/>
          <w:szCs w:val="16"/>
          <w:lang w:val="en-US"/>
        </w:rPr>
        <w:t>Cf.</w:t>
      </w:r>
      <w:r w:rsidRPr="009F337B">
        <w:rPr>
          <w:szCs w:val="16"/>
          <w:lang w:val="en-US"/>
        </w:rPr>
        <w:t xml:space="preserve"> Letter of the Ombudsman of June 10, 2002 (evidence file, folios 10 and 11).</w:t>
      </w:r>
    </w:p>
  </w:footnote>
  <w:footnote w:id="46">
    <w:p w14:paraId="6C524C87" w14:textId="1BD579A5"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r>
      <w:r w:rsidRPr="009F337B">
        <w:rPr>
          <w:i/>
          <w:szCs w:val="16"/>
          <w:lang w:val="en-US"/>
        </w:rPr>
        <w:t>Cf.</w:t>
      </w:r>
      <w:r w:rsidRPr="009F337B">
        <w:rPr>
          <w:szCs w:val="16"/>
          <w:lang w:val="en-US"/>
        </w:rPr>
        <w:t xml:space="preserve"> Initial petition lodged before the Inter-American Commission on Human Rights by the Center for Justice and International Law on August 25, 2003 (evidence file, folio 469).</w:t>
      </w:r>
    </w:p>
  </w:footnote>
  <w:footnote w:id="47">
    <w:p w14:paraId="2C4EC830" w14:textId="7362216C"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s-CR"/>
        </w:rPr>
        <w:tab/>
      </w:r>
      <w:proofErr w:type="spellStart"/>
      <w:r w:rsidRPr="009F337B">
        <w:rPr>
          <w:szCs w:val="16"/>
          <w:lang w:val="es-CR"/>
        </w:rPr>
        <w:t>The</w:t>
      </w:r>
      <w:proofErr w:type="spellEnd"/>
      <w:r w:rsidRPr="009F337B">
        <w:rPr>
          <w:szCs w:val="16"/>
          <w:lang w:val="es-CR"/>
        </w:rPr>
        <w:t xml:space="preserve"> appeal </w:t>
      </w:r>
      <w:proofErr w:type="spellStart"/>
      <w:r w:rsidRPr="009F337B">
        <w:rPr>
          <w:szCs w:val="16"/>
          <w:lang w:val="es-CR"/>
        </w:rPr>
        <w:t>was</w:t>
      </w:r>
      <w:proofErr w:type="spellEnd"/>
      <w:r w:rsidRPr="009F337B">
        <w:rPr>
          <w:szCs w:val="16"/>
          <w:lang w:val="es-CR"/>
        </w:rPr>
        <w:t xml:space="preserve"> </w:t>
      </w:r>
      <w:proofErr w:type="spellStart"/>
      <w:r w:rsidRPr="009F337B">
        <w:rPr>
          <w:szCs w:val="16"/>
          <w:lang w:val="es-CR"/>
        </w:rPr>
        <w:t>filed</w:t>
      </w:r>
      <w:proofErr w:type="spellEnd"/>
      <w:r w:rsidRPr="009F337B">
        <w:rPr>
          <w:szCs w:val="16"/>
          <w:lang w:val="es-CR"/>
        </w:rPr>
        <w:t xml:space="preserve">, </w:t>
      </w:r>
      <w:r w:rsidRPr="009F337B">
        <w:rPr>
          <w:i/>
          <w:szCs w:val="16"/>
          <w:lang w:val="es-CR"/>
        </w:rPr>
        <w:t xml:space="preserve">inter </w:t>
      </w:r>
      <w:proofErr w:type="spellStart"/>
      <w:r w:rsidRPr="009F337B">
        <w:rPr>
          <w:i/>
          <w:szCs w:val="16"/>
          <w:lang w:val="es-CR"/>
        </w:rPr>
        <w:t>alia</w:t>
      </w:r>
      <w:proofErr w:type="spellEnd"/>
      <w:r w:rsidRPr="009F337B">
        <w:rPr>
          <w:szCs w:val="16"/>
          <w:lang w:val="es-CR"/>
        </w:rPr>
        <w:t xml:space="preserve">, </w:t>
      </w:r>
      <w:proofErr w:type="spellStart"/>
      <w:r w:rsidRPr="009F337B">
        <w:rPr>
          <w:szCs w:val="16"/>
          <w:lang w:val="es-CR"/>
        </w:rPr>
        <w:t>by</w:t>
      </w:r>
      <w:proofErr w:type="spellEnd"/>
      <w:r w:rsidRPr="009F337B">
        <w:rPr>
          <w:szCs w:val="16"/>
          <w:lang w:val="es-CR"/>
        </w:rPr>
        <w:t xml:space="preserve"> </w:t>
      </w:r>
      <w:proofErr w:type="spellStart"/>
      <w:r w:rsidRPr="009F337B">
        <w:rPr>
          <w:szCs w:val="16"/>
          <w:lang w:val="es-CR"/>
        </w:rPr>
        <w:t>the</w:t>
      </w:r>
      <w:proofErr w:type="spellEnd"/>
      <w:r w:rsidRPr="009F337B">
        <w:rPr>
          <w:szCs w:val="16"/>
          <w:lang w:val="es-CR"/>
        </w:rPr>
        <w:t xml:space="preserve"> </w:t>
      </w:r>
      <w:proofErr w:type="spellStart"/>
      <w:r w:rsidRPr="009F337B">
        <w:rPr>
          <w:szCs w:val="16"/>
          <w:lang w:val="es-CR"/>
        </w:rPr>
        <w:t>following</w:t>
      </w:r>
      <w:proofErr w:type="spellEnd"/>
      <w:r w:rsidRPr="009F337B">
        <w:rPr>
          <w:szCs w:val="16"/>
          <w:lang w:val="es-CR"/>
        </w:rPr>
        <w:t xml:space="preserve"> </w:t>
      </w:r>
      <w:proofErr w:type="spellStart"/>
      <w:r w:rsidRPr="009F337B">
        <w:rPr>
          <w:szCs w:val="16"/>
          <w:lang w:val="es-CR"/>
        </w:rPr>
        <w:t>presumed</w:t>
      </w:r>
      <w:proofErr w:type="spellEnd"/>
      <w:r w:rsidRPr="009F337B">
        <w:rPr>
          <w:szCs w:val="16"/>
          <w:lang w:val="es-CR"/>
        </w:rPr>
        <w:t xml:space="preserve"> </w:t>
      </w:r>
      <w:proofErr w:type="spellStart"/>
      <w:r w:rsidRPr="009F337B">
        <w:rPr>
          <w:szCs w:val="16"/>
          <w:lang w:val="es-CR"/>
        </w:rPr>
        <w:t>victims</w:t>
      </w:r>
      <w:proofErr w:type="spellEnd"/>
      <w:r w:rsidRPr="009F337B">
        <w:rPr>
          <w:szCs w:val="16"/>
          <w:lang w:val="es-CR"/>
        </w:rPr>
        <w:t xml:space="preserve"> in </w:t>
      </w:r>
      <w:proofErr w:type="spellStart"/>
      <w:r w:rsidRPr="009F337B">
        <w:rPr>
          <w:szCs w:val="16"/>
          <w:lang w:val="es-CR"/>
        </w:rPr>
        <w:t>this</w:t>
      </w:r>
      <w:proofErr w:type="spellEnd"/>
      <w:r w:rsidRPr="009F337B">
        <w:rPr>
          <w:szCs w:val="16"/>
          <w:lang w:val="es-CR"/>
        </w:rPr>
        <w:t xml:space="preserve"> case: Luis Rolando </w:t>
      </w:r>
      <w:proofErr w:type="spellStart"/>
      <w:r w:rsidRPr="009F337B">
        <w:rPr>
          <w:szCs w:val="16"/>
          <w:lang w:val="es-CR"/>
        </w:rPr>
        <w:t>Cuscul</w:t>
      </w:r>
      <w:proofErr w:type="spellEnd"/>
      <w:r w:rsidRPr="009F337B">
        <w:rPr>
          <w:szCs w:val="16"/>
          <w:lang w:val="es-CR"/>
        </w:rPr>
        <w:t xml:space="preserve"> Pivaral, Luis Armando Linares Ruano, Facundo Gómez Reyes, Marta Alicia Maldonado Paz, Miguel Lucas </w:t>
      </w:r>
      <w:proofErr w:type="spellStart"/>
      <w:r w:rsidRPr="009F337B">
        <w:rPr>
          <w:szCs w:val="16"/>
          <w:lang w:val="es-CR"/>
        </w:rPr>
        <w:t>Vaíl</w:t>
      </w:r>
      <w:proofErr w:type="spellEnd"/>
      <w:r w:rsidRPr="009F337B">
        <w:rPr>
          <w:szCs w:val="16"/>
          <w:lang w:val="es-CR"/>
        </w:rPr>
        <w:t xml:space="preserve">, Ingrid Barillas Martínez, Jorge Armando Tavares Barreno, Melvin </w:t>
      </w:r>
      <w:proofErr w:type="spellStart"/>
      <w:r w:rsidRPr="009F337B">
        <w:rPr>
          <w:szCs w:val="16"/>
          <w:lang w:val="es-CR"/>
        </w:rPr>
        <w:t>Yovani</w:t>
      </w:r>
      <w:proofErr w:type="spellEnd"/>
      <w:r w:rsidRPr="009F337B">
        <w:rPr>
          <w:szCs w:val="16"/>
          <w:lang w:val="es-CR"/>
        </w:rPr>
        <w:t xml:space="preserve"> Ajtun, </w:t>
      </w:r>
      <w:proofErr w:type="spellStart"/>
      <w:r w:rsidRPr="009F337B">
        <w:rPr>
          <w:szCs w:val="16"/>
          <w:lang w:val="es-CR"/>
        </w:rPr>
        <w:t>Mardo</w:t>
      </w:r>
      <w:proofErr w:type="spellEnd"/>
      <w:r w:rsidRPr="009F337B">
        <w:rPr>
          <w:szCs w:val="16"/>
          <w:lang w:val="es-CR"/>
        </w:rPr>
        <w:t xml:space="preserve"> Luis Hernández and Hernández, Alberto Quiché </w:t>
      </w:r>
      <w:proofErr w:type="spellStart"/>
      <w:r w:rsidRPr="009F337B">
        <w:rPr>
          <w:szCs w:val="16"/>
          <w:lang w:val="es-CR"/>
        </w:rPr>
        <w:t>Cuxeva</w:t>
      </w:r>
      <w:proofErr w:type="spellEnd"/>
      <w:r w:rsidRPr="009F337B">
        <w:rPr>
          <w:szCs w:val="16"/>
          <w:lang w:val="es-CR"/>
        </w:rPr>
        <w:t xml:space="preserve">, Teresa Magdalena Ramírez Castro, Rita Dubón Orozco and Dora Marina Martínez </w:t>
      </w:r>
      <w:proofErr w:type="spellStart"/>
      <w:r w:rsidRPr="009F337B">
        <w:rPr>
          <w:szCs w:val="16"/>
          <w:lang w:val="es-CR"/>
        </w:rPr>
        <w:t>Sofoifa</w:t>
      </w:r>
      <w:proofErr w:type="spellEnd"/>
      <w:r w:rsidRPr="009F337B">
        <w:rPr>
          <w:szCs w:val="16"/>
          <w:lang w:val="es-CR"/>
        </w:rPr>
        <w:t xml:space="preserve">. </w:t>
      </w:r>
      <w:r w:rsidRPr="009F337B">
        <w:rPr>
          <w:i/>
          <w:szCs w:val="16"/>
          <w:lang w:val="en-US"/>
        </w:rPr>
        <w:t>Cf.</w:t>
      </w:r>
      <w:r w:rsidRPr="009F337B">
        <w:rPr>
          <w:szCs w:val="16"/>
          <w:lang w:val="en-US"/>
        </w:rPr>
        <w:t xml:space="preserve"> Application for amparo filed before the Constitutional Court on July 26, 2002 (evidence file, folio 13).</w:t>
      </w:r>
    </w:p>
  </w:footnote>
  <w:footnote w:id="48">
    <w:p w14:paraId="125CEC52" w14:textId="6F064332"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t>Application for amparo filed before the Constitutional Court on July 26, 2002</w:t>
      </w:r>
      <w:r w:rsidRPr="009F337B">
        <w:rPr>
          <w:b/>
          <w:szCs w:val="16"/>
          <w:lang w:val="en-US"/>
        </w:rPr>
        <w:t xml:space="preserve"> </w:t>
      </w:r>
      <w:r w:rsidRPr="009F337B">
        <w:rPr>
          <w:szCs w:val="16"/>
          <w:lang w:val="en-US"/>
        </w:rPr>
        <w:t>(evidence file, folio 29).</w:t>
      </w:r>
    </w:p>
  </w:footnote>
  <w:footnote w:id="49">
    <w:p w14:paraId="0E9B6198" w14:textId="4001D2A5"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r>
      <w:r w:rsidRPr="009F337B">
        <w:rPr>
          <w:i/>
          <w:szCs w:val="16"/>
          <w:lang w:val="en-US"/>
        </w:rPr>
        <w:t>Cf.</w:t>
      </w:r>
      <w:r w:rsidRPr="009F337B">
        <w:rPr>
          <w:szCs w:val="16"/>
          <w:lang w:val="en-US"/>
        </w:rPr>
        <w:t xml:space="preserve"> Application for amparo filed before the Constitutional Court on July 26, 2002</w:t>
      </w:r>
      <w:r w:rsidRPr="009F337B">
        <w:rPr>
          <w:b/>
          <w:szCs w:val="16"/>
          <w:lang w:val="en-US"/>
        </w:rPr>
        <w:t xml:space="preserve"> </w:t>
      </w:r>
      <w:r w:rsidRPr="009F337B">
        <w:rPr>
          <w:szCs w:val="16"/>
          <w:lang w:val="en-US"/>
        </w:rPr>
        <w:t>(evidence file, folios 20-24).</w:t>
      </w:r>
    </w:p>
  </w:footnote>
  <w:footnote w:id="50">
    <w:p w14:paraId="4C12F32F" w14:textId="66C64C78"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r>
      <w:r w:rsidRPr="009F337B">
        <w:rPr>
          <w:i/>
          <w:szCs w:val="16"/>
          <w:lang w:val="en-US"/>
        </w:rPr>
        <w:t>Cf.</w:t>
      </w:r>
      <w:r w:rsidRPr="009F337B">
        <w:rPr>
          <w:szCs w:val="16"/>
          <w:lang w:val="en-US"/>
        </w:rPr>
        <w:t xml:space="preserve"> Application for amparo filed before the Constitutional Court on July 26, 2002</w:t>
      </w:r>
      <w:r w:rsidRPr="009F337B">
        <w:rPr>
          <w:b/>
          <w:szCs w:val="16"/>
          <w:lang w:val="en-US"/>
        </w:rPr>
        <w:t xml:space="preserve"> </w:t>
      </w:r>
      <w:r w:rsidRPr="009F337B">
        <w:rPr>
          <w:szCs w:val="16"/>
          <w:lang w:val="en-US"/>
        </w:rPr>
        <w:t>(evidence file, folios 39 and 41).</w:t>
      </w:r>
    </w:p>
  </w:footnote>
  <w:footnote w:id="51">
    <w:p w14:paraId="0E9C7CC4" w14:textId="006BFD55"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r>
      <w:r w:rsidRPr="009F337B">
        <w:rPr>
          <w:i/>
          <w:szCs w:val="16"/>
          <w:lang w:val="en-US"/>
        </w:rPr>
        <w:t xml:space="preserve">Cf. </w:t>
      </w:r>
      <w:r w:rsidRPr="009F337B">
        <w:rPr>
          <w:szCs w:val="16"/>
          <w:lang w:val="en-US"/>
        </w:rPr>
        <w:t>Brief of Alfonso Portillo submitted to the Constitutional Court on August 1, 2002 (evidence file, folios 44-47).</w:t>
      </w:r>
    </w:p>
  </w:footnote>
  <w:footnote w:id="52">
    <w:p w14:paraId="04A75A17" w14:textId="03B15246"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t xml:space="preserve">The DGRVC provided the following information: (1) it had been decided to provide treatment to 80 adults and 80 children; (2) the terms of reference had been prepared for the procurement of the antiretroviral drugs, which was subject to tender; (3) the 500,000 quetzals had been deposited with UNDP to expedite and ensure the transparency of the procurement process, and (4) the human resources required for treating these people were being hired. </w:t>
      </w:r>
      <w:r w:rsidRPr="009F337B">
        <w:rPr>
          <w:i/>
          <w:szCs w:val="16"/>
          <w:lang w:val="en-US"/>
        </w:rPr>
        <w:t xml:space="preserve">Cf. </w:t>
      </w:r>
      <w:r w:rsidRPr="009F337B">
        <w:rPr>
          <w:szCs w:val="16"/>
          <w:lang w:val="en-US"/>
        </w:rPr>
        <w:t xml:space="preserve">Brief of the General Directorate for Health Regulation, Monitoring and Control of October 10, 2002 (evidence file, folio 57). </w:t>
      </w:r>
    </w:p>
  </w:footnote>
  <w:footnote w:id="53">
    <w:p w14:paraId="30DE525D" w14:textId="1463E955"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r>
      <w:r w:rsidRPr="009F337B">
        <w:rPr>
          <w:i/>
          <w:szCs w:val="16"/>
          <w:lang w:val="en-US"/>
        </w:rPr>
        <w:t xml:space="preserve">Cf. </w:t>
      </w:r>
      <w:r w:rsidRPr="009F337B">
        <w:rPr>
          <w:szCs w:val="16"/>
          <w:lang w:val="en-US"/>
        </w:rPr>
        <w:t>Brief of October 29, 2002, outlining the arguments of the applicants during the hearing (evidence file, folios 60 and 61).</w:t>
      </w:r>
    </w:p>
  </w:footnote>
  <w:footnote w:id="54">
    <w:p w14:paraId="59873AD4" w14:textId="08FF260D"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r>
      <w:r w:rsidRPr="009F337B">
        <w:rPr>
          <w:i/>
          <w:szCs w:val="16"/>
          <w:lang w:val="en-US"/>
        </w:rPr>
        <w:t xml:space="preserve">Cf. </w:t>
      </w:r>
      <w:r w:rsidRPr="009F337B">
        <w:rPr>
          <w:szCs w:val="16"/>
          <w:lang w:val="en-US"/>
        </w:rPr>
        <w:t>Brief of October 29, 2002, outlining the arguments of the applicants during the hearing (evidence file, folios 61-66).</w:t>
      </w:r>
    </w:p>
  </w:footnote>
  <w:footnote w:id="55">
    <w:p w14:paraId="00DE32D9" w14:textId="2AEBAAAA"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r>
      <w:r w:rsidRPr="009F337B">
        <w:rPr>
          <w:i/>
          <w:szCs w:val="16"/>
          <w:lang w:val="en-US"/>
        </w:rPr>
        <w:t xml:space="preserve">Cf. </w:t>
      </w:r>
      <w:r w:rsidRPr="009F337B">
        <w:rPr>
          <w:szCs w:val="16"/>
          <w:lang w:val="en-US"/>
        </w:rPr>
        <w:t>Ruling of the Constitutional Court of January 29, 2003 (evidence file, folio 82).</w:t>
      </w:r>
    </w:p>
  </w:footnote>
  <w:footnote w:id="56">
    <w:p w14:paraId="537E0478" w14:textId="19FC7D54"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 xml:space="preserve"> </w:t>
      </w:r>
      <w:r w:rsidRPr="009F337B">
        <w:rPr>
          <w:szCs w:val="16"/>
          <w:lang w:val="en-US"/>
        </w:rPr>
        <w:tab/>
        <w:t>Article 26 of the Convention stipulates: “</w:t>
      </w:r>
      <w:r w:rsidRPr="009F337B">
        <w:rPr>
          <w:rFonts w:cs="Tahoma"/>
          <w:bCs/>
          <w:color w:val="000000"/>
          <w:szCs w:val="16"/>
          <w:lang w:val="en-US"/>
        </w:rPr>
        <w:t>Progressive Development</w:t>
      </w:r>
      <w:r w:rsidRPr="009F337B">
        <w:rPr>
          <w:rFonts w:cs="Tahoma"/>
          <w:b/>
          <w:bCs/>
          <w:color w:val="000000"/>
          <w:szCs w:val="16"/>
          <w:lang w:val="en-US"/>
        </w:rPr>
        <w:t>.</w:t>
      </w:r>
      <w:r w:rsidRPr="009F337B">
        <w:rPr>
          <w:rFonts w:cs="Tahoma"/>
          <w:color w:val="000000"/>
          <w:szCs w:val="16"/>
          <w:lang w:val="en-US"/>
        </w:rPr>
        <w:t> </w:t>
      </w:r>
      <w:r w:rsidRPr="009F337B">
        <w:rPr>
          <w:spacing w:val="-3"/>
          <w:szCs w:val="16"/>
          <w:lang w:val="en-US"/>
        </w:rPr>
        <w:t>The States Parties undertake to adopt measures, both internally and through international cooperation, especially those of an economic and technical nature, with a view to achieving progressively, by legislation or other appropriate means, the full realization of the rights implicit in the economic, social, educational, scientific, and cultural standards set forth in the Charter of the Organization of American States as amended by the Protocol of Buenos Aires.</w:t>
      </w:r>
      <w:r w:rsidRPr="009F337B">
        <w:rPr>
          <w:rFonts w:cs="Tahoma"/>
          <w:color w:val="000000"/>
          <w:szCs w:val="16"/>
          <w:lang w:val="en-US"/>
        </w:rPr>
        <w:t>”</w:t>
      </w:r>
    </w:p>
  </w:footnote>
  <w:footnote w:id="57">
    <w:p w14:paraId="247E4EC1" w14:textId="15AFDB28" w:rsidR="00AF5CC6" w:rsidRPr="009F337B" w:rsidRDefault="00AF5CC6" w:rsidP="00A30D95">
      <w:pPr>
        <w:tabs>
          <w:tab w:val="left" w:pos="480"/>
          <w:tab w:val="left" w:pos="1080"/>
          <w:tab w:val="left" w:pos="1680"/>
          <w:tab w:val="left" w:pos="5400"/>
        </w:tabs>
        <w:suppressAutoHyphens/>
        <w:spacing w:after="120"/>
        <w:rPr>
          <w:spacing w:val="-3"/>
          <w:sz w:val="16"/>
          <w:szCs w:val="16"/>
          <w:lang w:val="en-US"/>
        </w:rPr>
      </w:pPr>
      <w:r w:rsidRPr="009F337B">
        <w:rPr>
          <w:rStyle w:val="Refdenotaalpie"/>
          <w:sz w:val="16"/>
          <w:szCs w:val="16"/>
          <w:lang w:val="en-US"/>
        </w:rPr>
        <w:footnoteRef/>
      </w:r>
      <w:r w:rsidRPr="009F337B">
        <w:rPr>
          <w:sz w:val="16"/>
          <w:szCs w:val="16"/>
          <w:lang w:val="en-US"/>
        </w:rPr>
        <w:t xml:space="preserve"> </w:t>
      </w:r>
      <w:r w:rsidRPr="009F337B">
        <w:rPr>
          <w:sz w:val="16"/>
          <w:szCs w:val="16"/>
          <w:lang w:val="en-US"/>
        </w:rPr>
        <w:tab/>
        <w:t>Article 4 of the Convention establishes: “</w:t>
      </w:r>
      <w:r w:rsidRPr="009F337B">
        <w:rPr>
          <w:rFonts w:cs="Tahoma"/>
          <w:bCs/>
          <w:color w:val="000000"/>
          <w:sz w:val="16"/>
          <w:szCs w:val="16"/>
          <w:lang w:val="en-US"/>
        </w:rPr>
        <w:t>Right to Life</w:t>
      </w:r>
      <w:r w:rsidRPr="009F337B">
        <w:rPr>
          <w:rFonts w:cs="Tahoma"/>
          <w:b/>
          <w:bCs/>
          <w:color w:val="000000"/>
          <w:sz w:val="16"/>
          <w:szCs w:val="16"/>
          <w:lang w:val="en-US"/>
        </w:rPr>
        <w:t xml:space="preserve">. </w:t>
      </w:r>
      <w:r w:rsidRPr="009F337B">
        <w:rPr>
          <w:spacing w:val="-3"/>
          <w:sz w:val="16"/>
          <w:szCs w:val="16"/>
          <w:lang w:val="en-US"/>
        </w:rPr>
        <w:t>1. Every person has the right to have his life respected.  This right shall be protected by law and, in general, from the moment of conception.  No one shall be arbitrarily deprived of his life. 2. In countries that have not abolished the death penalty, it may be imposed only for the most serious crimes and pursuant to a final judgment rendered by a competent court and in accordance with a law establishing such punishment, enacted prior to the commission of the crime.  The application of such punishment shall not be extended to crimes to which it does not presently apply. 3. The death penalty shall not be reestablished in states that have abolished it. 4. In no case shall capital punishment be inflicted for political offenses or related common crimes. 5. Capital punishment shall not be imposed upon persons who, at the time the crime was committed, were under 18 years of age or over 70 years of age; nor shall it be applied to pregnant women. 6. Every person condemned to death shall have the right to apply for amnesty, pardon, or commutation of sentence, which may be granted in all cases.  Capital punishment shall not be imposed while such a petition is pending decision by the competent authority.</w:t>
      </w:r>
      <w:r w:rsidRPr="009F337B">
        <w:rPr>
          <w:rFonts w:cs="Tahoma"/>
          <w:color w:val="000000"/>
          <w:sz w:val="16"/>
          <w:szCs w:val="16"/>
          <w:lang w:val="en-US"/>
        </w:rPr>
        <w:t>”</w:t>
      </w:r>
    </w:p>
  </w:footnote>
  <w:footnote w:id="58">
    <w:p w14:paraId="1CA00FD1" w14:textId="5E11DD57"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 xml:space="preserve"> </w:t>
      </w:r>
      <w:r w:rsidRPr="009F337B">
        <w:rPr>
          <w:szCs w:val="16"/>
          <w:lang w:val="en-US"/>
        </w:rPr>
        <w:tab/>
        <w:t>Article 5 of the Convention stipulates: “</w:t>
      </w:r>
      <w:r w:rsidRPr="009F337B">
        <w:rPr>
          <w:spacing w:val="-3"/>
          <w:szCs w:val="16"/>
          <w:lang w:val="en-US"/>
        </w:rPr>
        <w:t xml:space="preserve">Right to Humane Treatment: 1. Every person has the right to have his physical, mental, and moral integrity respected. 2. No one shall be subjected to torture or to cruel, inhuman, or degrading punishment or treatment.  All persons deprived of their liberty shall be treated with respect for the inherent dignity of the human person. 3. Punishment shall not be extended to any person other than the criminal. 4. Accused persons shall, save in exceptional circumstances, be segregated from convicted persons, and shall be subject to separate treatment appropriate to their status as </w:t>
      </w:r>
      <w:proofErr w:type="spellStart"/>
      <w:r w:rsidRPr="009F337B">
        <w:rPr>
          <w:spacing w:val="-3"/>
          <w:szCs w:val="16"/>
          <w:lang w:val="en-US"/>
        </w:rPr>
        <w:t>unconvicted</w:t>
      </w:r>
      <w:proofErr w:type="spellEnd"/>
      <w:r w:rsidRPr="009F337B">
        <w:rPr>
          <w:spacing w:val="-3"/>
          <w:szCs w:val="16"/>
          <w:lang w:val="en-US"/>
        </w:rPr>
        <w:t xml:space="preserve"> persons. 5. Minors while subject to criminal proceedings shall be separated from adults and brought before specialized tribunals, as speedily as possible, so that they may be treated in accordance with their status as minors. 6. Punishments consisting of deprivation of liberty shall have as an essential aim the reform and social </w:t>
      </w:r>
      <w:proofErr w:type="spellStart"/>
      <w:r w:rsidRPr="009F337B">
        <w:rPr>
          <w:spacing w:val="-3"/>
          <w:szCs w:val="16"/>
          <w:lang w:val="en-US"/>
        </w:rPr>
        <w:t>readaptation</w:t>
      </w:r>
      <w:proofErr w:type="spellEnd"/>
      <w:r w:rsidRPr="009F337B">
        <w:rPr>
          <w:spacing w:val="-3"/>
          <w:szCs w:val="16"/>
          <w:lang w:val="en-US"/>
        </w:rPr>
        <w:t xml:space="preserve"> of the prisoners.</w:t>
      </w:r>
      <w:r w:rsidRPr="009F337B">
        <w:rPr>
          <w:rFonts w:cs="Tahoma"/>
          <w:color w:val="000000"/>
          <w:szCs w:val="16"/>
          <w:lang w:val="en-US"/>
        </w:rPr>
        <w:t>”</w:t>
      </w:r>
    </w:p>
  </w:footnote>
  <w:footnote w:id="59">
    <w:p w14:paraId="438B8643" w14:textId="68F725DC" w:rsidR="00AF5CC6" w:rsidRPr="009F337B" w:rsidRDefault="00AF5CC6" w:rsidP="00A30D95">
      <w:pPr>
        <w:pStyle w:val="Textonotapie"/>
        <w:spacing w:before="0"/>
        <w:rPr>
          <w:rFonts w:cs="Tahoma"/>
          <w:color w:val="000000"/>
          <w:szCs w:val="16"/>
          <w:lang w:val="en-US"/>
        </w:rPr>
      </w:pPr>
      <w:r w:rsidRPr="009F337B">
        <w:rPr>
          <w:rStyle w:val="Refdenotaalpie"/>
          <w:szCs w:val="16"/>
          <w:lang w:val="en-US"/>
        </w:rPr>
        <w:footnoteRef/>
      </w:r>
      <w:r w:rsidRPr="009F337B">
        <w:rPr>
          <w:szCs w:val="16"/>
          <w:lang w:val="en-US"/>
        </w:rPr>
        <w:t xml:space="preserve"> </w:t>
      </w:r>
      <w:r w:rsidRPr="009F337B">
        <w:rPr>
          <w:szCs w:val="16"/>
          <w:lang w:val="en-US"/>
        </w:rPr>
        <w:tab/>
      </w:r>
      <w:r w:rsidRPr="009F337B">
        <w:rPr>
          <w:rFonts w:cs="Tahoma"/>
          <w:bCs/>
          <w:color w:val="000000"/>
          <w:szCs w:val="16"/>
          <w:lang w:val="en-US" w:eastAsia="es-CR"/>
        </w:rPr>
        <w:t>Article 1(1) of the Convention establishes: “</w:t>
      </w:r>
      <w:r w:rsidRPr="009F337B">
        <w:rPr>
          <w:rFonts w:cs="Tahoma"/>
          <w:color w:val="000000"/>
          <w:szCs w:val="16"/>
          <w:lang w:val="en-US"/>
        </w:rPr>
        <w:t xml:space="preserve">1. </w:t>
      </w:r>
      <w:r w:rsidRPr="009F337B">
        <w:rPr>
          <w:spacing w:val="-3"/>
          <w:szCs w:val="16"/>
          <w:lang w:val="en-US"/>
        </w:rPr>
        <w:t>The States Parties to this Convention undertake to respect the rights and freedoms recognized herein and to ensure to all persons subject to their jurisdiction the free and full exercise of those rights and freedoms, without any discrimination for reasons of race, color, sex, language, religion, political or other opinion, national or social origin, economic status, birth, or any other social condition.</w:t>
      </w:r>
      <w:r w:rsidRPr="009F337B">
        <w:rPr>
          <w:rFonts w:cs="Tahoma"/>
          <w:color w:val="000000"/>
          <w:szCs w:val="16"/>
          <w:lang w:val="en-US"/>
        </w:rPr>
        <w:t>”</w:t>
      </w:r>
    </w:p>
  </w:footnote>
  <w:footnote w:id="60">
    <w:p w14:paraId="40D612D3" w14:textId="7B347566" w:rsidR="00AF5CC6" w:rsidRPr="009F337B" w:rsidRDefault="00AF5CC6" w:rsidP="00A30D95">
      <w:pPr>
        <w:tabs>
          <w:tab w:val="left" w:pos="720"/>
          <w:tab w:val="left" w:pos="1080"/>
          <w:tab w:val="left" w:pos="1680"/>
          <w:tab w:val="left" w:pos="5400"/>
        </w:tabs>
        <w:suppressAutoHyphens/>
        <w:spacing w:after="120"/>
        <w:rPr>
          <w:spacing w:val="-3"/>
          <w:sz w:val="16"/>
          <w:szCs w:val="16"/>
          <w:lang w:val="en-US"/>
        </w:rPr>
      </w:pPr>
      <w:r w:rsidRPr="009F337B">
        <w:rPr>
          <w:rStyle w:val="Refdenotaalpie"/>
          <w:sz w:val="16"/>
          <w:szCs w:val="16"/>
          <w:lang w:val="en-US"/>
        </w:rPr>
        <w:footnoteRef/>
      </w:r>
      <w:r w:rsidRPr="009F337B">
        <w:rPr>
          <w:sz w:val="16"/>
          <w:szCs w:val="16"/>
          <w:lang w:val="en-US"/>
        </w:rPr>
        <w:t xml:space="preserve"> </w:t>
      </w:r>
      <w:r w:rsidRPr="009F337B">
        <w:rPr>
          <w:sz w:val="16"/>
          <w:szCs w:val="16"/>
          <w:lang w:val="en-US"/>
        </w:rPr>
        <w:tab/>
        <w:t>Article 62 of the Convention establishes: “</w:t>
      </w:r>
      <w:r w:rsidRPr="009F337B">
        <w:rPr>
          <w:rFonts w:cs="Tahoma"/>
          <w:color w:val="000000"/>
          <w:sz w:val="16"/>
          <w:szCs w:val="16"/>
          <w:lang w:val="en-US"/>
        </w:rPr>
        <w:t xml:space="preserve">1. </w:t>
      </w:r>
      <w:r w:rsidRPr="009F337B">
        <w:rPr>
          <w:spacing w:val="-3"/>
          <w:sz w:val="16"/>
          <w:szCs w:val="16"/>
          <w:lang w:val="en-US"/>
        </w:rPr>
        <w:t xml:space="preserve">A State Party may, upon depositing its instrument of ratification or adherence to this Convention, or at any subsequent time, declare that it recognizes as binding, </w:t>
      </w:r>
      <w:r w:rsidRPr="009F337B">
        <w:rPr>
          <w:spacing w:val="-3"/>
          <w:sz w:val="16"/>
          <w:szCs w:val="16"/>
          <w:u w:val="single"/>
          <w:lang w:val="en-US"/>
        </w:rPr>
        <w:t>ipso</w:t>
      </w:r>
      <w:r w:rsidRPr="009F337B">
        <w:rPr>
          <w:spacing w:val="-3"/>
          <w:sz w:val="16"/>
          <w:szCs w:val="16"/>
          <w:lang w:val="en-US"/>
        </w:rPr>
        <w:t xml:space="preserve"> </w:t>
      </w:r>
      <w:r w:rsidRPr="009F337B">
        <w:rPr>
          <w:spacing w:val="-3"/>
          <w:sz w:val="16"/>
          <w:szCs w:val="16"/>
          <w:u w:val="single"/>
          <w:lang w:val="en-US"/>
        </w:rPr>
        <w:t>facto,</w:t>
      </w:r>
      <w:r w:rsidRPr="009F337B">
        <w:rPr>
          <w:spacing w:val="-3"/>
          <w:sz w:val="16"/>
          <w:szCs w:val="16"/>
          <w:lang w:val="en-US"/>
        </w:rPr>
        <w:t xml:space="preserve"> and not requiring special agreement, the jurisdiction of the Court on all matters relating to the interpretation or application of this Convention. 2. Such declaration may be made unconditionally, on the condition of reciprocity, for a specified period, or for specific cases.  It shall be presented to the Secretary General of the Organization, who shall transmit copies thereof to the other member states of the Organization and to the Secretary of the Court. 3. The jurisdiction of the Court shall comprise all cases concerning the interpretation and application of the provisions of this Convention that are submitted to it, provided that the States Parties to the case recognize or have recognized such jurisdiction, whether by special declaration pursuant to the preceding paragraphs, or by a special agreement.</w:t>
      </w:r>
      <w:r w:rsidRPr="009F337B">
        <w:rPr>
          <w:rFonts w:cs="Tahoma"/>
          <w:color w:val="000000"/>
          <w:sz w:val="16"/>
          <w:szCs w:val="16"/>
          <w:lang w:val="en-US"/>
        </w:rPr>
        <w:t>”</w:t>
      </w:r>
    </w:p>
  </w:footnote>
  <w:footnote w:id="61">
    <w:p w14:paraId="1F0D2374" w14:textId="7F98128C"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 xml:space="preserve"> </w:t>
      </w:r>
      <w:r w:rsidRPr="009F337B">
        <w:rPr>
          <w:szCs w:val="16"/>
          <w:lang w:val="en-US"/>
        </w:rPr>
        <w:tab/>
        <w:t>Article 63 of the Convention stipulates: “</w:t>
      </w:r>
      <w:r w:rsidRPr="009F337B">
        <w:rPr>
          <w:rFonts w:cs="Tahoma"/>
          <w:color w:val="000000"/>
          <w:szCs w:val="16"/>
          <w:lang w:val="en-US"/>
        </w:rPr>
        <w:t xml:space="preserve">1. </w:t>
      </w:r>
      <w:r w:rsidRPr="009F337B">
        <w:rPr>
          <w:spacing w:val="-3"/>
          <w:szCs w:val="16"/>
          <w:lang w:val="en-US"/>
        </w:rPr>
        <w:t>If the Court finds that there has been a violation of a right or freedom protected by this Convention, the Court shall rule that the injured party be ensured the enjoyment of his right or freedom that was violated.  It shall also rule, if appropriate, that the consequences of the measure or situation that constituted the breach of such right or freedom be remedied and that fair compensation be paid to the injured party. 2. In cases of extreme gravity and urgency, and when necessary to avoid irreparable damage to persons, the Court shall adopt such provisional measures as it deems pertinent in matters it has under consideration.  With respect to a case not yet submitted to the Court, it may act at the request of the Commission.</w:t>
      </w:r>
      <w:r w:rsidRPr="009F337B">
        <w:rPr>
          <w:rFonts w:cs="Tahoma"/>
          <w:color w:val="000000"/>
          <w:szCs w:val="16"/>
          <w:lang w:val="en-US"/>
        </w:rPr>
        <w:t>”</w:t>
      </w:r>
    </w:p>
  </w:footnote>
  <w:footnote w:id="62">
    <w:p w14:paraId="443A58D6" w14:textId="1BF6B761" w:rsidR="00AF5CC6" w:rsidRPr="009F337B" w:rsidRDefault="00AF5CC6" w:rsidP="00A30D95">
      <w:pPr>
        <w:spacing w:after="120"/>
        <w:rPr>
          <w:sz w:val="16"/>
          <w:szCs w:val="16"/>
          <w:lang w:val="en-US"/>
        </w:rPr>
      </w:pPr>
      <w:r w:rsidRPr="009F337B">
        <w:rPr>
          <w:rStyle w:val="Refdenotaalpie"/>
          <w:sz w:val="16"/>
          <w:szCs w:val="16"/>
          <w:lang w:val="en-US"/>
        </w:rPr>
        <w:footnoteRef/>
      </w:r>
      <w:r w:rsidRPr="009F337B">
        <w:rPr>
          <w:sz w:val="16"/>
          <w:szCs w:val="16"/>
          <w:lang w:val="es-CR"/>
        </w:rPr>
        <w:tab/>
      </w:r>
      <w:r w:rsidRPr="009F337B">
        <w:rPr>
          <w:i/>
          <w:sz w:val="16"/>
          <w:szCs w:val="16"/>
          <w:lang w:val="es-CR"/>
        </w:rPr>
        <w:t xml:space="preserve">Cf. Case of Lagos del Campo v. Peru. </w:t>
      </w:r>
      <w:r w:rsidRPr="009F337B">
        <w:rPr>
          <w:i/>
          <w:sz w:val="16"/>
          <w:szCs w:val="16"/>
          <w:lang w:val="en-US"/>
        </w:rPr>
        <w:t>Preliminary objections, merits, reparations and costs.</w:t>
      </w:r>
      <w:r w:rsidRPr="009F337B">
        <w:rPr>
          <w:sz w:val="16"/>
          <w:szCs w:val="16"/>
          <w:lang w:val="en-US"/>
        </w:rPr>
        <w:t xml:space="preserve"> Judgment of August 31, 2017. Series C No. 340, paras. 141 to 150 and 154.</w:t>
      </w:r>
    </w:p>
  </w:footnote>
  <w:footnote w:id="63">
    <w:p w14:paraId="0D6EDFD7" w14:textId="71809E22" w:rsidR="00AF5CC6" w:rsidRPr="009F337B" w:rsidRDefault="00AF5CC6" w:rsidP="00A30D95">
      <w:pPr>
        <w:spacing w:after="120"/>
        <w:rPr>
          <w:i/>
          <w:sz w:val="16"/>
          <w:szCs w:val="16"/>
          <w:lang w:val="en-US"/>
        </w:rPr>
      </w:pPr>
      <w:r w:rsidRPr="009F337B">
        <w:rPr>
          <w:rStyle w:val="Refdenotaalpie"/>
          <w:sz w:val="16"/>
          <w:szCs w:val="16"/>
          <w:lang w:val="en-US"/>
        </w:rPr>
        <w:footnoteRef/>
      </w:r>
      <w:r w:rsidRPr="009F337B">
        <w:rPr>
          <w:sz w:val="16"/>
          <w:szCs w:val="16"/>
          <w:lang w:val="en-US"/>
        </w:rPr>
        <w:tab/>
      </w:r>
      <w:r w:rsidRPr="009F337B">
        <w:rPr>
          <w:i/>
          <w:sz w:val="16"/>
          <w:szCs w:val="16"/>
          <w:lang w:val="en-US"/>
        </w:rPr>
        <w:t xml:space="preserve">Cf. </w:t>
      </w:r>
      <w:bookmarkStart w:id="71" w:name="_Hlk5361196"/>
      <w:r w:rsidRPr="009F337B">
        <w:rPr>
          <w:rStyle w:val="Textoennegrita"/>
          <w:b w:val="0"/>
          <w:i/>
          <w:color w:val="000000"/>
          <w:sz w:val="16"/>
          <w:szCs w:val="16"/>
          <w:shd w:val="clear" w:color="auto" w:fill="FFFFFF"/>
          <w:lang w:val="en-US"/>
        </w:rPr>
        <w:t xml:space="preserve">The Environment and Human Rights (State  obligations in relation to the </w:t>
      </w:r>
      <w:r w:rsidRPr="009F337B">
        <w:rPr>
          <w:i/>
          <w:sz w:val="16"/>
          <w:szCs w:val="16"/>
          <w:lang w:val="en-US"/>
        </w:rPr>
        <w:t xml:space="preserve">environment in the context of the protection and guarantee of the rights to life and to personal integrity: interpretation and scope of Articles 4(1) and 5(1) in relation to Articles 1(1) and 2 of the American Convention on Human Rights). </w:t>
      </w:r>
      <w:bookmarkEnd w:id="71"/>
      <w:r w:rsidRPr="009F337B">
        <w:rPr>
          <w:rStyle w:val="Textoennegrita"/>
          <w:b w:val="0"/>
          <w:color w:val="000000"/>
          <w:sz w:val="16"/>
          <w:szCs w:val="16"/>
          <w:shd w:val="clear" w:color="auto" w:fill="FFFFFF"/>
          <w:lang w:val="en-US"/>
        </w:rPr>
        <w:t xml:space="preserve">Advisory Opinion OC-23/17 of November 15, 2017. Series A No. 23, </w:t>
      </w:r>
      <w:r w:rsidRPr="009F337B">
        <w:rPr>
          <w:sz w:val="16"/>
          <w:szCs w:val="16"/>
          <w:lang w:val="en-US"/>
        </w:rPr>
        <w:t xml:space="preserve">para. 57; </w:t>
      </w:r>
      <w:r w:rsidRPr="009F337B">
        <w:rPr>
          <w:i/>
          <w:sz w:val="16"/>
          <w:szCs w:val="16"/>
          <w:lang w:val="en-US"/>
        </w:rPr>
        <w:t>Case of the Dismissed Employees of PetroPeru et al. v. Peru. Preliminary objections, merits, reparations and costs.</w:t>
      </w:r>
      <w:r w:rsidRPr="009F337B">
        <w:rPr>
          <w:sz w:val="16"/>
          <w:szCs w:val="16"/>
          <w:lang w:val="en-US"/>
        </w:rPr>
        <w:t xml:space="preserve"> Judgment of November 23, 2017. Series C No. 344, para. 192; </w:t>
      </w:r>
      <w:r w:rsidRPr="009F337B">
        <w:rPr>
          <w:i/>
          <w:sz w:val="16"/>
          <w:szCs w:val="16"/>
          <w:lang w:val="en-US"/>
        </w:rPr>
        <w:t>Case of San Miguel Sosa et al. v. Venezuela. Merits, reparations and costs.</w:t>
      </w:r>
      <w:r w:rsidRPr="009F337B">
        <w:rPr>
          <w:sz w:val="16"/>
          <w:szCs w:val="16"/>
          <w:lang w:val="en-US"/>
        </w:rPr>
        <w:t xml:space="preserve"> Judgment of February 8, 2018. Series C No. 348, para. 220, and </w:t>
      </w:r>
      <w:r w:rsidRPr="009F337B">
        <w:rPr>
          <w:i/>
          <w:sz w:val="16"/>
          <w:szCs w:val="16"/>
          <w:lang w:val="en-US"/>
        </w:rPr>
        <w:t>Case of Poblete Vilches et al. v. Chile. Merits, reparations and costs.</w:t>
      </w:r>
      <w:r w:rsidRPr="009F337B">
        <w:rPr>
          <w:sz w:val="16"/>
          <w:szCs w:val="16"/>
          <w:lang w:val="en-US"/>
        </w:rPr>
        <w:t xml:space="preserve"> Judgment of March 8, 2018. Series C No. 349, para. 100.</w:t>
      </w:r>
    </w:p>
  </w:footnote>
  <w:footnote w:id="64">
    <w:p w14:paraId="718DE344" w14:textId="3161CF0F"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r>
      <w:r w:rsidRPr="009F337B">
        <w:rPr>
          <w:i/>
          <w:szCs w:val="16"/>
          <w:lang w:val="en-US"/>
        </w:rPr>
        <w:t xml:space="preserve">Cf. Case of </w:t>
      </w:r>
      <w:proofErr w:type="spellStart"/>
      <w:r w:rsidRPr="009F337B">
        <w:rPr>
          <w:i/>
          <w:szCs w:val="16"/>
          <w:lang w:val="en-US"/>
        </w:rPr>
        <w:t>Albán</w:t>
      </w:r>
      <w:proofErr w:type="spellEnd"/>
      <w:r w:rsidRPr="009F337B">
        <w:rPr>
          <w:i/>
          <w:szCs w:val="16"/>
          <w:lang w:val="en-US"/>
        </w:rPr>
        <w:t xml:space="preserve"> Cornejo et al. v. Ecuador. Merits, reparations and costs.</w:t>
      </w:r>
      <w:r w:rsidRPr="009F337B">
        <w:rPr>
          <w:szCs w:val="16"/>
          <w:lang w:val="en-US"/>
        </w:rPr>
        <w:t xml:space="preserve"> Judgment of November 22, 2007. Series C No. 171, para. 117; </w:t>
      </w:r>
      <w:r w:rsidRPr="009F337B">
        <w:rPr>
          <w:i/>
          <w:szCs w:val="16"/>
          <w:lang w:val="en-US"/>
        </w:rPr>
        <w:t xml:space="preserve">Case of Vera </w:t>
      </w:r>
      <w:proofErr w:type="spellStart"/>
      <w:r w:rsidRPr="009F337B">
        <w:rPr>
          <w:i/>
          <w:szCs w:val="16"/>
          <w:lang w:val="en-US"/>
        </w:rPr>
        <w:t>Vera</w:t>
      </w:r>
      <w:proofErr w:type="spellEnd"/>
      <w:r w:rsidRPr="009F337B">
        <w:rPr>
          <w:i/>
          <w:szCs w:val="16"/>
          <w:lang w:val="en-US"/>
        </w:rPr>
        <w:t xml:space="preserve"> et al. v. Ecuador. Preliminary objection, merits, reparations and costs.</w:t>
      </w:r>
      <w:r w:rsidRPr="009F337B">
        <w:rPr>
          <w:szCs w:val="16"/>
          <w:lang w:val="en-US"/>
        </w:rPr>
        <w:t xml:space="preserve"> Judgment of May 19, 2011. Series C No. 226, para. 43; </w:t>
      </w:r>
      <w:r w:rsidRPr="009F337B">
        <w:rPr>
          <w:i/>
          <w:szCs w:val="16"/>
          <w:lang w:val="en-US"/>
        </w:rPr>
        <w:t>Case of Suárez Peralta v. Ecuador. Preliminary objections, merits, reparations and costs.</w:t>
      </w:r>
      <w:r w:rsidRPr="009F337B">
        <w:rPr>
          <w:szCs w:val="16"/>
          <w:lang w:val="en-US"/>
        </w:rPr>
        <w:t xml:space="preserve"> Judgment of May 21 2013. Series C No. 261, para. 130, and </w:t>
      </w:r>
      <w:r w:rsidRPr="009F337B">
        <w:rPr>
          <w:i/>
          <w:szCs w:val="16"/>
          <w:lang w:val="en-US"/>
        </w:rPr>
        <w:t xml:space="preserve">Case of Gonzales </w:t>
      </w:r>
      <w:proofErr w:type="spellStart"/>
      <w:r w:rsidRPr="009F337B">
        <w:rPr>
          <w:i/>
          <w:szCs w:val="16"/>
          <w:lang w:val="en-US"/>
        </w:rPr>
        <w:t>Lluy</w:t>
      </w:r>
      <w:proofErr w:type="spellEnd"/>
      <w:r w:rsidRPr="009F337B">
        <w:rPr>
          <w:i/>
          <w:szCs w:val="16"/>
          <w:lang w:val="en-US"/>
        </w:rPr>
        <w:t xml:space="preserve"> et al. v. Ecuador. Preliminary objections, merits, reparations and costs.</w:t>
      </w:r>
      <w:r w:rsidRPr="009F337B">
        <w:rPr>
          <w:szCs w:val="16"/>
          <w:lang w:val="en-US"/>
        </w:rPr>
        <w:t xml:space="preserve"> Judgment of September 1, 2015. Series C No. 298, para. 171.</w:t>
      </w:r>
    </w:p>
  </w:footnote>
  <w:footnote w:id="65">
    <w:p w14:paraId="4B57E058" w14:textId="13AD8D82" w:rsidR="00AF5CC6" w:rsidRPr="009F337B" w:rsidRDefault="00AF5CC6" w:rsidP="00A30D95">
      <w:pPr>
        <w:pStyle w:val="Textonotapie"/>
        <w:spacing w:before="0"/>
        <w:rPr>
          <w:b/>
          <w:szCs w:val="16"/>
          <w:lang w:val="en-US"/>
        </w:rPr>
      </w:pPr>
      <w:r w:rsidRPr="009F337B">
        <w:rPr>
          <w:rStyle w:val="Refdenotaalpie"/>
          <w:szCs w:val="16"/>
          <w:lang w:val="en-US"/>
        </w:rPr>
        <w:footnoteRef/>
      </w:r>
      <w:r w:rsidRPr="009F337B">
        <w:rPr>
          <w:szCs w:val="16"/>
          <w:lang w:val="en-US"/>
        </w:rPr>
        <w:t xml:space="preserve"> </w:t>
      </w:r>
      <w:r w:rsidRPr="009F337B">
        <w:rPr>
          <w:szCs w:val="16"/>
          <w:lang w:val="en-US"/>
        </w:rPr>
        <w:tab/>
      </w:r>
      <w:r w:rsidRPr="009F337B">
        <w:rPr>
          <w:i/>
          <w:szCs w:val="16"/>
          <w:lang w:val="en-US"/>
        </w:rPr>
        <w:t xml:space="preserve">Cf. </w:t>
      </w:r>
      <w:r w:rsidRPr="009F337B">
        <w:rPr>
          <w:rStyle w:val="Textoennegrita"/>
          <w:b w:val="0"/>
          <w:i/>
          <w:color w:val="000000"/>
          <w:szCs w:val="16"/>
          <w:shd w:val="clear" w:color="auto" w:fill="FFFFFF"/>
          <w:lang w:val="en-US"/>
        </w:rPr>
        <w:t xml:space="preserve">Case of Poblete </w:t>
      </w:r>
      <w:proofErr w:type="spellStart"/>
      <w:r w:rsidRPr="009F337B">
        <w:rPr>
          <w:rStyle w:val="Textoennegrita"/>
          <w:b w:val="0"/>
          <w:i/>
          <w:color w:val="000000"/>
          <w:szCs w:val="16"/>
          <w:shd w:val="clear" w:color="auto" w:fill="FFFFFF"/>
          <w:lang w:val="en-US"/>
        </w:rPr>
        <w:t>Vilches</w:t>
      </w:r>
      <w:proofErr w:type="spellEnd"/>
      <w:r w:rsidRPr="009F337B">
        <w:rPr>
          <w:rStyle w:val="Textoennegrita"/>
          <w:b w:val="0"/>
          <w:i/>
          <w:color w:val="000000"/>
          <w:szCs w:val="16"/>
          <w:shd w:val="clear" w:color="auto" w:fill="FFFFFF"/>
          <w:lang w:val="en-US"/>
        </w:rPr>
        <w:t xml:space="preserve"> et al. v. Chile. Merits, reparations and costs</w:t>
      </w:r>
      <w:r w:rsidRPr="009F337B">
        <w:rPr>
          <w:rStyle w:val="Textoennegrita"/>
          <w:b w:val="0"/>
          <w:color w:val="000000"/>
          <w:szCs w:val="16"/>
          <w:shd w:val="clear" w:color="auto" w:fill="FFFFFF"/>
          <w:lang w:val="en-US"/>
        </w:rPr>
        <w:t>. Judgment of March 8, 2018. Series C No. 349, para. 103.</w:t>
      </w:r>
    </w:p>
  </w:footnote>
  <w:footnote w:id="66">
    <w:p w14:paraId="6B548F54" w14:textId="322C74FC" w:rsidR="00AF5CC6" w:rsidRPr="009F337B" w:rsidRDefault="00AF5CC6" w:rsidP="00A30D95">
      <w:pPr>
        <w:spacing w:after="120"/>
        <w:rPr>
          <w:rFonts w:eastAsia="Arial Unicode MS"/>
          <w:b/>
          <w:caps/>
          <w:sz w:val="16"/>
          <w:szCs w:val="16"/>
          <w:lang w:val="en-US"/>
        </w:rPr>
      </w:pPr>
      <w:r w:rsidRPr="009F337B">
        <w:rPr>
          <w:rStyle w:val="Refdenotaalpie"/>
          <w:sz w:val="16"/>
          <w:szCs w:val="16"/>
          <w:lang w:val="en-US"/>
        </w:rPr>
        <w:footnoteRef/>
      </w:r>
      <w:r w:rsidRPr="009F337B">
        <w:rPr>
          <w:sz w:val="16"/>
          <w:szCs w:val="16"/>
          <w:lang w:val="en-US"/>
        </w:rPr>
        <w:tab/>
      </w:r>
      <w:r w:rsidRPr="009F337B">
        <w:rPr>
          <w:i/>
          <w:sz w:val="16"/>
          <w:szCs w:val="16"/>
          <w:lang w:val="en-US"/>
        </w:rPr>
        <w:t>Cf. Gender Identity, and Equality and Non-Discrimination with regard to Same-sex Couples</w:t>
      </w:r>
      <w:r w:rsidRPr="009F337B">
        <w:rPr>
          <w:i/>
          <w:caps/>
          <w:sz w:val="16"/>
          <w:szCs w:val="16"/>
          <w:lang w:val="en-US"/>
        </w:rPr>
        <w:t xml:space="preserve"> (</w:t>
      </w:r>
      <w:r w:rsidRPr="009F337B">
        <w:rPr>
          <w:i/>
          <w:sz w:val="16"/>
          <w:szCs w:val="16"/>
          <w:lang w:val="en-US"/>
        </w:rPr>
        <w:t>State obligations concerning</w:t>
      </w:r>
      <w:r w:rsidRPr="009F337B">
        <w:rPr>
          <w:rStyle w:val="Textoennegrita"/>
          <w:rFonts w:eastAsia="Times"/>
          <w:i/>
          <w:sz w:val="16"/>
          <w:szCs w:val="16"/>
          <w:shd w:val="clear" w:color="auto" w:fill="FFFFFF"/>
          <w:lang w:val="en-US"/>
        </w:rPr>
        <w:t xml:space="preserve"> </w:t>
      </w:r>
      <w:r w:rsidRPr="009F337B">
        <w:rPr>
          <w:rStyle w:val="Textoennegrita"/>
          <w:rFonts w:eastAsia="Times"/>
          <w:b w:val="0"/>
          <w:i/>
          <w:sz w:val="16"/>
          <w:szCs w:val="16"/>
          <w:shd w:val="clear" w:color="auto" w:fill="FFFFFF"/>
          <w:lang w:val="en-US"/>
        </w:rPr>
        <w:t xml:space="preserve">change of name, gender identity, and rights derived from a relationship between same-sex couples (interpretation and scope of Articles </w:t>
      </w:r>
      <w:r w:rsidRPr="009F337B">
        <w:rPr>
          <w:rStyle w:val="Textoennegrita"/>
          <w:rFonts w:eastAsia="Times" w:cs="Tahoma"/>
          <w:b w:val="0"/>
          <w:i/>
          <w:color w:val="000000"/>
          <w:sz w:val="16"/>
          <w:szCs w:val="16"/>
          <w:lang w:val="en-US"/>
        </w:rPr>
        <w:t>1(1), 3, 7, 11(2), 13, 17, 18 and 24, in relation to Article 1, of the American Convention on Human Rights).</w:t>
      </w:r>
      <w:r w:rsidRPr="009F337B">
        <w:rPr>
          <w:rStyle w:val="Textoennegrita"/>
          <w:rFonts w:eastAsia="Arial Unicode MS"/>
          <w:bCs w:val="0"/>
          <w:caps/>
          <w:sz w:val="16"/>
          <w:szCs w:val="16"/>
          <w:lang w:val="en-US"/>
        </w:rPr>
        <w:t xml:space="preserve"> </w:t>
      </w:r>
      <w:r w:rsidRPr="009F337B">
        <w:rPr>
          <w:sz w:val="16"/>
          <w:szCs w:val="16"/>
          <w:lang w:val="en-US"/>
        </w:rPr>
        <w:t>Advisory Opinion OC-24/17 of November 24, 2017</w:t>
      </w:r>
      <w:r w:rsidRPr="009F337B">
        <w:rPr>
          <w:i/>
          <w:sz w:val="16"/>
          <w:szCs w:val="16"/>
          <w:lang w:val="en-US"/>
        </w:rPr>
        <w:t>.</w:t>
      </w:r>
      <w:r w:rsidRPr="009F337B">
        <w:rPr>
          <w:sz w:val="16"/>
          <w:szCs w:val="16"/>
          <w:lang w:val="en-US"/>
        </w:rPr>
        <w:t xml:space="preserve"> Series A No. 24, para. 55; </w:t>
      </w:r>
      <w:r w:rsidRPr="009F337B">
        <w:rPr>
          <w:rStyle w:val="Textoennegrita"/>
          <w:b w:val="0"/>
          <w:i/>
          <w:color w:val="000000"/>
          <w:sz w:val="16"/>
          <w:szCs w:val="16"/>
          <w:shd w:val="clear" w:color="auto" w:fill="FFFFFF"/>
          <w:lang w:val="en-US"/>
        </w:rPr>
        <w:t xml:space="preserve">The Environment and Human Rights (State  obligations in relation to the </w:t>
      </w:r>
      <w:r w:rsidRPr="009F337B">
        <w:rPr>
          <w:i/>
          <w:sz w:val="16"/>
          <w:szCs w:val="16"/>
          <w:lang w:val="en-US"/>
        </w:rPr>
        <w:t xml:space="preserve">environment in the context of the protection and guarantee of the rights to life and to personal integrity: interpretation and scope of Articles 4(1) and 5(1) in relation to Articles 1(1) and 2 of the American Convention on Human Rights). </w:t>
      </w:r>
      <w:r w:rsidRPr="009F337B">
        <w:rPr>
          <w:sz w:val="16"/>
          <w:szCs w:val="16"/>
          <w:lang w:val="en-US"/>
        </w:rPr>
        <w:t xml:space="preserve">Advisory Opinion OC-23/17 of November 15, 2017. Series A No. 23, para. 40; </w:t>
      </w:r>
      <w:r w:rsidRPr="009F337B">
        <w:rPr>
          <w:i/>
          <w:sz w:val="16"/>
          <w:szCs w:val="16"/>
          <w:lang w:val="en-US"/>
        </w:rPr>
        <w:t xml:space="preserve">Case of the Workers of Hacienda Brasil Verde v. Brazil. Preliminary objections, merits, reparations and costs. </w:t>
      </w:r>
      <w:r w:rsidRPr="009F337B">
        <w:rPr>
          <w:sz w:val="16"/>
          <w:szCs w:val="16"/>
          <w:lang w:val="en-US"/>
        </w:rPr>
        <w:t>Judgment of October 20, 2016. Series C No. 318, para. 246</w:t>
      </w:r>
      <w:r w:rsidRPr="009F337B">
        <w:rPr>
          <w:i/>
          <w:sz w:val="16"/>
          <w:szCs w:val="16"/>
          <w:lang w:val="en-US"/>
        </w:rPr>
        <w:t xml:space="preserve">; Case of Artavia Murillo et al. (“In vitro fertilization") v. Costa Rica. Preliminary objections, merits, reparations and costs. </w:t>
      </w:r>
      <w:r w:rsidRPr="009F337B">
        <w:rPr>
          <w:sz w:val="16"/>
          <w:szCs w:val="16"/>
          <w:lang w:val="en-US"/>
        </w:rPr>
        <w:t>Judgment of Novembre 28, 2012</w:t>
      </w:r>
      <w:r w:rsidRPr="009F337B">
        <w:rPr>
          <w:i/>
          <w:sz w:val="16"/>
          <w:szCs w:val="16"/>
          <w:lang w:val="en-US"/>
        </w:rPr>
        <w:t>.</w:t>
      </w:r>
      <w:r w:rsidRPr="009F337B">
        <w:rPr>
          <w:sz w:val="16"/>
          <w:szCs w:val="16"/>
          <w:lang w:val="en-US"/>
        </w:rPr>
        <w:t xml:space="preserve"> Series C No. 257, para. 173, and </w:t>
      </w:r>
      <w:r w:rsidRPr="009F337B">
        <w:rPr>
          <w:i/>
          <w:sz w:val="16"/>
          <w:szCs w:val="16"/>
          <w:lang w:val="en-US"/>
        </w:rPr>
        <w:t xml:space="preserve">Case of González et al. (“Cotton Field”) v. Mexico. Preliminary objection, merits, reparations and costs. </w:t>
      </w:r>
      <w:r w:rsidRPr="009F337B">
        <w:rPr>
          <w:sz w:val="16"/>
          <w:szCs w:val="16"/>
          <w:lang w:val="en-US"/>
        </w:rPr>
        <w:t>Judgment of November 16, 2009</w:t>
      </w:r>
      <w:r w:rsidRPr="009F337B">
        <w:rPr>
          <w:i/>
          <w:sz w:val="16"/>
          <w:szCs w:val="16"/>
          <w:lang w:val="en-US"/>
        </w:rPr>
        <w:t>.</w:t>
      </w:r>
      <w:r w:rsidRPr="009F337B">
        <w:rPr>
          <w:sz w:val="16"/>
          <w:szCs w:val="16"/>
          <w:lang w:val="en-US"/>
        </w:rPr>
        <w:t xml:space="preserve"> Series C No. 205, para. 32.</w:t>
      </w:r>
    </w:p>
  </w:footnote>
  <w:footnote w:id="67">
    <w:p w14:paraId="0490AD16" w14:textId="4C8D78F0" w:rsidR="00AF5CC6" w:rsidRPr="009F337B" w:rsidRDefault="00AF5CC6" w:rsidP="00A30D95">
      <w:pPr>
        <w:tabs>
          <w:tab w:val="left" w:pos="480"/>
          <w:tab w:val="left" w:pos="1080"/>
          <w:tab w:val="left" w:pos="1680"/>
          <w:tab w:val="left" w:pos="5400"/>
        </w:tabs>
        <w:suppressAutoHyphens/>
        <w:spacing w:after="120"/>
        <w:rPr>
          <w:spacing w:val="-3"/>
          <w:sz w:val="16"/>
          <w:szCs w:val="16"/>
          <w:lang w:val="en-US"/>
        </w:rPr>
      </w:pPr>
      <w:r w:rsidRPr="009F337B">
        <w:rPr>
          <w:rStyle w:val="Refdenotaalpie"/>
          <w:sz w:val="16"/>
          <w:szCs w:val="16"/>
          <w:lang w:val="en-US"/>
        </w:rPr>
        <w:footnoteRef/>
      </w:r>
      <w:r w:rsidRPr="009F337B">
        <w:rPr>
          <w:sz w:val="16"/>
          <w:szCs w:val="16"/>
          <w:lang w:val="en-US"/>
        </w:rPr>
        <w:t xml:space="preserve"> </w:t>
      </w:r>
      <w:r w:rsidRPr="009F337B">
        <w:rPr>
          <w:sz w:val="16"/>
          <w:szCs w:val="16"/>
          <w:lang w:val="en-US"/>
        </w:rPr>
        <w:tab/>
        <w:t xml:space="preserve">Article 29 of the Convention establishes: “Restrictions Regarding Interpretation: </w:t>
      </w:r>
      <w:r w:rsidRPr="009F337B">
        <w:rPr>
          <w:rFonts w:cs="Tahoma"/>
          <w:color w:val="000000"/>
          <w:sz w:val="16"/>
          <w:szCs w:val="16"/>
          <w:lang w:val="en-US" w:eastAsia="es-CR"/>
        </w:rPr>
        <w:t> </w:t>
      </w:r>
      <w:r w:rsidRPr="009F337B">
        <w:rPr>
          <w:spacing w:val="-3"/>
          <w:sz w:val="16"/>
          <w:szCs w:val="16"/>
          <w:lang w:val="en-US"/>
        </w:rPr>
        <w:t>No provision of this Convention shall be interpreted as: (a) permitting any State Party, group, or person to suppress the enjoyment or exercise of the rights and freedoms recognized in this Convention or to restrict them to a greater extent than is provided for herein; (b) restricting the enjoyment or exercise of any right or freedom recognized by virtue of the laws of any State Party or by virtue of another convention to which one of the said states is a party; (c) precluding other rights or guarantees that are inherent in the human personality or derived from representative democracy as a form of government, or (d) excluding or limiting the effect that the American Declaration of the Rights and Duties of Man and other international acts of the same nature may have</w:t>
      </w:r>
      <w:r w:rsidRPr="009F337B">
        <w:rPr>
          <w:rFonts w:cs="Tahoma"/>
          <w:color w:val="000000"/>
          <w:sz w:val="16"/>
          <w:szCs w:val="16"/>
          <w:lang w:val="en-US" w:eastAsia="es-CR"/>
        </w:rPr>
        <w:t>.”</w:t>
      </w:r>
    </w:p>
  </w:footnote>
  <w:footnote w:id="68">
    <w:p w14:paraId="1F25DDD7" w14:textId="39BFFAF3"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t xml:space="preserve">Vienna Convention on the Law of Treaties, Article 31.1. </w:t>
      </w:r>
    </w:p>
  </w:footnote>
  <w:footnote w:id="69">
    <w:p w14:paraId="0ABC4A64" w14:textId="61C59175"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r>
      <w:r w:rsidRPr="009F337B">
        <w:rPr>
          <w:i/>
          <w:szCs w:val="16"/>
          <w:lang w:val="en-US"/>
        </w:rPr>
        <w:t>Cf. Restrictions to the Death Penalty (Arts. 4.2 and 4.4 American Convention on Human Rights).</w:t>
      </w:r>
      <w:r w:rsidRPr="009F337B">
        <w:rPr>
          <w:szCs w:val="16"/>
          <w:lang w:val="en-US"/>
        </w:rPr>
        <w:t xml:space="preserve"> Advisory Opinion OC-3/83 of September 8, 1983. Series A No. 3, para. 50.</w:t>
      </w:r>
    </w:p>
  </w:footnote>
  <w:footnote w:id="70">
    <w:p w14:paraId="747E842A" w14:textId="4F6F7E01"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r>
      <w:r w:rsidRPr="009F337B">
        <w:rPr>
          <w:i/>
          <w:szCs w:val="16"/>
          <w:lang w:val="en-US"/>
        </w:rPr>
        <w:t xml:space="preserve">Cf. Case of </w:t>
      </w:r>
      <w:proofErr w:type="spellStart"/>
      <w:r w:rsidRPr="009F337B">
        <w:rPr>
          <w:i/>
          <w:szCs w:val="16"/>
          <w:lang w:val="en-US"/>
        </w:rPr>
        <w:t>Ivcher</w:t>
      </w:r>
      <w:proofErr w:type="spellEnd"/>
      <w:r w:rsidRPr="009F337B">
        <w:rPr>
          <w:i/>
          <w:szCs w:val="16"/>
          <w:lang w:val="en-US"/>
        </w:rPr>
        <w:t xml:space="preserve"> Bronstein v. Peru. Jurisdiction. Judgment of September 24, 1999.</w:t>
      </w:r>
      <w:r w:rsidRPr="009F337B">
        <w:rPr>
          <w:szCs w:val="16"/>
          <w:lang w:val="en-US"/>
        </w:rPr>
        <w:t xml:space="preserve"> Series C No. 54, para. 42, and </w:t>
      </w:r>
      <w:r w:rsidRPr="009F337B">
        <w:rPr>
          <w:i/>
          <w:szCs w:val="16"/>
          <w:lang w:val="en-US"/>
        </w:rPr>
        <w:t xml:space="preserve">Case of the </w:t>
      </w:r>
      <w:proofErr w:type="spellStart"/>
      <w:r w:rsidRPr="009F337B">
        <w:rPr>
          <w:i/>
          <w:szCs w:val="16"/>
          <w:lang w:val="en-US"/>
        </w:rPr>
        <w:t>Mapiripán</w:t>
      </w:r>
      <w:proofErr w:type="spellEnd"/>
      <w:r w:rsidRPr="009F337B">
        <w:rPr>
          <w:i/>
          <w:szCs w:val="16"/>
          <w:lang w:val="en-US"/>
        </w:rPr>
        <w:t xml:space="preserve"> Massacre v. Colombia. Merits, reparations and costs.</w:t>
      </w:r>
      <w:r w:rsidRPr="009F337B">
        <w:rPr>
          <w:szCs w:val="16"/>
          <w:lang w:val="en-US"/>
        </w:rPr>
        <w:t xml:space="preserve"> Judgment of September 15, 2005. Series C No. 134, para. 104.</w:t>
      </w:r>
    </w:p>
  </w:footnote>
  <w:footnote w:id="71">
    <w:p w14:paraId="34A1350C" w14:textId="0E967BEF"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r>
      <w:r w:rsidRPr="009F337B">
        <w:rPr>
          <w:i/>
          <w:szCs w:val="16"/>
          <w:lang w:val="en-US"/>
        </w:rPr>
        <w:t>Cf.</w:t>
      </w:r>
      <w:r w:rsidRPr="009F337B">
        <w:rPr>
          <w:szCs w:val="16"/>
          <w:lang w:val="en-US"/>
        </w:rPr>
        <w:t xml:space="preserve"> </w:t>
      </w:r>
      <w:r w:rsidRPr="009F337B">
        <w:rPr>
          <w:i/>
          <w:szCs w:val="16"/>
          <w:lang w:val="en-US"/>
        </w:rPr>
        <w:t>Case of "The Last Temptation of Christ" (Olmedo Bustos et al.) v. Chile. Merits, reparations and costs</w:t>
      </w:r>
      <w:r w:rsidRPr="009F337B">
        <w:rPr>
          <w:szCs w:val="16"/>
          <w:lang w:val="en-US"/>
        </w:rPr>
        <w:t xml:space="preserve">. Judgment of February 5, 2001. Series C No. 73, para. 90, and </w:t>
      </w:r>
      <w:r w:rsidRPr="009F337B">
        <w:rPr>
          <w:i/>
          <w:szCs w:val="16"/>
          <w:lang w:val="en-US"/>
        </w:rPr>
        <w:t xml:space="preserve">Case of </w:t>
      </w:r>
      <w:proofErr w:type="spellStart"/>
      <w:r w:rsidRPr="009F337B">
        <w:rPr>
          <w:i/>
          <w:szCs w:val="16"/>
          <w:lang w:val="en-US"/>
        </w:rPr>
        <w:t>Tarazona</w:t>
      </w:r>
      <w:proofErr w:type="spellEnd"/>
      <w:r w:rsidRPr="009F337B">
        <w:rPr>
          <w:i/>
          <w:szCs w:val="16"/>
          <w:lang w:val="en-US"/>
        </w:rPr>
        <w:t xml:space="preserve"> Arrieta et al. v. Peru. Preliminary objection, merits, reparations and costs</w:t>
      </w:r>
      <w:r w:rsidRPr="009F337B">
        <w:rPr>
          <w:szCs w:val="16"/>
          <w:lang w:val="en-US"/>
        </w:rPr>
        <w:t>. Judgment of October 15, 2014. Series C No. 286, para. 169.</w:t>
      </w:r>
    </w:p>
  </w:footnote>
  <w:footnote w:id="72">
    <w:p w14:paraId="277CD584" w14:textId="7C3F52EB"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t>International Covenant on Economic, Social and Cultural Rights, Article 2(1).</w:t>
      </w:r>
    </w:p>
  </w:footnote>
  <w:footnote w:id="73">
    <w:p w14:paraId="7B17FFB8" w14:textId="489A1664"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r>
      <w:r w:rsidRPr="009F337B">
        <w:rPr>
          <w:i/>
          <w:szCs w:val="16"/>
          <w:lang w:val="en-US"/>
        </w:rPr>
        <w:t>Cf.</w:t>
      </w:r>
      <w:r w:rsidRPr="009F337B">
        <w:rPr>
          <w:szCs w:val="16"/>
          <w:lang w:val="en-US"/>
        </w:rPr>
        <w:t xml:space="preserve"> Committee on Economic, Social and Cultural Rights, General Comment No. 3: The Nature of States Parties’ Obligations (Art. 2, Para. 1, of the Covenant) December 14, 1990, U.N. Doc. E/1991/23, para. 1.</w:t>
      </w:r>
    </w:p>
  </w:footnote>
  <w:footnote w:id="74">
    <w:p w14:paraId="62BA1CB8" w14:textId="43D3FFCB"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t>Committee on Economic, Social and Cultural Rights, General Comment No. 3: The Nature of States Parties’ Obligations (Art. 2, Para. 1, of the Covenant) December 14, 1990, U.N. Doc. E/1991/23, para. 9.</w:t>
      </w:r>
    </w:p>
  </w:footnote>
  <w:footnote w:id="75">
    <w:p w14:paraId="18ECA7D2" w14:textId="1ADB0DCE"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r>
      <w:r w:rsidRPr="009F337B">
        <w:rPr>
          <w:i/>
          <w:szCs w:val="16"/>
          <w:lang w:val="en-US"/>
        </w:rPr>
        <w:t xml:space="preserve">Cf. Case of Acevedo </w:t>
      </w:r>
      <w:proofErr w:type="spellStart"/>
      <w:r w:rsidRPr="009F337B">
        <w:rPr>
          <w:i/>
          <w:szCs w:val="16"/>
          <w:lang w:val="en-US"/>
        </w:rPr>
        <w:t>Buendía</w:t>
      </w:r>
      <w:proofErr w:type="spellEnd"/>
      <w:r w:rsidRPr="009F337B">
        <w:rPr>
          <w:i/>
          <w:szCs w:val="16"/>
          <w:lang w:val="en-US"/>
        </w:rPr>
        <w:t xml:space="preserve"> et al. (“Discharged and Retired Employees of the Comptroller’s Office”) v. Peru. Preliminary objection, merits, reparations and costs.</w:t>
      </w:r>
      <w:r w:rsidRPr="009F337B">
        <w:rPr>
          <w:szCs w:val="16"/>
          <w:lang w:val="en-US"/>
        </w:rPr>
        <w:t xml:space="preserve"> Judgment of July 1, 2009. Series C No. 198, para. 102, and </w:t>
      </w:r>
      <w:r w:rsidRPr="009F337B">
        <w:rPr>
          <w:i/>
          <w:szCs w:val="16"/>
          <w:lang w:val="en-US"/>
        </w:rPr>
        <w:t xml:space="preserve">Case of Poblete </w:t>
      </w:r>
      <w:proofErr w:type="spellStart"/>
      <w:r w:rsidRPr="009F337B">
        <w:rPr>
          <w:i/>
          <w:szCs w:val="16"/>
          <w:lang w:val="en-US"/>
        </w:rPr>
        <w:t>Vilches</w:t>
      </w:r>
      <w:proofErr w:type="spellEnd"/>
      <w:r w:rsidRPr="009F337B">
        <w:rPr>
          <w:i/>
          <w:szCs w:val="16"/>
          <w:lang w:val="en-US"/>
        </w:rPr>
        <w:t xml:space="preserve"> et al. v. Chile. Merits, reparations and costs</w:t>
      </w:r>
      <w:r w:rsidRPr="009F337B">
        <w:rPr>
          <w:szCs w:val="16"/>
          <w:lang w:val="en-US"/>
        </w:rPr>
        <w:t>. Judgment of March 8, 2018. Series C No. 349, para. 104.</w:t>
      </w:r>
    </w:p>
  </w:footnote>
  <w:footnote w:id="76">
    <w:p w14:paraId="49EEE91F" w14:textId="60AD48FD"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r>
      <w:r w:rsidRPr="009F337B">
        <w:rPr>
          <w:i/>
          <w:szCs w:val="16"/>
          <w:lang w:val="en-US"/>
        </w:rPr>
        <w:t xml:space="preserve">Cf. Case of Acevedo </w:t>
      </w:r>
      <w:proofErr w:type="spellStart"/>
      <w:r w:rsidRPr="009F337B">
        <w:rPr>
          <w:i/>
          <w:szCs w:val="16"/>
          <w:lang w:val="en-US"/>
        </w:rPr>
        <w:t>Buendía</w:t>
      </w:r>
      <w:proofErr w:type="spellEnd"/>
      <w:r w:rsidRPr="009F337B">
        <w:rPr>
          <w:i/>
          <w:szCs w:val="16"/>
          <w:lang w:val="en-US"/>
        </w:rPr>
        <w:t xml:space="preserve"> et al. (“Discharged and Retired Employees of the Comptroller’s Office”) v. Peru. Preliminary objection, merits, reparations and costs.</w:t>
      </w:r>
      <w:r w:rsidRPr="009F337B">
        <w:rPr>
          <w:szCs w:val="16"/>
          <w:lang w:val="en-US"/>
        </w:rPr>
        <w:t xml:space="preserve"> Judgment of July 1, 2009. Series C No. 198, para. 102.</w:t>
      </w:r>
    </w:p>
  </w:footnote>
  <w:footnote w:id="77">
    <w:p w14:paraId="6D722F30" w14:textId="3E0DB60A"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r>
      <w:r w:rsidRPr="009F337B">
        <w:rPr>
          <w:i/>
          <w:szCs w:val="16"/>
          <w:lang w:val="en-US"/>
        </w:rPr>
        <w:t xml:space="preserve">Cf. Case of González et al. (“Cotton Field”) v. Mexico. Preliminary objection, merits, reparations and costs. </w:t>
      </w:r>
      <w:r w:rsidRPr="009F337B">
        <w:rPr>
          <w:szCs w:val="16"/>
          <w:lang w:val="en-US"/>
        </w:rPr>
        <w:t xml:space="preserve">Judgment of November 16, 2009. Series C No. 205, para. 43, and </w:t>
      </w:r>
      <w:r w:rsidRPr="009F337B">
        <w:rPr>
          <w:i/>
          <w:szCs w:val="16"/>
          <w:lang w:val="en-US"/>
        </w:rPr>
        <w:t>Gender Identity, and Equality and Non-Discrimination with regard to Same-sex Couples</w:t>
      </w:r>
      <w:r w:rsidRPr="009F337B">
        <w:rPr>
          <w:i/>
          <w:caps/>
          <w:szCs w:val="16"/>
          <w:lang w:val="en-US"/>
        </w:rPr>
        <w:t xml:space="preserve"> (</w:t>
      </w:r>
      <w:r w:rsidRPr="009F337B">
        <w:rPr>
          <w:i/>
          <w:szCs w:val="16"/>
          <w:lang w:val="en-US"/>
        </w:rPr>
        <w:t>State obligations concerning</w:t>
      </w:r>
      <w:r w:rsidRPr="009F337B">
        <w:rPr>
          <w:rStyle w:val="Textoennegrita"/>
          <w:rFonts w:eastAsia="Times"/>
          <w:i/>
          <w:szCs w:val="16"/>
          <w:shd w:val="clear" w:color="auto" w:fill="FFFFFF"/>
          <w:lang w:val="en-US"/>
        </w:rPr>
        <w:t xml:space="preserve"> </w:t>
      </w:r>
      <w:r w:rsidRPr="009F337B">
        <w:rPr>
          <w:rStyle w:val="Textoennegrita"/>
          <w:rFonts w:eastAsia="Times"/>
          <w:b w:val="0"/>
          <w:i/>
          <w:szCs w:val="16"/>
          <w:shd w:val="clear" w:color="auto" w:fill="FFFFFF"/>
          <w:lang w:val="en-US"/>
        </w:rPr>
        <w:t xml:space="preserve">change of name, gender identity, and rights derived from a relationship between same-sex couples (interpretation and scope of Articles </w:t>
      </w:r>
      <w:r w:rsidRPr="009F337B">
        <w:rPr>
          <w:rStyle w:val="Textoennegrita"/>
          <w:rFonts w:eastAsia="Times" w:cs="Tahoma"/>
          <w:b w:val="0"/>
          <w:i/>
          <w:color w:val="000000"/>
          <w:szCs w:val="16"/>
          <w:lang w:val="en-US"/>
        </w:rPr>
        <w:t>1(1), 3, 7, 11(2), 13, 17, 18 and 24, in relation to Article 1, of the American Convention on Human Rights).</w:t>
      </w:r>
      <w:r w:rsidRPr="009F337B">
        <w:rPr>
          <w:i/>
          <w:szCs w:val="16"/>
          <w:lang w:val="en-US"/>
        </w:rPr>
        <w:t xml:space="preserve">). </w:t>
      </w:r>
      <w:r w:rsidRPr="009F337B">
        <w:rPr>
          <w:szCs w:val="16"/>
          <w:lang w:val="en-US"/>
        </w:rPr>
        <w:t>Advisory Opinion OC-24/17 of November 24, 2017</w:t>
      </w:r>
      <w:r w:rsidRPr="009F337B">
        <w:rPr>
          <w:i/>
          <w:szCs w:val="16"/>
          <w:lang w:val="en-US"/>
        </w:rPr>
        <w:t>.</w:t>
      </w:r>
      <w:r w:rsidRPr="009F337B">
        <w:rPr>
          <w:szCs w:val="16"/>
          <w:lang w:val="en-US"/>
        </w:rPr>
        <w:t xml:space="preserve"> Series A No. 24, para. 59.</w:t>
      </w:r>
    </w:p>
  </w:footnote>
  <w:footnote w:id="78">
    <w:p w14:paraId="508937FA" w14:textId="51CDB75C" w:rsidR="00AF5CC6" w:rsidRPr="009F337B" w:rsidRDefault="00AF5CC6" w:rsidP="00A30D95">
      <w:pPr>
        <w:pStyle w:val="Textonotapie"/>
        <w:spacing w:before="0"/>
        <w:rPr>
          <w:b/>
          <w:szCs w:val="16"/>
          <w:lang w:val="en-US"/>
        </w:rPr>
      </w:pPr>
      <w:r w:rsidRPr="009F337B">
        <w:rPr>
          <w:rStyle w:val="Refdenotaalpie"/>
          <w:b/>
          <w:szCs w:val="16"/>
          <w:lang w:val="en-US"/>
        </w:rPr>
        <w:footnoteRef/>
      </w:r>
      <w:r w:rsidRPr="009F337B">
        <w:rPr>
          <w:b/>
          <w:szCs w:val="16"/>
          <w:lang w:val="en-US"/>
        </w:rPr>
        <w:tab/>
      </w:r>
      <w:r w:rsidRPr="009F337B">
        <w:rPr>
          <w:i/>
          <w:szCs w:val="16"/>
          <w:lang w:val="en-US"/>
        </w:rPr>
        <w:t xml:space="preserve">Cf. </w:t>
      </w:r>
      <w:r w:rsidRPr="009F337B">
        <w:rPr>
          <w:rStyle w:val="Textoennegrita"/>
          <w:b w:val="0"/>
          <w:i/>
          <w:szCs w:val="16"/>
          <w:lang w:val="en-US"/>
        </w:rPr>
        <w:t>The Right to Information on Consular Assistance in the Framework of the Guarantees of the Due Process of Law.</w:t>
      </w:r>
      <w:r w:rsidRPr="009F337B">
        <w:rPr>
          <w:rStyle w:val="Textoennegrita"/>
          <w:b w:val="0"/>
          <w:szCs w:val="16"/>
          <w:lang w:val="en-US"/>
        </w:rPr>
        <w:t xml:space="preserve"> Advisory Opinion OC-16/99 of October 1, 1999</w:t>
      </w:r>
      <w:r w:rsidRPr="009F337B">
        <w:rPr>
          <w:szCs w:val="16"/>
          <w:lang w:val="en-US"/>
        </w:rPr>
        <w:t>. Series A No. 16, para. 113, and</w:t>
      </w:r>
      <w:r w:rsidRPr="009F337B">
        <w:rPr>
          <w:b/>
          <w:szCs w:val="16"/>
          <w:lang w:val="en-US"/>
        </w:rPr>
        <w:t xml:space="preserve"> </w:t>
      </w:r>
      <w:r w:rsidRPr="009F337B">
        <w:rPr>
          <w:rStyle w:val="Textoennegrita"/>
          <w:b w:val="0"/>
          <w:i/>
          <w:szCs w:val="16"/>
          <w:lang w:val="en-US"/>
        </w:rPr>
        <w:t xml:space="preserve">Entitlement of legal entities to hold rights under the Inter-American Human Rights System (Interpretation and scope of Article 1(2), in relation to Articles 1(2), 8, 11(2), 13, 16, 21, 24, 25, 29, 30, 44, 46 and 62(3) of the American Convention on Human Rights, as well as of Article 8(1)(A) and (B) of the Protocol of San Salvador). </w:t>
      </w:r>
      <w:r w:rsidRPr="009F337B">
        <w:rPr>
          <w:rStyle w:val="Textoennegrita"/>
          <w:b w:val="0"/>
          <w:szCs w:val="16"/>
          <w:lang w:val="en-US"/>
        </w:rPr>
        <w:t>Advisory Opinion OC-22/16 of February 26, 2016</w:t>
      </w:r>
      <w:r w:rsidRPr="009F337B">
        <w:rPr>
          <w:szCs w:val="16"/>
          <w:lang w:val="en-US"/>
        </w:rPr>
        <w:t>. Series A No. 22, para. 44.</w:t>
      </w:r>
    </w:p>
  </w:footnote>
  <w:footnote w:id="79">
    <w:p w14:paraId="3B354F42" w14:textId="2E7C4E9C" w:rsidR="00AF5CC6" w:rsidRPr="009F337B" w:rsidRDefault="00AF5CC6" w:rsidP="00A30D95">
      <w:pPr>
        <w:pStyle w:val="Textonotapie"/>
        <w:spacing w:before="0"/>
        <w:rPr>
          <w:b/>
          <w:szCs w:val="16"/>
          <w:lang w:val="en-US"/>
        </w:rPr>
      </w:pPr>
      <w:r w:rsidRPr="009F337B">
        <w:rPr>
          <w:rStyle w:val="Refdenotaalpie"/>
          <w:b/>
          <w:szCs w:val="16"/>
          <w:lang w:val="en-US"/>
        </w:rPr>
        <w:footnoteRef/>
      </w:r>
      <w:r w:rsidRPr="009F337B">
        <w:rPr>
          <w:b/>
          <w:szCs w:val="16"/>
          <w:lang w:val="en-US"/>
        </w:rPr>
        <w:tab/>
      </w:r>
      <w:r w:rsidRPr="009F337B">
        <w:rPr>
          <w:i/>
          <w:szCs w:val="16"/>
          <w:lang w:val="en-US"/>
        </w:rPr>
        <w:t>Cf.</w:t>
      </w:r>
      <w:r w:rsidRPr="009F337B">
        <w:rPr>
          <w:b/>
          <w:i/>
          <w:szCs w:val="16"/>
          <w:lang w:val="en-US"/>
        </w:rPr>
        <w:t xml:space="preserve"> </w:t>
      </w:r>
      <w:r w:rsidRPr="009F337B">
        <w:rPr>
          <w:rStyle w:val="Textoennegrita"/>
          <w:b w:val="0"/>
          <w:i/>
          <w:szCs w:val="16"/>
          <w:lang w:val="en-US"/>
        </w:rPr>
        <w:t xml:space="preserve">Entitlement of legal entities to hold rights under the Inter-American Human Rights System (Interpretation and scope of Article 1(2), in relation to Articles 1(2), 8, 11(2), 13, 16, 21, 24, 25, 29, 30, 44, 46 and 62(3) of the American Convention on Human Rights, as well as of Article 8(1)(A) and (B) of the Protocol of San Salvador). </w:t>
      </w:r>
      <w:r w:rsidRPr="009F337B">
        <w:rPr>
          <w:rStyle w:val="Textoennegrita"/>
          <w:b w:val="0"/>
          <w:szCs w:val="16"/>
          <w:lang w:val="en-US"/>
        </w:rPr>
        <w:t>Advisory Opinion OC-22/16 of February 26, 2016.</w:t>
      </w:r>
      <w:r w:rsidRPr="009F337B">
        <w:rPr>
          <w:b/>
          <w:szCs w:val="16"/>
          <w:lang w:val="en-US"/>
        </w:rPr>
        <w:t xml:space="preserve"> </w:t>
      </w:r>
      <w:r w:rsidRPr="009F337B">
        <w:rPr>
          <w:szCs w:val="16"/>
          <w:lang w:val="en-US"/>
        </w:rPr>
        <w:t>Series A No. 22, para. 45.</w:t>
      </w:r>
    </w:p>
  </w:footnote>
  <w:footnote w:id="80">
    <w:p w14:paraId="072E5DDD" w14:textId="4BE492A8"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r>
      <w:r w:rsidRPr="009F337B">
        <w:rPr>
          <w:i/>
          <w:szCs w:val="16"/>
          <w:lang w:val="en-US"/>
        </w:rPr>
        <w:t>Cf.</w:t>
      </w:r>
      <w:r w:rsidRPr="009F337B">
        <w:rPr>
          <w:szCs w:val="16"/>
          <w:lang w:val="en-US"/>
        </w:rPr>
        <w:t xml:space="preserve"> </w:t>
      </w:r>
      <w:r w:rsidRPr="009F337B">
        <w:rPr>
          <w:i/>
          <w:szCs w:val="16"/>
          <w:lang w:val="en-US"/>
        </w:rPr>
        <w:t xml:space="preserve">Case of Acevedo </w:t>
      </w:r>
      <w:proofErr w:type="spellStart"/>
      <w:r w:rsidRPr="009F337B">
        <w:rPr>
          <w:i/>
          <w:szCs w:val="16"/>
          <w:lang w:val="en-US"/>
        </w:rPr>
        <w:t>Buendía</w:t>
      </w:r>
      <w:proofErr w:type="spellEnd"/>
      <w:r w:rsidRPr="009F337B">
        <w:rPr>
          <w:i/>
          <w:szCs w:val="16"/>
          <w:lang w:val="en-US"/>
        </w:rPr>
        <w:t xml:space="preserve"> et al. (“Discharged and Retired Employees of the Comptroller’s Office”) v. Peru. Preliminary objection, merits, reparations and costs.</w:t>
      </w:r>
      <w:r w:rsidRPr="009F337B">
        <w:rPr>
          <w:szCs w:val="16"/>
          <w:lang w:val="en-US"/>
        </w:rPr>
        <w:t xml:space="preserve"> Judgment of July 1, 2009. Series C No 198, para. 100, and </w:t>
      </w:r>
      <w:r w:rsidRPr="009F337B">
        <w:rPr>
          <w:i/>
          <w:szCs w:val="16"/>
          <w:lang w:val="en-US"/>
        </w:rPr>
        <w:t xml:space="preserve">Case of Poblete </w:t>
      </w:r>
      <w:proofErr w:type="spellStart"/>
      <w:r w:rsidRPr="009F337B">
        <w:rPr>
          <w:i/>
          <w:szCs w:val="16"/>
          <w:lang w:val="en-US"/>
        </w:rPr>
        <w:t>Vilches</w:t>
      </w:r>
      <w:proofErr w:type="spellEnd"/>
      <w:r w:rsidRPr="009F337B">
        <w:rPr>
          <w:i/>
          <w:szCs w:val="16"/>
          <w:lang w:val="en-US"/>
        </w:rPr>
        <w:t xml:space="preserve"> et al. v. Chile. Merits, reparations and costs. </w:t>
      </w:r>
      <w:r w:rsidRPr="009F337B">
        <w:rPr>
          <w:szCs w:val="16"/>
          <w:lang w:val="en-US"/>
        </w:rPr>
        <w:t>Judgment of March 8, 2018</w:t>
      </w:r>
      <w:r w:rsidRPr="009F337B">
        <w:rPr>
          <w:i/>
          <w:szCs w:val="16"/>
          <w:lang w:val="en-US"/>
        </w:rPr>
        <w:t>.</w:t>
      </w:r>
      <w:r w:rsidRPr="009F337B">
        <w:rPr>
          <w:szCs w:val="16"/>
          <w:lang w:val="en-US"/>
        </w:rPr>
        <w:t xml:space="preserve"> Series C No. 349, para. 100. </w:t>
      </w:r>
    </w:p>
  </w:footnote>
  <w:footnote w:id="81">
    <w:p w14:paraId="18D39452" w14:textId="5D0DE84D"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r>
      <w:r w:rsidRPr="009F337B">
        <w:rPr>
          <w:i/>
          <w:szCs w:val="16"/>
          <w:lang w:val="en-US"/>
        </w:rPr>
        <w:t xml:space="preserve">Cf. Case of </w:t>
      </w:r>
      <w:proofErr w:type="spellStart"/>
      <w:r w:rsidRPr="009F337B">
        <w:rPr>
          <w:i/>
          <w:szCs w:val="16"/>
          <w:lang w:val="en-US"/>
        </w:rPr>
        <w:t>Velásquez</w:t>
      </w:r>
      <w:proofErr w:type="spellEnd"/>
      <w:r w:rsidRPr="009F337B">
        <w:rPr>
          <w:i/>
          <w:szCs w:val="16"/>
          <w:lang w:val="en-US"/>
        </w:rPr>
        <w:t xml:space="preserve"> Rodríguez v. Honduras. Merits. </w:t>
      </w:r>
      <w:r w:rsidRPr="009F337B">
        <w:rPr>
          <w:szCs w:val="16"/>
          <w:lang w:val="en-US"/>
        </w:rPr>
        <w:t>Judgment of July 29, 1988</w:t>
      </w:r>
      <w:r w:rsidRPr="009F337B">
        <w:rPr>
          <w:i/>
          <w:szCs w:val="16"/>
          <w:lang w:val="en-US"/>
        </w:rPr>
        <w:t>.</w:t>
      </w:r>
      <w:r w:rsidRPr="009F337B">
        <w:rPr>
          <w:szCs w:val="16"/>
          <w:lang w:val="en-US"/>
        </w:rPr>
        <w:t xml:space="preserve"> </w:t>
      </w:r>
      <w:r w:rsidRPr="009F337B">
        <w:rPr>
          <w:szCs w:val="16"/>
          <w:lang w:val="es-CR"/>
        </w:rPr>
        <w:t xml:space="preserve">Series C No. 4, para. 164, and </w:t>
      </w:r>
      <w:r w:rsidRPr="009F337B">
        <w:rPr>
          <w:rStyle w:val="Textoennegrita"/>
          <w:b w:val="0"/>
          <w:i/>
          <w:color w:val="000000"/>
          <w:szCs w:val="16"/>
          <w:shd w:val="clear" w:color="auto" w:fill="FFFFFF"/>
          <w:lang w:val="es-CR"/>
        </w:rPr>
        <w:t xml:space="preserve">Case </w:t>
      </w:r>
      <w:proofErr w:type="spellStart"/>
      <w:r w:rsidRPr="009F337B">
        <w:rPr>
          <w:rStyle w:val="Textoennegrita"/>
          <w:b w:val="0"/>
          <w:i/>
          <w:color w:val="000000"/>
          <w:szCs w:val="16"/>
          <w:shd w:val="clear" w:color="auto" w:fill="FFFFFF"/>
          <w:lang w:val="es-CR"/>
        </w:rPr>
        <w:t>of</w:t>
      </w:r>
      <w:proofErr w:type="spellEnd"/>
      <w:r w:rsidRPr="009F337B">
        <w:rPr>
          <w:rStyle w:val="Textoennegrita"/>
          <w:b w:val="0"/>
          <w:i/>
          <w:color w:val="000000"/>
          <w:szCs w:val="16"/>
          <w:shd w:val="clear" w:color="auto" w:fill="FFFFFF"/>
          <w:lang w:val="es-CR"/>
        </w:rPr>
        <w:t xml:space="preserve"> Vereda La Esperanza v. Colombia. </w:t>
      </w:r>
      <w:r w:rsidRPr="009F337B">
        <w:rPr>
          <w:rStyle w:val="Textoennegrita"/>
          <w:b w:val="0"/>
          <w:i/>
          <w:color w:val="000000"/>
          <w:szCs w:val="16"/>
          <w:shd w:val="clear" w:color="auto" w:fill="FFFFFF"/>
          <w:lang w:val="en-US"/>
        </w:rPr>
        <w:t>Preliminary objections, merits, reparations and costs</w:t>
      </w:r>
      <w:r w:rsidRPr="009F337B">
        <w:rPr>
          <w:rStyle w:val="Textoennegrita"/>
          <w:b w:val="0"/>
          <w:color w:val="000000"/>
          <w:szCs w:val="16"/>
          <w:shd w:val="clear" w:color="auto" w:fill="FFFFFF"/>
          <w:lang w:val="en-US"/>
        </w:rPr>
        <w:t>. Judgment of August 31, 2017. Series C No. 341, para. 18.</w:t>
      </w:r>
    </w:p>
  </w:footnote>
  <w:footnote w:id="82">
    <w:p w14:paraId="07EDC7A3" w14:textId="72D5F1BE"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r>
      <w:r w:rsidRPr="009F337B">
        <w:rPr>
          <w:i/>
          <w:szCs w:val="16"/>
          <w:lang w:val="en-US"/>
        </w:rPr>
        <w:t xml:space="preserve">Cf. Case of Acevedo </w:t>
      </w:r>
      <w:proofErr w:type="spellStart"/>
      <w:r w:rsidRPr="009F337B">
        <w:rPr>
          <w:i/>
          <w:szCs w:val="16"/>
          <w:lang w:val="en-US"/>
        </w:rPr>
        <w:t>Buendía</w:t>
      </w:r>
      <w:proofErr w:type="spellEnd"/>
      <w:r w:rsidRPr="009F337B">
        <w:rPr>
          <w:i/>
          <w:szCs w:val="16"/>
          <w:lang w:val="en-US"/>
        </w:rPr>
        <w:t xml:space="preserve"> et al. (“Discharged and Retired Employees of the Comptroller’s Office”) v. Peru. Preliminary objection, merits, reparations and costs.</w:t>
      </w:r>
      <w:r w:rsidRPr="009F337B">
        <w:rPr>
          <w:szCs w:val="16"/>
          <w:lang w:val="en-US"/>
        </w:rPr>
        <w:t xml:space="preserve"> Judgment of July 1, 2009. Series C No. 198, para. 101, and </w:t>
      </w:r>
      <w:r w:rsidRPr="009F337B">
        <w:rPr>
          <w:i/>
          <w:szCs w:val="16"/>
          <w:lang w:val="en-US"/>
        </w:rPr>
        <w:t xml:space="preserve">Case of Poblete </w:t>
      </w:r>
      <w:proofErr w:type="spellStart"/>
      <w:r w:rsidRPr="009F337B">
        <w:rPr>
          <w:i/>
          <w:szCs w:val="16"/>
          <w:lang w:val="en-US"/>
        </w:rPr>
        <w:t>Vilches</w:t>
      </w:r>
      <w:proofErr w:type="spellEnd"/>
      <w:r w:rsidRPr="009F337B">
        <w:rPr>
          <w:i/>
          <w:szCs w:val="16"/>
          <w:lang w:val="en-US"/>
        </w:rPr>
        <w:t xml:space="preserve"> et al. v. Chile. Merits, reparations and costs.</w:t>
      </w:r>
      <w:r w:rsidRPr="009F337B">
        <w:rPr>
          <w:szCs w:val="16"/>
          <w:lang w:val="en-US"/>
        </w:rPr>
        <w:t xml:space="preserve"> Judgment of March 8, 2018. Series C No. 349, para. 100; </w:t>
      </w:r>
      <w:r w:rsidRPr="009F337B">
        <w:rPr>
          <w:i/>
          <w:szCs w:val="16"/>
          <w:lang w:val="en-US"/>
        </w:rPr>
        <w:t>Case of Suárez Peralta v. Ecuador. Preliminary objections, merits, reparations and costs.</w:t>
      </w:r>
      <w:r w:rsidRPr="009F337B">
        <w:rPr>
          <w:szCs w:val="16"/>
          <w:lang w:val="en-US"/>
        </w:rPr>
        <w:t xml:space="preserve"> Judgment of May 21. 2013. Series C No. 261, para. 131, and </w:t>
      </w:r>
      <w:r w:rsidRPr="009F337B">
        <w:rPr>
          <w:i/>
          <w:szCs w:val="16"/>
          <w:lang w:val="en-US"/>
        </w:rPr>
        <w:t xml:space="preserve">Case of Gonzales </w:t>
      </w:r>
      <w:proofErr w:type="spellStart"/>
      <w:r w:rsidRPr="009F337B">
        <w:rPr>
          <w:i/>
          <w:szCs w:val="16"/>
          <w:lang w:val="en-US"/>
        </w:rPr>
        <w:t>Lluy</w:t>
      </w:r>
      <w:proofErr w:type="spellEnd"/>
      <w:r w:rsidRPr="009F337B">
        <w:rPr>
          <w:i/>
          <w:szCs w:val="16"/>
          <w:lang w:val="en-US"/>
        </w:rPr>
        <w:t xml:space="preserve"> et al. v. Ecuador. Preliminary objections, merits, reparations and costs.</w:t>
      </w:r>
      <w:r w:rsidRPr="009F337B">
        <w:rPr>
          <w:szCs w:val="16"/>
          <w:lang w:val="en-US"/>
        </w:rPr>
        <w:t xml:space="preserve"> Judgment of September 1, 2015. Series C No. 298, para. 172.</w:t>
      </w:r>
    </w:p>
  </w:footnote>
  <w:footnote w:id="83">
    <w:p w14:paraId="48107462" w14:textId="4B29CFFA"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r>
      <w:r w:rsidRPr="009F337B">
        <w:rPr>
          <w:i/>
          <w:szCs w:val="16"/>
          <w:lang w:val="en-US"/>
        </w:rPr>
        <w:t xml:space="preserve">Cf. Case of Acevedo </w:t>
      </w:r>
      <w:proofErr w:type="spellStart"/>
      <w:r w:rsidRPr="009F337B">
        <w:rPr>
          <w:i/>
          <w:szCs w:val="16"/>
          <w:lang w:val="en-US"/>
        </w:rPr>
        <w:t>Buendía</w:t>
      </w:r>
      <w:proofErr w:type="spellEnd"/>
      <w:r w:rsidRPr="009F337B">
        <w:rPr>
          <w:i/>
          <w:szCs w:val="16"/>
          <w:lang w:val="en-US"/>
        </w:rPr>
        <w:t xml:space="preserve"> et al. (“Discharged and Retired Employees of the Comptroller’s Office”) v. Peru. Preliminary objection, merits, reparations and costs.</w:t>
      </w:r>
      <w:r w:rsidRPr="009F337B">
        <w:rPr>
          <w:szCs w:val="16"/>
          <w:lang w:val="en-US"/>
        </w:rPr>
        <w:t xml:space="preserve"> Judgment of July 1, 2009. Series C No. 198, para. 101, and </w:t>
      </w:r>
      <w:r w:rsidRPr="009F337B">
        <w:rPr>
          <w:i/>
          <w:szCs w:val="16"/>
          <w:lang w:val="en-US"/>
        </w:rPr>
        <w:t xml:space="preserve">Case of Poblete </w:t>
      </w:r>
      <w:proofErr w:type="spellStart"/>
      <w:r w:rsidRPr="009F337B">
        <w:rPr>
          <w:i/>
          <w:szCs w:val="16"/>
          <w:lang w:val="en-US"/>
        </w:rPr>
        <w:t>Vilches</w:t>
      </w:r>
      <w:proofErr w:type="spellEnd"/>
      <w:r w:rsidRPr="009F337B">
        <w:rPr>
          <w:i/>
          <w:szCs w:val="16"/>
          <w:lang w:val="en-US"/>
        </w:rPr>
        <w:t xml:space="preserve"> et al. v. Chile. Merits, reparations and costs. </w:t>
      </w:r>
      <w:r w:rsidRPr="009F337B">
        <w:rPr>
          <w:szCs w:val="16"/>
          <w:lang w:val="en-US"/>
        </w:rPr>
        <w:t>Judgment of March 8, 2018. Series C No. 349, para. 100.</w:t>
      </w:r>
    </w:p>
  </w:footnote>
  <w:footnote w:id="84">
    <w:p w14:paraId="3A4DA7F9" w14:textId="067680F5" w:rsidR="00AF5CC6" w:rsidRPr="009F337B" w:rsidRDefault="00AF5CC6" w:rsidP="00A30D95">
      <w:pPr>
        <w:tabs>
          <w:tab w:val="left" w:pos="720"/>
          <w:tab w:val="center" w:pos="4680"/>
        </w:tabs>
        <w:suppressAutoHyphens/>
        <w:spacing w:after="120"/>
        <w:rPr>
          <w:spacing w:val="-3"/>
          <w:sz w:val="16"/>
          <w:szCs w:val="16"/>
          <w:lang w:val="en-US"/>
        </w:rPr>
      </w:pPr>
      <w:r w:rsidRPr="009F337B">
        <w:rPr>
          <w:rStyle w:val="Refdenotaalpie"/>
          <w:sz w:val="16"/>
          <w:szCs w:val="16"/>
          <w:lang w:val="en-US"/>
        </w:rPr>
        <w:footnoteRef/>
      </w:r>
      <w:r w:rsidRPr="009F337B">
        <w:rPr>
          <w:sz w:val="16"/>
          <w:szCs w:val="16"/>
          <w:lang w:val="en-US"/>
        </w:rPr>
        <w:tab/>
        <w:t>The Preamble to the Convention establishes: “</w:t>
      </w:r>
      <w:r w:rsidRPr="009F337B">
        <w:rPr>
          <w:spacing w:val="-3"/>
          <w:sz w:val="16"/>
          <w:szCs w:val="16"/>
          <w:lang w:val="en-US"/>
        </w:rPr>
        <w:t>Reaffirming their intention to consolidate in this hemisphere, within the framework of democratic institutions, a system of personal liberty and social justice based on respect for the essential rights of man; […] Reiterating that, in accordance with the Universal Declaration of Human Rights, the ideal of free men enjoying freedom from fear and want can be achieved only if conditions are created whereby everyone may enjoy his economic, social, and cultural rights, as well as his civil and political rights; and Considering that the Third Special Inter</w:t>
      </w:r>
      <w:r w:rsidRPr="009F337B">
        <w:rPr>
          <w:spacing w:val="-3"/>
          <w:sz w:val="16"/>
          <w:szCs w:val="16"/>
          <w:lang w:val="en-US"/>
        </w:rPr>
        <w:noBreakHyphen/>
        <w:t>American Conference (Buenos Aires, 1967) approved the incorporation into the Charter of the Organization itself of broader standards with respect to economic, social, and educational rights and resolved that an inter</w:t>
      </w:r>
      <w:r w:rsidRPr="009F337B">
        <w:rPr>
          <w:spacing w:val="-3"/>
          <w:sz w:val="16"/>
          <w:szCs w:val="16"/>
          <w:lang w:val="en-US"/>
        </w:rPr>
        <w:noBreakHyphen/>
        <w:t>American convention on human rights should determine the structure, competence, and procedure of the organs responsible for these matters.</w:t>
      </w:r>
      <w:r w:rsidRPr="009F337B">
        <w:rPr>
          <w:rFonts w:cs="Tahoma"/>
          <w:sz w:val="16"/>
          <w:szCs w:val="16"/>
          <w:lang w:val="en-US"/>
        </w:rPr>
        <w:t>”</w:t>
      </w:r>
    </w:p>
  </w:footnote>
  <w:footnote w:id="85">
    <w:p w14:paraId="5031C32A" w14:textId="429AE0B2"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r>
      <w:r w:rsidRPr="009F337B">
        <w:rPr>
          <w:i/>
          <w:szCs w:val="16"/>
          <w:lang w:val="en-US"/>
        </w:rPr>
        <w:t xml:space="preserve">Case of </w:t>
      </w:r>
      <w:proofErr w:type="spellStart"/>
      <w:r w:rsidRPr="009F337B">
        <w:rPr>
          <w:i/>
          <w:szCs w:val="16"/>
          <w:lang w:val="en-US"/>
        </w:rPr>
        <w:t>Ivcher</w:t>
      </w:r>
      <w:proofErr w:type="spellEnd"/>
      <w:r w:rsidRPr="009F337B">
        <w:rPr>
          <w:i/>
          <w:szCs w:val="16"/>
          <w:lang w:val="en-US"/>
        </w:rPr>
        <w:t xml:space="preserve"> Bronstein v. Peru. Jurisdiction.</w:t>
      </w:r>
      <w:r w:rsidRPr="009F337B">
        <w:rPr>
          <w:szCs w:val="16"/>
          <w:lang w:val="en-US"/>
        </w:rPr>
        <w:t xml:space="preserve"> Judgment of September 24, 1999. Series C No. 54, paras. 32 and 34, and </w:t>
      </w:r>
      <w:r w:rsidRPr="009F337B">
        <w:rPr>
          <w:i/>
          <w:szCs w:val="16"/>
          <w:lang w:val="en-US"/>
        </w:rPr>
        <w:t>Case of García Prieto et al. v. El Salvador. Preliminary objection, merits, reparations and costs</w:t>
      </w:r>
      <w:r w:rsidRPr="009F337B">
        <w:rPr>
          <w:szCs w:val="16"/>
          <w:lang w:val="en-US"/>
        </w:rPr>
        <w:t>. Judgment of November 20, 2007. Series C No. 168, para. 38.</w:t>
      </w:r>
    </w:p>
  </w:footnote>
  <w:footnote w:id="86">
    <w:p w14:paraId="2018F595" w14:textId="08DFD18C" w:rsidR="00AF5CC6" w:rsidRPr="009F337B" w:rsidRDefault="00AF5CC6" w:rsidP="00A30D95">
      <w:pPr>
        <w:tabs>
          <w:tab w:val="left" w:pos="-1440"/>
          <w:tab w:val="left" w:pos="-720"/>
          <w:tab w:val="left" w:pos="0"/>
          <w:tab w:val="left" w:pos="720"/>
          <w:tab w:val="left" w:pos="1296"/>
          <w:tab w:val="left" w:pos="2160"/>
        </w:tabs>
        <w:suppressAutoHyphens/>
        <w:spacing w:after="120"/>
        <w:rPr>
          <w:spacing w:val="-3"/>
          <w:sz w:val="16"/>
          <w:szCs w:val="16"/>
          <w:lang w:val="en-US"/>
        </w:rPr>
      </w:pPr>
      <w:r w:rsidRPr="009F337B">
        <w:rPr>
          <w:rStyle w:val="Refdenotaalpie"/>
          <w:sz w:val="16"/>
          <w:szCs w:val="16"/>
          <w:lang w:val="en-US"/>
        </w:rPr>
        <w:footnoteRef/>
      </w:r>
      <w:r w:rsidRPr="009F337B">
        <w:rPr>
          <w:sz w:val="16"/>
          <w:szCs w:val="16"/>
          <w:lang w:val="en-US"/>
        </w:rPr>
        <w:tab/>
        <w:t>Article 19(6) of the Protocol of San Salvador establishes: “[a]</w:t>
      </w:r>
      <w:r w:rsidRPr="009F337B">
        <w:rPr>
          <w:rFonts w:cs="Tahoma"/>
          <w:bCs/>
          <w:sz w:val="16"/>
          <w:szCs w:val="16"/>
          <w:lang w:val="en-US"/>
        </w:rPr>
        <w:t>ny instance in which the rights established in paragraph (a) of Article 8 and in Article 13 are violated by action directly attributable to a State Party to this Protocol may give rise, through participation of the Inter-American Commission on Human Rights and, when applicable, of the Inter-American Court of Human Rights, to application of the system of individual petitions governed by Articles 44 through 51 and 61 through 69 of the American Convention on Human Rights.”</w:t>
      </w:r>
    </w:p>
  </w:footnote>
  <w:footnote w:id="87">
    <w:p w14:paraId="78920801" w14:textId="32CFAD14"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r>
      <w:r w:rsidRPr="009F337B">
        <w:rPr>
          <w:i/>
          <w:szCs w:val="16"/>
          <w:lang w:val="en-US"/>
        </w:rPr>
        <w:t xml:space="preserve">Mutatis </w:t>
      </w:r>
      <w:proofErr w:type="spellStart"/>
      <w:r w:rsidRPr="009F337B">
        <w:rPr>
          <w:i/>
          <w:szCs w:val="16"/>
          <w:lang w:val="en-US"/>
        </w:rPr>
        <w:t>mutandi</w:t>
      </w:r>
      <w:proofErr w:type="spellEnd"/>
      <w:r w:rsidRPr="009F337B">
        <w:rPr>
          <w:i/>
          <w:szCs w:val="16"/>
          <w:lang w:val="en-US"/>
        </w:rPr>
        <w:t xml:space="preserve">, Case of the Miguel Castro </w:t>
      </w:r>
      <w:proofErr w:type="spellStart"/>
      <w:r w:rsidRPr="009F337B">
        <w:rPr>
          <w:i/>
          <w:szCs w:val="16"/>
          <w:lang w:val="en-US"/>
        </w:rPr>
        <w:t>Castro</w:t>
      </w:r>
      <w:proofErr w:type="spellEnd"/>
      <w:r w:rsidRPr="009F337B">
        <w:rPr>
          <w:i/>
          <w:szCs w:val="16"/>
          <w:lang w:val="en-US"/>
        </w:rPr>
        <w:t xml:space="preserve"> Prison v. Peru. Merits, reparations and costs. </w:t>
      </w:r>
      <w:r w:rsidRPr="009F337B">
        <w:rPr>
          <w:szCs w:val="16"/>
          <w:lang w:val="en-US"/>
        </w:rPr>
        <w:t xml:space="preserve">Judgment of November 25, 2006. Series C No. 160, para. 276, and </w:t>
      </w:r>
      <w:r w:rsidRPr="009F337B">
        <w:rPr>
          <w:i/>
          <w:szCs w:val="16"/>
          <w:lang w:val="en-US"/>
        </w:rPr>
        <w:t xml:space="preserve">Case of González et al. (“Cotton Field”) v. Mexico. Preliminary objection, merits, reparations and costs. </w:t>
      </w:r>
      <w:r w:rsidRPr="009F337B">
        <w:rPr>
          <w:szCs w:val="16"/>
          <w:lang w:val="en-US"/>
        </w:rPr>
        <w:t xml:space="preserve">Judgment of November 16, 2009. Series C No. 205, para. 225. </w:t>
      </w:r>
    </w:p>
  </w:footnote>
  <w:footnote w:id="88">
    <w:p w14:paraId="1549F505" w14:textId="1315DB66"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r>
      <w:r w:rsidRPr="009F337B">
        <w:rPr>
          <w:i/>
          <w:szCs w:val="16"/>
          <w:lang w:val="en-US"/>
        </w:rPr>
        <w:t>Cf. Case of González et al. (“Cotton Field”) v. Mexico. Preliminary objection, merits, reparations and costs.</w:t>
      </w:r>
      <w:r w:rsidRPr="009F337B">
        <w:rPr>
          <w:szCs w:val="16"/>
          <w:lang w:val="en-US"/>
        </w:rPr>
        <w:t xml:space="preserve"> Judgment of November 16, 2009. Series C No. 205, para. 59, and </w:t>
      </w:r>
      <w:r w:rsidRPr="009F337B">
        <w:rPr>
          <w:rStyle w:val="Textoennegrita"/>
          <w:b w:val="0"/>
          <w:i/>
          <w:szCs w:val="16"/>
          <w:lang w:val="en-US"/>
        </w:rPr>
        <w:t xml:space="preserve">Entitlement of legal entities to hold rights under the Inter-American Human Rights System (Interpretation and scope of Article 1(2), in relation to Articles 1(2), 8, 11(2), 13, 16, 21, 24, 25, 29, 30, 44, 46 and 62(3) of the American Convention on Human Rights, as well as of Article 8(1)(A) and (B) of the Protocol of San Salvador). </w:t>
      </w:r>
      <w:r w:rsidRPr="009F337B">
        <w:rPr>
          <w:rStyle w:val="Textoennegrita"/>
          <w:b w:val="0"/>
          <w:szCs w:val="16"/>
          <w:lang w:val="en-US"/>
        </w:rPr>
        <w:t>Advisory Opinion OC-22/16 of February 26, 2016</w:t>
      </w:r>
      <w:r w:rsidRPr="009F337B">
        <w:rPr>
          <w:szCs w:val="16"/>
          <w:lang w:val="en-US"/>
        </w:rPr>
        <w:t>. Series A No. 22, para. 40.</w:t>
      </w:r>
    </w:p>
  </w:footnote>
  <w:footnote w:id="89">
    <w:p w14:paraId="11BFC8EF" w14:textId="7C04B6A6" w:rsidR="00AF5CC6" w:rsidRPr="009F337B" w:rsidRDefault="00AF5CC6" w:rsidP="00A30D95">
      <w:pPr>
        <w:tabs>
          <w:tab w:val="left" w:pos="-1440"/>
          <w:tab w:val="left" w:pos="-720"/>
          <w:tab w:val="left" w:pos="0"/>
          <w:tab w:val="left" w:pos="720"/>
          <w:tab w:val="left" w:pos="1296"/>
          <w:tab w:val="left" w:pos="2160"/>
        </w:tabs>
        <w:suppressAutoHyphens/>
        <w:spacing w:after="120"/>
        <w:rPr>
          <w:b/>
          <w:spacing w:val="-3"/>
          <w:sz w:val="16"/>
          <w:szCs w:val="16"/>
          <w:lang w:val="en-US"/>
        </w:rPr>
      </w:pPr>
      <w:r w:rsidRPr="009F337B">
        <w:rPr>
          <w:rStyle w:val="Refdenotaalpie"/>
          <w:sz w:val="16"/>
          <w:szCs w:val="16"/>
          <w:lang w:val="en-US"/>
        </w:rPr>
        <w:footnoteRef/>
      </w:r>
      <w:r w:rsidRPr="009F337B">
        <w:rPr>
          <w:sz w:val="16"/>
          <w:szCs w:val="16"/>
          <w:lang w:val="en-US"/>
        </w:rPr>
        <w:tab/>
      </w:r>
      <w:r w:rsidRPr="009F337B">
        <w:rPr>
          <w:i/>
          <w:sz w:val="16"/>
          <w:szCs w:val="16"/>
          <w:lang w:val="en-US"/>
        </w:rPr>
        <w:t xml:space="preserve">Cf. The Effect of Reservations on the Entry into Force of the American Convention on Human Rights. </w:t>
      </w:r>
      <w:r w:rsidRPr="009F337B">
        <w:rPr>
          <w:sz w:val="16"/>
          <w:szCs w:val="16"/>
          <w:lang w:val="en-US"/>
        </w:rPr>
        <w:t xml:space="preserve">Advisory Opinion OC-2/82 of September 24, 1982. Series A No. 2, para. 29, and </w:t>
      </w:r>
      <w:r w:rsidRPr="009F337B">
        <w:rPr>
          <w:rStyle w:val="Textoennegrita"/>
          <w:b w:val="0"/>
          <w:i/>
          <w:sz w:val="16"/>
          <w:szCs w:val="16"/>
          <w:lang w:val="en-US"/>
        </w:rPr>
        <w:t>The institution of asylum, and its recognition as a human right under the Inter-American System of Protection (interpretation and scope of Articles 5, 22(7) and 22(8) in relation to Article 1(1) of the American Convention on Human Rights).</w:t>
      </w:r>
      <w:r w:rsidRPr="009F337B">
        <w:rPr>
          <w:rStyle w:val="Textoennegrita"/>
          <w:b w:val="0"/>
          <w:sz w:val="16"/>
          <w:szCs w:val="16"/>
          <w:lang w:val="en-US"/>
        </w:rPr>
        <w:t xml:space="preserve"> Advisory Opinion OC-25/18 of May 30, </w:t>
      </w:r>
      <w:r w:rsidRPr="009F337B">
        <w:rPr>
          <w:rStyle w:val="Textoennegrita"/>
          <w:b w:val="0"/>
          <w:color w:val="000000"/>
          <w:sz w:val="16"/>
          <w:szCs w:val="16"/>
          <w:shd w:val="clear" w:color="auto" w:fill="FFFFFF"/>
          <w:lang w:val="en-US"/>
        </w:rPr>
        <w:t>2018. Series A No. 25, para. 58.</w:t>
      </w:r>
    </w:p>
  </w:footnote>
  <w:footnote w:id="90">
    <w:p w14:paraId="04A01A50" w14:textId="7E71608B"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r>
      <w:r w:rsidRPr="009F337B">
        <w:rPr>
          <w:i/>
          <w:szCs w:val="16"/>
          <w:lang w:val="en-US"/>
        </w:rPr>
        <w:t>Cf.</w:t>
      </w:r>
      <w:r w:rsidRPr="009F337B">
        <w:rPr>
          <w:szCs w:val="16"/>
          <w:lang w:val="en-US"/>
        </w:rPr>
        <w:t xml:space="preserve"> </w:t>
      </w:r>
      <w:r w:rsidRPr="009F337B">
        <w:rPr>
          <w:rStyle w:val="Textoennegrita"/>
          <w:b w:val="0"/>
          <w:i/>
          <w:szCs w:val="16"/>
          <w:lang w:val="en-US"/>
        </w:rPr>
        <w:t xml:space="preserve">Entitlement of legal entities to hold rights under the Inter-American Human Rights System (Interpretation and scope of Article 1(2), in relation to Articles 1(2), 8, 11(2), 13, 16, 21, 24, 25, 29, 30, 44, 46 and 62(3) of the American Convention on Human Rights, as well as of Article 8(1)(A) and (B) of the Protocol of San Salvador). </w:t>
      </w:r>
      <w:r w:rsidRPr="009F337B">
        <w:rPr>
          <w:rStyle w:val="Textoennegrita"/>
          <w:b w:val="0"/>
          <w:szCs w:val="16"/>
          <w:lang w:val="en-US"/>
        </w:rPr>
        <w:t>Advisory Opinion OC-22/16 of February 26, 2016</w:t>
      </w:r>
      <w:r w:rsidRPr="009F337B">
        <w:rPr>
          <w:szCs w:val="16"/>
          <w:lang w:val="en-US"/>
        </w:rPr>
        <w:t>. Series A No. 22, para. 42.</w:t>
      </w:r>
    </w:p>
  </w:footnote>
  <w:footnote w:id="91">
    <w:p w14:paraId="6169CB12" w14:textId="09187E08"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r>
      <w:r w:rsidRPr="009F337B">
        <w:rPr>
          <w:i/>
          <w:szCs w:val="16"/>
          <w:lang w:val="en-US"/>
        </w:rPr>
        <w:t xml:space="preserve">Cf. Case of Acevedo </w:t>
      </w:r>
      <w:proofErr w:type="spellStart"/>
      <w:r w:rsidRPr="009F337B">
        <w:rPr>
          <w:i/>
          <w:szCs w:val="16"/>
          <w:lang w:val="en-US"/>
        </w:rPr>
        <w:t>Buendía</w:t>
      </w:r>
      <w:proofErr w:type="spellEnd"/>
      <w:r w:rsidRPr="009F337B">
        <w:rPr>
          <w:i/>
          <w:szCs w:val="16"/>
          <w:lang w:val="en-US"/>
        </w:rPr>
        <w:t xml:space="preserve"> et al. (“Discharged and Retired Employees of the Comptroller’s Office”) v. Peru. Preliminary objection, merits, reparations and costs.</w:t>
      </w:r>
      <w:r w:rsidRPr="009F337B">
        <w:rPr>
          <w:szCs w:val="16"/>
          <w:lang w:val="en-US"/>
        </w:rPr>
        <w:t xml:space="preserve"> Judgment of July 1, 2009. Series C No. 198, para. 99, and </w:t>
      </w:r>
      <w:r w:rsidRPr="009F337B">
        <w:rPr>
          <w:i/>
          <w:szCs w:val="16"/>
          <w:lang w:val="en-US"/>
        </w:rPr>
        <w:t xml:space="preserve">Case of Poblete </w:t>
      </w:r>
      <w:proofErr w:type="spellStart"/>
      <w:r w:rsidRPr="009F337B">
        <w:rPr>
          <w:i/>
          <w:szCs w:val="16"/>
          <w:lang w:val="en-US"/>
        </w:rPr>
        <w:t>Vilches</w:t>
      </w:r>
      <w:proofErr w:type="spellEnd"/>
      <w:r w:rsidRPr="009F337B">
        <w:rPr>
          <w:i/>
          <w:szCs w:val="16"/>
          <w:lang w:val="en-US"/>
        </w:rPr>
        <w:t xml:space="preserve"> et al. v. Chile. Merits, reparations and costs. </w:t>
      </w:r>
      <w:r w:rsidRPr="009F337B">
        <w:rPr>
          <w:szCs w:val="16"/>
          <w:lang w:val="en-US"/>
        </w:rPr>
        <w:t>Judgment of March 8, 2018. Series C No. 349, para. 101.</w:t>
      </w:r>
    </w:p>
  </w:footnote>
  <w:footnote w:id="92">
    <w:p w14:paraId="556329FC" w14:textId="555D1685"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r>
      <w:r w:rsidRPr="009F337B">
        <w:rPr>
          <w:i/>
          <w:szCs w:val="16"/>
          <w:lang w:val="en-US"/>
        </w:rPr>
        <w:t xml:space="preserve">Cf. Case of Poblete </w:t>
      </w:r>
      <w:proofErr w:type="spellStart"/>
      <w:r w:rsidRPr="009F337B">
        <w:rPr>
          <w:i/>
          <w:szCs w:val="16"/>
          <w:lang w:val="en-US"/>
        </w:rPr>
        <w:t>Vilches</w:t>
      </w:r>
      <w:proofErr w:type="spellEnd"/>
      <w:r w:rsidRPr="009F337B">
        <w:rPr>
          <w:i/>
          <w:szCs w:val="16"/>
          <w:lang w:val="en-US"/>
        </w:rPr>
        <w:t xml:space="preserve"> et al. v. Chile. Merits, reparations and costs.</w:t>
      </w:r>
      <w:r w:rsidRPr="009F337B">
        <w:rPr>
          <w:szCs w:val="16"/>
          <w:lang w:val="en-US"/>
        </w:rPr>
        <w:t xml:space="preserve"> Judgment of March 8, 2018. Series C No. 349, para. 106.</w:t>
      </w:r>
    </w:p>
  </w:footnote>
  <w:footnote w:id="93">
    <w:p w14:paraId="32A049A8" w14:textId="7C0E4910"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r>
      <w:r w:rsidRPr="009F337B">
        <w:rPr>
          <w:i/>
          <w:szCs w:val="16"/>
          <w:lang w:val="en-US"/>
        </w:rPr>
        <w:t xml:space="preserve">Cf. Case of Poblete </w:t>
      </w:r>
      <w:proofErr w:type="spellStart"/>
      <w:r w:rsidRPr="009F337B">
        <w:rPr>
          <w:i/>
          <w:szCs w:val="16"/>
          <w:lang w:val="en-US"/>
        </w:rPr>
        <w:t>Vilches</w:t>
      </w:r>
      <w:proofErr w:type="spellEnd"/>
      <w:r w:rsidRPr="009F337B">
        <w:rPr>
          <w:i/>
          <w:szCs w:val="16"/>
          <w:lang w:val="en-US"/>
        </w:rPr>
        <w:t xml:space="preserve"> et al. v. Chile. Merits, reparations and costs.</w:t>
      </w:r>
      <w:r w:rsidRPr="009F337B">
        <w:rPr>
          <w:szCs w:val="16"/>
          <w:lang w:val="en-US"/>
        </w:rPr>
        <w:t xml:space="preserve"> Judgment of March 8, 2018. Series C No. 349, para. 104. </w:t>
      </w:r>
    </w:p>
  </w:footnote>
  <w:footnote w:id="94">
    <w:p w14:paraId="4A367CE2" w14:textId="68F46C4E"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r>
      <w:r w:rsidRPr="009F337B">
        <w:rPr>
          <w:i/>
          <w:szCs w:val="16"/>
          <w:lang w:val="en-US"/>
        </w:rPr>
        <w:t xml:space="preserve">Cf. Case of Poblete </w:t>
      </w:r>
      <w:proofErr w:type="spellStart"/>
      <w:r w:rsidRPr="009F337B">
        <w:rPr>
          <w:i/>
          <w:szCs w:val="16"/>
          <w:lang w:val="en-US"/>
        </w:rPr>
        <w:t>Vilches</w:t>
      </w:r>
      <w:proofErr w:type="spellEnd"/>
      <w:r w:rsidRPr="009F337B">
        <w:rPr>
          <w:i/>
          <w:szCs w:val="16"/>
          <w:lang w:val="en-US"/>
        </w:rPr>
        <w:t xml:space="preserve"> et al. v. Chile. Merits, reparations and costs.</w:t>
      </w:r>
      <w:r w:rsidRPr="009F337B">
        <w:rPr>
          <w:szCs w:val="16"/>
          <w:lang w:val="en-US"/>
        </w:rPr>
        <w:t xml:space="preserve"> Judgment of March 8, 2018. Series C No. 349, para. 104; Committee on Economic, Social and Cultural Rights, General Comment No. 3: The Nature of States Parties’ Obligations (Art. 2, Para. 1, of the Covenant). December 14, 1990, U.N. Doc. E/1991/23, para. 3, and Committee on Economic, Social and Cultural Rights, General Comment No. 14: </w:t>
      </w:r>
      <w:r w:rsidRPr="009F337B">
        <w:rPr>
          <w:rStyle w:val="st"/>
          <w:szCs w:val="16"/>
          <w:lang w:val="en-US"/>
        </w:rPr>
        <w:t xml:space="preserve">The </w:t>
      </w:r>
      <w:r w:rsidRPr="009F337B">
        <w:rPr>
          <w:rStyle w:val="nfasis"/>
          <w:i w:val="0"/>
          <w:szCs w:val="16"/>
          <w:lang w:val="en-US"/>
        </w:rPr>
        <w:t>Right</w:t>
      </w:r>
      <w:r w:rsidRPr="009F337B">
        <w:rPr>
          <w:rStyle w:val="st"/>
          <w:i/>
          <w:szCs w:val="16"/>
          <w:lang w:val="en-US"/>
        </w:rPr>
        <w:t xml:space="preserve"> </w:t>
      </w:r>
      <w:r w:rsidRPr="009F337B">
        <w:rPr>
          <w:rStyle w:val="st"/>
          <w:szCs w:val="16"/>
          <w:lang w:val="en-US"/>
        </w:rPr>
        <w:t>to the Highest Attainable. Standard of Health</w:t>
      </w:r>
      <w:r w:rsidRPr="009F337B">
        <w:rPr>
          <w:szCs w:val="16"/>
          <w:lang w:val="en-US"/>
        </w:rPr>
        <w:t>, August 11, 2000, U.N. Doc. E/C.12/2000/4, para. 30.</w:t>
      </w:r>
    </w:p>
  </w:footnote>
  <w:footnote w:id="95">
    <w:p w14:paraId="2761D58D" w14:textId="03EBDA69"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r>
      <w:r w:rsidRPr="009F337B">
        <w:rPr>
          <w:i/>
          <w:szCs w:val="16"/>
          <w:lang w:val="en-US"/>
        </w:rPr>
        <w:t xml:space="preserve">Cf. Case of Poblete </w:t>
      </w:r>
      <w:proofErr w:type="spellStart"/>
      <w:r w:rsidRPr="009F337B">
        <w:rPr>
          <w:i/>
          <w:szCs w:val="16"/>
          <w:lang w:val="en-US"/>
        </w:rPr>
        <w:t>Vilches</w:t>
      </w:r>
      <w:proofErr w:type="spellEnd"/>
      <w:r w:rsidRPr="009F337B">
        <w:rPr>
          <w:i/>
          <w:szCs w:val="16"/>
          <w:lang w:val="en-US"/>
        </w:rPr>
        <w:t xml:space="preserve"> et al. v. Chile. Merits, reparations and costs.</w:t>
      </w:r>
      <w:r w:rsidRPr="009F337B">
        <w:rPr>
          <w:szCs w:val="16"/>
          <w:lang w:val="en-US"/>
        </w:rPr>
        <w:t xml:space="preserve"> Judgment of March 8, 2018. Series C No. 349, para. 104, and Committee on Economic, Social and Cultural Rights, General Comment No. 3: The Nature of States Parties’ Obligations (Art. 2, Para. 1, of the Covenant). December 14, 1990, U.N. Doc. E/1991/23, para. 9.</w:t>
      </w:r>
    </w:p>
  </w:footnote>
  <w:footnote w:id="96">
    <w:p w14:paraId="6F4A47D4" w14:textId="42505A11" w:rsidR="00AF5CC6" w:rsidRPr="009F337B" w:rsidRDefault="00AF5CC6" w:rsidP="00A30D95">
      <w:pPr>
        <w:pStyle w:val="Textonotapie"/>
        <w:tabs>
          <w:tab w:val="left" w:pos="540"/>
        </w:tabs>
        <w:spacing w:before="0"/>
        <w:rPr>
          <w:szCs w:val="16"/>
          <w:lang w:val="en-US"/>
        </w:rPr>
      </w:pPr>
      <w:r w:rsidRPr="009F337B">
        <w:rPr>
          <w:rStyle w:val="Refdenotaalpie"/>
          <w:szCs w:val="16"/>
          <w:lang w:val="en-US"/>
        </w:rPr>
        <w:footnoteRef/>
      </w:r>
      <w:r w:rsidRPr="009F337B">
        <w:rPr>
          <w:szCs w:val="16"/>
          <w:lang w:val="en-US"/>
        </w:rPr>
        <w:tab/>
        <w:t>Article 26 of the Convention establishes: “</w:t>
      </w:r>
      <w:r w:rsidRPr="009F337B">
        <w:rPr>
          <w:rFonts w:cs="Tahoma"/>
          <w:bCs/>
          <w:color w:val="000000"/>
          <w:szCs w:val="16"/>
          <w:lang w:val="en-US"/>
        </w:rPr>
        <w:t>Progressive Development</w:t>
      </w:r>
      <w:r w:rsidRPr="009F337B">
        <w:rPr>
          <w:rFonts w:cs="Tahoma"/>
          <w:b/>
          <w:bCs/>
          <w:color w:val="000000"/>
          <w:szCs w:val="16"/>
          <w:lang w:val="en-US"/>
        </w:rPr>
        <w:t>.</w:t>
      </w:r>
      <w:r w:rsidRPr="009F337B">
        <w:rPr>
          <w:rFonts w:cs="Tahoma"/>
          <w:color w:val="000000"/>
          <w:szCs w:val="16"/>
          <w:lang w:val="en-US"/>
        </w:rPr>
        <w:t> </w:t>
      </w:r>
      <w:r w:rsidRPr="009F337B">
        <w:rPr>
          <w:spacing w:val="-3"/>
          <w:szCs w:val="16"/>
          <w:lang w:val="en-US"/>
        </w:rPr>
        <w:t>The States Parties undertake to adopt measures, both internally and through international cooperation, especially those of an economic and technical nature, with a view to achieving progressively, by legislation or other appropriate means, the full realization of the rights implicit in the economic, social, educational, scientific, and cultural standards set forth in the Charter of the Organization of American States as amended by the Protocol of Buenos Aires.</w:t>
      </w:r>
      <w:r w:rsidRPr="009F337B">
        <w:rPr>
          <w:rFonts w:cs="Tahoma"/>
          <w:color w:val="000000"/>
          <w:szCs w:val="16"/>
          <w:lang w:val="en-US"/>
        </w:rPr>
        <w:t>”</w:t>
      </w:r>
    </w:p>
  </w:footnote>
  <w:footnote w:id="97">
    <w:p w14:paraId="3DC02CA4" w14:textId="34DBB400" w:rsidR="00AF5CC6" w:rsidRPr="009F337B" w:rsidRDefault="00AF5CC6" w:rsidP="00A30D95">
      <w:pPr>
        <w:tabs>
          <w:tab w:val="left" w:pos="480"/>
          <w:tab w:val="left" w:pos="1080"/>
          <w:tab w:val="left" w:pos="1680"/>
          <w:tab w:val="left" w:pos="5400"/>
        </w:tabs>
        <w:suppressAutoHyphens/>
        <w:spacing w:after="120"/>
        <w:rPr>
          <w:sz w:val="16"/>
          <w:szCs w:val="16"/>
          <w:lang w:val="en-US"/>
        </w:rPr>
      </w:pPr>
      <w:r w:rsidRPr="009F337B">
        <w:rPr>
          <w:rStyle w:val="Refdenotaalpie"/>
          <w:sz w:val="16"/>
          <w:szCs w:val="16"/>
          <w:lang w:val="en-US"/>
        </w:rPr>
        <w:footnoteRef/>
      </w:r>
      <w:r w:rsidRPr="009F337B">
        <w:rPr>
          <w:sz w:val="16"/>
          <w:szCs w:val="16"/>
          <w:lang w:val="en-US"/>
        </w:rPr>
        <w:t xml:space="preserve"> </w:t>
      </w:r>
      <w:r w:rsidRPr="009F337B">
        <w:rPr>
          <w:sz w:val="16"/>
          <w:szCs w:val="16"/>
          <w:lang w:val="en-US"/>
        </w:rPr>
        <w:tab/>
        <w:t xml:space="preserve">Article 34(i) of the </w:t>
      </w:r>
      <w:bookmarkStart w:id="74" w:name="_Hlk5436753"/>
      <w:r w:rsidRPr="009F337B">
        <w:rPr>
          <w:sz w:val="16"/>
          <w:szCs w:val="16"/>
          <w:lang w:val="en-US"/>
        </w:rPr>
        <w:t xml:space="preserve">OAS Charter </w:t>
      </w:r>
      <w:bookmarkEnd w:id="74"/>
      <w:r w:rsidRPr="009F337B">
        <w:rPr>
          <w:sz w:val="16"/>
          <w:szCs w:val="16"/>
          <w:lang w:val="en-US"/>
        </w:rPr>
        <w:t xml:space="preserve">establishes: “[t]he Member States agree that equality of opportunity, the elimination of extreme poverty, equitable distribution of wealth and income and the full participation of their peoples in decisions relating to their own development are, among others, basic objectives of integral development. To achieve them, they likewise agree to devote their utmost efforts to accomplishing the following basic goals: […] (i) Protection of man's potential through the extension and application of modern medical science.” </w:t>
      </w:r>
    </w:p>
  </w:footnote>
  <w:footnote w:id="98">
    <w:p w14:paraId="65E451C8" w14:textId="639F7EAF" w:rsidR="00AF5CC6" w:rsidRPr="009F337B" w:rsidRDefault="00AF5CC6" w:rsidP="00A30D95">
      <w:pPr>
        <w:tabs>
          <w:tab w:val="left" w:pos="480"/>
          <w:tab w:val="left" w:pos="1080"/>
          <w:tab w:val="left" w:pos="1680"/>
          <w:tab w:val="left" w:pos="5400"/>
        </w:tabs>
        <w:suppressAutoHyphens/>
        <w:spacing w:after="120"/>
        <w:rPr>
          <w:sz w:val="16"/>
          <w:szCs w:val="16"/>
          <w:lang w:val="en-US"/>
        </w:rPr>
      </w:pPr>
      <w:r w:rsidRPr="009F337B">
        <w:rPr>
          <w:rStyle w:val="Refdenotaalpie"/>
          <w:sz w:val="16"/>
          <w:szCs w:val="16"/>
          <w:lang w:val="en-US"/>
        </w:rPr>
        <w:footnoteRef/>
      </w:r>
      <w:r w:rsidRPr="009F337B">
        <w:rPr>
          <w:sz w:val="16"/>
          <w:szCs w:val="16"/>
          <w:lang w:val="en-US"/>
        </w:rPr>
        <w:t xml:space="preserve"> </w:t>
      </w:r>
      <w:r w:rsidRPr="009F337B">
        <w:rPr>
          <w:sz w:val="16"/>
          <w:szCs w:val="16"/>
          <w:lang w:val="en-US"/>
        </w:rPr>
        <w:tab/>
        <w:t>Article 34(l) of the OAS Charter establishes: “[t]</w:t>
      </w:r>
      <w:bookmarkStart w:id="75" w:name="_Hlk5436903"/>
      <w:r w:rsidRPr="009F337B">
        <w:rPr>
          <w:sz w:val="16"/>
          <w:szCs w:val="16"/>
          <w:lang w:val="en-US"/>
        </w:rPr>
        <w:t>he Member States agree that equality of opportunity, the elimination of extreme poverty, equitable distribution of wealth and income and the full participation of their peoples in decisions relating to their own development are, among others, basic objectives of integral development. To achieve them, they likewise agree to devote their utmost efforts to accomplishing the following basic goals: […]</w:t>
      </w:r>
      <w:bookmarkEnd w:id="75"/>
      <w:r w:rsidRPr="009F337B">
        <w:rPr>
          <w:sz w:val="16"/>
          <w:szCs w:val="16"/>
          <w:lang w:val="en-US"/>
        </w:rPr>
        <w:t xml:space="preserve"> (l) Urban conditions that offer the opportunity for a healthful, productive, and full life.”</w:t>
      </w:r>
    </w:p>
  </w:footnote>
  <w:footnote w:id="99">
    <w:p w14:paraId="29EAEBA6" w14:textId="1C5C2380" w:rsidR="00AF5CC6" w:rsidRPr="009F337B" w:rsidRDefault="00AF5CC6" w:rsidP="00A30D95">
      <w:pPr>
        <w:tabs>
          <w:tab w:val="left" w:pos="480"/>
          <w:tab w:val="left" w:pos="1080"/>
          <w:tab w:val="left" w:pos="1680"/>
          <w:tab w:val="left" w:pos="5400"/>
        </w:tabs>
        <w:suppressAutoHyphens/>
        <w:spacing w:after="120"/>
        <w:rPr>
          <w:spacing w:val="-3"/>
          <w:sz w:val="16"/>
          <w:szCs w:val="16"/>
          <w:lang w:val="en-US"/>
        </w:rPr>
      </w:pPr>
      <w:r w:rsidRPr="009F337B">
        <w:rPr>
          <w:rStyle w:val="Refdenotaalpie"/>
          <w:sz w:val="16"/>
          <w:szCs w:val="16"/>
          <w:lang w:val="en-US"/>
        </w:rPr>
        <w:footnoteRef/>
      </w:r>
      <w:r w:rsidRPr="009F337B">
        <w:rPr>
          <w:sz w:val="16"/>
          <w:szCs w:val="16"/>
          <w:lang w:val="en-US"/>
        </w:rPr>
        <w:t xml:space="preserve"> </w:t>
      </w:r>
      <w:r w:rsidRPr="009F337B">
        <w:rPr>
          <w:sz w:val="16"/>
          <w:szCs w:val="16"/>
          <w:lang w:val="en-US"/>
        </w:rPr>
        <w:tab/>
        <w:t>Article 45(h) of the OAS Charter stipulates “[t]he Member States, convinced that man can only achieve the full realization of his aspirations within a just social order, along with economic development and true peace, agree to dedicate every effort to the application of the following principles and mechanisms: […] (h) Development of an efficient social security policy.”</w:t>
      </w:r>
    </w:p>
  </w:footnote>
  <w:footnote w:id="100">
    <w:p w14:paraId="1E109454" w14:textId="5F53A7AC"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r>
      <w:r w:rsidRPr="009F337B">
        <w:rPr>
          <w:i/>
          <w:szCs w:val="16"/>
          <w:lang w:val="en-US"/>
        </w:rPr>
        <w:t xml:space="preserve">Cf. </w:t>
      </w:r>
      <w:r w:rsidRPr="009F337B">
        <w:rPr>
          <w:szCs w:val="16"/>
          <w:lang w:val="en-US"/>
        </w:rPr>
        <w:t xml:space="preserve">Committee on Economic, Social and Cultural Rights, General Comment No. 19: The right to social security (Article 9), November 23, 2007, U.N. Doc. </w:t>
      </w:r>
      <w:r w:rsidRPr="009F337B">
        <w:rPr>
          <w:snapToGrid w:val="0"/>
          <w:szCs w:val="16"/>
          <w:lang w:val="en-US"/>
        </w:rPr>
        <w:t>E/C.12/GC/19</w:t>
      </w:r>
      <w:r w:rsidRPr="009F337B">
        <w:rPr>
          <w:szCs w:val="16"/>
          <w:lang w:val="en-US"/>
        </w:rPr>
        <w:t>, para. 13.</w:t>
      </w:r>
    </w:p>
  </w:footnote>
  <w:footnote w:id="101">
    <w:p w14:paraId="0B89B54A" w14:textId="3CF71C86" w:rsidR="00AF5CC6" w:rsidRPr="009F337B" w:rsidRDefault="00AF5CC6" w:rsidP="00A30D95">
      <w:pPr>
        <w:spacing w:after="120"/>
        <w:rPr>
          <w:sz w:val="16"/>
          <w:szCs w:val="16"/>
          <w:lang w:val="en-US"/>
        </w:rPr>
      </w:pPr>
      <w:r w:rsidRPr="009F337B">
        <w:rPr>
          <w:rStyle w:val="Refdenotaalpie"/>
          <w:sz w:val="16"/>
          <w:szCs w:val="16"/>
          <w:lang w:val="en-US"/>
        </w:rPr>
        <w:footnoteRef/>
      </w:r>
      <w:r w:rsidRPr="009F337B">
        <w:rPr>
          <w:sz w:val="16"/>
          <w:szCs w:val="16"/>
          <w:lang w:val="en-US"/>
        </w:rPr>
        <w:tab/>
        <w:t>The Court considers that the right to health is an essential component of the right to social security, becuse health protection is of fundamental importance to ensure to every individual their human dignity when they are faced with circumstances that deprive them of their capacity to fully exercise their rights. In this regard, General Comment No. 19 of the CESCR indicates that: “States parties have an obligation to guarantee that health systems are established to provide adequate access to health services for all.</w:t>
      </w:r>
      <w:r w:rsidRPr="009F337B">
        <w:rPr>
          <w:snapToGrid w:val="0"/>
          <w:sz w:val="16"/>
          <w:szCs w:val="16"/>
          <w:lang w:val="en-US"/>
        </w:rPr>
        <w:t>” It also indicates “</w:t>
      </w:r>
      <w:r w:rsidRPr="009F337B">
        <w:rPr>
          <w:sz w:val="16"/>
          <w:szCs w:val="16"/>
          <w:lang w:val="en-US"/>
        </w:rPr>
        <w:t xml:space="preserve">the particular importance of the right to social security in the context of endemic diseases such as HIV/AIDS </w:t>
      </w:r>
      <w:r w:rsidRPr="009F337B">
        <w:rPr>
          <w:snapToGrid w:val="0"/>
          <w:sz w:val="16"/>
          <w:szCs w:val="16"/>
          <w:lang w:val="en-US"/>
        </w:rPr>
        <w:t>[…].” Furthermore, the Committee indicated that States parties were required “</w:t>
      </w:r>
      <w:r w:rsidRPr="009F337B">
        <w:rPr>
          <w:sz w:val="16"/>
          <w:szCs w:val="16"/>
          <w:lang w:val="en-US"/>
        </w:rPr>
        <w:t>[t]o ensure access to a social security scheme that provides a minimum essential level of benefits to all individuals and families</w:t>
      </w:r>
      <w:r w:rsidRPr="009F337B">
        <w:rPr>
          <w:snapToGrid w:val="0"/>
          <w:sz w:val="16"/>
          <w:szCs w:val="16"/>
          <w:lang w:val="en-US"/>
        </w:rPr>
        <w:t xml:space="preserve">.” </w:t>
      </w:r>
      <w:r w:rsidRPr="009F337B">
        <w:rPr>
          <w:i/>
          <w:sz w:val="16"/>
          <w:szCs w:val="16"/>
          <w:lang w:val="en-US"/>
        </w:rPr>
        <w:t xml:space="preserve">Cf. </w:t>
      </w:r>
      <w:r w:rsidRPr="009F337B">
        <w:rPr>
          <w:sz w:val="16"/>
          <w:szCs w:val="16"/>
          <w:lang w:val="en-US"/>
        </w:rPr>
        <w:t xml:space="preserve">Committee on Economic, Social and Cultural Rights, General Comment No. 19: The right to social security (Article 9), November 23, 2007, U.N. Doc. </w:t>
      </w:r>
      <w:r w:rsidRPr="009F337B">
        <w:rPr>
          <w:snapToGrid w:val="0"/>
          <w:sz w:val="16"/>
          <w:szCs w:val="16"/>
          <w:lang w:val="en-US"/>
        </w:rPr>
        <w:t>E/C.12/GC/19</w:t>
      </w:r>
      <w:r w:rsidRPr="009F337B">
        <w:rPr>
          <w:sz w:val="16"/>
          <w:szCs w:val="16"/>
          <w:lang w:val="en-US"/>
        </w:rPr>
        <w:t>, para.13 and 59(a).</w:t>
      </w:r>
    </w:p>
    <w:p w14:paraId="40DCAA30" w14:textId="77777777" w:rsidR="00AF5CC6" w:rsidRPr="009F337B" w:rsidRDefault="00AF5CC6" w:rsidP="00A30D95">
      <w:pPr>
        <w:spacing w:after="120"/>
        <w:rPr>
          <w:sz w:val="16"/>
          <w:szCs w:val="16"/>
          <w:lang w:val="en-US"/>
        </w:rPr>
      </w:pPr>
    </w:p>
  </w:footnote>
  <w:footnote w:id="102">
    <w:p w14:paraId="53EA5326" w14:textId="6A7DACC0"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r>
      <w:r w:rsidRPr="009F337B">
        <w:rPr>
          <w:i/>
          <w:szCs w:val="16"/>
          <w:lang w:val="en-US"/>
        </w:rPr>
        <w:t xml:space="preserve">Cf. Case of the </w:t>
      </w:r>
      <w:proofErr w:type="spellStart"/>
      <w:r w:rsidRPr="009F337B">
        <w:rPr>
          <w:i/>
          <w:szCs w:val="16"/>
          <w:lang w:val="en-US"/>
        </w:rPr>
        <w:t>Mapiripán</w:t>
      </w:r>
      <w:proofErr w:type="spellEnd"/>
      <w:r w:rsidRPr="009F337B">
        <w:rPr>
          <w:i/>
          <w:szCs w:val="16"/>
          <w:lang w:val="en-US"/>
        </w:rPr>
        <w:t xml:space="preserve"> Massacre v. Colombia. </w:t>
      </w:r>
      <w:r w:rsidRPr="009F337B">
        <w:rPr>
          <w:szCs w:val="16"/>
          <w:lang w:val="en-US"/>
        </w:rPr>
        <w:t>Judgment of September 15, 2005</w:t>
      </w:r>
      <w:r w:rsidRPr="009F337B">
        <w:rPr>
          <w:i/>
          <w:szCs w:val="16"/>
          <w:lang w:val="en-US"/>
        </w:rPr>
        <w:t>.</w:t>
      </w:r>
      <w:r w:rsidRPr="009F337B">
        <w:rPr>
          <w:szCs w:val="16"/>
          <w:lang w:val="en-US"/>
        </w:rPr>
        <w:t xml:space="preserve"> Series C No. 134, para. 107, and </w:t>
      </w:r>
      <w:r w:rsidRPr="009F337B">
        <w:rPr>
          <w:i/>
          <w:szCs w:val="16"/>
          <w:lang w:val="en-US"/>
        </w:rPr>
        <w:t xml:space="preserve">Case of the Pacheco </w:t>
      </w:r>
      <w:proofErr w:type="spellStart"/>
      <w:r w:rsidRPr="009F337B">
        <w:rPr>
          <w:i/>
          <w:szCs w:val="16"/>
          <w:lang w:val="en-US"/>
        </w:rPr>
        <w:t>Tineo</w:t>
      </w:r>
      <w:proofErr w:type="spellEnd"/>
      <w:r w:rsidRPr="009F337B">
        <w:rPr>
          <w:i/>
          <w:szCs w:val="16"/>
          <w:lang w:val="en-US"/>
        </w:rPr>
        <w:t xml:space="preserve"> family  v. Bolivia. Preliminary objections, merits, reparations and costs.</w:t>
      </w:r>
      <w:r w:rsidRPr="009F337B">
        <w:rPr>
          <w:szCs w:val="16"/>
          <w:lang w:val="en-US"/>
        </w:rPr>
        <w:t xml:space="preserve"> Judgment of November 25, 2013. Series C No. 272, para. 143.</w:t>
      </w:r>
    </w:p>
  </w:footnote>
  <w:footnote w:id="103">
    <w:p w14:paraId="7370C221" w14:textId="03CD7C29"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r>
      <w:r w:rsidRPr="009F337B">
        <w:rPr>
          <w:i/>
          <w:szCs w:val="16"/>
          <w:lang w:val="en-US"/>
        </w:rPr>
        <w:t xml:space="preserve">Cf. Case of the Pacheco </w:t>
      </w:r>
      <w:proofErr w:type="spellStart"/>
      <w:r w:rsidRPr="009F337B">
        <w:rPr>
          <w:i/>
          <w:szCs w:val="16"/>
          <w:lang w:val="en-US"/>
        </w:rPr>
        <w:t>Tineo</w:t>
      </w:r>
      <w:proofErr w:type="spellEnd"/>
      <w:r w:rsidRPr="009F337B">
        <w:rPr>
          <w:i/>
          <w:szCs w:val="16"/>
          <w:lang w:val="en-US"/>
        </w:rPr>
        <w:t xml:space="preserve"> family v. Bolivia. Preliminary objections, merits, reparations and costs.</w:t>
      </w:r>
      <w:r w:rsidRPr="009F337B">
        <w:rPr>
          <w:szCs w:val="16"/>
          <w:lang w:val="en-US"/>
        </w:rPr>
        <w:t xml:space="preserve"> Judgment of November 25, 2013. Series C No. 272, para. 143, and </w:t>
      </w:r>
      <w:r w:rsidRPr="009F337B">
        <w:rPr>
          <w:i/>
          <w:szCs w:val="16"/>
          <w:lang w:val="en-US"/>
        </w:rPr>
        <w:t xml:space="preserve">Case of </w:t>
      </w:r>
      <w:proofErr w:type="spellStart"/>
      <w:r w:rsidRPr="009F337B">
        <w:rPr>
          <w:i/>
          <w:szCs w:val="16"/>
          <w:lang w:val="en-US"/>
        </w:rPr>
        <w:t>Liakat</w:t>
      </w:r>
      <w:proofErr w:type="spellEnd"/>
      <w:r w:rsidRPr="009F337B">
        <w:rPr>
          <w:i/>
          <w:szCs w:val="16"/>
          <w:lang w:val="en-US"/>
        </w:rPr>
        <w:t xml:space="preserve"> Ali </w:t>
      </w:r>
      <w:proofErr w:type="spellStart"/>
      <w:r w:rsidRPr="009F337B">
        <w:rPr>
          <w:i/>
          <w:szCs w:val="16"/>
          <w:lang w:val="en-US"/>
        </w:rPr>
        <w:t>Alibux</w:t>
      </w:r>
      <w:proofErr w:type="spellEnd"/>
      <w:r w:rsidRPr="009F337B">
        <w:rPr>
          <w:i/>
          <w:szCs w:val="16"/>
          <w:lang w:val="en-US"/>
        </w:rPr>
        <w:t xml:space="preserve"> v. Suriname. Preliminary objections, merits, reparations and costs.</w:t>
      </w:r>
      <w:r w:rsidRPr="009F337B">
        <w:rPr>
          <w:szCs w:val="16"/>
          <w:lang w:val="en-US"/>
        </w:rPr>
        <w:t xml:space="preserve"> Judgment of January 30, 2014. Series C No. 276, para. 26. </w:t>
      </w:r>
    </w:p>
  </w:footnote>
  <w:footnote w:id="104">
    <w:p w14:paraId="47D45F14" w14:textId="618D9429"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r>
      <w:r w:rsidRPr="009F337B">
        <w:rPr>
          <w:i/>
          <w:szCs w:val="16"/>
          <w:lang w:val="en-US"/>
        </w:rPr>
        <w:t>Cf.</w:t>
      </w:r>
      <w:r w:rsidRPr="009F337B">
        <w:rPr>
          <w:szCs w:val="16"/>
          <w:lang w:val="en-US"/>
        </w:rPr>
        <w:t xml:space="preserve"> </w:t>
      </w:r>
      <w:r w:rsidRPr="009F337B">
        <w:rPr>
          <w:i/>
          <w:szCs w:val="16"/>
          <w:lang w:val="en-US"/>
        </w:rPr>
        <w:t xml:space="preserve">Case of Poblete </w:t>
      </w:r>
      <w:proofErr w:type="spellStart"/>
      <w:r w:rsidRPr="009F337B">
        <w:rPr>
          <w:i/>
          <w:szCs w:val="16"/>
          <w:lang w:val="en-US"/>
        </w:rPr>
        <w:t>Vilches</w:t>
      </w:r>
      <w:proofErr w:type="spellEnd"/>
      <w:r w:rsidRPr="009F337B">
        <w:rPr>
          <w:i/>
          <w:szCs w:val="16"/>
          <w:lang w:val="en-US"/>
        </w:rPr>
        <w:t xml:space="preserve"> et al. v. Chile. Merits, reparations and costs.</w:t>
      </w:r>
      <w:r w:rsidRPr="009F337B">
        <w:rPr>
          <w:szCs w:val="16"/>
          <w:lang w:val="en-US"/>
        </w:rPr>
        <w:t xml:space="preserve"> Judgment of March 8, 2018. Series C No. 349, para. 103; </w:t>
      </w:r>
      <w:r w:rsidRPr="009F337B">
        <w:rPr>
          <w:i/>
          <w:szCs w:val="16"/>
          <w:lang w:val="en-US"/>
        </w:rPr>
        <w:t>Case of Lagos del Campo v. Peru. Preliminary objections, merits, reparations and costs.</w:t>
      </w:r>
      <w:r w:rsidRPr="009F337B">
        <w:rPr>
          <w:szCs w:val="16"/>
          <w:lang w:val="en-US"/>
        </w:rPr>
        <w:t xml:space="preserve"> Judgment of August 31, 2017. Series C No. 340, para. 145; </w:t>
      </w:r>
      <w:r w:rsidRPr="009F337B">
        <w:rPr>
          <w:i/>
          <w:szCs w:val="16"/>
          <w:lang w:val="en-US"/>
        </w:rPr>
        <w:t>Case of I.V. v. Bolivia. Preliminary objections, merits, reparations and costs.</w:t>
      </w:r>
      <w:r w:rsidRPr="009F337B">
        <w:rPr>
          <w:szCs w:val="16"/>
          <w:lang w:val="en-US"/>
        </w:rPr>
        <w:t xml:space="preserve"> Judgment of November 30, 2016. Series C No. 329, para. 168; </w:t>
      </w:r>
      <w:r w:rsidRPr="009F337B">
        <w:rPr>
          <w:i/>
          <w:szCs w:val="16"/>
          <w:lang w:val="en-US"/>
        </w:rPr>
        <w:t xml:space="preserve">Case of the Pacheco </w:t>
      </w:r>
      <w:proofErr w:type="spellStart"/>
      <w:r w:rsidRPr="009F337B">
        <w:rPr>
          <w:i/>
          <w:szCs w:val="16"/>
          <w:lang w:val="en-US"/>
        </w:rPr>
        <w:t>Tineo</w:t>
      </w:r>
      <w:proofErr w:type="spellEnd"/>
      <w:r w:rsidRPr="009F337B">
        <w:rPr>
          <w:i/>
          <w:szCs w:val="16"/>
          <w:lang w:val="en-US"/>
        </w:rPr>
        <w:t xml:space="preserve"> family v. Bolivia. Preliminary objections, merits, reparations and costs.</w:t>
      </w:r>
      <w:r w:rsidRPr="009F337B">
        <w:rPr>
          <w:szCs w:val="16"/>
          <w:lang w:val="en-US"/>
        </w:rPr>
        <w:t xml:space="preserve"> Judgment of November 25, 2013. Series C No. 272, para. 129; </w:t>
      </w:r>
      <w:r w:rsidRPr="009F337B">
        <w:rPr>
          <w:i/>
          <w:szCs w:val="16"/>
          <w:lang w:val="en-US"/>
        </w:rPr>
        <w:t xml:space="preserve">Case of Atala </w:t>
      </w:r>
      <w:proofErr w:type="spellStart"/>
      <w:r w:rsidRPr="009F337B">
        <w:rPr>
          <w:i/>
          <w:szCs w:val="16"/>
          <w:lang w:val="en-US"/>
        </w:rPr>
        <w:t>Riffo</w:t>
      </w:r>
      <w:proofErr w:type="spellEnd"/>
      <w:r w:rsidRPr="009F337B">
        <w:rPr>
          <w:i/>
          <w:szCs w:val="16"/>
          <w:lang w:val="en-US"/>
        </w:rPr>
        <w:t xml:space="preserve"> and daughters v. Chile. Merits, reparations and costs.</w:t>
      </w:r>
      <w:r w:rsidRPr="009F337B">
        <w:rPr>
          <w:szCs w:val="16"/>
          <w:lang w:val="en-US"/>
        </w:rPr>
        <w:t xml:space="preserve"> Judgment of February 24, 2012. Series C No. 239, para. 83, and </w:t>
      </w:r>
      <w:r w:rsidRPr="009F337B">
        <w:rPr>
          <w:i/>
          <w:szCs w:val="16"/>
          <w:lang w:val="en-US"/>
        </w:rPr>
        <w:t>Case of Gelman v. Uruguay. Merits and reparations.</w:t>
      </w:r>
      <w:r w:rsidRPr="009F337B">
        <w:rPr>
          <w:szCs w:val="16"/>
          <w:lang w:val="en-US"/>
        </w:rPr>
        <w:t xml:space="preserve"> Judgment of February 24, 2011. Series C No. 221, para. 78 and 121.</w:t>
      </w:r>
    </w:p>
  </w:footnote>
  <w:footnote w:id="105">
    <w:p w14:paraId="39505C1B" w14:textId="729E8DA0"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r>
      <w:r w:rsidRPr="009F337B">
        <w:rPr>
          <w:i/>
          <w:szCs w:val="16"/>
          <w:lang w:val="en-US"/>
        </w:rPr>
        <w:t>Cf. Case of Suárez Peralta v. Ecuador. Preliminary objections, merits, reparations and costs.</w:t>
      </w:r>
      <w:r w:rsidRPr="009F337B">
        <w:rPr>
          <w:szCs w:val="16"/>
          <w:lang w:val="en-US"/>
        </w:rPr>
        <w:t xml:space="preserve"> Judgment of May 21. 2013. Series C No. 261, paras. 131 and 135, and </w:t>
      </w:r>
      <w:r w:rsidRPr="009F337B">
        <w:rPr>
          <w:i/>
          <w:szCs w:val="16"/>
          <w:lang w:val="en-US"/>
        </w:rPr>
        <w:t xml:space="preserve">Case of Poblete </w:t>
      </w:r>
      <w:proofErr w:type="spellStart"/>
      <w:r w:rsidRPr="009F337B">
        <w:rPr>
          <w:i/>
          <w:szCs w:val="16"/>
          <w:lang w:val="en-US"/>
        </w:rPr>
        <w:t>Vilches</w:t>
      </w:r>
      <w:proofErr w:type="spellEnd"/>
      <w:r w:rsidRPr="009F337B">
        <w:rPr>
          <w:i/>
          <w:szCs w:val="16"/>
          <w:lang w:val="en-US"/>
        </w:rPr>
        <w:t xml:space="preserve"> et al. v. Chile. Merits, reparations and costs.</w:t>
      </w:r>
      <w:r w:rsidRPr="009F337B">
        <w:rPr>
          <w:szCs w:val="16"/>
          <w:lang w:val="en-US"/>
        </w:rPr>
        <w:t xml:space="preserve"> Judgment of March 8, 2018. Series C No. 349, para. 114.</w:t>
      </w:r>
    </w:p>
  </w:footnote>
  <w:footnote w:id="106">
    <w:p w14:paraId="5AEA497B" w14:textId="6BF045C2"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r>
      <w:r w:rsidRPr="009F337B">
        <w:rPr>
          <w:i/>
          <w:szCs w:val="16"/>
          <w:lang w:val="en-US"/>
        </w:rPr>
        <w:t xml:space="preserve">Cf. Case of the Pacheco </w:t>
      </w:r>
      <w:proofErr w:type="spellStart"/>
      <w:r w:rsidRPr="009F337B">
        <w:rPr>
          <w:i/>
          <w:szCs w:val="16"/>
          <w:lang w:val="en-US"/>
        </w:rPr>
        <w:t>Tineo</w:t>
      </w:r>
      <w:proofErr w:type="spellEnd"/>
      <w:r w:rsidRPr="009F337B">
        <w:rPr>
          <w:i/>
          <w:szCs w:val="16"/>
          <w:lang w:val="en-US"/>
        </w:rPr>
        <w:t xml:space="preserve"> family v. Bolivia. Preliminary objections, merits, reparations and costs.</w:t>
      </w:r>
      <w:r w:rsidRPr="009F337B">
        <w:rPr>
          <w:szCs w:val="16"/>
          <w:lang w:val="en-US"/>
        </w:rPr>
        <w:t xml:space="preserve"> Judgment of November 25, 2013. Series C No. 272, para.143.</w:t>
      </w:r>
    </w:p>
  </w:footnote>
  <w:footnote w:id="107">
    <w:p w14:paraId="6911CD12" w14:textId="1896377B"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r>
      <w:r w:rsidRPr="009F337B">
        <w:rPr>
          <w:i/>
          <w:szCs w:val="16"/>
          <w:lang w:val="en-US"/>
        </w:rPr>
        <w:t>Cf.</w:t>
      </w:r>
      <w:r w:rsidRPr="009F337B">
        <w:rPr>
          <w:szCs w:val="16"/>
          <w:lang w:val="en-US"/>
        </w:rPr>
        <w:t xml:space="preserve"> </w:t>
      </w:r>
      <w:r w:rsidRPr="009F337B">
        <w:rPr>
          <w:rStyle w:val="Textoennegrita"/>
          <w:b w:val="0"/>
          <w:i/>
          <w:szCs w:val="16"/>
          <w:lang w:val="en-US"/>
        </w:rPr>
        <w:t xml:space="preserve">Interpretation of the American Declaration of the Rights and Duties of Man within the Framework of Article 64 of the American Convention on Human Rights. </w:t>
      </w:r>
      <w:r w:rsidRPr="009F337B">
        <w:rPr>
          <w:rStyle w:val="Textoennegrita"/>
          <w:b w:val="0"/>
          <w:szCs w:val="16"/>
          <w:lang w:val="en-US"/>
        </w:rPr>
        <w:t>Advisory Opinion OC-10/89 of July 14,1989</w:t>
      </w:r>
      <w:r w:rsidRPr="009F337B">
        <w:rPr>
          <w:szCs w:val="16"/>
          <w:lang w:val="en-US"/>
        </w:rPr>
        <w:t xml:space="preserve">. Series A No. 10. para. 43, and </w:t>
      </w:r>
      <w:r w:rsidRPr="009F337B">
        <w:rPr>
          <w:i/>
          <w:szCs w:val="16"/>
          <w:lang w:val="en-US"/>
        </w:rPr>
        <w:t xml:space="preserve">Case of Poblete </w:t>
      </w:r>
      <w:proofErr w:type="spellStart"/>
      <w:r w:rsidRPr="009F337B">
        <w:rPr>
          <w:i/>
          <w:szCs w:val="16"/>
          <w:lang w:val="en-US"/>
        </w:rPr>
        <w:t>Vilches</w:t>
      </w:r>
      <w:proofErr w:type="spellEnd"/>
      <w:r w:rsidRPr="009F337B">
        <w:rPr>
          <w:i/>
          <w:szCs w:val="16"/>
          <w:lang w:val="en-US"/>
        </w:rPr>
        <w:t xml:space="preserve"> et al. v. Chile. Merits, reparations and costs</w:t>
      </w:r>
      <w:r w:rsidRPr="009F337B">
        <w:rPr>
          <w:szCs w:val="16"/>
          <w:lang w:val="en-US"/>
        </w:rPr>
        <w:t>. Judgment of March 8, 2018. Series C No. 349, para. 107.</w:t>
      </w:r>
    </w:p>
  </w:footnote>
  <w:footnote w:id="108">
    <w:p w14:paraId="6AF52020" w14:textId="4713C7D1" w:rsidR="00AF5CC6" w:rsidRPr="009F337B" w:rsidRDefault="00AF5CC6" w:rsidP="00A30D95">
      <w:pPr>
        <w:pStyle w:val="Textonotapie"/>
        <w:spacing w:before="0"/>
        <w:rPr>
          <w:b/>
          <w:szCs w:val="16"/>
          <w:lang w:val="en-US"/>
        </w:rPr>
      </w:pPr>
      <w:r w:rsidRPr="009F337B">
        <w:rPr>
          <w:rStyle w:val="Refdenotaalpie"/>
          <w:szCs w:val="16"/>
          <w:lang w:val="en-US"/>
        </w:rPr>
        <w:footnoteRef/>
      </w:r>
      <w:r w:rsidRPr="009F337B">
        <w:rPr>
          <w:szCs w:val="16"/>
          <w:lang w:val="en-US"/>
        </w:rPr>
        <w:tab/>
      </w:r>
      <w:r w:rsidRPr="009F337B">
        <w:rPr>
          <w:i/>
          <w:szCs w:val="16"/>
          <w:lang w:val="en-US"/>
        </w:rPr>
        <w:t xml:space="preserve">Cf. </w:t>
      </w:r>
      <w:r w:rsidRPr="009F337B">
        <w:rPr>
          <w:rStyle w:val="Textoennegrita"/>
          <w:b w:val="0"/>
          <w:i/>
          <w:szCs w:val="16"/>
          <w:lang w:val="en-US"/>
        </w:rPr>
        <w:t xml:space="preserve">The Right to Information on Consular Assistance in the Framework of the Guarantees of the Due Process of Law. </w:t>
      </w:r>
      <w:r w:rsidRPr="009F337B">
        <w:rPr>
          <w:rStyle w:val="Textoennegrita"/>
          <w:b w:val="0"/>
          <w:szCs w:val="16"/>
          <w:lang w:val="en-US"/>
        </w:rPr>
        <w:t>Advisory Opinion OC-16/99 of October 1, 1999</w:t>
      </w:r>
      <w:r w:rsidRPr="009F337B">
        <w:rPr>
          <w:szCs w:val="16"/>
          <w:lang w:val="en-US"/>
        </w:rPr>
        <w:t xml:space="preserve">. Series A No. 16, para. 114, and </w:t>
      </w:r>
      <w:r w:rsidRPr="009F337B">
        <w:rPr>
          <w:rStyle w:val="Textoennegrita"/>
          <w:b w:val="0"/>
          <w:i/>
          <w:szCs w:val="16"/>
          <w:lang w:val="en-US"/>
        </w:rPr>
        <w:t xml:space="preserve">The institution of asylum, and its recognition as a human right under the Inter-American System of Protection (interpretation and scope of Articles 5, 22(7) and 22(8) in relation to Article 1(1) of the American Convention on Human Rights). </w:t>
      </w:r>
      <w:r w:rsidRPr="009F337B">
        <w:rPr>
          <w:rStyle w:val="Textoennegrita"/>
          <w:b w:val="0"/>
          <w:szCs w:val="16"/>
          <w:lang w:val="en-US"/>
        </w:rPr>
        <w:t>Advisory Opinion OC-25/18 of May 30, 2018</w:t>
      </w:r>
      <w:r w:rsidRPr="009F337B">
        <w:rPr>
          <w:rStyle w:val="Textoennegrita"/>
          <w:b w:val="0"/>
          <w:color w:val="000000"/>
          <w:szCs w:val="16"/>
          <w:shd w:val="clear" w:color="auto" w:fill="FFFFFF"/>
          <w:lang w:val="en-US"/>
        </w:rPr>
        <w:t>. Series A No. 25, para. 137.</w:t>
      </w:r>
    </w:p>
  </w:footnote>
  <w:footnote w:id="109">
    <w:p w14:paraId="6DDD90B0" w14:textId="7CF93CBE" w:rsidR="00AF5CC6" w:rsidRPr="009F337B" w:rsidRDefault="00AF5CC6" w:rsidP="00A30D95">
      <w:pPr>
        <w:pStyle w:val="NormalWeb"/>
        <w:spacing w:before="0" w:beforeAutospacing="0" w:after="120" w:afterAutospacing="0"/>
        <w:jc w:val="both"/>
        <w:rPr>
          <w:rFonts w:ascii="Verdana" w:hAnsi="Verdana" w:cs="Arial"/>
          <w:bCs/>
          <w:sz w:val="16"/>
          <w:szCs w:val="16"/>
        </w:rPr>
      </w:pPr>
      <w:r w:rsidRPr="009F337B">
        <w:rPr>
          <w:rStyle w:val="Refdenotaalpie"/>
          <w:rFonts w:ascii="Verdana" w:hAnsi="Verdana"/>
          <w:sz w:val="16"/>
          <w:szCs w:val="16"/>
        </w:rPr>
        <w:footnoteRef/>
      </w:r>
      <w:r w:rsidRPr="009F337B">
        <w:rPr>
          <w:rFonts w:ascii="Verdana" w:hAnsi="Verdana"/>
          <w:sz w:val="16"/>
          <w:szCs w:val="16"/>
        </w:rPr>
        <w:tab/>
        <w:t>Article 10(1) of the Protocol of San Salvador establishes: “[e]</w:t>
      </w:r>
      <w:proofErr w:type="spellStart"/>
      <w:r w:rsidRPr="009F337B">
        <w:rPr>
          <w:rFonts w:ascii="Verdana" w:hAnsi="Verdana" w:cs="Tahoma"/>
          <w:bCs/>
          <w:sz w:val="16"/>
          <w:szCs w:val="16"/>
        </w:rPr>
        <w:t>veryone</w:t>
      </w:r>
      <w:proofErr w:type="spellEnd"/>
      <w:r w:rsidRPr="009F337B">
        <w:rPr>
          <w:rFonts w:ascii="Verdana" w:hAnsi="Verdana" w:cs="Tahoma"/>
          <w:bCs/>
          <w:sz w:val="16"/>
          <w:szCs w:val="16"/>
        </w:rPr>
        <w:t xml:space="preserve"> shall have the right to health, understood to mean the enjoyment of the highest level of physical, mental and social well-being</w:t>
      </w:r>
      <w:r w:rsidRPr="009F337B">
        <w:rPr>
          <w:rFonts w:ascii="Verdana" w:hAnsi="Verdana"/>
          <w:sz w:val="16"/>
          <w:szCs w:val="16"/>
        </w:rPr>
        <w:t xml:space="preserve">. 2. </w:t>
      </w:r>
      <w:r w:rsidRPr="009F337B">
        <w:rPr>
          <w:rFonts w:ascii="Verdana" w:hAnsi="Verdana" w:cs="Tahoma"/>
          <w:bCs/>
          <w:sz w:val="16"/>
          <w:szCs w:val="16"/>
        </w:rPr>
        <w:t>In order to ensure the exercise of the right to health, the States Parties agree to recognize health as a public good and, particularly, to adopt the following measures to ensure that right:</w:t>
      </w:r>
      <w:r w:rsidRPr="009F337B">
        <w:rPr>
          <w:rFonts w:ascii="Verdana" w:hAnsi="Verdana" w:cs="Arial"/>
          <w:bCs/>
          <w:sz w:val="16"/>
          <w:szCs w:val="16"/>
        </w:rPr>
        <w:t xml:space="preserve"> </w:t>
      </w:r>
      <w:r w:rsidRPr="009F337B">
        <w:rPr>
          <w:rFonts w:ascii="Verdana" w:hAnsi="Verdana" w:cs="Tahoma"/>
          <w:bCs/>
          <w:sz w:val="16"/>
          <w:szCs w:val="16"/>
        </w:rPr>
        <w:t>a. Primary health care, that is, essential health care made available to all individuals and families in the community; [and]</w:t>
      </w:r>
      <w:r w:rsidRPr="009F337B">
        <w:rPr>
          <w:rFonts w:ascii="Verdana" w:hAnsi="Verdana" w:cs="Arial"/>
          <w:bCs/>
          <w:sz w:val="16"/>
          <w:szCs w:val="16"/>
        </w:rPr>
        <w:t xml:space="preserve"> </w:t>
      </w:r>
      <w:r w:rsidRPr="009F337B">
        <w:rPr>
          <w:rFonts w:ascii="Verdana" w:hAnsi="Verdana" w:cs="Tahoma"/>
          <w:bCs/>
          <w:sz w:val="16"/>
          <w:szCs w:val="16"/>
        </w:rPr>
        <w:t>b. Extension of the benefits of health services to all individuals subject to the State's jurisdiction.”</w:t>
      </w:r>
    </w:p>
  </w:footnote>
  <w:footnote w:id="110">
    <w:p w14:paraId="6D8BD6C0" w14:textId="6CEB02AF"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r>
      <w:r w:rsidRPr="009F337B">
        <w:rPr>
          <w:i/>
          <w:szCs w:val="16"/>
          <w:lang w:val="en-US"/>
        </w:rPr>
        <w:t xml:space="preserve">Cf. </w:t>
      </w:r>
      <w:r w:rsidRPr="009F337B">
        <w:rPr>
          <w:szCs w:val="16"/>
          <w:lang w:val="en-US"/>
        </w:rPr>
        <w:t>International Covenant on Economic, Social and Cultural Rights, Article 12, adopted by the United Nations General Assembly by Resolution 2200A (XXI), of December 16, 1966, and in force since January 3, 1976.</w:t>
      </w:r>
    </w:p>
  </w:footnote>
  <w:footnote w:id="111">
    <w:p w14:paraId="301974B9" w14:textId="2A4EBA7A" w:rsidR="00AF5CC6" w:rsidRPr="009F337B" w:rsidRDefault="00AF5CC6" w:rsidP="00A30D95">
      <w:pPr>
        <w:pStyle w:val="Textonotapie"/>
        <w:spacing w:before="0"/>
        <w:rPr>
          <w:szCs w:val="16"/>
          <w:lang w:val="es-CR"/>
        </w:rPr>
      </w:pPr>
      <w:r w:rsidRPr="009F337B">
        <w:rPr>
          <w:rStyle w:val="Refdenotaalpie"/>
          <w:szCs w:val="16"/>
          <w:lang w:val="en-US"/>
        </w:rPr>
        <w:footnoteRef/>
      </w:r>
      <w:r w:rsidRPr="009F337B">
        <w:rPr>
          <w:szCs w:val="16"/>
          <w:lang w:val="en-US"/>
        </w:rPr>
        <w:tab/>
      </w:r>
      <w:r w:rsidRPr="009F337B">
        <w:rPr>
          <w:i/>
          <w:szCs w:val="16"/>
          <w:lang w:val="en-US"/>
        </w:rPr>
        <w:t xml:space="preserve">Cf. Case of Poblete </w:t>
      </w:r>
      <w:proofErr w:type="spellStart"/>
      <w:r w:rsidRPr="009F337B">
        <w:rPr>
          <w:i/>
          <w:szCs w:val="16"/>
          <w:lang w:val="en-US"/>
        </w:rPr>
        <w:t>Vilches</w:t>
      </w:r>
      <w:proofErr w:type="spellEnd"/>
      <w:r w:rsidRPr="009F337B">
        <w:rPr>
          <w:i/>
          <w:szCs w:val="16"/>
          <w:lang w:val="en-US"/>
        </w:rPr>
        <w:t xml:space="preserve"> et al. v. Chile. Merits, reparations and costs.</w:t>
      </w:r>
      <w:r w:rsidRPr="009F337B">
        <w:rPr>
          <w:szCs w:val="16"/>
          <w:lang w:val="en-US"/>
        </w:rPr>
        <w:t xml:space="preserve"> Judgment of March 8, 2018. </w:t>
      </w:r>
      <w:r w:rsidRPr="009F337B">
        <w:rPr>
          <w:szCs w:val="16"/>
          <w:lang w:val="es-CR"/>
        </w:rPr>
        <w:t>Series C No. 349, para. 118.</w:t>
      </w:r>
    </w:p>
  </w:footnote>
  <w:footnote w:id="112">
    <w:p w14:paraId="55DA3C61" w14:textId="0ED2F175"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s-CR"/>
        </w:rPr>
        <w:tab/>
      </w:r>
      <w:r w:rsidRPr="009F337B">
        <w:rPr>
          <w:i/>
          <w:szCs w:val="16"/>
          <w:lang w:val="es-CR"/>
        </w:rPr>
        <w:t xml:space="preserve">Cf. </w:t>
      </w:r>
      <w:r w:rsidRPr="009F337B">
        <w:rPr>
          <w:rStyle w:val="Textoennegrita"/>
          <w:b w:val="0"/>
          <w:i/>
          <w:color w:val="000000"/>
          <w:szCs w:val="16"/>
          <w:shd w:val="clear" w:color="auto" w:fill="FFFFFF"/>
          <w:lang w:val="es-CR"/>
        </w:rPr>
        <w:t xml:space="preserve">Case </w:t>
      </w:r>
      <w:proofErr w:type="spellStart"/>
      <w:r w:rsidRPr="009F337B">
        <w:rPr>
          <w:rStyle w:val="Textoennegrita"/>
          <w:b w:val="0"/>
          <w:i/>
          <w:color w:val="000000"/>
          <w:szCs w:val="16"/>
          <w:shd w:val="clear" w:color="auto" w:fill="FFFFFF"/>
          <w:lang w:val="es-CR"/>
        </w:rPr>
        <w:t>of</w:t>
      </w:r>
      <w:proofErr w:type="spellEnd"/>
      <w:r w:rsidRPr="009F337B">
        <w:rPr>
          <w:rStyle w:val="Textoennegrita"/>
          <w:b w:val="0"/>
          <w:i/>
          <w:color w:val="000000"/>
          <w:szCs w:val="16"/>
          <w:shd w:val="clear" w:color="auto" w:fill="FFFFFF"/>
          <w:lang w:val="es-CR"/>
        </w:rPr>
        <w:t xml:space="preserve"> Suárez Peralta v. Ecuador. </w:t>
      </w:r>
      <w:r w:rsidRPr="009F337B">
        <w:rPr>
          <w:rStyle w:val="Textoennegrita"/>
          <w:b w:val="0"/>
          <w:i/>
          <w:color w:val="000000"/>
          <w:szCs w:val="16"/>
          <w:shd w:val="clear" w:color="auto" w:fill="FFFFFF"/>
          <w:lang w:val="en-US"/>
        </w:rPr>
        <w:t>Preliminary objections, merits, reparations and costs.</w:t>
      </w:r>
      <w:r w:rsidRPr="009F337B">
        <w:rPr>
          <w:rStyle w:val="Textoennegrita"/>
          <w:b w:val="0"/>
          <w:color w:val="000000"/>
          <w:szCs w:val="16"/>
          <w:shd w:val="clear" w:color="auto" w:fill="FFFFFF"/>
          <w:lang w:val="en-US"/>
        </w:rPr>
        <w:t xml:space="preserve"> Judgment of May 21. 2013. Series C No. 261, para. 134, and </w:t>
      </w:r>
      <w:r w:rsidRPr="009F337B">
        <w:rPr>
          <w:i/>
          <w:szCs w:val="16"/>
          <w:lang w:val="en-US"/>
        </w:rPr>
        <w:t xml:space="preserve">Case of Poblete </w:t>
      </w:r>
      <w:proofErr w:type="spellStart"/>
      <w:r w:rsidRPr="009F337B">
        <w:rPr>
          <w:i/>
          <w:szCs w:val="16"/>
          <w:lang w:val="en-US"/>
        </w:rPr>
        <w:t>Vilches</w:t>
      </w:r>
      <w:proofErr w:type="spellEnd"/>
      <w:r w:rsidRPr="009F337B">
        <w:rPr>
          <w:i/>
          <w:szCs w:val="16"/>
          <w:lang w:val="en-US"/>
        </w:rPr>
        <w:t xml:space="preserve"> et al. v. Chile. Merits, reparations and costs.</w:t>
      </w:r>
      <w:r w:rsidRPr="009F337B">
        <w:rPr>
          <w:szCs w:val="16"/>
          <w:lang w:val="en-US"/>
        </w:rPr>
        <w:t xml:space="preserve"> Judgment of March 8, 2018. Series C No. 349, para. 119.</w:t>
      </w:r>
    </w:p>
  </w:footnote>
  <w:footnote w:id="113">
    <w:p w14:paraId="28BA7A83" w14:textId="0D1C84F3" w:rsidR="00AF5CC6" w:rsidRPr="009F337B" w:rsidRDefault="00AF5CC6" w:rsidP="00A30D95">
      <w:pPr>
        <w:pStyle w:val="Textonotapie"/>
        <w:spacing w:before="0"/>
        <w:rPr>
          <w:szCs w:val="16"/>
          <w:lang w:val="es-CR"/>
        </w:rPr>
      </w:pPr>
      <w:r w:rsidRPr="009F337B">
        <w:rPr>
          <w:rStyle w:val="Refdenotaalpie"/>
          <w:rFonts w:eastAsia="Calibri"/>
          <w:szCs w:val="16"/>
          <w:lang w:val="en-US"/>
        </w:rPr>
        <w:footnoteRef/>
      </w:r>
      <w:r w:rsidRPr="009F337B">
        <w:rPr>
          <w:szCs w:val="16"/>
          <w:lang w:val="en-US"/>
        </w:rPr>
        <w:tab/>
      </w:r>
      <w:r w:rsidRPr="009F337B">
        <w:rPr>
          <w:i/>
          <w:szCs w:val="16"/>
          <w:lang w:val="en-US"/>
        </w:rPr>
        <w:t xml:space="preserve">Cf. Case of Poblete </w:t>
      </w:r>
      <w:proofErr w:type="spellStart"/>
      <w:r w:rsidRPr="009F337B">
        <w:rPr>
          <w:i/>
          <w:szCs w:val="16"/>
          <w:lang w:val="en-US"/>
        </w:rPr>
        <w:t>Vilches</w:t>
      </w:r>
      <w:proofErr w:type="spellEnd"/>
      <w:r w:rsidRPr="009F337B">
        <w:rPr>
          <w:i/>
          <w:szCs w:val="16"/>
          <w:lang w:val="en-US"/>
        </w:rPr>
        <w:t xml:space="preserve"> et al. v. Chile. Merits, reparations and costs.</w:t>
      </w:r>
      <w:r w:rsidRPr="009F337B">
        <w:rPr>
          <w:szCs w:val="16"/>
          <w:lang w:val="en-US"/>
        </w:rPr>
        <w:t xml:space="preserve"> Judgment of March 8, 2018. Series C No. 349, para. 118, and General Comment No. 14: The Right to the Highest Attainable Standard of Health, August 11, 2000, U.N. Doc. </w:t>
      </w:r>
      <w:r w:rsidRPr="009F337B">
        <w:rPr>
          <w:szCs w:val="16"/>
          <w:lang w:val="es-CR"/>
        </w:rPr>
        <w:t>E/C.12/2000/4, para. 1.</w:t>
      </w:r>
    </w:p>
  </w:footnote>
  <w:footnote w:id="114">
    <w:p w14:paraId="0E13EDB4" w14:textId="6D4BEA85" w:rsidR="00AF5CC6" w:rsidRPr="009F337B" w:rsidRDefault="00AF5CC6" w:rsidP="00A30D95">
      <w:pPr>
        <w:pStyle w:val="Textonotapie"/>
        <w:spacing w:before="0"/>
        <w:rPr>
          <w:szCs w:val="16"/>
          <w:lang w:val="es-CR"/>
        </w:rPr>
      </w:pPr>
      <w:r w:rsidRPr="009F337B">
        <w:rPr>
          <w:rStyle w:val="Refdenotaalpie"/>
          <w:szCs w:val="16"/>
          <w:lang w:val="en-US"/>
        </w:rPr>
        <w:footnoteRef/>
      </w:r>
      <w:r w:rsidRPr="009F337B">
        <w:rPr>
          <w:szCs w:val="16"/>
          <w:lang w:val="es-CR"/>
        </w:rPr>
        <w:t xml:space="preserve"> </w:t>
      </w:r>
      <w:r w:rsidRPr="009F337B">
        <w:rPr>
          <w:szCs w:val="16"/>
          <w:lang w:val="es-CR"/>
        </w:rPr>
        <w:tab/>
      </w:r>
      <w:r w:rsidRPr="009F337B">
        <w:rPr>
          <w:i/>
          <w:szCs w:val="16"/>
          <w:lang w:val="es-CR"/>
        </w:rPr>
        <w:t xml:space="preserve">Cf. </w:t>
      </w:r>
      <w:r w:rsidRPr="009F337B">
        <w:rPr>
          <w:rStyle w:val="Textoennegrita"/>
          <w:b w:val="0"/>
          <w:i/>
          <w:color w:val="000000"/>
          <w:szCs w:val="16"/>
          <w:shd w:val="clear" w:color="auto" w:fill="FFFFFF"/>
          <w:lang w:val="es-CR"/>
        </w:rPr>
        <w:t xml:space="preserve">Case </w:t>
      </w:r>
      <w:proofErr w:type="spellStart"/>
      <w:r w:rsidRPr="009F337B">
        <w:rPr>
          <w:rStyle w:val="Textoennegrita"/>
          <w:b w:val="0"/>
          <w:i/>
          <w:color w:val="000000"/>
          <w:szCs w:val="16"/>
          <w:shd w:val="clear" w:color="auto" w:fill="FFFFFF"/>
          <w:lang w:val="es-CR"/>
        </w:rPr>
        <w:t>of</w:t>
      </w:r>
      <w:proofErr w:type="spellEnd"/>
      <w:r w:rsidRPr="009F337B">
        <w:rPr>
          <w:rStyle w:val="Textoennegrita"/>
          <w:b w:val="0"/>
          <w:i/>
          <w:color w:val="000000"/>
          <w:szCs w:val="16"/>
          <w:shd w:val="clear" w:color="auto" w:fill="FFFFFF"/>
          <w:lang w:val="es-CR"/>
        </w:rPr>
        <w:t xml:space="preserve"> Suárez Peralta v. Ecuador. </w:t>
      </w:r>
      <w:r w:rsidRPr="009F337B">
        <w:rPr>
          <w:rStyle w:val="Textoennegrita"/>
          <w:b w:val="0"/>
          <w:i/>
          <w:color w:val="000000"/>
          <w:szCs w:val="16"/>
          <w:shd w:val="clear" w:color="auto" w:fill="FFFFFF"/>
          <w:lang w:val="en-US"/>
        </w:rPr>
        <w:t>Preliminary objections, merits, reparations and costs</w:t>
      </w:r>
      <w:r w:rsidRPr="009F337B">
        <w:rPr>
          <w:rStyle w:val="Textoennegrita"/>
          <w:b w:val="0"/>
          <w:color w:val="000000"/>
          <w:szCs w:val="16"/>
          <w:shd w:val="clear" w:color="auto" w:fill="FFFFFF"/>
          <w:lang w:val="en-US"/>
        </w:rPr>
        <w:t xml:space="preserve">. Judgment of May 21. 2013. Series C No. 261, para. 152; </w:t>
      </w:r>
      <w:r w:rsidRPr="009F337B">
        <w:rPr>
          <w:rStyle w:val="Textoennegrita"/>
          <w:b w:val="0"/>
          <w:i/>
          <w:color w:val="000000"/>
          <w:szCs w:val="16"/>
          <w:shd w:val="clear" w:color="auto" w:fill="FFFFFF"/>
          <w:lang w:val="en-US"/>
        </w:rPr>
        <w:t xml:space="preserve">Case of Poblete </w:t>
      </w:r>
      <w:proofErr w:type="spellStart"/>
      <w:r w:rsidRPr="009F337B">
        <w:rPr>
          <w:rStyle w:val="Textoennegrita"/>
          <w:b w:val="0"/>
          <w:i/>
          <w:color w:val="000000"/>
          <w:szCs w:val="16"/>
          <w:shd w:val="clear" w:color="auto" w:fill="FFFFFF"/>
          <w:lang w:val="en-US"/>
        </w:rPr>
        <w:t>Vilches</w:t>
      </w:r>
      <w:proofErr w:type="spellEnd"/>
      <w:r w:rsidRPr="009F337B">
        <w:rPr>
          <w:rStyle w:val="Textoennegrita"/>
          <w:b w:val="0"/>
          <w:i/>
          <w:color w:val="000000"/>
          <w:szCs w:val="16"/>
          <w:shd w:val="clear" w:color="auto" w:fill="FFFFFF"/>
          <w:lang w:val="en-US"/>
        </w:rPr>
        <w:t xml:space="preserve"> et al. v. Chile. Merits, reparations and costs</w:t>
      </w:r>
      <w:r w:rsidRPr="009F337B">
        <w:rPr>
          <w:rStyle w:val="Textoennegrita"/>
          <w:b w:val="0"/>
          <w:color w:val="000000"/>
          <w:szCs w:val="16"/>
          <w:shd w:val="clear" w:color="auto" w:fill="FFFFFF"/>
          <w:lang w:val="en-US"/>
        </w:rPr>
        <w:t xml:space="preserve">. Judgment of March 8, 2018. Series C No. 349, paras. 120 and 121, and </w:t>
      </w:r>
      <w:r w:rsidRPr="009F337B">
        <w:rPr>
          <w:szCs w:val="16"/>
          <w:lang w:val="en-US"/>
        </w:rPr>
        <w:t xml:space="preserve">Committee on Economic, Social and Cultural Rights, General Comment No. 14: The Right to the Highest Attainable Standard of Health, August 11, 2000. </w:t>
      </w:r>
      <w:r w:rsidRPr="009F337B">
        <w:rPr>
          <w:szCs w:val="16"/>
          <w:lang w:val="es-CR"/>
        </w:rPr>
        <w:t>U.N. Doc. E/C.12/2000/4</w:t>
      </w:r>
      <w:r w:rsidRPr="009F337B">
        <w:rPr>
          <w:rStyle w:val="Textoennegrita"/>
          <w:b w:val="0"/>
          <w:color w:val="000000"/>
          <w:szCs w:val="16"/>
          <w:shd w:val="clear" w:color="auto" w:fill="FFFFFF"/>
          <w:lang w:val="es-CR"/>
        </w:rPr>
        <w:t>, para. 12.</w:t>
      </w:r>
    </w:p>
  </w:footnote>
  <w:footnote w:id="115">
    <w:p w14:paraId="7F280C5A" w14:textId="77777777" w:rsidR="00AF5CC6" w:rsidRPr="009F337B" w:rsidRDefault="00AF5CC6" w:rsidP="00A30D95">
      <w:pPr>
        <w:pStyle w:val="Textonotapie"/>
        <w:spacing w:before="0"/>
        <w:rPr>
          <w:szCs w:val="16"/>
          <w:lang w:val="es-CR"/>
        </w:rPr>
      </w:pPr>
      <w:r w:rsidRPr="009F337B">
        <w:rPr>
          <w:rStyle w:val="Refdenotaalpie"/>
          <w:szCs w:val="16"/>
          <w:lang w:val="en-US"/>
        </w:rPr>
        <w:footnoteRef/>
      </w:r>
      <w:r w:rsidRPr="009F337B">
        <w:rPr>
          <w:szCs w:val="16"/>
          <w:lang w:val="es-CR"/>
        </w:rPr>
        <w:tab/>
      </w:r>
      <w:r w:rsidRPr="009F337B">
        <w:rPr>
          <w:i/>
          <w:szCs w:val="16"/>
          <w:lang w:val="es-CR"/>
        </w:rPr>
        <w:t xml:space="preserve">Cf. Case </w:t>
      </w:r>
      <w:proofErr w:type="spellStart"/>
      <w:r w:rsidRPr="009F337B">
        <w:rPr>
          <w:i/>
          <w:szCs w:val="16"/>
          <w:lang w:val="es-CR"/>
        </w:rPr>
        <w:t>of</w:t>
      </w:r>
      <w:proofErr w:type="spellEnd"/>
      <w:r w:rsidRPr="009F337B">
        <w:rPr>
          <w:i/>
          <w:szCs w:val="16"/>
          <w:lang w:val="es-CR"/>
        </w:rPr>
        <w:t xml:space="preserve"> Duque v. Colombia. </w:t>
      </w:r>
      <w:r w:rsidRPr="009F337B">
        <w:rPr>
          <w:i/>
          <w:szCs w:val="16"/>
          <w:lang w:val="en-US"/>
        </w:rPr>
        <w:t xml:space="preserve">Preliminary objections, merits, reparations and costs. </w:t>
      </w:r>
      <w:r w:rsidRPr="009F337B">
        <w:rPr>
          <w:szCs w:val="16"/>
          <w:lang w:val="en-US"/>
        </w:rPr>
        <w:t xml:space="preserve">Judgment of February 26, 2016. Series C No. 310, para. 174, and </w:t>
      </w:r>
      <w:r w:rsidRPr="009F337B">
        <w:rPr>
          <w:i/>
          <w:szCs w:val="16"/>
          <w:lang w:val="en-US"/>
        </w:rPr>
        <w:t xml:space="preserve">Case of Gonzales </w:t>
      </w:r>
      <w:proofErr w:type="spellStart"/>
      <w:r w:rsidRPr="009F337B">
        <w:rPr>
          <w:i/>
          <w:szCs w:val="16"/>
          <w:lang w:val="en-US"/>
        </w:rPr>
        <w:t>Lluy</w:t>
      </w:r>
      <w:proofErr w:type="spellEnd"/>
      <w:r w:rsidRPr="009F337B">
        <w:rPr>
          <w:i/>
          <w:szCs w:val="16"/>
          <w:lang w:val="en-US"/>
        </w:rPr>
        <w:t xml:space="preserve"> et al. v. Ecuador. Preliminary objections, merits, reparations and costs.</w:t>
      </w:r>
      <w:r w:rsidRPr="009F337B">
        <w:rPr>
          <w:szCs w:val="16"/>
          <w:lang w:val="en-US"/>
        </w:rPr>
        <w:t xml:space="preserve"> Judgment of September 1, 2015. Series C No. 298, para. 194. Similarly, according to </w:t>
      </w:r>
      <w:r w:rsidRPr="009F337B">
        <w:rPr>
          <w:rFonts w:eastAsia="Times" w:cs="Arial"/>
          <w:szCs w:val="16"/>
          <w:lang w:val="en-US"/>
        </w:rPr>
        <w:t>General Comment No. 14 of the Committee on ESCR, the right to the highest attainable standard of health gives rise to minimum obligations, which include to “</w:t>
      </w:r>
      <w:r w:rsidRPr="009F337B">
        <w:rPr>
          <w:szCs w:val="16"/>
          <w:lang w:val="en-US"/>
        </w:rPr>
        <w:t xml:space="preserve">provide essential drugs, as from time to time defined under the WHO Action </w:t>
      </w:r>
      <w:proofErr w:type="spellStart"/>
      <w:r w:rsidRPr="009F337B">
        <w:rPr>
          <w:szCs w:val="16"/>
          <w:lang w:val="en-US"/>
        </w:rPr>
        <w:t>Programme</w:t>
      </w:r>
      <w:proofErr w:type="spellEnd"/>
      <w:r w:rsidRPr="009F337B">
        <w:rPr>
          <w:szCs w:val="16"/>
          <w:lang w:val="en-US"/>
        </w:rPr>
        <w:t xml:space="preserve"> on Essential Drugs</w:t>
      </w:r>
      <w:r w:rsidRPr="009F337B">
        <w:rPr>
          <w:rFonts w:eastAsia="Times" w:cs="Arial"/>
          <w:szCs w:val="16"/>
          <w:lang w:val="en-US"/>
        </w:rPr>
        <w:t xml:space="preserve">.” </w:t>
      </w:r>
      <w:r w:rsidRPr="009F337B">
        <w:rPr>
          <w:rFonts w:eastAsia="Times" w:cs="Arial"/>
          <w:i/>
          <w:szCs w:val="16"/>
          <w:lang w:val="en-US"/>
        </w:rPr>
        <w:t>Cf.</w:t>
      </w:r>
      <w:r w:rsidRPr="009F337B">
        <w:rPr>
          <w:rFonts w:eastAsia="Times" w:cs="Arial"/>
          <w:szCs w:val="16"/>
          <w:lang w:val="en-US"/>
        </w:rPr>
        <w:t xml:space="preserve"> </w:t>
      </w:r>
      <w:r w:rsidRPr="009F337B">
        <w:rPr>
          <w:szCs w:val="16"/>
          <w:lang w:val="en-US"/>
        </w:rPr>
        <w:t xml:space="preserve">Committee on Economic, Social and Cultural Rights, General Comment No. 14: The Right to the Highest Attainable Standard of Health, August 11, 2000. </w:t>
      </w:r>
      <w:r w:rsidRPr="009F337B">
        <w:rPr>
          <w:szCs w:val="16"/>
          <w:lang w:val="es-CR"/>
        </w:rPr>
        <w:t>U.N. Doc. E/C.12/2000/4</w:t>
      </w:r>
      <w:r w:rsidRPr="009F337B">
        <w:rPr>
          <w:rStyle w:val="Textoennegrita"/>
          <w:b w:val="0"/>
          <w:color w:val="000000"/>
          <w:szCs w:val="16"/>
          <w:shd w:val="clear" w:color="auto" w:fill="FFFFFF"/>
          <w:lang w:val="es-CR"/>
        </w:rPr>
        <w:t>, para. 43(d).</w:t>
      </w:r>
    </w:p>
  </w:footnote>
  <w:footnote w:id="116">
    <w:p w14:paraId="5A9F4077" w14:textId="472D6516"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s-CR"/>
        </w:rPr>
        <w:tab/>
      </w:r>
      <w:r w:rsidRPr="009F337B">
        <w:rPr>
          <w:i/>
          <w:szCs w:val="16"/>
          <w:lang w:val="es-CR"/>
        </w:rPr>
        <w:t xml:space="preserve">Cf. Case </w:t>
      </w:r>
      <w:proofErr w:type="spellStart"/>
      <w:r w:rsidRPr="009F337B">
        <w:rPr>
          <w:i/>
          <w:szCs w:val="16"/>
          <w:lang w:val="es-CR"/>
        </w:rPr>
        <w:t>of</w:t>
      </w:r>
      <w:proofErr w:type="spellEnd"/>
      <w:r w:rsidRPr="009F337B">
        <w:rPr>
          <w:i/>
          <w:szCs w:val="16"/>
          <w:lang w:val="es-CR"/>
        </w:rPr>
        <w:t xml:space="preserve"> Duque v. Colombia. </w:t>
      </w:r>
      <w:r w:rsidRPr="009F337B">
        <w:rPr>
          <w:i/>
          <w:szCs w:val="16"/>
          <w:lang w:val="en-US"/>
        </w:rPr>
        <w:t>Preliminary objections, merits, reparations and costs.</w:t>
      </w:r>
      <w:r w:rsidRPr="009F337B">
        <w:rPr>
          <w:szCs w:val="16"/>
          <w:lang w:val="en-US"/>
        </w:rPr>
        <w:t xml:space="preserve"> Judgment of February 26, 2016. Series C No. 310, para. 174, and </w:t>
      </w:r>
      <w:r w:rsidRPr="009F337B">
        <w:rPr>
          <w:i/>
          <w:szCs w:val="16"/>
          <w:lang w:val="en-US"/>
        </w:rPr>
        <w:t xml:space="preserve">Case of Gonzales </w:t>
      </w:r>
      <w:proofErr w:type="spellStart"/>
      <w:r w:rsidRPr="009F337B">
        <w:rPr>
          <w:i/>
          <w:szCs w:val="16"/>
          <w:lang w:val="en-US"/>
        </w:rPr>
        <w:t>Lluy</w:t>
      </w:r>
      <w:proofErr w:type="spellEnd"/>
      <w:r w:rsidRPr="009F337B">
        <w:rPr>
          <w:i/>
          <w:szCs w:val="16"/>
          <w:lang w:val="en-US"/>
        </w:rPr>
        <w:t xml:space="preserve"> et al. v. Ecuador. Preliminary objections, merits, reparations and costs.</w:t>
      </w:r>
      <w:r w:rsidRPr="009F337B">
        <w:rPr>
          <w:szCs w:val="16"/>
          <w:lang w:val="en-US"/>
        </w:rPr>
        <w:t xml:space="preserve"> Judgment of September 1, 2015. Series C No. 298, para. 169.</w:t>
      </w:r>
    </w:p>
  </w:footnote>
  <w:footnote w:id="117">
    <w:p w14:paraId="2A790AA5" w14:textId="489C4D79"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r>
      <w:r w:rsidRPr="009F337B">
        <w:rPr>
          <w:i/>
          <w:szCs w:val="16"/>
          <w:lang w:val="en-US"/>
        </w:rPr>
        <w:t>Cf.</w:t>
      </w:r>
      <w:r w:rsidRPr="009F337B">
        <w:rPr>
          <w:szCs w:val="16"/>
          <w:lang w:val="en-US"/>
        </w:rPr>
        <w:t xml:space="preserve"> </w:t>
      </w:r>
      <w:r w:rsidRPr="009F337B">
        <w:rPr>
          <w:i/>
          <w:szCs w:val="16"/>
          <w:lang w:val="en-US"/>
        </w:rPr>
        <w:t xml:space="preserve">Case of Gonzales </w:t>
      </w:r>
      <w:proofErr w:type="spellStart"/>
      <w:r w:rsidRPr="009F337B">
        <w:rPr>
          <w:i/>
          <w:szCs w:val="16"/>
          <w:lang w:val="en-US"/>
        </w:rPr>
        <w:t>Lluy</w:t>
      </w:r>
      <w:proofErr w:type="spellEnd"/>
      <w:r w:rsidRPr="009F337B">
        <w:rPr>
          <w:i/>
          <w:szCs w:val="16"/>
          <w:lang w:val="en-US"/>
        </w:rPr>
        <w:t xml:space="preserve"> et al. v. Ecuador. Preliminary objections, merits, reparations and costs.</w:t>
      </w:r>
      <w:r w:rsidRPr="009F337B">
        <w:rPr>
          <w:szCs w:val="16"/>
          <w:lang w:val="en-US"/>
        </w:rPr>
        <w:t xml:space="preserve"> Judgment of September 1, 2015. Series C No. 298, para. 195, and Office of the United Nations High Commissioner for Human Rights (OHCHR) and the Joint United Nations Program on HIV and AIDS (UNAIDS), International Guidelines on </w:t>
      </w:r>
      <w:r w:rsidRPr="009F337B">
        <w:rPr>
          <w:iCs/>
          <w:szCs w:val="16"/>
          <w:lang w:val="en-US"/>
        </w:rPr>
        <w:t>HIV/AIDS and Human Rights</w:t>
      </w:r>
      <w:r w:rsidRPr="009F337B">
        <w:rPr>
          <w:i/>
          <w:iCs/>
          <w:szCs w:val="16"/>
          <w:lang w:val="en-US"/>
        </w:rPr>
        <w:t xml:space="preserve">. </w:t>
      </w:r>
      <w:r w:rsidRPr="009F337B">
        <w:rPr>
          <w:iCs/>
          <w:szCs w:val="16"/>
          <w:lang w:val="en-US"/>
        </w:rPr>
        <w:t>Consolidated version, 2006, sixth guideline.</w:t>
      </w:r>
    </w:p>
  </w:footnote>
  <w:footnote w:id="118">
    <w:p w14:paraId="4DA336BD" w14:textId="5AE383BB"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 xml:space="preserve"> </w:t>
      </w:r>
      <w:r w:rsidRPr="009F337B">
        <w:rPr>
          <w:szCs w:val="16"/>
          <w:lang w:val="en-US"/>
        </w:rPr>
        <w:tab/>
        <w:t xml:space="preserve">UN, General Assembly Resolution “Transforming our Word: the 2030 Agenda for Sustainable Development,” A/70/L.1 adopted on September 25, </w:t>
      </w:r>
      <w:r w:rsidRPr="009F337B">
        <w:rPr>
          <w:rFonts w:eastAsia="Times New Roman" w:cs="Arial"/>
          <w:szCs w:val="16"/>
          <w:shd w:val="clear" w:color="auto" w:fill="FFFFFF"/>
          <w:lang w:val="en-US"/>
        </w:rPr>
        <w:t>2015, paras. 23, 55 and 66, Goal 3, 3.3 and 3.8, Available at: https://undocs.org/A/RES/70/1.</w:t>
      </w:r>
    </w:p>
  </w:footnote>
  <w:footnote w:id="119">
    <w:p w14:paraId="66868AEC" w14:textId="77777777"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s-CR"/>
        </w:rPr>
        <w:t xml:space="preserve"> </w:t>
      </w:r>
      <w:r w:rsidRPr="009F337B">
        <w:rPr>
          <w:szCs w:val="16"/>
          <w:lang w:val="es-CR"/>
        </w:rPr>
        <w:tab/>
      </w:r>
      <w:r w:rsidRPr="009F337B">
        <w:rPr>
          <w:i/>
          <w:szCs w:val="16"/>
          <w:lang w:val="es-CR"/>
        </w:rPr>
        <w:t xml:space="preserve">Cf. </w:t>
      </w:r>
      <w:r w:rsidRPr="009F337B">
        <w:rPr>
          <w:rStyle w:val="Textoennegrita"/>
          <w:b w:val="0"/>
          <w:i/>
          <w:color w:val="000000"/>
          <w:szCs w:val="16"/>
          <w:shd w:val="clear" w:color="auto" w:fill="FFFFFF"/>
          <w:lang w:val="es-CR"/>
        </w:rPr>
        <w:t xml:space="preserve">Case </w:t>
      </w:r>
      <w:proofErr w:type="spellStart"/>
      <w:r w:rsidRPr="009F337B">
        <w:rPr>
          <w:rStyle w:val="Textoennegrita"/>
          <w:b w:val="0"/>
          <w:i/>
          <w:color w:val="000000"/>
          <w:szCs w:val="16"/>
          <w:shd w:val="clear" w:color="auto" w:fill="FFFFFF"/>
          <w:lang w:val="es-CR"/>
        </w:rPr>
        <w:t>of</w:t>
      </w:r>
      <w:proofErr w:type="spellEnd"/>
      <w:r w:rsidRPr="009F337B">
        <w:rPr>
          <w:rStyle w:val="Textoennegrita"/>
          <w:b w:val="0"/>
          <w:i/>
          <w:color w:val="000000"/>
          <w:szCs w:val="16"/>
          <w:shd w:val="clear" w:color="auto" w:fill="FFFFFF"/>
          <w:lang w:val="es-CR"/>
        </w:rPr>
        <w:t xml:space="preserve"> Gonzales </w:t>
      </w:r>
      <w:proofErr w:type="spellStart"/>
      <w:r w:rsidRPr="009F337B">
        <w:rPr>
          <w:rStyle w:val="Textoennegrita"/>
          <w:b w:val="0"/>
          <w:i/>
          <w:color w:val="000000"/>
          <w:szCs w:val="16"/>
          <w:shd w:val="clear" w:color="auto" w:fill="FFFFFF"/>
          <w:lang w:val="es-CR"/>
        </w:rPr>
        <w:t>Lluy</w:t>
      </w:r>
      <w:proofErr w:type="spellEnd"/>
      <w:r w:rsidRPr="009F337B">
        <w:rPr>
          <w:rStyle w:val="Textoennegrita"/>
          <w:b w:val="0"/>
          <w:i/>
          <w:color w:val="000000"/>
          <w:szCs w:val="16"/>
          <w:shd w:val="clear" w:color="auto" w:fill="FFFFFF"/>
          <w:lang w:val="es-CR"/>
        </w:rPr>
        <w:t xml:space="preserve"> et al. v. Ecuador. </w:t>
      </w:r>
      <w:r w:rsidRPr="009F337B">
        <w:rPr>
          <w:rStyle w:val="Textoennegrita"/>
          <w:b w:val="0"/>
          <w:i/>
          <w:color w:val="000000"/>
          <w:szCs w:val="16"/>
          <w:shd w:val="clear" w:color="auto" w:fill="FFFFFF"/>
          <w:lang w:val="en-US"/>
        </w:rPr>
        <w:t>Preliminary objections, merits, reparations and costs</w:t>
      </w:r>
      <w:r w:rsidRPr="009F337B">
        <w:rPr>
          <w:rStyle w:val="Textoennegrita"/>
          <w:b w:val="0"/>
          <w:color w:val="000000"/>
          <w:szCs w:val="16"/>
          <w:shd w:val="clear" w:color="auto" w:fill="FFFFFF"/>
          <w:lang w:val="en-US"/>
        </w:rPr>
        <w:t xml:space="preserve">. Judgment of September 1, 2015. Series C No. 298, para. 196, and </w:t>
      </w:r>
      <w:r w:rsidRPr="009F337B">
        <w:rPr>
          <w:rStyle w:val="Textoennegrita"/>
          <w:b w:val="0"/>
          <w:i/>
          <w:color w:val="000000"/>
          <w:szCs w:val="16"/>
          <w:shd w:val="clear" w:color="auto" w:fill="FFFFFF"/>
          <w:lang w:val="en-US"/>
        </w:rPr>
        <w:t>Case of Duque v. Colombia. Preliminary objections, merits, reparations and costs</w:t>
      </w:r>
      <w:r w:rsidRPr="009F337B">
        <w:rPr>
          <w:rStyle w:val="Textoennegrita"/>
          <w:b w:val="0"/>
          <w:color w:val="000000"/>
          <w:szCs w:val="16"/>
          <w:shd w:val="clear" w:color="auto" w:fill="FFFFFF"/>
          <w:lang w:val="en-US"/>
        </w:rPr>
        <w:t>. Judgment of February 26, 2016. Series C No. 310, para. 176.</w:t>
      </w:r>
    </w:p>
  </w:footnote>
  <w:footnote w:id="120">
    <w:p w14:paraId="0756394E" w14:textId="609629FE" w:rsidR="00AF5CC6" w:rsidRPr="009F337B" w:rsidRDefault="00AF5CC6" w:rsidP="00A30D95">
      <w:pPr>
        <w:pStyle w:val="Textonotapie"/>
        <w:spacing w:before="0"/>
        <w:rPr>
          <w:b/>
          <w:szCs w:val="16"/>
          <w:lang w:val="en-US"/>
        </w:rPr>
      </w:pPr>
      <w:r w:rsidRPr="009F337B">
        <w:rPr>
          <w:rStyle w:val="Refdenotaalpie"/>
          <w:szCs w:val="16"/>
          <w:lang w:val="en-US"/>
        </w:rPr>
        <w:footnoteRef/>
      </w:r>
      <w:r w:rsidRPr="009F337B">
        <w:rPr>
          <w:szCs w:val="16"/>
          <w:lang w:val="en-US"/>
        </w:rPr>
        <w:tab/>
      </w:r>
      <w:r w:rsidRPr="009F337B">
        <w:rPr>
          <w:i/>
          <w:szCs w:val="16"/>
          <w:lang w:val="en-US"/>
        </w:rPr>
        <w:t>Cf.</w:t>
      </w:r>
      <w:r w:rsidRPr="009F337B">
        <w:rPr>
          <w:szCs w:val="16"/>
          <w:lang w:val="en-US"/>
        </w:rPr>
        <w:t xml:space="preserve"> Expert opinion provided by Ricardo Boza Cordero at the public hearing held before the Court and written report on this opinion (merits file, folio 1467).</w:t>
      </w:r>
    </w:p>
  </w:footnote>
  <w:footnote w:id="121">
    <w:p w14:paraId="4082BB72" w14:textId="6B98CCC0"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r>
      <w:r w:rsidRPr="009F337B">
        <w:rPr>
          <w:i/>
          <w:szCs w:val="16"/>
          <w:lang w:val="en-US"/>
        </w:rPr>
        <w:t>Cf.</w:t>
      </w:r>
      <w:r w:rsidRPr="009F337B">
        <w:rPr>
          <w:szCs w:val="16"/>
          <w:lang w:val="en-US"/>
        </w:rPr>
        <w:t xml:space="preserve"> Office of the United Nations High Commissioner for Human Rights (OHCHR) and the Joint United Nations Program on HIV and AIDS (UNAIDS), International Guidelines on </w:t>
      </w:r>
      <w:r w:rsidRPr="009F337B">
        <w:rPr>
          <w:iCs/>
          <w:szCs w:val="16"/>
          <w:lang w:val="en-US"/>
        </w:rPr>
        <w:t>HIV/AIDS and Human Rights</w:t>
      </w:r>
      <w:r w:rsidRPr="009F337B">
        <w:rPr>
          <w:i/>
          <w:iCs/>
          <w:szCs w:val="16"/>
          <w:lang w:val="en-US"/>
        </w:rPr>
        <w:t xml:space="preserve">. </w:t>
      </w:r>
      <w:r w:rsidRPr="009F337B">
        <w:rPr>
          <w:iCs/>
          <w:szCs w:val="16"/>
          <w:lang w:val="en-US"/>
        </w:rPr>
        <w:t>Consolidated version, 2006, sixth guideline</w:t>
      </w:r>
      <w:r w:rsidRPr="009F337B">
        <w:rPr>
          <w:szCs w:val="16"/>
          <w:lang w:val="en-US"/>
        </w:rPr>
        <w:t>, para. 24.</w:t>
      </w:r>
    </w:p>
  </w:footnote>
  <w:footnote w:id="122">
    <w:p w14:paraId="725DEC1D" w14:textId="5973A3C9"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r>
      <w:r w:rsidRPr="009F337B">
        <w:rPr>
          <w:i/>
          <w:szCs w:val="16"/>
          <w:lang w:val="en-US"/>
        </w:rPr>
        <w:t xml:space="preserve">Cf. </w:t>
      </w:r>
      <w:r w:rsidRPr="009F337B">
        <w:rPr>
          <w:szCs w:val="16"/>
          <w:lang w:val="en-US"/>
        </w:rPr>
        <w:t>Expert opinion provided by Ricardo Boza Cordero at the public hearing held before the Court and written report on this opinion (merits file, folio 1468).</w:t>
      </w:r>
    </w:p>
  </w:footnote>
  <w:footnote w:id="123">
    <w:p w14:paraId="1837FD5D" w14:textId="1470C8F0"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r>
      <w:r w:rsidRPr="009F337B">
        <w:rPr>
          <w:i/>
          <w:szCs w:val="16"/>
          <w:lang w:val="en-US"/>
        </w:rPr>
        <w:t xml:space="preserve">Cf. </w:t>
      </w:r>
      <w:r w:rsidRPr="009F337B">
        <w:rPr>
          <w:szCs w:val="16"/>
          <w:lang w:val="en-US"/>
        </w:rPr>
        <w:t>Expert opinion provided by Ricardo Boza Cordero at the public hearing held before the Court and written report on this opinion (merits file, folio 1473).</w:t>
      </w:r>
    </w:p>
  </w:footnote>
  <w:footnote w:id="124">
    <w:p w14:paraId="36FF90C2" w14:textId="4110A9B8"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r>
      <w:r w:rsidRPr="009F337B">
        <w:rPr>
          <w:i/>
          <w:szCs w:val="16"/>
          <w:lang w:val="en-US"/>
        </w:rPr>
        <w:t xml:space="preserve">Cf. </w:t>
      </w:r>
      <w:r w:rsidRPr="009F337B">
        <w:rPr>
          <w:szCs w:val="16"/>
          <w:lang w:val="en-US"/>
        </w:rPr>
        <w:t>Expert opinion provided by Ricardo Boza Cordero at the public hearing held before the Court and written report on this opinion (merits file, folio 1473).</w:t>
      </w:r>
    </w:p>
  </w:footnote>
  <w:footnote w:id="125">
    <w:p w14:paraId="05613042" w14:textId="2786DE1D"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r>
      <w:r w:rsidRPr="009F337B">
        <w:rPr>
          <w:i/>
          <w:szCs w:val="16"/>
          <w:lang w:val="en-US"/>
        </w:rPr>
        <w:t xml:space="preserve">Cf. </w:t>
      </w:r>
      <w:r w:rsidRPr="009F337B">
        <w:rPr>
          <w:szCs w:val="16"/>
          <w:lang w:val="en-US"/>
        </w:rPr>
        <w:t xml:space="preserve">Office of the United Nations High Commissioner for Human Rights (OHCHR) and the Joint United Nations Program on HIV and AIDS (UNAIDS), International Guidelines on </w:t>
      </w:r>
      <w:r w:rsidRPr="009F337B">
        <w:rPr>
          <w:iCs/>
          <w:szCs w:val="16"/>
          <w:lang w:val="en-US"/>
        </w:rPr>
        <w:t>HIV/AIDS and Human Rights</w:t>
      </w:r>
      <w:r w:rsidRPr="009F337B">
        <w:rPr>
          <w:i/>
          <w:iCs/>
          <w:szCs w:val="16"/>
          <w:lang w:val="en-US"/>
        </w:rPr>
        <w:t xml:space="preserve">. </w:t>
      </w:r>
      <w:r w:rsidRPr="009F337B">
        <w:rPr>
          <w:iCs/>
          <w:szCs w:val="16"/>
          <w:lang w:val="en-US"/>
        </w:rPr>
        <w:t>Consolidated version, 2006, sixth guideline</w:t>
      </w:r>
      <w:r w:rsidRPr="009F337B">
        <w:rPr>
          <w:szCs w:val="16"/>
          <w:lang w:val="en-US"/>
        </w:rPr>
        <w:t xml:space="preserve">, para. 24. </w:t>
      </w:r>
    </w:p>
  </w:footnote>
  <w:footnote w:id="126">
    <w:p w14:paraId="7C84F5EA" w14:textId="70E08D74"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r>
      <w:r w:rsidRPr="009F337B">
        <w:rPr>
          <w:i/>
          <w:szCs w:val="16"/>
          <w:lang w:val="en-US"/>
        </w:rPr>
        <w:t xml:space="preserve">Cf. </w:t>
      </w:r>
      <w:r w:rsidRPr="009F337B">
        <w:rPr>
          <w:szCs w:val="16"/>
          <w:lang w:val="en-US"/>
        </w:rPr>
        <w:t>Expert opinion provided by Ricardo Boza Cordero at the public hearing held before the Court and written report on this opinion (merits file, folio 1460).</w:t>
      </w:r>
    </w:p>
  </w:footnote>
  <w:footnote w:id="127">
    <w:p w14:paraId="703C1C35" w14:textId="5CEACAF0"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r>
      <w:r w:rsidRPr="009F337B">
        <w:rPr>
          <w:i/>
          <w:szCs w:val="16"/>
          <w:lang w:val="en-US"/>
        </w:rPr>
        <w:t xml:space="preserve">Cf. </w:t>
      </w:r>
      <w:r w:rsidRPr="009F337B">
        <w:rPr>
          <w:szCs w:val="16"/>
          <w:lang w:val="en-US"/>
        </w:rPr>
        <w:t xml:space="preserve">Office of the United Nations High Commissioner for Human Rights (OHCHR) and the Joint United Nations Program on HIV and AIDS (UNAIDS), International Guidelines on </w:t>
      </w:r>
      <w:r w:rsidRPr="009F337B">
        <w:rPr>
          <w:iCs/>
          <w:szCs w:val="16"/>
          <w:lang w:val="en-US"/>
        </w:rPr>
        <w:t>HIV/AIDS and Human Rights</w:t>
      </w:r>
      <w:r w:rsidRPr="009F337B">
        <w:rPr>
          <w:i/>
          <w:iCs/>
          <w:szCs w:val="16"/>
          <w:lang w:val="en-US"/>
        </w:rPr>
        <w:t xml:space="preserve">. </w:t>
      </w:r>
      <w:r w:rsidRPr="009F337B">
        <w:rPr>
          <w:iCs/>
          <w:szCs w:val="16"/>
          <w:lang w:val="en-US"/>
        </w:rPr>
        <w:t>Consolidated version, 2006, sixth guideline</w:t>
      </w:r>
      <w:r w:rsidRPr="009F337B">
        <w:rPr>
          <w:szCs w:val="16"/>
          <w:lang w:val="en-US"/>
        </w:rPr>
        <w:t xml:space="preserve">, para. 26. </w:t>
      </w:r>
    </w:p>
  </w:footnote>
  <w:footnote w:id="128">
    <w:p w14:paraId="4D130F5F" w14:textId="3C12EE64"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r>
      <w:r w:rsidRPr="009F337B">
        <w:rPr>
          <w:i/>
          <w:szCs w:val="16"/>
          <w:lang w:val="en-US"/>
        </w:rPr>
        <w:t>Cf.</w:t>
      </w:r>
      <w:r w:rsidRPr="009F337B">
        <w:rPr>
          <w:szCs w:val="16"/>
          <w:lang w:val="en-US"/>
        </w:rPr>
        <w:t xml:space="preserve"> Joint United Nations Program on HIV and AIDS (UNAIDS). HIV care and support taking into account the 2016 WHO consolidated guidelines, p. 12. </w:t>
      </w:r>
    </w:p>
  </w:footnote>
  <w:footnote w:id="129">
    <w:p w14:paraId="6F417B90" w14:textId="4F91B6B7"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r>
      <w:r w:rsidRPr="009F337B">
        <w:rPr>
          <w:i/>
          <w:szCs w:val="16"/>
          <w:lang w:val="en-US"/>
        </w:rPr>
        <w:t xml:space="preserve">Cf. </w:t>
      </w:r>
      <w:r w:rsidRPr="009F337B">
        <w:rPr>
          <w:szCs w:val="16"/>
          <w:lang w:val="en-US"/>
        </w:rPr>
        <w:t>Joint United Nations Program on HIV and AIDS (UNAIDS). HIV care and support taking into account the 2016 WHO consolidated guidelines, p. 22.</w:t>
      </w:r>
    </w:p>
  </w:footnote>
  <w:footnote w:id="130">
    <w:p w14:paraId="3E2E2B2A" w14:textId="4AADA668"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r>
      <w:r w:rsidRPr="009F337B">
        <w:rPr>
          <w:i/>
          <w:szCs w:val="16"/>
          <w:lang w:val="en-US"/>
        </w:rPr>
        <w:t xml:space="preserve">Cf. </w:t>
      </w:r>
      <w:r w:rsidRPr="009F337B">
        <w:rPr>
          <w:szCs w:val="16"/>
          <w:lang w:val="en-US"/>
        </w:rPr>
        <w:t>Joint United Nations Program on HIV and AIDS (UNAIDS). HIV care and support taking into account the 2016 WHO consolidated guidelines, p. 26.</w:t>
      </w:r>
    </w:p>
  </w:footnote>
  <w:footnote w:id="131">
    <w:p w14:paraId="009A27A0" w14:textId="0CCBFBDE"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s-CR"/>
        </w:rPr>
        <w:tab/>
      </w:r>
      <w:r w:rsidRPr="009F337B">
        <w:rPr>
          <w:i/>
          <w:szCs w:val="16"/>
          <w:lang w:val="es-CR"/>
        </w:rPr>
        <w:t xml:space="preserve">Cf. Case </w:t>
      </w:r>
      <w:proofErr w:type="spellStart"/>
      <w:r w:rsidRPr="009F337B">
        <w:rPr>
          <w:i/>
          <w:szCs w:val="16"/>
          <w:lang w:val="es-CR"/>
        </w:rPr>
        <w:t>of</w:t>
      </w:r>
      <w:proofErr w:type="spellEnd"/>
      <w:r w:rsidRPr="009F337B">
        <w:rPr>
          <w:i/>
          <w:szCs w:val="16"/>
          <w:lang w:val="es-CR"/>
        </w:rPr>
        <w:t xml:space="preserve"> Gonzales </w:t>
      </w:r>
      <w:proofErr w:type="spellStart"/>
      <w:r w:rsidRPr="009F337B">
        <w:rPr>
          <w:i/>
          <w:szCs w:val="16"/>
          <w:lang w:val="es-CR"/>
        </w:rPr>
        <w:t>Lluy</w:t>
      </w:r>
      <w:proofErr w:type="spellEnd"/>
      <w:r w:rsidRPr="009F337B">
        <w:rPr>
          <w:i/>
          <w:szCs w:val="16"/>
          <w:lang w:val="es-CR"/>
        </w:rPr>
        <w:t xml:space="preserve"> et al. v. Ecuador. </w:t>
      </w:r>
      <w:r w:rsidRPr="009F337B">
        <w:rPr>
          <w:i/>
          <w:szCs w:val="16"/>
          <w:lang w:val="en-US"/>
        </w:rPr>
        <w:t>Preliminary objections, merits, reparations and costs.</w:t>
      </w:r>
      <w:r w:rsidRPr="009F337B">
        <w:rPr>
          <w:szCs w:val="16"/>
          <w:lang w:val="en-US"/>
        </w:rPr>
        <w:t xml:space="preserve"> Judgment of September 1, 2015. Series C No. 298, para. 195, and </w:t>
      </w:r>
      <w:r w:rsidRPr="009F337B">
        <w:rPr>
          <w:i/>
          <w:szCs w:val="16"/>
          <w:lang w:val="en-US"/>
        </w:rPr>
        <w:t>Case of Duque v. Colombia. Preliminary objections, merits, reparations and costs.</w:t>
      </w:r>
      <w:r w:rsidRPr="009F337B">
        <w:rPr>
          <w:szCs w:val="16"/>
          <w:lang w:val="en-US"/>
        </w:rPr>
        <w:t xml:space="preserve"> Judgment of February 26, 2016. Series C No. 310, para. 176.</w:t>
      </w:r>
    </w:p>
  </w:footnote>
  <w:footnote w:id="132">
    <w:p w14:paraId="7527AA95" w14:textId="088E8500"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r>
      <w:r w:rsidRPr="009F337B">
        <w:rPr>
          <w:i/>
          <w:szCs w:val="16"/>
          <w:lang w:val="en-US"/>
        </w:rPr>
        <w:t>Cf.</w:t>
      </w:r>
      <w:r w:rsidRPr="009F337B">
        <w:rPr>
          <w:szCs w:val="16"/>
          <w:lang w:val="en-US"/>
        </w:rPr>
        <w:t xml:space="preserve"> The State’s answering brief (merits file, folio 853).</w:t>
      </w:r>
    </w:p>
  </w:footnote>
  <w:footnote w:id="133">
    <w:p w14:paraId="2EF21865" w14:textId="6C0C724E"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r>
      <w:r w:rsidRPr="009F337B">
        <w:rPr>
          <w:i/>
          <w:szCs w:val="16"/>
          <w:lang w:val="en-US"/>
        </w:rPr>
        <w:t>Cf.</w:t>
      </w:r>
      <w:r w:rsidRPr="009F337B">
        <w:rPr>
          <w:szCs w:val="16"/>
          <w:lang w:val="en-US"/>
        </w:rPr>
        <w:t xml:space="preserve"> Report on actions taken by the State to follow up on and comply with the precautionary measures ordered (evidence file, folio 231).</w:t>
      </w:r>
    </w:p>
  </w:footnote>
  <w:footnote w:id="134">
    <w:p w14:paraId="097CB4EC" w14:textId="367506FF"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r>
      <w:r w:rsidRPr="009F337B">
        <w:rPr>
          <w:i/>
          <w:szCs w:val="16"/>
          <w:lang w:val="en-US"/>
        </w:rPr>
        <w:t xml:space="preserve">Cf. </w:t>
      </w:r>
      <w:r w:rsidRPr="009F337B">
        <w:rPr>
          <w:szCs w:val="16"/>
          <w:lang w:val="en-US"/>
        </w:rPr>
        <w:t>Observations of the State of Guatemala on the observations on Admissibility Report No. 32/05 (evidence file, folios 347 and 348).</w:t>
      </w:r>
    </w:p>
  </w:footnote>
  <w:footnote w:id="135">
    <w:p w14:paraId="6D60B17B" w14:textId="012C4F2C"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 xml:space="preserve"> </w:t>
      </w:r>
      <w:r w:rsidRPr="009F337B">
        <w:rPr>
          <w:szCs w:val="16"/>
          <w:lang w:val="en-US"/>
        </w:rPr>
        <w:tab/>
        <w:t xml:space="preserve">The persons indicated as victims in annex 2 to this judgment fall into this category, with the exception of </w:t>
      </w:r>
      <w:r w:rsidRPr="009F337B">
        <w:rPr>
          <w:rFonts w:eastAsia="Times" w:cs="Arial"/>
          <w:szCs w:val="16"/>
          <w:lang w:val="en-US"/>
        </w:rPr>
        <w:t>Felix de Jesús Cabrera Morales.</w:t>
      </w:r>
    </w:p>
  </w:footnote>
  <w:footnote w:id="136">
    <w:p w14:paraId="4E57C44C" w14:textId="35B7ED88" w:rsidR="00AF5CC6" w:rsidRPr="009F337B" w:rsidRDefault="00AF5CC6" w:rsidP="00A30D95">
      <w:pPr>
        <w:pStyle w:val="Textonotapie"/>
        <w:spacing w:before="0"/>
        <w:rPr>
          <w:szCs w:val="16"/>
          <w:lang w:val="es-CR"/>
        </w:rPr>
      </w:pPr>
      <w:r w:rsidRPr="009F337B">
        <w:rPr>
          <w:rStyle w:val="Refdenotaalpie"/>
          <w:szCs w:val="16"/>
          <w:lang w:val="en-US"/>
        </w:rPr>
        <w:footnoteRef/>
      </w:r>
      <w:r w:rsidRPr="009F337B">
        <w:rPr>
          <w:szCs w:val="16"/>
          <w:lang w:val="es-CR"/>
        </w:rPr>
        <w:tab/>
      </w:r>
      <w:proofErr w:type="spellStart"/>
      <w:r w:rsidRPr="009F337B">
        <w:rPr>
          <w:szCs w:val="16"/>
          <w:lang w:val="es-CR"/>
        </w:rPr>
        <w:t>The</w:t>
      </w:r>
      <w:proofErr w:type="spellEnd"/>
      <w:r w:rsidRPr="009F337B">
        <w:rPr>
          <w:szCs w:val="16"/>
          <w:lang w:val="es-CR"/>
        </w:rPr>
        <w:t xml:space="preserve"> </w:t>
      </w:r>
      <w:proofErr w:type="spellStart"/>
      <w:r w:rsidRPr="009F337B">
        <w:rPr>
          <w:szCs w:val="16"/>
          <w:lang w:val="es-CR"/>
        </w:rPr>
        <w:t>following</w:t>
      </w:r>
      <w:proofErr w:type="spellEnd"/>
      <w:r w:rsidRPr="009F337B">
        <w:rPr>
          <w:szCs w:val="16"/>
          <w:lang w:val="es-CR"/>
        </w:rPr>
        <w:t xml:space="preserve"> </w:t>
      </w:r>
      <w:proofErr w:type="spellStart"/>
      <w:r w:rsidRPr="009F337B">
        <w:rPr>
          <w:szCs w:val="16"/>
          <w:lang w:val="es-CR"/>
        </w:rPr>
        <w:t>persons</w:t>
      </w:r>
      <w:proofErr w:type="spellEnd"/>
      <w:r w:rsidRPr="009F337B">
        <w:rPr>
          <w:szCs w:val="16"/>
          <w:lang w:val="es-CR"/>
        </w:rPr>
        <w:t xml:space="preserve"> </w:t>
      </w:r>
      <w:proofErr w:type="spellStart"/>
      <w:r w:rsidRPr="009F337B">
        <w:rPr>
          <w:szCs w:val="16"/>
          <w:lang w:val="es-CR"/>
        </w:rPr>
        <w:t>fall</w:t>
      </w:r>
      <w:proofErr w:type="spellEnd"/>
      <w:r w:rsidRPr="009F337B">
        <w:rPr>
          <w:szCs w:val="16"/>
          <w:lang w:val="es-CR"/>
        </w:rPr>
        <w:t xml:space="preserve"> </w:t>
      </w:r>
      <w:proofErr w:type="spellStart"/>
      <w:r w:rsidRPr="009F337B">
        <w:rPr>
          <w:szCs w:val="16"/>
          <w:lang w:val="es-CR"/>
        </w:rPr>
        <w:t>into</w:t>
      </w:r>
      <w:proofErr w:type="spellEnd"/>
      <w:r w:rsidRPr="009F337B">
        <w:rPr>
          <w:szCs w:val="16"/>
          <w:lang w:val="es-CR"/>
        </w:rPr>
        <w:t xml:space="preserve"> </w:t>
      </w:r>
      <w:proofErr w:type="spellStart"/>
      <w:r w:rsidRPr="009F337B">
        <w:rPr>
          <w:szCs w:val="16"/>
          <w:lang w:val="es-CR"/>
        </w:rPr>
        <w:t>this</w:t>
      </w:r>
      <w:proofErr w:type="spellEnd"/>
      <w:r w:rsidRPr="009F337B">
        <w:rPr>
          <w:szCs w:val="16"/>
          <w:lang w:val="es-CR"/>
        </w:rPr>
        <w:t xml:space="preserve"> </w:t>
      </w:r>
      <w:proofErr w:type="spellStart"/>
      <w:r w:rsidRPr="009F337B">
        <w:rPr>
          <w:szCs w:val="16"/>
          <w:lang w:val="es-CR"/>
        </w:rPr>
        <w:t>category</w:t>
      </w:r>
      <w:proofErr w:type="spellEnd"/>
      <w:r w:rsidRPr="009F337B">
        <w:rPr>
          <w:szCs w:val="16"/>
          <w:lang w:val="es-CR"/>
        </w:rPr>
        <w:t xml:space="preserve">: José Cupertino Ramírez, Sebastián Emilio Dueñas, Julia Aguilar, Luis Rubén Isabel </w:t>
      </w:r>
      <w:proofErr w:type="spellStart"/>
      <w:r w:rsidRPr="009F337B">
        <w:rPr>
          <w:szCs w:val="16"/>
          <w:lang w:val="es-CR"/>
        </w:rPr>
        <w:t>Alvarez</w:t>
      </w:r>
      <w:proofErr w:type="spellEnd"/>
      <w:r w:rsidRPr="009F337B">
        <w:rPr>
          <w:szCs w:val="16"/>
          <w:lang w:val="es-CR"/>
        </w:rPr>
        <w:t xml:space="preserve"> Flores, </w:t>
      </w:r>
      <w:proofErr w:type="spellStart"/>
      <w:r w:rsidRPr="009F337B">
        <w:rPr>
          <w:szCs w:val="16"/>
          <w:lang w:val="es-CR"/>
        </w:rPr>
        <w:t>Saira</w:t>
      </w:r>
      <w:proofErr w:type="spellEnd"/>
      <w:r w:rsidRPr="009F337B">
        <w:rPr>
          <w:szCs w:val="16"/>
          <w:lang w:val="es-CR"/>
        </w:rPr>
        <w:t xml:space="preserve"> Elisa Barrios, </w:t>
      </w:r>
      <w:proofErr w:type="spellStart"/>
      <w:r w:rsidRPr="009F337B">
        <w:rPr>
          <w:szCs w:val="16"/>
          <w:lang w:val="es-CR"/>
        </w:rPr>
        <w:t>Felix</w:t>
      </w:r>
      <w:proofErr w:type="spellEnd"/>
      <w:r w:rsidRPr="009F337B">
        <w:rPr>
          <w:szCs w:val="16"/>
          <w:lang w:val="es-CR"/>
        </w:rPr>
        <w:t xml:space="preserve"> de Jesús Cabrera Morales, César Noé Cancinos Gómez, Aracely Cinto, Luis Rolando </w:t>
      </w:r>
      <w:proofErr w:type="spellStart"/>
      <w:r w:rsidRPr="009F337B">
        <w:rPr>
          <w:szCs w:val="16"/>
          <w:lang w:val="es-CR"/>
        </w:rPr>
        <w:t>Cuscul</w:t>
      </w:r>
      <w:proofErr w:type="spellEnd"/>
      <w:r w:rsidRPr="009F337B">
        <w:rPr>
          <w:szCs w:val="16"/>
          <w:lang w:val="es-CR"/>
        </w:rPr>
        <w:t xml:space="preserve"> Pivaral, María Felipe Pérez, </w:t>
      </w:r>
      <w:proofErr w:type="spellStart"/>
      <w:r w:rsidRPr="009F337B">
        <w:rPr>
          <w:szCs w:val="16"/>
          <w:lang w:val="es-CR"/>
        </w:rPr>
        <w:t>Mardo</w:t>
      </w:r>
      <w:proofErr w:type="spellEnd"/>
      <w:r w:rsidRPr="009F337B">
        <w:rPr>
          <w:szCs w:val="16"/>
          <w:lang w:val="es-CR"/>
        </w:rPr>
        <w:t xml:space="preserve"> Luis Hernández and Hernández, Luis Armando Linares Ruano, Darinel López Montes de Oca, </w:t>
      </w:r>
      <w:proofErr w:type="spellStart"/>
      <w:r w:rsidRPr="009F337B">
        <w:rPr>
          <w:szCs w:val="16"/>
          <w:lang w:val="es-CR"/>
        </w:rPr>
        <w:t>Audencio</w:t>
      </w:r>
      <w:proofErr w:type="spellEnd"/>
      <w:r w:rsidRPr="009F337B">
        <w:rPr>
          <w:szCs w:val="16"/>
          <w:lang w:val="es-CR"/>
        </w:rPr>
        <w:t xml:space="preserve"> Rodas Rodríguez, Zoila Marina Pérez Ruíz, Santiago Francisco </w:t>
      </w:r>
      <w:proofErr w:type="spellStart"/>
      <w:r w:rsidRPr="009F337B">
        <w:rPr>
          <w:szCs w:val="16"/>
          <w:lang w:val="es-CR"/>
        </w:rPr>
        <w:t>Valdéz</w:t>
      </w:r>
      <w:proofErr w:type="spellEnd"/>
      <w:r w:rsidRPr="009F337B">
        <w:rPr>
          <w:szCs w:val="16"/>
          <w:lang w:val="es-CR"/>
        </w:rPr>
        <w:t xml:space="preserve"> Aguilar, Karen Judith Samayoa Vásquez, Francisco </w:t>
      </w:r>
      <w:proofErr w:type="spellStart"/>
      <w:r w:rsidRPr="009F337B">
        <w:rPr>
          <w:szCs w:val="16"/>
          <w:lang w:val="es-CR"/>
        </w:rPr>
        <w:t>Sop</w:t>
      </w:r>
      <w:proofErr w:type="spellEnd"/>
      <w:r w:rsidRPr="009F337B">
        <w:rPr>
          <w:szCs w:val="16"/>
          <w:lang w:val="es-CR"/>
        </w:rPr>
        <w:t xml:space="preserve"> </w:t>
      </w:r>
      <w:proofErr w:type="spellStart"/>
      <w:r w:rsidRPr="009F337B">
        <w:rPr>
          <w:szCs w:val="16"/>
          <w:lang w:val="es-CR"/>
        </w:rPr>
        <w:t>Quiej</w:t>
      </w:r>
      <w:proofErr w:type="spellEnd"/>
      <w:r w:rsidRPr="009F337B">
        <w:rPr>
          <w:szCs w:val="16"/>
          <w:lang w:val="es-CR"/>
        </w:rPr>
        <w:t xml:space="preserve">, Miguel Lucas </w:t>
      </w:r>
      <w:proofErr w:type="spellStart"/>
      <w:r w:rsidRPr="009F337B">
        <w:rPr>
          <w:szCs w:val="16"/>
          <w:lang w:val="es-CR"/>
        </w:rPr>
        <w:t>Vaíl</w:t>
      </w:r>
      <w:proofErr w:type="spellEnd"/>
      <w:r w:rsidRPr="009F337B">
        <w:rPr>
          <w:szCs w:val="16"/>
          <w:lang w:val="es-CR"/>
        </w:rPr>
        <w:t xml:space="preserve">, Sandra Lisbeth Zepeda Herrera, Petrona López Robledo, Juana Aguilar, </w:t>
      </w:r>
      <w:proofErr w:type="spellStart"/>
      <w:r w:rsidRPr="009F337B">
        <w:rPr>
          <w:szCs w:val="16"/>
          <w:lang w:val="es-CR"/>
        </w:rPr>
        <w:t>Ismerai</w:t>
      </w:r>
      <w:proofErr w:type="spellEnd"/>
      <w:r w:rsidRPr="009F337B">
        <w:rPr>
          <w:szCs w:val="16"/>
          <w:lang w:val="es-CR"/>
        </w:rPr>
        <w:t xml:space="preserve"> </w:t>
      </w:r>
      <w:proofErr w:type="spellStart"/>
      <w:r w:rsidRPr="009F337B">
        <w:rPr>
          <w:szCs w:val="16"/>
          <w:lang w:val="es-CR"/>
        </w:rPr>
        <w:t>Olibia</w:t>
      </w:r>
      <w:proofErr w:type="spellEnd"/>
      <w:r w:rsidRPr="009F337B">
        <w:rPr>
          <w:szCs w:val="16"/>
          <w:lang w:val="es-CR"/>
        </w:rPr>
        <w:t xml:space="preserve"> García </w:t>
      </w:r>
      <w:proofErr w:type="spellStart"/>
      <w:r w:rsidRPr="009F337B">
        <w:rPr>
          <w:szCs w:val="16"/>
          <w:lang w:val="es-CR"/>
        </w:rPr>
        <w:t>Castañon</w:t>
      </w:r>
      <w:proofErr w:type="spellEnd"/>
      <w:r w:rsidRPr="009F337B">
        <w:rPr>
          <w:szCs w:val="16"/>
          <w:lang w:val="es-CR"/>
        </w:rPr>
        <w:t xml:space="preserve">, Dora Marina Martínez </w:t>
      </w:r>
      <w:proofErr w:type="spellStart"/>
      <w:r w:rsidRPr="009F337B">
        <w:rPr>
          <w:szCs w:val="16"/>
          <w:lang w:val="es-CR"/>
        </w:rPr>
        <w:t>Sofoifa</w:t>
      </w:r>
      <w:proofErr w:type="spellEnd"/>
      <w:r w:rsidRPr="009F337B">
        <w:rPr>
          <w:szCs w:val="16"/>
          <w:lang w:val="es-CR"/>
        </w:rPr>
        <w:t xml:space="preserve">, Teresa Magdalena Ramírez Castro and Iris Carolina Vicente </w:t>
      </w:r>
      <w:proofErr w:type="spellStart"/>
      <w:r w:rsidRPr="009F337B">
        <w:rPr>
          <w:szCs w:val="16"/>
          <w:lang w:val="es-CR"/>
        </w:rPr>
        <w:t>Baullas</w:t>
      </w:r>
      <w:proofErr w:type="spellEnd"/>
      <w:r w:rsidRPr="009F337B">
        <w:rPr>
          <w:szCs w:val="16"/>
          <w:lang w:val="es-CR"/>
        </w:rPr>
        <w:t>.</w:t>
      </w:r>
    </w:p>
  </w:footnote>
  <w:footnote w:id="137">
    <w:p w14:paraId="475669F9" w14:textId="6C2044F5" w:rsidR="00AF5CC6" w:rsidRPr="009F337B" w:rsidRDefault="00AF5CC6" w:rsidP="00A30D95">
      <w:pPr>
        <w:spacing w:after="120"/>
        <w:rPr>
          <w:sz w:val="16"/>
          <w:szCs w:val="16"/>
          <w:lang w:val="es-CR"/>
        </w:rPr>
      </w:pPr>
      <w:r w:rsidRPr="009F337B">
        <w:rPr>
          <w:rStyle w:val="Refdenotaalpie"/>
          <w:sz w:val="16"/>
          <w:szCs w:val="16"/>
          <w:lang w:val="en-US"/>
        </w:rPr>
        <w:footnoteRef/>
      </w:r>
      <w:r w:rsidRPr="009F337B">
        <w:rPr>
          <w:sz w:val="16"/>
          <w:szCs w:val="16"/>
          <w:lang w:val="es-CR"/>
        </w:rPr>
        <w:tab/>
        <w:t>The following persons fall into this category: Guadalupe Herminia Cayaxon García, Juana Aguilar, Felix de Jesús Cabrera Morales, César Noé Cancinos Gómez, Pascuala de Jesús Mérida Rodríguez, Dora Marina Martínez Sofoifa, Sandra Lisbeth Zepeda Herrera, Luis Armando Linares Ruano, Marta Alicia Maldonado Paz, Zoila Marina Pérez Ruíz, Miguel Lucas Vaíl and Silvia Mirtala Alvarez Villatoro.</w:t>
      </w:r>
    </w:p>
  </w:footnote>
  <w:footnote w:id="138">
    <w:p w14:paraId="344440D4" w14:textId="2D0260F1" w:rsidR="00AF5CC6" w:rsidRPr="009F337B" w:rsidRDefault="00AF5CC6" w:rsidP="00A30D95">
      <w:pPr>
        <w:spacing w:after="120"/>
        <w:rPr>
          <w:sz w:val="16"/>
          <w:szCs w:val="16"/>
          <w:lang w:val="en-US"/>
        </w:rPr>
      </w:pPr>
      <w:r w:rsidRPr="009F337B">
        <w:rPr>
          <w:rStyle w:val="Refdenotaalpie"/>
          <w:sz w:val="16"/>
          <w:szCs w:val="16"/>
          <w:lang w:val="en-US"/>
        </w:rPr>
        <w:footnoteRef/>
      </w:r>
      <w:r w:rsidRPr="009F337B">
        <w:rPr>
          <w:sz w:val="16"/>
          <w:szCs w:val="16"/>
          <w:lang w:val="en-US"/>
        </w:rPr>
        <w:tab/>
        <w:t>The following persons fall into this category: José Rubén Delgado López, Guadalupe Herminia Cayaxon García and Silvia Mirtala Alvarez Villatoro.</w:t>
      </w:r>
    </w:p>
  </w:footnote>
  <w:footnote w:id="139">
    <w:p w14:paraId="0235A1D7" w14:textId="6AC27C54"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t xml:space="preserve">The following persons fall into this category: Rita Mariana </w:t>
      </w:r>
      <w:proofErr w:type="spellStart"/>
      <w:r w:rsidRPr="009F337B">
        <w:rPr>
          <w:szCs w:val="16"/>
          <w:lang w:val="en-US"/>
        </w:rPr>
        <w:t>Dubón</w:t>
      </w:r>
      <w:proofErr w:type="spellEnd"/>
      <w:r w:rsidRPr="009F337B">
        <w:rPr>
          <w:szCs w:val="16"/>
          <w:lang w:val="en-US"/>
        </w:rPr>
        <w:t xml:space="preserve"> Orozco and </w:t>
      </w:r>
      <w:proofErr w:type="spellStart"/>
      <w:r w:rsidRPr="009F337B">
        <w:rPr>
          <w:szCs w:val="16"/>
          <w:lang w:val="en-US"/>
        </w:rPr>
        <w:t>Petrona</w:t>
      </w:r>
      <w:proofErr w:type="spellEnd"/>
      <w:r w:rsidRPr="009F337B">
        <w:rPr>
          <w:szCs w:val="16"/>
          <w:lang w:val="en-US"/>
        </w:rPr>
        <w:t xml:space="preserve"> López Robledo, who never had access to any type of medical testing and are now deceased.</w:t>
      </w:r>
    </w:p>
  </w:footnote>
  <w:footnote w:id="140">
    <w:p w14:paraId="5E8E546D" w14:textId="37F45019"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t xml:space="preserve">The following persons fall into this category: Elsa Miriam Estrada Ruiz and Sebastián Emilio </w:t>
      </w:r>
      <w:proofErr w:type="spellStart"/>
      <w:r w:rsidRPr="009F337B">
        <w:rPr>
          <w:szCs w:val="16"/>
          <w:lang w:val="en-US"/>
        </w:rPr>
        <w:t>Dueñas</w:t>
      </w:r>
      <w:proofErr w:type="spellEnd"/>
      <w:r w:rsidRPr="009F337B">
        <w:rPr>
          <w:szCs w:val="16"/>
          <w:lang w:val="en-US"/>
        </w:rPr>
        <w:t xml:space="preserve">, who have never undergone </w:t>
      </w:r>
      <w:r w:rsidRPr="009F337B">
        <w:rPr>
          <w:bCs/>
          <w:szCs w:val="16"/>
          <w:lang w:val="en-US"/>
        </w:rPr>
        <w:t>CD4 and/or viral load testing.</w:t>
      </w:r>
    </w:p>
  </w:footnote>
  <w:footnote w:id="141">
    <w:p w14:paraId="1549B098" w14:textId="52D03E6E"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t xml:space="preserve">The following persons fall into this category: Luis Edwin Cruz </w:t>
      </w:r>
      <w:proofErr w:type="spellStart"/>
      <w:r w:rsidRPr="009F337B">
        <w:rPr>
          <w:szCs w:val="16"/>
          <w:lang w:val="en-US"/>
        </w:rPr>
        <w:t>Gramajo</w:t>
      </w:r>
      <w:proofErr w:type="spellEnd"/>
      <w:r w:rsidRPr="009F337B">
        <w:rPr>
          <w:szCs w:val="16"/>
          <w:lang w:val="en-US"/>
        </w:rPr>
        <w:t xml:space="preserve">, Felipe </w:t>
      </w:r>
      <w:proofErr w:type="spellStart"/>
      <w:r w:rsidRPr="009F337B">
        <w:rPr>
          <w:szCs w:val="16"/>
          <w:lang w:val="en-US"/>
        </w:rPr>
        <w:t>Tebalan</w:t>
      </w:r>
      <w:proofErr w:type="spellEnd"/>
      <w:r w:rsidRPr="009F337B">
        <w:rPr>
          <w:szCs w:val="16"/>
          <w:lang w:val="en-US"/>
        </w:rPr>
        <w:t xml:space="preserve"> </w:t>
      </w:r>
      <w:proofErr w:type="spellStart"/>
      <w:r w:rsidRPr="009F337B">
        <w:rPr>
          <w:szCs w:val="16"/>
          <w:lang w:val="en-US"/>
        </w:rPr>
        <w:t>Ordoñez</w:t>
      </w:r>
      <w:proofErr w:type="spellEnd"/>
      <w:r w:rsidRPr="009F337B">
        <w:rPr>
          <w:szCs w:val="16"/>
          <w:lang w:val="en-US"/>
        </w:rPr>
        <w:t xml:space="preserve">, Felix de Jesus Cabrera Morales, César </w:t>
      </w:r>
      <w:proofErr w:type="spellStart"/>
      <w:r w:rsidRPr="009F337B">
        <w:rPr>
          <w:szCs w:val="16"/>
          <w:lang w:val="en-US"/>
        </w:rPr>
        <w:t>Noé</w:t>
      </w:r>
      <w:proofErr w:type="spellEnd"/>
      <w:r w:rsidRPr="009F337B">
        <w:rPr>
          <w:szCs w:val="16"/>
          <w:lang w:val="en-US"/>
        </w:rPr>
        <w:t xml:space="preserve"> </w:t>
      </w:r>
      <w:proofErr w:type="spellStart"/>
      <w:r w:rsidRPr="009F337B">
        <w:rPr>
          <w:szCs w:val="16"/>
          <w:lang w:val="en-US"/>
        </w:rPr>
        <w:t>Cancinos</w:t>
      </w:r>
      <w:proofErr w:type="spellEnd"/>
      <w:r w:rsidRPr="009F337B">
        <w:rPr>
          <w:szCs w:val="16"/>
          <w:lang w:val="en-US"/>
        </w:rPr>
        <w:t xml:space="preserve"> Gómez, Luis Rolando </w:t>
      </w:r>
      <w:proofErr w:type="spellStart"/>
      <w:r w:rsidRPr="009F337B">
        <w:rPr>
          <w:szCs w:val="16"/>
          <w:lang w:val="en-US"/>
        </w:rPr>
        <w:t>Cuscul</w:t>
      </w:r>
      <w:proofErr w:type="spellEnd"/>
      <w:r w:rsidRPr="009F337B">
        <w:rPr>
          <w:szCs w:val="16"/>
          <w:lang w:val="en-US"/>
        </w:rPr>
        <w:t xml:space="preserve"> </w:t>
      </w:r>
      <w:proofErr w:type="spellStart"/>
      <w:r w:rsidRPr="009F337B">
        <w:rPr>
          <w:szCs w:val="16"/>
          <w:lang w:val="en-US"/>
        </w:rPr>
        <w:t>Pivaral</w:t>
      </w:r>
      <w:proofErr w:type="spellEnd"/>
      <w:r w:rsidRPr="009F337B">
        <w:rPr>
          <w:szCs w:val="16"/>
          <w:lang w:val="en-US"/>
        </w:rPr>
        <w:t xml:space="preserve">, María Felipe Pérez, </w:t>
      </w:r>
      <w:proofErr w:type="spellStart"/>
      <w:r w:rsidRPr="009F337B">
        <w:rPr>
          <w:szCs w:val="16"/>
          <w:lang w:val="en-US"/>
        </w:rPr>
        <w:t>Mardo</w:t>
      </w:r>
      <w:proofErr w:type="spellEnd"/>
      <w:r w:rsidRPr="009F337B">
        <w:rPr>
          <w:szCs w:val="16"/>
          <w:lang w:val="en-US"/>
        </w:rPr>
        <w:t xml:space="preserve"> Luis Hernández and Hernández, </w:t>
      </w:r>
      <w:proofErr w:type="spellStart"/>
      <w:r w:rsidRPr="009F337B">
        <w:rPr>
          <w:szCs w:val="16"/>
          <w:lang w:val="en-US"/>
        </w:rPr>
        <w:t>Pascuala</w:t>
      </w:r>
      <w:proofErr w:type="spellEnd"/>
      <w:r w:rsidRPr="009F337B">
        <w:rPr>
          <w:szCs w:val="16"/>
          <w:lang w:val="en-US"/>
        </w:rPr>
        <w:t xml:space="preserve"> de Jesús Mérida Rodríguez, Ismerai </w:t>
      </w:r>
      <w:proofErr w:type="spellStart"/>
      <w:r w:rsidRPr="009F337B">
        <w:rPr>
          <w:szCs w:val="16"/>
          <w:lang w:val="en-US"/>
        </w:rPr>
        <w:t>Olibia</w:t>
      </w:r>
      <w:proofErr w:type="spellEnd"/>
      <w:r w:rsidRPr="009F337B">
        <w:rPr>
          <w:szCs w:val="16"/>
          <w:lang w:val="en-US"/>
        </w:rPr>
        <w:t xml:space="preserve"> García </w:t>
      </w:r>
      <w:proofErr w:type="spellStart"/>
      <w:r w:rsidRPr="009F337B">
        <w:rPr>
          <w:szCs w:val="16"/>
          <w:lang w:val="en-US"/>
        </w:rPr>
        <w:t>Castañon</w:t>
      </w:r>
      <w:proofErr w:type="spellEnd"/>
      <w:r w:rsidRPr="009F337B">
        <w:rPr>
          <w:szCs w:val="16"/>
          <w:lang w:val="en-US"/>
        </w:rPr>
        <w:t xml:space="preserve"> and </w:t>
      </w:r>
      <w:proofErr w:type="spellStart"/>
      <w:r w:rsidRPr="009F337B">
        <w:rPr>
          <w:szCs w:val="16"/>
          <w:lang w:val="en-US"/>
        </w:rPr>
        <w:t>Audencio</w:t>
      </w:r>
      <w:proofErr w:type="spellEnd"/>
      <w:r w:rsidRPr="009F337B">
        <w:rPr>
          <w:szCs w:val="16"/>
          <w:lang w:val="en-US"/>
        </w:rPr>
        <w:t xml:space="preserve"> </w:t>
      </w:r>
      <w:proofErr w:type="spellStart"/>
      <w:r w:rsidRPr="009F337B">
        <w:rPr>
          <w:szCs w:val="16"/>
          <w:lang w:val="en-US"/>
        </w:rPr>
        <w:t>Rodas</w:t>
      </w:r>
      <w:proofErr w:type="spellEnd"/>
      <w:r w:rsidRPr="009F337B">
        <w:rPr>
          <w:szCs w:val="16"/>
          <w:lang w:val="en-US"/>
        </w:rPr>
        <w:t xml:space="preserve"> Rodríguez, who have never undergone genotype and/or phenotype testing.</w:t>
      </w:r>
    </w:p>
  </w:footnote>
  <w:footnote w:id="142">
    <w:p w14:paraId="47087D47" w14:textId="0FAF42B2"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t xml:space="preserve">The following persons fall into this category: María Blanca </w:t>
      </w:r>
      <w:proofErr w:type="spellStart"/>
      <w:r w:rsidRPr="009F337B">
        <w:rPr>
          <w:szCs w:val="16"/>
          <w:lang w:val="en-US"/>
        </w:rPr>
        <w:t>Vaíl</w:t>
      </w:r>
      <w:proofErr w:type="spellEnd"/>
      <w:r w:rsidRPr="009F337B">
        <w:rPr>
          <w:szCs w:val="16"/>
          <w:lang w:val="en-US"/>
        </w:rPr>
        <w:t xml:space="preserve"> López, José Rubén Delgado López, Silvia </w:t>
      </w:r>
      <w:proofErr w:type="spellStart"/>
      <w:r w:rsidRPr="009F337B">
        <w:rPr>
          <w:szCs w:val="16"/>
          <w:lang w:val="en-US"/>
        </w:rPr>
        <w:t>Mirtala</w:t>
      </w:r>
      <w:proofErr w:type="spellEnd"/>
      <w:r w:rsidRPr="009F337B">
        <w:rPr>
          <w:szCs w:val="16"/>
          <w:lang w:val="en-US"/>
        </w:rPr>
        <w:t xml:space="preserve"> Alvarez </w:t>
      </w:r>
      <w:proofErr w:type="spellStart"/>
      <w:r w:rsidRPr="009F337B">
        <w:rPr>
          <w:szCs w:val="16"/>
          <w:lang w:val="en-US"/>
        </w:rPr>
        <w:t>Villatoro</w:t>
      </w:r>
      <w:proofErr w:type="spellEnd"/>
      <w:r w:rsidRPr="009F337B">
        <w:rPr>
          <w:szCs w:val="16"/>
          <w:lang w:val="en-US"/>
        </w:rPr>
        <w:t xml:space="preserve">, Melvin Yovani </w:t>
      </w:r>
      <w:proofErr w:type="spellStart"/>
      <w:r w:rsidRPr="009F337B">
        <w:rPr>
          <w:szCs w:val="16"/>
          <w:lang w:val="en-US"/>
        </w:rPr>
        <w:t>Ajtun</w:t>
      </w:r>
      <w:proofErr w:type="spellEnd"/>
      <w:r w:rsidRPr="009F337B">
        <w:rPr>
          <w:szCs w:val="16"/>
          <w:lang w:val="en-US"/>
        </w:rPr>
        <w:t xml:space="preserve"> Escobar, José Cupertino Ramírez, Julia Aguilar, Felipe </w:t>
      </w:r>
      <w:proofErr w:type="spellStart"/>
      <w:r w:rsidRPr="009F337B">
        <w:rPr>
          <w:szCs w:val="16"/>
          <w:lang w:val="en-US"/>
        </w:rPr>
        <w:t>Tebalan</w:t>
      </w:r>
      <w:proofErr w:type="spellEnd"/>
      <w:r w:rsidRPr="009F337B">
        <w:rPr>
          <w:szCs w:val="16"/>
          <w:lang w:val="en-US"/>
        </w:rPr>
        <w:t xml:space="preserve"> </w:t>
      </w:r>
      <w:proofErr w:type="spellStart"/>
      <w:r w:rsidRPr="009F337B">
        <w:rPr>
          <w:szCs w:val="16"/>
          <w:lang w:val="en-US"/>
        </w:rPr>
        <w:t>Ordoñez</w:t>
      </w:r>
      <w:proofErr w:type="spellEnd"/>
      <w:r w:rsidRPr="009F337B">
        <w:rPr>
          <w:szCs w:val="16"/>
          <w:lang w:val="en-US"/>
        </w:rPr>
        <w:t xml:space="preserve">, Luis Rubén Isabel Alvarez Flores, Felix de Jesús Cabrera Morales, César </w:t>
      </w:r>
      <w:proofErr w:type="spellStart"/>
      <w:r w:rsidRPr="009F337B">
        <w:rPr>
          <w:szCs w:val="16"/>
          <w:lang w:val="en-US"/>
        </w:rPr>
        <w:t>Noé</w:t>
      </w:r>
      <w:proofErr w:type="spellEnd"/>
      <w:r w:rsidRPr="009F337B">
        <w:rPr>
          <w:szCs w:val="16"/>
          <w:lang w:val="en-US"/>
        </w:rPr>
        <w:t xml:space="preserve"> </w:t>
      </w:r>
      <w:proofErr w:type="spellStart"/>
      <w:r w:rsidRPr="009F337B">
        <w:rPr>
          <w:szCs w:val="16"/>
          <w:lang w:val="en-US"/>
        </w:rPr>
        <w:t>Cancinos</w:t>
      </w:r>
      <w:proofErr w:type="spellEnd"/>
      <w:r w:rsidRPr="009F337B">
        <w:rPr>
          <w:szCs w:val="16"/>
          <w:lang w:val="en-US"/>
        </w:rPr>
        <w:t xml:space="preserve"> Gómez, Aracely </w:t>
      </w:r>
      <w:proofErr w:type="spellStart"/>
      <w:r w:rsidRPr="009F337B">
        <w:rPr>
          <w:szCs w:val="16"/>
          <w:lang w:val="en-US"/>
        </w:rPr>
        <w:t>Cinto</w:t>
      </w:r>
      <w:proofErr w:type="spellEnd"/>
      <w:r w:rsidRPr="009F337B">
        <w:rPr>
          <w:szCs w:val="16"/>
          <w:lang w:val="en-US"/>
        </w:rPr>
        <w:t xml:space="preserve">, María Felipe Pérez, Santos </w:t>
      </w:r>
      <w:proofErr w:type="spellStart"/>
      <w:r w:rsidRPr="009F337B">
        <w:rPr>
          <w:szCs w:val="16"/>
          <w:lang w:val="en-US"/>
        </w:rPr>
        <w:t>Isacar</w:t>
      </w:r>
      <w:proofErr w:type="spellEnd"/>
      <w:r w:rsidRPr="009F337B">
        <w:rPr>
          <w:szCs w:val="16"/>
          <w:lang w:val="en-US"/>
        </w:rPr>
        <w:t xml:space="preserve"> Vasquez Barrios, Luis Armando Linares </w:t>
      </w:r>
      <w:proofErr w:type="spellStart"/>
      <w:r w:rsidRPr="009F337B">
        <w:rPr>
          <w:szCs w:val="16"/>
          <w:lang w:val="en-US"/>
        </w:rPr>
        <w:t>Ruano</w:t>
      </w:r>
      <w:proofErr w:type="spellEnd"/>
      <w:r w:rsidRPr="009F337B">
        <w:rPr>
          <w:szCs w:val="16"/>
          <w:lang w:val="en-US"/>
        </w:rPr>
        <w:t xml:space="preserve">, Marta Alicia Maldonado Paz, Dora Marina Martínez </w:t>
      </w:r>
      <w:proofErr w:type="spellStart"/>
      <w:r w:rsidRPr="009F337B">
        <w:rPr>
          <w:szCs w:val="16"/>
          <w:lang w:val="en-US"/>
        </w:rPr>
        <w:t>Sofoifa</w:t>
      </w:r>
      <w:proofErr w:type="spellEnd"/>
      <w:r w:rsidRPr="009F337B">
        <w:rPr>
          <w:szCs w:val="16"/>
          <w:lang w:val="en-US"/>
        </w:rPr>
        <w:t xml:space="preserve">, </w:t>
      </w:r>
      <w:proofErr w:type="spellStart"/>
      <w:r w:rsidRPr="009F337B">
        <w:rPr>
          <w:szCs w:val="16"/>
          <w:lang w:val="en-US"/>
        </w:rPr>
        <w:t>Pascuala</w:t>
      </w:r>
      <w:proofErr w:type="spellEnd"/>
      <w:r w:rsidRPr="009F337B">
        <w:rPr>
          <w:szCs w:val="16"/>
          <w:lang w:val="en-US"/>
        </w:rPr>
        <w:t xml:space="preserve"> de Jesús Mérida Rodríguez, </w:t>
      </w:r>
      <w:proofErr w:type="spellStart"/>
      <w:r w:rsidRPr="009F337B">
        <w:rPr>
          <w:szCs w:val="16"/>
          <w:lang w:val="en-US"/>
        </w:rPr>
        <w:t>Darinel</w:t>
      </w:r>
      <w:proofErr w:type="spellEnd"/>
      <w:r w:rsidRPr="009F337B">
        <w:rPr>
          <w:szCs w:val="16"/>
          <w:lang w:val="en-US"/>
        </w:rPr>
        <w:t xml:space="preserve"> López Montes de </w:t>
      </w:r>
      <w:proofErr w:type="spellStart"/>
      <w:r w:rsidRPr="009F337B">
        <w:rPr>
          <w:szCs w:val="16"/>
          <w:lang w:val="en-US"/>
        </w:rPr>
        <w:t>Oca</w:t>
      </w:r>
      <w:proofErr w:type="spellEnd"/>
      <w:r w:rsidRPr="009F337B">
        <w:rPr>
          <w:szCs w:val="16"/>
          <w:lang w:val="en-US"/>
        </w:rPr>
        <w:t xml:space="preserve">, Israel Pérez </w:t>
      </w:r>
      <w:proofErr w:type="spellStart"/>
      <w:r w:rsidRPr="009F337B">
        <w:rPr>
          <w:szCs w:val="16"/>
          <w:lang w:val="en-US"/>
        </w:rPr>
        <w:t>Charal</w:t>
      </w:r>
      <w:proofErr w:type="spellEnd"/>
      <w:r w:rsidRPr="009F337B">
        <w:rPr>
          <w:szCs w:val="16"/>
          <w:lang w:val="en-US"/>
        </w:rPr>
        <w:t xml:space="preserve">, </w:t>
      </w:r>
      <w:proofErr w:type="spellStart"/>
      <w:r w:rsidRPr="009F337B">
        <w:rPr>
          <w:szCs w:val="16"/>
          <w:lang w:val="en-US"/>
        </w:rPr>
        <w:t>Audencio</w:t>
      </w:r>
      <w:proofErr w:type="spellEnd"/>
      <w:r w:rsidRPr="009F337B">
        <w:rPr>
          <w:szCs w:val="16"/>
          <w:lang w:val="en-US"/>
        </w:rPr>
        <w:t xml:space="preserve"> </w:t>
      </w:r>
      <w:proofErr w:type="spellStart"/>
      <w:r w:rsidRPr="009F337B">
        <w:rPr>
          <w:szCs w:val="16"/>
          <w:lang w:val="en-US"/>
        </w:rPr>
        <w:t>Rodas</w:t>
      </w:r>
      <w:proofErr w:type="spellEnd"/>
      <w:r w:rsidRPr="009F337B">
        <w:rPr>
          <w:szCs w:val="16"/>
          <w:lang w:val="en-US"/>
        </w:rPr>
        <w:t xml:space="preserve"> Rodríguez, Zoila Marina Pérez </w:t>
      </w:r>
      <w:proofErr w:type="spellStart"/>
      <w:r w:rsidRPr="009F337B">
        <w:rPr>
          <w:szCs w:val="16"/>
          <w:lang w:val="en-US"/>
        </w:rPr>
        <w:t>Ruíz</w:t>
      </w:r>
      <w:proofErr w:type="spellEnd"/>
      <w:r w:rsidRPr="009F337B">
        <w:rPr>
          <w:szCs w:val="16"/>
          <w:lang w:val="en-US"/>
        </w:rPr>
        <w:t xml:space="preserve">, Santiago Francisco </w:t>
      </w:r>
      <w:proofErr w:type="spellStart"/>
      <w:r w:rsidRPr="009F337B">
        <w:rPr>
          <w:szCs w:val="16"/>
          <w:lang w:val="en-US"/>
        </w:rPr>
        <w:t>Valdéz</w:t>
      </w:r>
      <w:proofErr w:type="spellEnd"/>
      <w:r w:rsidRPr="009F337B">
        <w:rPr>
          <w:szCs w:val="16"/>
          <w:lang w:val="en-US"/>
        </w:rPr>
        <w:t xml:space="preserve"> Aguilar, Teresa Magdalena Ramírez Castro, Karen Judith </w:t>
      </w:r>
      <w:proofErr w:type="spellStart"/>
      <w:r w:rsidRPr="009F337B">
        <w:rPr>
          <w:szCs w:val="16"/>
          <w:lang w:val="en-US"/>
        </w:rPr>
        <w:t>Samayoa</w:t>
      </w:r>
      <w:proofErr w:type="spellEnd"/>
      <w:r w:rsidRPr="009F337B">
        <w:rPr>
          <w:szCs w:val="16"/>
          <w:lang w:val="en-US"/>
        </w:rPr>
        <w:t xml:space="preserve"> Vásquez, Francisco Sop </w:t>
      </w:r>
      <w:proofErr w:type="spellStart"/>
      <w:r w:rsidRPr="009F337B">
        <w:rPr>
          <w:szCs w:val="16"/>
          <w:lang w:val="en-US"/>
        </w:rPr>
        <w:t>Quiej</w:t>
      </w:r>
      <w:proofErr w:type="spellEnd"/>
      <w:r w:rsidRPr="009F337B">
        <w:rPr>
          <w:szCs w:val="16"/>
          <w:lang w:val="en-US"/>
        </w:rPr>
        <w:t xml:space="preserve">, Jorge Armando Tavares </w:t>
      </w:r>
      <w:proofErr w:type="spellStart"/>
      <w:r w:rsidRPr="009F337B">
        <w:rPr>
          <w:szCs w:val="16"/>
          <w:lang w:val="en-US"/>
        </w:rPr>
        <w:t>Barreno</w:t>
      </w:r>
      <w:proofErr w:type="spellEnd"/>
      <w:r w:rsidRPr="009F337B">
        <w:rPr>
          <w:szCs w:val="16"/>
          <w:lang w:val="en-US"/>
        </w:rPr>
        <w:t xml:space="preserve">, Miguel Lucas </w:t>
      </w:r>
      <w:proofErr w:type="spellStart"/>
      <w:r w:rsidRPr="009F337B">
        <w:rPr>
          <w:szCs w:val="16"/>
          <w:lang w:val="en-US"/>
        </w:rPr>
        <w:t>Vaíl</w:t>
      </w:r>
      <w:proofErr w:type="spellEnd"/>
      <w:r w:rsidRPr="009F337B">
        <w:rPr>
          <w:szCs w:val="16"/>
          <w:lang w:val="en-US"/>
        </w:rPr>
        <w:t xml:space="preserve">, Santos Vásquez Oliveros, Sandra Lisbeth Zepeda Herrera, Guadalupe Herminia </w:t>
      </w:r>
      <w:proofErr w:type="spellStart"/>
      <w:r w:rsidRPr="009F337B">
        <w:rPr>
          <w:szCs w:val="16"/>
          <w:lang w:val="en-US"/>
        </w:rPr>
        <w:t>Cayaxon</w:t>
      </w:r>
      <w:proofErr w:type="spellEnd"/>
      <w:r w:rsidRPr="009F337B">
        <w:rPr>
          <w:szCs w:val="16"/>
          <w:lang w:val="en-US"/>
        </w:rPr>
        <w:t xml:space="preserve"> García and Martina Candelaria Álvarez Estrada, who suffered from deficient or irregular access to viral load, CD4, genotype or phenotype testing, or indicated that they had had to cover the costs themselves.</w:t>
      </w:r>
    </w:p>
  </w:footnote>
  <w:footnote w:id="143">
    <w:p w14:paraId="2BBAE044" w14:textId="6A971928"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t xml:space="preserve">Regarding Ingrid Janeth Barillas Martínez, Olga Marina Castillo, Juana Aguilar, Iris Carolina Vicente </w:t>
      </w:r>
      <w:proofErr w:type="spellStart"/>
      <w:r w:rsidRPr="009F337B">
        <w:rPr>
          <w:szCs w:val="16"/>
          <w:lang w:val="en-US"/>
        </w:rPr>
        <w:t>Baullas</w:t>
      </w:r>
      <w:proofErr w:type="spellEnd"/>
      <w:r w:rsidRPr="009F337B">
        <w:rPr>
          <w:szCs w:val="16"/>
          <w:lang w:val="en-US"/>
        </w:rPr>
        <w:t xml:space="preserve"> and </w:t>
      </w:r>
      <w:proofErr w:type="spellStart"/>
      <w:r w:rsidRPr="009F337B">
        <w:rPr>
          <w:szCs w:val="16"/>
          <w:lang w:val="en-US"/>
        </w:rPr>
        <w:t>Saira</w:t>
      </w:r>
      <w:proofErr w:type="spellEnd"/>
      <w:r w:rsidRPr="009F337B">
        <w:rPr>
          <w:szCs w:val="16"/>
          <w:lang w:val="en-US"/>
        </w:rPr>
        <w:t xml:space="preserve"> Elisa Barrios, the Court has insufficient information to determine their situation in relation to access to the said tests. However, with regard to Corina </w:t>
      </w:r>
      <w:proofErr w:type="spellStart"/>
      <w:r w:rsidRPr="009F337B">
        <w:rPr>
          <w:szCs w:val="16"/>
          <w:lang w:val="en-US"/>
        </w:rPr>
        <w:t>Dianeth</w:t>
      </w:r>
      <w:proofErr w:type="spellEnd"/>
      <w:r w:rsidRPr="009F337B">
        <w:rPr>
          <w:szCs w:val="16"/>
          <w:lang w:val="en-US"/>
        </w:rPr>
        <w:t xml:space="preserve"> Robledo Alvarado, the Court notes that she indicated that she had periodically undergone the said tests.</w:t>
      </w:r>
    </w:p>
  </w:footnote>
  <w:footnote w:id="144">
    <w:p w14:paraId="761B7B83" w14:textId="38C629C6" w:rsidR="00AF5CC6" w:rsidRPr="009F337B" w:rsidRDefault="00AF5CC6" w:rsidP="00A30D95">
      <w:pPr>
        <w:pStyle w:val="Textonotapie"/>
        <w:spacing w:before="0"/>
        <w:rPr>
          <w:szCs w:val="16"/>
          <w:lang w:val="es-CR"/>
        </w:rPr>
      </w:pPr>
      <w:r w:rsidRPr="009F337B">
        <w:rPr>
          <w:rStyle w:val="Refdenotaalpie"/>
          <w:szCs w:val="16"/>
          <w:lang w:val="en-US"/>
        </w:rPr>
        <w:footnoteRef/>
      </w:r>
      <w:r w:rsidRPr="009F337B">
        <w:rPr>
          <w:szCs w:val="16"/>
          <w:lang w:val="es-CR"/>
        </w:rPr>
        <w:tab/>
      </w:r>
      <w:proofErr w:type="spellStart"/>
      <w:r w:rsidRPr="009F337B">
        <w:rPr>
          <w:szCs w:val="16"/>
          <w:lang w:val="es-CR"/>
        </w:rPr>
        <w:t>The</w:t>
      </w:r>
      <w:proofErr w:type="spellEnd"/>
      <w:r w:rsidRPr="009F337B">
        <w:rPr>
          <w:szCs w:val="16"/>
          <w:lang w:val="es-CR"/>
        </w:rPr>
        <w:t xml:space="preserve"> </w:t>
      </w:r>
      <w:proofErr w:type="spellStart"/>
      <w:r w:rsidRPr="009F337B">
        <w:rPr>
          <w:szCs w:val="16"/>
          <w:lang w:val="es-CR"/>
        </w:rPr>
        <w:t>following</w:t>
      </w:r>
      <w:proofErr w:type="spellEnd"/>
      <w:r w:rsidRPr="009F337B">
        <w:rPr>
          <w:szCs w:val="16"/>
          <w:lang w:val="es-CR"/>
        </w:rPr>
        <w:t xml:space="preserve"> </w:t>
      </w:r>
      <w:proofErr w:type="spellStart"/>
      <w:r w:rsidRPr="009F337B">
        <w:rPr>
          <w:szCs w:val="16"/>
          <w:lang w:val="es-CR"/>
        </w:rPr>
        <w:t>persons</w:t>
      </w:r>
      <w:proofErr w:type="spellEnd"/>
      <w:r w:rsidRPr="009F337B">
        <w:rPr>
          <w:szCs w:val="16"/>
          <w:lang w:val="es-CR"/>
        </w:rPr>
        <w:t xml:space="preserve"> </w:t>
      </w:r>
      <w:proofErr w:type="spellStart"/>
      <w:r w:rsidRPr="009F337B">
        <w:rPr>
          <w:szCs w:val="16"/>
          <w:lang w:val="es-CR"/>
        </w:rPr>
        <w:t>fall</w:t>
      </w:r>
      <w:proofErr w:type="spellEnd"/>
      <w:r w:rsidRPr="009F337B">
        <w:rPr>
          <w:szCs w:val="16"/>
          <w:lang w:val="es-CR"/>
        </w:rPr>
        <w:t xml:space="preserve"> </w:t>
      </w:r>
      <w:proofErr w:type="spellStart"/>
      <w:r w:rsidRPr="009F337B">
        <w:rPr>
          <w:szCs w:val="16"/>
          <w:lang w:val="es-CR"/>
        </w:rPr>
        <w:t>into</w:t>
      </w:r>
      <w:proofErr w:type="spellEnd"/>
      <w:r w:rsidRPr="009F337B">
        <w:rPr>
          <w:szCs w:val="16"/>
          <w:lang w:val="es-CR"/>
        </w:rPr>
        <w:t xml:space="preserve"> </w:t>
      </w:r>
      <w:proofErr w:type="spellStart"/>
      <w:r w:rsidRPr="009F337B">
        <w:rPr>
          <w:szCs w:val="16"/>
          <w:lang w:val="es-CR"/>
        </w:rPr>
        <w:t>this</w:t>
      </w:r>
      <w:proofErr w:type="spellEnd"/>
      <w:r w:rsidRPr="009F337B">
        <w:rPr>
          <w:szCs w:val="16"/>
          <w:lang w:val="es-CR"/>
        </w:rPr>
        <w:t xml:space="preserve"> </w:t>
      </w:r>
      <w:proofErr w:type="spellStart"/>
      <w:r w:rsidRPr="009F337B">
        <w:rPr>
          <w:szCs w:val="16"/>
          <w:lang w:val="es-CR"/>
        </w:rPr>
        <w:t>category</w:t>
      </w:r>
      <w:proofErr w:type="spellEnd"/>
      <w:r w:rsidRPr="009F337B">
        <w:rPr>
          <w:szCs w:val="16"/>
          <w:lang w:val="es-CR"/>
        </w:rPr>
        <w:t xml:space="preserve">: Melvin </w:t>
      </w:r>
      <w:proofErr w:type="spellStart"/>
      <w:r w:rsidRPr="009F337B">
        <w:rPr>
          <w:szCs w:val="16"/>
          <w:lang w:val="es-CR"/>
        </w:rPr>
        <w:t>Yovani</w:t>
      </w:r>
      <w:proofErr w:type="spellEnd"/>
      <w:r w:rsidRPr="009F337B">
        <w:rPr>
          <w:szCs w:val="16"/>
          <w:lang w:val="es-CR"/>
        </w:rPr>
        <w:t xml:space="preserve"> Ajtun Escobar, Julia Aguilar, Felipe </w:t>
      </w:r>
      <w:proofErr w:type="spellStart"/>
      <w:r w:rsidRPr="009F337B">
        <w:rPr>
          <w:szCs w:val="16"/>
          <w:lang w:val="es-CR"/>
        </w:rPr>
        <w:t>Tebalan</w:t>
      </w:r>
      <w:proofErr w:type="spellEnd"/>
      <w:r w:rsidRPr="009F337B">
        <w:rPr>
          <w:szCs w:val="16"/>
          <w:lang w:val="es-CR"/>
        </w:rPr>
        <w:t xml:space="preserve"> Ordoñez, </w:t>
      </w:r>
      <w:proofErr w:type="spellStart"/>
      <w:r w:rsidRPr="009F337B">
        <w:rPr>
          <w:szCs w:val="16"/>
          <w:lang w:val="es-CR"/>
        </w:rPr>
        <w:t>Saira</w:t>
      </w:r>
      <w:proofErr w:type="spellEnd"/>
      <w:r w:rsidRPr="009F337B">
        <w:rPr>
          <w:szCs w:val="16"/>
          <w:lang w:val="es-CR"/>
        </w:rPr>
        <w:t xml:space="preserve"> Elisa Barrios, César Noé Cancinos Gómez, Luis Rolando </w:t>
      </w:r>
      <w:proofErr w:type="spellStart"/>
      <w:r w:rsidRPr="009F337B">
        <w:rPr>
          <w:szCs w:val="16"/>
          <w:lang w:val="es-CR"/>
        </w:rPr>
        <w:t>Cuscul</w:t>
      </w:r>
      <w:proofErr w:type="spellEnd"/>
      <w:r w:rsidRPr="009F337B">
        <w:rPr>
          <w:szCs w:val="16"/>
          <w:lang w:val="es-CR"/>
        </w:rPr>
        <w:t xml:space="preserve"> Pivaral, María Felipe Pérez, </w:t>
      </w:r>
      <w:proofErr w:type="spellStart"/>
      <w:r w:rsidRPr="009F337B">
        <w:rPr>
          <w:szCs w:val="16"/>
          <w:lang w:val="es-CR"/>
        </w:rPr>
        <w:t>Ismerai</w:t>
      </w:r>
      <w:proofErr w:type="spellEnd"/>
      <w:r w:rsidRPr="009F337B">
        <w:rPr>
          <w:szCs w:val="16"/>
          <w:lang w:val="es-CR"/>
        </w:rPr>
        <w:t xml:space="preserve"> </w:t>
      </w:r>
      <w:proofErr w:type="spellStart"/>
      <w:r w:rsidRPr="009F337B">
        <w:rPr>
          <w:szCs w:val="16"/>
          <w:lang w:val="es-CR"/>
        </w:rPr>
        <w:t>Olibia</w:t>
      </w:r>
      <w:proofErr w:type="spellEnd"/>
      <w:r w:rsidRPr="009F337B">
        <w:rPr>
          <w:szCs w:val="16"/>
          <w:lang w:val="es-CR"/>
        </w:rPr>
        <w:t xml:space="preserve"> García </w:t>
      </w:r>
      <w:proofErr w:type="spellStart"/>
      <w:r w:rsidRPr="009F337B">
        <w:rPr>
          <w:szCs w:val="16"/>
          <w:lang w:val="es-CR"/>
        </w:rPr>
        <w:t>Castañon</w:t>
      </w:r>
      <w:proofErr w:type="spellEnd"/>
      <w:r w:rsidRPr="009F337B">
        <w:rPr>
          <w:szCs w:val="16"/>
          <w:lang w:val="es-CR"/>
        </w:rPr>
        <w:t xml:space="preserve">, Santos </w:t>
      </w:r>
      <w:proofErr w:type="spellStart"/>
      <w:r w:rsidRPr="009F337B">
        <w:rPr>
          <w:szCs w:val="16"/>
          <w:lang w:val="es-CR"/>
        </w:rPr>
        <w:t>Isacar</w:t>
      </w:r>
      <w:proofErr w:type="spellEnd"/>
      <w:r w:rsidRPr="009F337B">
        <w:rPr>
          <w:szCs w:val="16"/>
          <w:lang w:val="es-CR"/>
        </w:rPr>
        <w:t xml:space="preserve"> Vásquez Barrios, Luis Armando Linares Ruano, Pascuala de Jesús Mérida Rodríguez, Darinel López Montes de Oca, Corina </w:t>
      </w:r>
      <w:proofErr w:type="spellStart"/>
      <w:r w:rsidRPr="009F337B">
        <w:rPr>
          <w:szCs w:val="16"/>
          <w:lang w:val="es-CR"/>
        </w:rPr>
        <w:t>Dianeth</w:t>
      </w:r>
      <w:proofErr w:type="spellEnd"/>
      <w:r w:rsidRPr="009F337B">
        <w:rPr>
          <w:szCs w:val="16"/>
          <w:lang w:val="es-CR"/>
        </w:rPr>
        <w:t xml:space="preserve"> Robledo Alvarado, </w:t>
      </w:r>
      <w:proofErr w:type="spellStart"/>
      <w:r w:rsidRPr="009F337B">
        <w:rPr>
          <w:szCs w:val="16"/>
          <w:lang w:val="es-CR"/>
        </w:rPr>
        <w:t>Audencio</w:t>
      </w:r>
      <w:proofErr w:type="spellEnd"/>
      <w:r w:rsidRPr="009F337B">
        <w:rPr>
          <w:szCs w:val="16"/>
          <w:lang w:val="es-CR"/>
        </w:rPr>
        <w:t xml:space="preserve"> Rodas Rodríguez, Francisco </w:t>
      </w:r>
      <w:proofErr w:type="spellStart"/>
      <w:r w:rsidRPr="009F337B">
        <w:rPr>
          <w:szCs w:val="16"/>
          <w:lang w:val="es-CR"/>
        </w:rPr>
        <w:t>Sop</w:t>
      </w:r>
      <w:proofErr w:type="spellEnd"/>
      <w:r w:rsidRPr="009F337B">
        <w:rPr>
          <w:szCs w:val="16"/>
          <w:lang w:val="es-CR"/>
        </w:rPr>
        <w:t xml:space="preserve"> </w:t>
      </w:r>
      <w:proofErr w:type="spellStart"/>
      <w:r w:rsidRPr="009F337B">
        <w:rPr>
          <w:szCs w:val="16"/>
          <w:lang w:val="es-CR"/>
        </w:rPr>
        <w:t>Quiej</w:t>
      </w:r>
      <w:proofErr w:type="spellEnd"/>
      <w:r w:rsidRPr="009F337B">
        <w:rPr>
          <w:szCs w:val="16"/>
          <w:lang w:val="es-CR"/>
        </w:rPr>
        <w:t xml:space="preserve"> and Santos Vásquez Oliveros.</w:t>
      </w:r>
    </w:p>
  </w:footnote>
  <w:footnote w:id="145">
    <w:p w14:paraId="175E4C60" w14:textId="163CD6A9" w:rsidR="00AF5CC6" w:rsidRPr="009F337B" w:rsidRDefault="00AF5CC6" w:rsidP="00A30D95">
      <w:pPr>
        <w:pStyle w:val="Textonotapie"/>
        <w:spacing w:before="0"/>
        <w:rPr>
          <w:szCs w:val="16"/>
          <w:lang w:val="es-CR"/>
        </w:rPr>
      </w:pPr>
      <w:r w:rsidRPr="009F337B">
        <w:rPr>
          <w:rStyle w:val="Refdenotaalpie"/>
          <w:szCs w:val="16"/>
          <w:lang w:val="en-US"/>
        </w:rPr>
        <w:footnoteRef/>
      </w:r>
      <w:r w:rsidRPr="009F337B">
        <w:rPr>
          <w:szCs w:val="16"/>
          <w:lang w:val="es-CR"/>
        </w:rPr>
        <w:tab/>
      </w:r>
      <w:proofErr w:type="spellStart"/>
      <w:r w:rsidRPr="009F337B">
        <w:rPr>
          <w:szCs w:val="16"/>
          <w:lang w:val="es-CR"/>
        </w:rPr>
        <w:t>The</w:t>
      </w:r>
      <w:proofErr w:type="spellEnd"/>
      <w:r w:rsidRPr="009F337B">
        <w:rPr>
          <w:szCs w:val="16"/>
          <w:lang w:val="es-CR"/>
        </w:rPr>
        <w:t xml:space="preserve"> </w:t>
      </w:r>
      <w:proofErr w:type="spellStart"/>
      <w:r w:rsidRPr="009F337B">
        <w:rPr>
          <w:szCs w:val="16"/>
          <w:lang w:val="es-CR"/>
        </w:rPr>
        <w:t>following</w:t>
      </w:r>
      <w:proofErr w:type="spellEnd"/>
      <w:r w:rsidRPr="009F337B">
        <w:rPr>
          <w:szCs w:val="16"/>
          <w:lang w:val="es-CR"/>
        </w:rPr>
        <w:t xml:space="preserve"> </w:t>
      </w:r>
      <w:proofErr w:type="spellStart"/>
      <w:r w:rsidRPr="009F337B">
        <w:rPr>
          <w:szCs w:val="16"/>
          <w:lang w:val="es-CR"/>
        </w:rPr>
        <w:t>persons</w:t>
      </w:r>
      <w:proofErr w:type="spellEnd"/>
      <w:r w:rsidRPr="009F337B">
        <w:rPr>
          <w:szCs w:val="16"/>
          <w:lang w:val="es-CR"/>
        </w:rPr>
        <w:t xml:space="preserve"> </w:t>
      </w:r>
      <w:proofErr w:type="spellStart"/>
      <w:r w:rsidRPr="009F337B">
        <w:rPr>
          <w:szCs w:val="16"/>
          <w:lang w:val="es-CR"/>
        </w:rPr>
        <w:t>fall</w:t>
      </w:r>
      <w:proofErr w:type="spellEnd"/>
      <w:r w:rsidRPr="009F337B">
        <w:rPr>
          <w:szCs w:val="16"/>
          <w:lang w:val="es-CR"/>
        </w:rPr>
        <w:t xml:space="preserve"> </w:t>
      </w:r>
      <w:proofErr w:type="spellStart"/>
      <w:r w:rsidRPr="009F337B">
        <w:rPr>
          <w:szCs w:val="16"/>
          <w:lang w:val="es-CR"/>
        </w:rPr>
        <w:t>into</w:t>
      </w:r>
      <w:proofErr w:type="spellEnd"/>
      <w:r w:rsidRPr="009F337B">
        <w:rPr>
          <w:szCs w:val="16"/>
          <w:lang w:val="es-CR"/>
        </w:rPr>
        <w:t xml:space="preserve"> </w:t>
      </w:r>
      <w:proofErr w:type="spellStart"/>
      <w:r w:rsidRPr="009F337B">
        <w:rPr>
          <w:szCs w:val="16"/>
          <w:lang w:val="es-CR"/>
        </w:rPr>
        <w:t>this</w:t>
      </w:r>
      <w:proofErr w:type="spellEnd"/>
      <w:r w:rsidRPr="009F337B">
        <w:rPr>
          <w:szCs w:val="16"/>
          <w:lang w:val="es-CR"/>
        </w:rPr>
        <w:t xml:space="preserve"> </w:t>
      </w:r>
      <w:proofErr w:type="spellStart"/>
      <w:r w:rsidRPr="009F337B">
        <w:rPr>
          <w:szCs w:val="16"/>
          <w:lang w:val="es-CR"/>
        </w:rPr>
        <w:t>category</w:t>
      </w:r>
      <w:proofErr w:type="spellEnd"/>
      <w:r w:rsidRPr="009F337B">
        <w:rPr>
          <w:szCs w:val="16"/>
          <w:lang w:val="es-CR"/>
        </w:rPr>
        <w:t xml:space="preserve">: María Blanca </w:t>
      </w:r>
      <w:proofErr w:type="spellStart"/>
      <w:r w:rsidRPr="009F337B">
        <w:rPr>
          <w:szCs w:val="16"/>
          <w:lang w:val="es-CR"/>
        </w:rPr>
        <w:t>Vaíl</w:t>
      </w:r>
      <w:proofErr w:type="spellEnd"/>
      <w:r w:rsidRPr="009F337B">
        <w:rPr>
          <w:szCs w:val="16"/>
          <w:lang w:val="es-CR"/>
        </w:rPr>
        <w:t xml:space="preserve"> López, Silvia Mirtala </w:t>
      </w:r>
      <w:proofErr w:type="spellStart"/>
      <w:r w:rsidRPr="009F337B">
        <w:rPr>
          <w:szCs w:val="16"/>
          <w:lang w:val="es-CR"/>
        </w:rPr>
        <w:t>Alvarez</w:t>
      </w:r>
      <w:proofErr w:type="spellEnd"/>
      <w:r w:rsidRPr="009F337B">
        <w:rPr>
          <w:szCs w:val="16"/>
          <w:lang w:val="es-CR"/>
        </w:rPr>
        <w:t xml:space="preserve"> Villatoro, Sebastián Emilio Dueñas, Luis Rubén Isabel </w:t>
      </w:r>
      <w:proofErr w:type="spellStart"/>
      <w:r w:rsidRPr="009F337B">
        <w:rPr>
          <w:szCs w:val="16"/>
          <w:lang w:val="es-CR"/>
        </w:rPr>
        <w:t>Alvarez</w:t>
      </w:r>
      <w:proofErr w:type="spellEnd"/>
      <w:r w:rsidRPr="009F337B">
        <w:rPr>
          <w:szCs w:val="16"/>
          <w:lang w:val="es-CR"/>
        </w:rPr>
        <w:t xml:space="preserve"> Flores, Santiago Francisco </w:t>
      </w:r>
      <w:proofErr w:type="spellStart"/>
      <w:r w:rsidRPr="009F337B">
        <w:rPr>
          <w:szCs w:val="16"/>
          <w:lang w:val="es-CR"/>
        </w:rPr>
        <w:t>Valdéz</w:t>
      </w:r>
      <w:proofErr w:type="spellEnd"/>
      <w:r w:rsidRPr="009F337B">
        <w:rPr>
          <w:szCs w:val="16"/>
          <w:lang w:val="es-CR"/>
        </w:rPr>
        <w:t xml:space="preserve"> Aguilar and Zoila Marina Pérez Ruíz.</w:t>
      </w:r>
    </w:p>
  </w:footnote>
  <w:footnote w:id="146">
    <w:p w14:paraId="51467CC4" w14:textId="5AED3F94"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r>
      <w:r w:rsidRPr="009F337B">
        <w:rPr>
          <w:i/>
          <w:szCs w:val="16"/>
          <w:lang w:val="en-US"/>
        </w:rPr>
        <w:t>Cf.</w:t>
      </w:r>
      <w:r w:rsidRPr="009F337B">
        <w:rPr>
          <w:szCs w:val="16"/>
          <w:lang w:val="en-US"/>
        </w:rPr>
        <w:t xml:space="preserve"> </w:t>
      </w:r>
      <w:r w:rsidRPr="009F337B">
        <w:rPr>
          <w:rStyle w:val="Textoennegrita"/>
          <w:b w:val="0"/>
          <w:i/>
          <w:color w:val="000000"/>
          <w:szCs w:val="16"/>
          <w:shd w:val="clear" w:color="auto" w:fill="FFFFFF"/>
          <w:lang w:val="en-US"/>
        </w:rPr>
        <w:t>Case of Ramírez Escobar et al. v. Guatemala. Merits, reparations and costs.</w:t>
      </w:r>
      <w:r w:rsidRPr="009F337B">
        <w:rPr>
          <w:rStyle w:val="Textoennegrita"/>
          <w:b w:val="0"/>
          <w:color w:val="000000"/>
          <w:szCs w:val="16"/>
          <w:shd w:val="clear" w:color="auto" w:fill="FFFFFF"/>
          <w:lang w:val="en-US"/>
        </w:rPr>
        <w:t xml:space="preserve"> Judgment of March 8, 2018. Series C No. 351, para. 277.</w:t>
      </w:r>
    </w:p>
  </w:footnote>
  <w:footnote w:id="147">
    <w:p w14:paraId="2CAEA4CB" w14:textId="0A6D67EC" w:rsidR="00AF5CC6" w:rsidRPr="009F337B" w:rsidRDefault="00AF5CC6" w:rsidP="00A30D95">
      <w:pPr>
        <w:pStyle w:val="Textonotapie"/>
        <w:spacing w:before="0"/>
        <w:rPr>
          <w:szCs w:val="16"/>
          <w:lang w:val="en-US"/>
        </w:rPr>
      </w:pPr>
      <w:r w:rsidRPr="009F337B">
        <w:rPr>
          <w:rStyle w:val="Refdenotaalpie"/>
          <w:rFonts w:eastAsia="Calibri"/>
          <w:szCs w:val="16"/>
          <w:lang w:val="en-US"/>
        </w:rPr>
        <w:footnoteRef/>
      </w:r>
      <w:r w:rsidRPr="009F337B">
        <w:rPr>
          <w:szCs w:val="16"/>
          <w:lang w:val="en-US"/>
        </w:rPr>
        <w:tab/>
      </w:r>
      <w:r w:rsidRPr="009F337B">
        <w:rPr>
          <w:i/>
          <w:szCs w:val="16"/>
          <w:lang w:val="en-US"/>
        </w:rPr>
        <w:t xml:space="preserve">Cf. Case of Poblete </w:t>
      </w:r>
      <w:proofErr w:type="spellStart"/>
      <w:r w:rsidRPr="009F337B">
        <w:rPr>
          <w:i/>
          <w:szCs w:val="16"/>
          <w:lang w:val="en-US"/>
        </w:rPr>
        <w:t>Vilches</w:t>
      </w:r>
      <w:proofErr w:type="spellEnd"/>
      <w:r w:rsidRPr="009F337B">
        <w:rPr>
          <w:i/>
          <w:szCs w:val="16"/>
          <w:lang w:val="en-US"/>
        </w:rPr>
        <w:t xml:space="preserve"> et al. v. Chile. Merits, reparations and costs.</w:t>
      </w:r>
      <w:r w:rsidRPr="009F337B">
        <w:rPr>
          <w:szCs w:val="16"/>
          <w:lang w:val="en-US"/>
        </w:rPr>
        <w:t xml:space="preserve"> Judgment of March 8, 2018. Series C No. 349, para. 122. </w:t>
      </w:r>
      <w:r w:rsidRPr="009F337B">
        <w:rPr>
          <w:i/>
          <w:szCs w:val="16"/>
          <w:lang w:val="en-US"/>
        </w:rPr>
        <w:t>Cf.</w:t>
      </w:r>
      <w:r w:rsidRPr="009F337B">
        <w:rPr>
          <w:szCs w:val="16"/>
          <w:lang w:val="en-US"/>
        </w:rPr>
        <w:t xml:space="preserve"> General Comment  No. 14: The Right to the Highest Attainable Standard of Health, August 11, 2000, U.N. Doc. E/C.12/2000/4, para. 12. In this regard, the General Comment indicates that accessibility has four overlapping dimensions, one of them is that of non-discrimination, which means that “health facilities, goods and services must be accessible to all, especially the most vulnerable or marginalized sections of the population, in law and in fact, without discrimination on any of the prohibited grounds.”</w:t>
      </w:r>
    </w:p>
  </w:footnote>
  <w:footnote w:id="148">
    <w:p w14:paraId="42F4B8EB" w14:textId="694D3862" w:rsidR="00AF5CC6" w:rsidRPr="009F337B" w:rsidRDefault="00AF5CC6" w:rsidP="00A30D95">
      <w:pPr>
        <w:pStyle w:val="Textonotapie"/>
        <w:spacing w:before="0"/>
        <w:rPr>
          <w:rFonts w:eastAsia="Calibri"/>
          <w:szCs w:val="16"/>
          <w:lang w:val="es-CR"/>
        </w:rPr>
      </w:pPr>
      <w:r w:rsidRPr="009F337B">
        <w:rPr>
          <w:rStyle w:val="Refdenotaalpie"/>
          <w:rFonts w:eastAsia="Calibri"/>
          <w:szCs w:val="16"/>
          <w:lang w:val="en-US"/>
        </w:rPr>
        <w:footnoteRef/>
      </w:r>
      <w:r w:rsidRPr="009F337B">
        <w:rPr>
          <w:rFonts w:eastAsia="Calibri"/>
          <w:szCs w:val="16"/>
          <w:lang w:val="en-US"/>
        </w:rPr>
        <w:tab/>
      </w:r>
      <w:r w:rsidRPr="009F337B">
        <w:rPr>
          <w:rFonts w:eastAsia="Calibri"/>
          <w:i/>
          <w:szCs w:val="16"/>
          <w:lang w:val="en-US"/>
        </w:rPr>
        <w:t xml:space="preserve">Cf. Case of Poblete </w:t>
      </w:r>
      <w:proofErr w:type="spellStart"/>
      <w:r w:rsidRPr="009F337B">
        <w:rPr>
          <w:rFonts w:eastAsia="Calibri"/>
          <w:i/>
          <w:szCs w:val="16"/>
          <w:lang w:val="en-US"/>
        </w:rPr>
        <w:t>Vilches</w:t>
      </w:r>
      <w:proofErr w:type="spellEnd"/>
      <w:r w:rsidRPr="009F337B">
        <w:rPr>
          <w:rFonts w:eastAsia="Calibri"/>
          <w:i/>
          <w:szCs w:val="16"/>
          <w:lang w:val="en-US"/>
        </w:rPr>
        <w:t xml:space="preserve"> et al. v. Chile. Merits, reparations and costs.</w:t>
      </w:r>
      <w:r w:rsidRPr="009F337B">
        <w:rPr>
          <w:rFonts w:eastAsia="Calibri"/>
          <w:szCs w:val="16"/>
          <w:lang w:val="en-US"/>
        </w:rPr>
        <w:t xml:space="preserve"> Judgment of March 8, 2018. </w:t>
      </w:r>
      <w:r w:rsidRPr="009F337B">
        <w:rPr>
          <w:rFonts w:eastAsia="Calibri"/>
          <w:szCs w:val="16"/>
          <w:lang w:val="es-CR"/>
        </w:rPr>
        <w:t xml:space="preserve">Series C No. 349, para. 122. </w:t>
      </w:r>
    </w:p>
  </w:footnote>
  <w:footnote w:id="149">
    <w:p w14:paraId="4166D98D" w14:textId="36FBA3C9" w:rsidR="00AF5CC6" w:rsidRPr="009F337B" w:rsidRDefault="00AF5CC6" w:rsidP="00A30D95">
      <w:pPr>
        <w:pStyle w:val="Textonotapie"/>
        <w:spacing w:before="0"/>
        <w:rPr>
          <w:szCs w:val="16"/>
          <w:lang w:val="en-US"/>
        </w:rPr>
      </w:pPr>
      <w:r w:rsidRPr="009F337B">
        <w:rPr>
          <w:rStyle w:val="Refdenotaalpie"/>
          <w:rFonts w:eastAsia="MS ????"/>
          <w:szCs w:val="16"/>
          <w:lang w:val="en-US"/>
        </w:rPr>
        <w:footnoteRef/>
      </w:r>
      <w:r w:rsidRPr="009F337B">
        <w:rPr>
          <w:szCs w:val="16"/>
          <w:lang w:val="es-CR"/>
        </w:rPr>
        <w:tab/>
      </w:r>
      <w:r w:rsidRPr="009F337B">
        <w:rPr>
          <w:i/>
          <w:szCs w:val="16"/>
          <w:lang w:val="es-CR"/>
        </w:rPr>
        <w:t xml:space="preserve">Cf. Case </w:t>
      </w:r>
      <w:proofErr w:type="spellStart"/>
      <w:r w:rsidRPr="009F337B">
        <w:rPr>
          <w:i/>
          <w:szCs w:val="16"/>
          <w:lang w:val="es-CR"/>
        </w:rPr>
        <w:t>of</w:t>
      </w:r>
      <w:proofErr w:type="spellEnd"/>
      <w:r w:rsidRPr="009F337B">
        <w:rPr>
          <w:i/>
          <w:szCs w:val="16"/>
          <w:lang w:val="es-CR"/>
        </w:rPr>
        <w:t xml:space="preserve"> Veliz Franco et al. v. Guatemala. </w:t>
      </w:r>
      <w:r w:rsidRPr="009F337B">
        <w:rPr>
          <w:i/>
          <w:szCs w:val="16"/>
          <w:lang w:val="en-US"/>
        </w:rPr>
        <w:t xml:space="preserve">Preliminary objections, merits, reparations and costs. </w:t>
      </w:r>
      <w:r w:rsidRPr="009F337B">
        <w:rPr>
          <w:szCs w:val="16"/>
          <w:lang w:val="en-US"/>
        </w:rPr>
        <w:t xml:space="preserve">Judgment of May 19, 2014. Series C No. 277, para. 204, and </w:t>
      </w:r>
      <w:r w:rsidRPr="009F337B">
        <w:rPr>
          <w:i/>
          <w:szCs w:val="16"/>
          <w:lang w:val="en-US"/>
        </w:rPr>
        <w:t xml:space="preserve">Case of Poblete </w:t>
      </w:r>
      <w:proofErr w:type="spellStart"/>
      <w:r w:rsidRPr="009F337B">
        <w:rPr>
          <w:i/>
          <w:szCs w:val="16"/>
          <w:lang w:val="en-US"/>
        </w:rPr>
        <w:t>Vilches</w:t>
      </w:r>
      <w:proofErr w:type="spellEnd"/>
      <w:r w:rsidRPr="009F337B">
        <w:rPr>
          <w:i/>
          <w:szCs w:val="16"/>
          <w:lang w:val="en-US"/>
        </w:rPr>
        <w:t xml:space="preserve"> et al. v. Chile. Merits, reparations and costs.</w:t>
      </w:r>
      <w:r w:rsidRPr="009F337B">
        <w:rPr>
          <w:szCs w:val="16"/>
          <w:lang w:val="en-US"/>
        </w:rPr>
        <w:t xml:space="preserve"> Judgment of March 8, 2018. Series C No. 349, para. 122.</w:t>
      </w:r>
    </w:p>
  </w:footnote>
  <w:footnote w:id="150">
    <w:p w14:paraId="21B4C952" w14:textId="1264AD43" w:rsidR="00AF5CC6" w:rsidRPr="009F337B" w:rsidRDefault="00AF5CC6" w:rsidP="00A30D95">
      <w:pPr>
        <w:pStyle w:val="Textonotapie"/>
        <w:spacing w:before="0"/>
        <w:rPr>
          <w:szCs w:val="16"/>
          <w:lang w:val="en-US"/>
        </w:rPr>
      </w:pPr>
      <w:r w:rsidRPr="009F337B">
        <w:rPr>
          <w:rStyle w:val="Refdenotaalpie"/>
          <w:rFonts w:eastAsia="MS ????"/>
          <w:szCs w:val="16"/>
          <w:lang w:val="en-US"/>
        </w:rPr>
        <w:footnoteRef/>
      </w:r>
      <w:r w:rsidRPr="009F337B">
        <w:rPr>
          <w:szCs w:val="16"/>
          <w:lang w:val="en-US"/>
        </w:rPr>
        <w:tab/>
      </w:r>
      <w:r w:rsidRPr="009F337B">
        <w:rPr>
          <w:i/>
          <w:szCs w:val="16"/>
          <w:lang w:val="en-US"/>
        </w:rPr>
        <w:t xml:space="preserve">Cf. Case of Atala </w:t>
      </w:r>
      <w:proofErr w:type="spellStart"/>
      <w:r w:rsidRPr="009F337B">
        <w:rPr>
          <w:i/>
          <w:szCs w:val="16"/>
          <w:lang w:val="en-US"/>
        </w:rPr>
        <w:t>Riffo</w:t>
      </w:r>
      <w:proofErr w:type="spellEnd"/>
      <w:r w:rsidRPr="009F337B">
        <w:rPr>
          <w:i/>
          <w:szCs w:val="16"/>
          <w:lang w:val="en-US"/>
        </w:rPr>
        <w:t xml:space="preserve"> and daughters v. Chile. Merits, reparations and costs.</w:t>
      </w:r>
      <w:r w:rsidRPr="009F337B">
        <w:rPr>
          <w:szCs w:val="16"/>
          <w:lang w:val="en-US"/>
        </w:rPr>
        <w:t xml:space="preserve"> Judgment of February 24, 2012. Series C No. 239 para. 85, and </w:t>
      </w:r>
      <w:r w:rsidRPr="009F337B">
        <w:rPr>
          <w:i/>
          <w:szCs w:val="16"/>
          <w:lang w:val="en-US"/>
        </w:rPr>
        <w:t xml:space="preserve">Case of Poblete </w:t>
      </w:r>
      <w:proofErr w:type="spellStart"/>
      <w:r w:rsidRPr="009F337B">
        <w:rPr>
          <w:i/>
          <w:szCs w:val="16"/>
          <w:lang w:val="en-US"/>
        </w:rPr>
        <w:t>Vilches</w:t>
      </w:r>
      <w:proofErr w:type="spellEnd"/>
      <w:r w:rsidRPr="009F337B">
        <w:rPr>
          <w:i/>
          <w:szCs w:val="16"/>
          <w:lang w:val="en-US"/>
        </w:rPr>
        <w:t xml:space="preserve"> et al. v. Chile. Merits, reparations and costs.</w:t>
      </w:r>
      <w:r w:rsidRPr="009F337B">
        <w:rPr>
          <w:szCs w:val="16"/>
          <w:lang w:val="en-US"/>
        </w:rPr>
        <w:t xml:space="preserve"> Judgment of March 8, 2018. Series C No. 349, para. 122.</w:t>
      </w:r>
    </w:p>
  </w:footnote>
  <w:footnote w:id="151">
    <w:p w14:paraId="2F9C1320" w14:textId="2C8B1552"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r>
      <w:r w:rsidRPr="009F337B">
        <w:rPr>
          <w:i/>
          <w:szCs w:val="16"/>
          <w:lang w:val="en-US"/>
        </w:rPr>
        <w:t xml:space="preserve">Cf. Case of Gonzales </w:t>
      </w:r>
      <w:proofErr w:type="spellStart"/>
      <w:r w:rsidRPr="009F337B">
        <w:rPr>
          <w:i/>
          <w:szCs w:val="16"/>
          <w:lang w:val="en-US"/>
        </w:rPr>
        <w:t>Lluy</w:t>
      </w:r>
      <w:proofErr w:type="spellEnd"/>
      <w:r w:rsidRPr="009F337B">
        <w:rPr>
          <w:i/>
          <w:szCs w:val="16"/>
          <w:lang w:val="en-US"/>
        </w:rPr>
        <w:t xml:space="preserve"> et al. v. Ecuador. Preliminary objections, merits, reparations and costs.</w:t>
      </w:r>
      <w:r w:rsidRPr="009F337B">
        <w:rPr>
          <w:szCs w:val="16"/>
          <w:lang w:val="en-US"/>
        </w:rPr>
        <w:t xml:space="preserve"> Judgment of September 1, 2015. Series C No. 298, para. 255.</w:t>
      </w:r>
    </w:p>
  </w:footnote>
  <w:footnote w:id="152">
    <w:p w14:paraId="11967F48" w14:textId="3846EBBE" w:rsidR="00AF5CC6" w:rsidRPr="009F337B" w:rsidRDefault="00AF5CC6" w:rsidP="00A30D95">
      <w:pPr>
        <w:pStyle w:val="Textonotapie"/>
        <w:spacing w:before="0"/>
        <w:rPr>
          <w:szCs w:val="16"/>
          <w:lang w:val="en-US"/>
        </w:rPr>
      </w:pPr>
      <w:r w:rsidRPr="009F337B">
        <w:rPr>
          <w:rStyle w:val="Refdenotaalpie"/>
          <w:rFonts w:eastAsia="Calibri"/>
          <w:szCs w:val="16"/>
          <w:lang w:val="en-US"/>
        </w:rPr>
        <w:footnoteRef/>
      </w:r>
      <w:r w:rsidRPr="009F337B">
        <w:rPr>
          <w:szCs w:val="16"/>
          <w:lang w:val="en-US"/>
        </w:rPr>
        <w:tab/>
      </w:r>
      <w:r w:rsidRPr="009F337B">
        <w:rPr>
          <w:i/>
          <w:szCs w:val="16"/>
          <w:lang w:val="en-US"/>
        </w:rPr>
        <w:t xml:space="preserve">Cf. Case of </w:t>
      </w:r>
      <w:proofErr w:type="spellStart"/>
      <w:r w:rsidRPr="009F337B">
        <w:rPr>
          <w:i/>
          <w:szCs w:val="16"/>
          <w:lang w:val="en-US"/>
        </w:rPr>
        <w:t>Furlan</w:t>
      </w:r>
      <w:proofErr w:type="spellEnd"/>
      <w:r w:rsidRPr="009F337B">
        <w:rPr>
          <w:i/>
          <w:szCs w:val="16"/>
          <w:lang w:val="en-US"/>
        </w:rPr>
        <w:t xml:space="preserve"> and family members v. Argentina. Preliminary objections, merits, reparations and costs.</w:t>
      </w:r>
      <w:r w:rsidRPr="009F337B">
        <w:rPr>
          <w:szCs w:val="16"/>
          <w:lang w:val="en-US"/>
        </w:rPr>
        <w:t xml:space="preserve"> Judgment of August 31, 2012. Series C No. 246, para. 267, and </w:t>
      </w:r>
      <w:r w:rsidRPr="009F337B">
        <w:rPr>
          <w:i/>
          <w:szCs w:val="16"/>
          <w:lang w:val="en-US"/>
        </w:rPr>
        <w:t xml:space="preserve">Case of Poblete </w:t>
      </w:r>
      <w:proofErr w:type="spellStart"/>
      <w:r w:rsidRPr="009F337B">
        <w:rPr>
          <w:i/>
          <w:szCs w:val="16"/>
          <w:lang w:val="en-US"/>
        </w:rPr>
        <w:t>Vilches</w:t>
      </w:r>
      <w:proofErr w:type="spellEnd"/>
      <w:r w:rsidRPr="009F337B">
        <w:rPr>
          <w:i/>
          <w:szCs w:val="16"/>
          <w:lang w:val="en-US"/>
        </w:rPr>
        <w:t xml:space="preserve"> et al. v. Chile. Merits, reparations and costs.</w:t>
      </w:r>
      <w:r w:rsidRPr="009F337B">
        <w:rPr>
          <w:szCs w:val="16"/>
          <w:lang w:val="en-US"/>
        </w:rPr>
        <w:t xml:space="preserve"> Judgment of March 8, 2018. Series C No. 349, para. 123.</w:t>
      </w:r>
    </w:p>
  </w:footnote>
  <w:footnote w:id="153">
    <w:p w14:paraId="559D99AA" w14:textId="7D7890D6"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r>
      <w:r w:rsidRPr="009F337B">
        <w:rPr>
          <w:i/>
          <w:szCs w:val="16"/>
          <w:lang w:val="en-US"/>
        </w:rPr>
        <w:t xml:space="preserve">Cf. Case of Gonzales </w:t>
      </w:r>
      <w:proofErr w:type="spellStart"/>
      <w:r w:rsidRPr="009F337B">
        <w:rPr>
          <w:i/>
          <w:szCs w:val="16"/>
          <w:lang w:val="en-US"/>
        </w:rPr>
        <w:t>Lluy</w:t>
      </w:r>
      <w:proofErr w:type="spellEnd"/>
      <w:r w:rsidRPr="009F337B">
        <w:rPr>
          <w:i/>
          <w:szCs w:val="16"/>
          <w:lang w:val="en-US"/>
        </w:rPr>
        <w:t xml:space="preserve"> et al. v. Ecuador. Preliminary objections, merits, reparations and costs.</w:t>
      </w:r>
      <w:r w:rsidRPr="009F337B">
        <w:rPr>
          <w:szCs w:val="16"/>
          <w:lang w:val="en-US"/>
        </w:rPr>
        <w:t xml:space="preserve"> Judgment of September 1, 2015. Series C No. 298, para. 236.</w:t>
      </w:r>
    </w:p>
  </w:footnote>
  <w:footnote w:id="154">
    <w:p w14:paraId="1A1CE48E" w14:textId="43FC6A10"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r>
      <w:r w:rsidRPr="009F337B">
        <w:rPr>
          <w:i/>
          <w:szCs w:val="16"/>
          <w:lang w:val="en-US"/>
        </w:rPr>
        <w:t>Cf.</w:t>
      </w:r>
      <w:r w:rsidRPr="009F337B">
        <w:rPr>
          <w:szCs w:val="16"/>
          <w:lang w:val="en-US"/>
        </w:rPr>
        <w:t xml:space="preserve"> </w:t>
      </w:r>
      <w:r w:rsidRPr="009F337B">
        <w:rPr>
          <w:i/>
          <w:szCs w:val="16"/>
          <w:lang w:val="en-US"/>
        </w:rPr>
        <w:t xml:space="preserve">Case of Poblete </w:t>
      </w:r>
      <w:proofErr w:type="spellStart"/>
      <w:r w:rsidRPr="009F337B">
        <w:rPr>
          <w:i/>
          <w:szCs w:val="16"/>
          <w:lang w:val="en-US"/>
        </w:rPr>
        <w:t>Vilches</w:t>
      </w:r>
      <w:proofErr w:type="spellEnd"/>
      <w:r w:rsidRPr="009F337B">
        <w:rPr>
          <w:i/>
          <w:szCs w:val="16"/>
          <w:lang w:val="en-US"/>
        </w:rPr>
        <w:t xml:space="preserve"> et al. v. Chile. Merits, reparations and costs</w:t>
      </w:r>
      <w:r w:rsidRPr="009F337B">
        <w:rPr>
          <w:szCs w:val="16"/>
          <w:lang w:val="en-US"/>
        </w:rPr>
        <w:t>. Judgment of March 8, 2018. Series C No. 349, para. 123.</w:t>
      </w:r>
    </w:p>
  </w:footnote>
  <w:footnote w:id="155">
    <w:p w14:paraId="728CCBE7" w14:textId="52D407EE"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r>
      <w:r w:rsidRPr="009F337B">
        <w:rPr>
          <w:i/>
          <w:szCs w:val="16"/>
          <w:lang w:val="en-US"/>
        </w:rPr>
        <w:t xml:space="preserve">Mutatis </w:t>
      </w:r>
      <w:proofErr w:type="spellStart"/>
      <w:r w:rsidRPr="009F337B">
        <w:rPr>
          <w:i/>
          <w:szCs w:val="16"/>
          <w:lang w:val="en-US"/>
        </w:rPr>
        <w:t>mutandi</w:t>
      </w:r>
      <w:proofErr w:type="spellEnd"/>
      <w:r w:rsidRPr="009F337B">
        <w:rPr>
          <w:szCs w:val="16"/>
          <w:lang w:val="en-US"/>
        </w:rPr>
        <w:t xml:space="preserve">, </w:t>
      </w:r>
      <w:r w:rsidRPr="009F337B">
        <w:rPr>
          <w:i/>
          <w:szCs w:val="16"/>
          <w:lang w:val="en-US"/>
        </w:rPr>
        <w:t xml:space="preserve">Case of the </w:t>
      </w:r>
      <w:proofErr w:type="spellStart"/>
      <w:r w:rsidRPr="009F337B">
        <w:rPr>
          <w:i/>
          <w:szCs w:val="16"/>
          <w:lang w:val="en-US"/>
        </w:rPr>
        <w:t>Xákmok</w:t>
      </w:r>
      <w:proofErr w:type="spellEnd"/>
      <w:r w:rsidRPr="009F337B">
        <w:rPr>
          <w:i/>
          <w:szCs w:val="16"/>
          <w:lang w:val="en-US"/>
        </w:rPr>
        <w:t xml:space="preserve"> </w:t>
      </w:r>
      <w:proofErr w:type="spellStart"/>
      <w:r w:rsidRPr="009F337B">
        <w:rPr>
          <w:i/>
          <w:szCs w:val="16"/>
          <w:lang w:val="en-US"/>
        </w:rPr>
        <w:t>Kásek</w:t>
      </w:r>
      <w:proofErr w:type="spellEnd"/>
      <w:r w:rsidRPr="009F337B">
        <w:rPr>
          <w:i/>
          <w:szCs w:val="16"/>
          <w:lang w:val="en-US"/>
        </w:rPr>
        <w:t xml:space="preserve"> Indigenous Community v. Paraguay. Merits, reparations and costs.</w:t>
      </w:r>
      <w:r w:rsidRPr="009F337B">
        <w:rPr>
          <w:szCs w:val="16"/>
          <w:lang w:val="en-US"/>
        </w:rPr>
        <w:t xml:space="preserve"> Judgment of August 24, 2010. Series C No. 214, para. 233.</w:t>
      </w:r>
    </w:p>
  </w:footnote>
  <w:footnote w:id="156">
    <w:p w14:paraId="1256E2F5" w14:textId="79527CEA"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r>
      <w:r w:rsidRPr="009F337B">
        <w:rPr>
          <w:i/>
          <w:szCs w:val="16"/>
          <w:lang w:val="en-US"/>
        </w:rPr>
        <w:t xml:space="preserve">Cf. Case of the </w:t>
      </w:r>
      <w:proofErr w:type="spellStart"/>
      <w:r w:rsidRPr="009F337B">
        <w:rPr>
          <w:i/>
          <w:szCs w:val="16"/>
          <w:lang w:val="en-US"/>
        </w:rPr>
        <w:t>Xákmok</w:t>
      </w:r>
      <w:proofErr w:type="spellEnd"/>
      <w:r w:rsidRPr="009F337B">
        <w:rPr>
          <w:i/>
          <w:szCs w:val="16"/>
          <w:lang w:val="en-US"/>
        </w:rPr>
        <w:t xml:space="preserve"> </w:t>
      </w:r>
      <w:proofErr w:type="spellStart"/>
      <w:r w:rsidRPr="009F337B">
        <w:rPr>
          <w:i/>
          <w:szCs w:val="16"/>
          <w:lang w:val="en-US"/>
        </w:rPr>
        <w:t>Kásek</w:t>
      </w:r>
      <w:proofErr w:type="spellEnd"/>
      <w:r w:rsidRPr="009F337B">
        <w:rPr>
          <w:i/>
          <w:szCs w:val="16"/>
          <w:lang w:val="en-US"/>
        </w:rPr>
        <w:t xml:space="preserve"> Indigenous Community v. Paraguay. Merits, reparations and costs</w:t>
      </w:r>
      <w:r w:rsidRPr="009F337B">
        <w:rPr>
          <w:szCs w:val="16"/>
          <w:lang w:val="en-US"/>
        </w:rPr>
        <w:t>. Judgment of August 24, 2010. Series C No. 214, para. 233.</w:t>
      </w:r>
    </w:p>
  </w:footnote>
  <w:footnote w:id="157">
    <w:p w14:paraId="2A4D86BB" w14:textId="0B557F1A"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r>
      <w:r w:rsidRPr="009F337B">
        <w:rPr>
          <w:i/>
          <w:szCs w:val="16"/>
          <w:lang w:val="en-US"/>
        </w:rPr>
        <w:t xml:space="preserve">Cf. </w:t>
      </w:r>
      <w:r w:rsidRPr="009F337B">
        <w:rPr>
          <w:rStyle w:val="Textoennegrita"/>
          <w:b w:val="0"/>
          <w:i/>
          <w:color w:val="000000"/>
          <w:szCs w:val="16"/>
          <w:shd w:val="clear" w:color="auto" w:fill="FFFFFF"/>
          <w:lang w:val="en-US"/>
        </w:rPr>
        <w:t xml:space="preserve">Case of the </w:t>
      </w:r>
      <w:proofErr w:type="spellStart"/>
      <w:r w:rsidRPr="009F337B">
        <w:rPr>
          <w:rStyle w:val="Textoennegrita"/>
          <w:b w:val="0"/>
          <w:i/>
          <w:color w:val="000000"/>
          <w:szCs w:val="16"/>
          <w:shd w:val="clear" w:color="auto" w:fill="FFFFFF"/>
          <w:lang w:val="en-US"/>
        </w:rPr>
        <w:t>Mapiripán</w:t>
      </w:r>
      <w:proofErr w:type="spellEnd"/>
      <w:r w:rsidRPr="009F337B">
        <w:rPr>
          <w:rStyle w:val="Textoennegrita"/>
          <w:b w:val="0"/>
          <w:i/>
          <w:color w:val="000000"/>
          <w:szCs w:val="16"/>
          <w:shd w:val="clear" w:color="auto" w:fill="FFFFFF"/>
          <w:lang w:val="en-US"/>
        </w:rPr>
        <w:t xml:space="preserve"> Massacre v. Colombia</w:t>
      </w:r>
      <w:r w:rsidRPr="009F337B">
        <w:rPr>
          <w:rStyle w:val="Textoennegrita"/>
          <w:b w:val="0"/>
          <w:color w:val="000000"/>
          <w:szCs w:val="16"/>
          <w:shd w:val="clear" w:color="auto" w:fill="FFFFFF"/>
          <w:lang w:val="en-US"/>
        </w:rPr>
        <w:t xml:space="preserve">. Judgment of September 15, 2005. Series C No. 134, para. 152 and </w:t>
      </w:r>
      <w:r w:rsidRPr="009F337B">
        <w:rPr>
          <w:i/>
          <w:szCs w:val="16"/>
          <w:lang w:val="en-US"/>
        </w:rPr>
        <w:t xml:space="preserve">Case of the </w:t>
      </w:r>
      <w:proofErr w:type="spellStart"/>
      <w:r w:rsidRPr="009F337B">
        <w:rPr>
          <w:i/>
          <w:szCs w:val="16"/>
          <w:lang w:val="en-US"/>
        </w:rPr>
        <w:t>Sawhoyamaxa</w:t>
      </w:r>
      <w:proofErr w:type="spellEnd"/>
      <w:r w:rsidRPr="009F337B">
        <w:rPr>
          <w:i/>
          <w:szCs w:val="16"/>
          <w:lang w:val="en-US"/>
        </w:rPr>
        <w:t xml:space="preserve"> Indigenous Community v. Paraguay. Merits, reparations and costs</w:t>
      </w:r>
      <w:r w:rsidRPr="009F337B">
        <w:rPr>
          <w:szCs w:val="16"/>
          <w:lang w:val="en-US"/>
        </w:rPr>
        <w:t>. Judgment of March 29, 2006. Series C No. 146, para. 177.</w:t>
      </w:r>
    </w:p>
  </w:footnote>
  <w:footnote w:id="158">
    <w:p w14:paraId="7B367079" w14:textId="6507867B"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r>
      <w:r w:rsidRPr="009F337B">
        <w:rPr>
          <w:i/>
          <w:szCs w:val="16"/>
          <w:lang w:val="en-US"/>
        </w:rPr>
        <w:t xml:space="preserve">Cf. </w:t>
      </w:r>
      <w:r w:rsidRPr="009F337B">
        <w:rPr>
          <w:szCs w:val="16"/>
          <w:lang w:val="en-US"/>
        </w:rPr>
        <w:t xml:space="preserve">United Nations. Committee for the Elimination of Discrimination against Women. General Recommendation No. 15: </w:t>
      </w:r>
      <w:r w:rsidRPr="009F337B">
        <w:rPr>
          <w:iCs/>
          <w:szCs w:val="16"/>
          <w:lang w:val="en-US"/>
        </w:rPr>
        <w:t>Avoidance of Discrimination against Women in National Strategies for the Prevention and Control of Acquired Immunodeficiency Syndrome (AIDS)</w:t>
      </w:r>
      <w:r w:rsidRPr="009F337B">
        <w:rPr>
          <w:szCs w:val="16"/>
          <w:lang w:val="en-US"/>
        </w:rPr>
        <w:t>, 9</w:t>
      </w:r>
      <w:r w:rsidRPr="009F337B">
        <w:rPr>
          <w:szCs w:val="16"/>
          <w:vertAlign w:val="superscript"/>
          <w:lang w:val="en-US"/>
        </w:rPr>
        <w:t xml:space="preserve">th </w:t>
      </w:r>
      <w:r w:rsidRPr="009F337B">
        <w:rPr>
          <w:szCs w:val="16"/>
          <w:lang w:val="en-US"/>
        </w:rPr>
        <w:t>session, 1990, U.N. Doc. A/45/38, paragraph (b).</w:t>
      </w:r>
    </w:p>
  </w:footnote>
  <w:footnote w:id="159">
    <w:p w14:paraId="7285C92A" w14:textId="7C5FA501" w:rsidR="00AF5CC6" w:rsidRPr="009F337B" w:rsidRDefault="00AF5CC6" w:rsidP="00A30D95">
      <w:pPr>
        <w:pStyle w:val="Ttulo2"/>
        <w:numPr>
          <w:ilvl w:val="0"/>
          <w:numId w:val="0"/>
        </w:numPr>
        <w:spacing w:before="0" w:after="120"/>
        <w:rPr>
          <w:rFonts w:eastAsia="Times New Roman" w:cs="Times New Roman"/>
          <w:sz w:val="16"/>
          <w:szCs w:val="16"/>
          <w:lang w:val="en-US"/>
        </w:rPr>
      </w:pPr>
      <w:r w:rsidRPr="009F337B">
        <w:rPr>
          <w:rStyle w:val="Refdenotaalpie"/>
          <w:b w:val="0"/>
          <w:sz w:val="16"/>
          <w:szCs w:val="16"/>
          <w:lang w:val="en-US"/>
        </w:rPr>
        <w:footnoteRef/>
      </w:r>
      <w:r w:rsidRPr="009F337B">
        <w:rPr>
          <w:sz w:val="16"/>
          <w:szCs w:val="16"/>
          <w:lang w:val="en-US"/>
        </w:rPr>
        <w:tab/>
      </w:r>
      <w:r w:rsidRPr="009F337B">
        <w:rPr>
          <w:b w:val="0"/>
          <w:i/>
          <w:sz w:val="16"/>
          <w:szCs w:val="16"/>
          <w:lang w:val="en-US"/>
        </w:rPr>
        <w:t xml:space="preserve">Cf. </w:t>
      </w:r>
      <w:r w:rsidRPr="009F337B">
        <w:rPr>
          <w:b w:val="0"/>
          <w:sz w:val="16"/>
          <w:szCs w:val="16"/>
          <w:lang w:val="en-US"/>
        </w:rPr>
        <w:t>Committee on Economic, Social and Cultural Rights, General Comment No. 22 on the right to sexual and reproductive health (article 12 of the International Covenant on Economic, Social and Cultural Rights), May 2, 2016, U.N. Doc. EC.12/GC/22, para. 45.</w:t>
      </w:r>
    </w:p>
  </w:footnote>
  <w:footnote w:id="160">
    <w:p w14:paraId="788D12D5" w14:textId="560C844E"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 xml:space="preserve"> </w:t>
      </w:r>
      <w:r w:rsidRPr="009F337B">
        <w:rPr>
          <w:szCs w:val="16"/>
          <w:lang w:val="en-US"/>
        </w:rPr>
        <w:tab/>
      </w:r>
      <w:r w:rsidRPr="009F337B">
        <w:rPr>
          <w:i/>
          <w:szCs w:val="16"/>
          <w:lang w:val="en-US"/>
        </w:rPr>
        <w:t xml:space="preserve">Cf. </w:t>
      </w:r>
      <w:r w:rsidRPr="009F337B">
        <w:rPr>
          <w:szCs w:val="16"/>
          <w:lang w:val="en-US"/>
        </w:rPr>
        <w:t xml:space="preserve">Office of the United Nations High Commissioner for Human Rights (OHCHR) and the Joint United Nations Program on HIV and AIDS (UNAIDS), International Guidelines on </w:t>
      </w:r>
      <w:r w:rsidRPr="009F337B">
        <w:rPr>
          <w:iCs/>
          <w:szCs w:val="16"/>
          <w:lang w:val="en-US"/>
        </w:rPr>
        <w:t>HIV/AIDS and Human Rights</w:t>
      </w:r>
      <w:r w:rsidRPr="009F337B">
        <w:rPr>
          <w:i/>
          <w:iCs/>
          <w:szCs w:val="16"/>
          <w:lang w:val="en-US"/>
        </w:rPr>
        <w:t xml:space="preserve">. </w:t>
      </w:r>
      <w:r w:rsidRPr="009F337B">
        <w:rPr>
          <w:iCs/>
          <w:szCs w:val="16"/>
          <w:lang w:val="en-US"/>
        </w:rPr>
        <w:t>Consolidated version, 2006, eighth guideline</w:t>
      </w:r>
      <w:r w:rsidRPr="009F337B">
        <w:rPr>
          <w:szCs w:val="16"/>
          <w:lang w:val="en-US"/>
        </w:rPr>
        <w:t>.</w:t>
      </w:r>
    </w:p>
  </w:footnote>
  <w:footnote w:id="161">
    <w:p w14:paraId="1183502A" w14:textId="6E96031A"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r>
      <w:r w:rsidRPr="009F337B">
        <w:rPr>
          <w:i/>
          <w:szCs w:val="16"/>
          <w:lang w:val="en-US"/>
        </w:rPr>
        <w:t xml:space="preserve">Cf. </w:t>
      </w:r>
      <w:bookmarkStart w:id="85" w:name="_Hlk6136964"/>
      <w:r w:rsidRPr="009F337B">
        <w:rPr>
          <w:szCs w:val="16"/>
          <w:lang w:val="en-US"/>
        </w:rPr>
        <w:t xml:space="preserve">Office of the United Nations High Commissioner for Human Rights (OHCHR) and the Joint United Nations Program on HIV and AIDS (UNAIDS), International Guidelines on </w:t>
      </w:r>
      <w:r w:rsidRPr="009F337B">
        <w:rPr>
          <w:iCs/>
          <w:szCs w:val="16"/>
          <w:lang w:val="en-US"/>
        </w:rPr>
        <w:t>HIV/AIDS and Human Rights</w:t>
      </w:r>
      <w:r w:rsidRPr="009F337B">
        <w:rPr>
          <w:i/>
          <w:iCs/>
          <w:szCs w:val="16"/>
          <w:lang w:val="en-US"/>
        </w:rPr>
        <w:t xml:space="preserve">. </w:t>
      </w:r>
      <w:r w:rsidRPr="009F337B">
        <w:rPr>
          <w:iCs/>
          <w:szCs w:val="16"/>
          <w:lang w:val="en-US"/>
        </w:rPr>
        <w:t>Consolidated version, 2006, eighth guideline</w:t>
      </w:r>
      <w:r w:rsidRPr="009F337B">
        <w:rPr>
          <w:szCs w:val="16"/>
          <w:lang w:val="en-US"/>
        </w:rPr>
        <w:t xml:space="preserve">, </w:t>
      </w:r>
      <w:bookmarkEnd w:id="85"/>
      <w:r w:rsidRPr="009F337B">
        <w:rPr>
          <w:szCs w:val="16"/>
          <w:lang w:val="en-US"/>
        </w:rPr>
        <w:t>pp. 52 to 54.</w:t>
      </w:r>
    </w:p>
  </w:footnote>
  <w:footnote w:id="162">
    <w:p w14:paraId="75A71121" w14:textId="15ED0847"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t xml:space="preserve">The following persons fall within this category: Sandra Lisbeth Zepeda Herrera, </w:t>
      </w:r>
      <w:proofErr w:type="spellStart"/>
      <w:r w:rsidRPr="009F337B">
        <w:rPr>
          <w:szCs w:val="16"/>
          <w:lang w:val="en-US"/>
        </w:rPr>
        <w:t>Pascuala</w:t>
      </w:r>
      <w:proofErr w:type="spellEnd"/>
      <w:r w:rsidRPr="009F337B">
        <w:rPr>
          <w:szCs w:val="16"/>
          <w:lang w:val="en-US"/>
        </w:rPr>
        <w:t xml:space="preserve"> de Jesús Mérida, </w:t>
      </w:r>
      <w:proofErr w:type="spellStart"/>
      <w:r w:rsidRPr="009F337B">
        <w:rPr>
          <w:szCs w:val="16"/>
          <w:lang w:val="en-US"/>
        </w:rPr>
        <w:t>Saira</w:t>
      </w:r>
      <w:proofErr w:type="spellEnd"/>
      <w:r w:rsidRPr="009F337B">
        <w:rPr>
          <w:szCs w:val="16"/>
          <w:lang w:val="en-US"/>
        </w:rPr>
        <w:t xml:space="preserve"> Elisa Barrios, Corina </w:t>
      </w:r>
      <w:proofErr w:type="spellStart"/>
      <w:r w:rsidRPr="009F337B">
        <w:rPr>
          <w:szCs w:val="16"/>
          <w:lang w:val="en-US"/>
        </w:rPr>
        <w:t>Dianeth</w:t>
      </w:r>
      <w:proofErr w:type="spellEnd"/>
      <w:r w:rsidRPr="009F337B">
        <w:rPr>
          <w:szCs w:val="16"/>
          <w:lang w:val="en-US"/>
        </w:rPr>
        <w:t xml:space="preserve"> Robledo and Dora Marina Martínez.</w:t>
      </w:r>
    </w:p>
  </w:footnote>
  <w:footnote w:id="163">
    <w:p w14:paraId="25490FD5" w14:textId="062A582B"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r>
      <w:r w:rsidRPr="009F337B">
        <w:rPr>
          <w:i/>
          <w:szCs w:val="16"/>
          <w:lang w:val="en-US"/>
        </w:rPr>
        <w:t xml:space="preserve">Cf. </w:t>
      </w:r>
      <w:r w:rsidRPr="009F337B">
        <w:rPr>
          <w:szCs w:val="16"/>
          <w:lang w:val="en-US"/>
        </w:rPr>
        <w:t>Affidavit prepared by Sandra Lisbeth Zepeda Herrera on December 15, 2016 (evidence file, folio 11544).</w:t>
      </w:r>
    </w:p>
  </w:footnote>
  <w:footnote w:id="164">
    <w:p w14:paraId="7EF12721" w14:textId="4E4C4314"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r>
      <w:r w:rsidRPr="009F337B">
        <w:rPr>
          <w:i/>
          <w:szCs w:val="16"/>
          <w:lang w:val="en-US"/>
        </w:rPr>
        <w:t xml:space="preserve">Cf. </w:t>
      </w:r>
      <w:r w:rsidRPr="009F337B">
        <w:rPr>
          <w:szCs w:val="16"/>
          <w:lang w:val="en-US"/>
        </w:rPr>
        <w:t xml:space="preserve">Affidavit prepared by </w:t>
      </w:r>
      <w:proofErr w:type="spellStart"/>
      <w:r w:rsidRPr="009F337B">
        <w:rPr>
          <w:szCs w:val="16"/>
          <w:lang w:val="en-US"/>
        </w:rPr>
        <w:t>Pascuala</w:t>
      </w:r>
      <w:proofErr w:type="spellEnd"/>
      <w:r w:rsidRPr="009F337B">
        <w:rPr>
          <w:szCs w:val="16"/>
          <w:lang w:val="en-US"/>
        </w:rPr>
        <w:t xml:space="preserve"> De Jesús Mérida Rodríguez de Maldonado on January 11, 2017 (evidence file, folio 11763).</w:t>
      </w:r>
    </w:p>
  </w:footnote>
  <w:footnote w:id="165">
    <w:p w14:paraId="04772B82" w14:textId="21E11790"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r>
      <w:r w:rsidRPr="009F337B">
        <w:rPr>
          <w:i/>
          <w:szCs w:val="16"/>
          <w:lang w:val="en-US"/>
        </w:rPr>
        <w:t xml:space="preserve">Cf. </w:t>
      </w:r>
      <w:r w:rsidRPr="009F337B">
        <w:rPr>
          <w:szCs w:val="16"/>
          <w:lang w:val="en-US"/>
        </w:rPr>
        <w:t>Expert opinion provided by Oscar Cabrera on March 6, 2018 (merits file, folio 1707).</w:t>
      </w:r>
    </w:p>
  </w:footnote>
  <w:footnote w:id="166">
    <w:p w14:paraId="0D037CF0" w14:textId="05BE261B" w:rsidR="00AF5CC6" w:rsidRPr="009F337B" w:rsidRDefault="00AF5CC6" w:rsidP="00A30D95">
      <w:pPr>
        <w:pStyle w:val="Textonotapie"/>
        <w:spacing w:before="0"/>
        <w:rPr>
          <w:szCs w:val="16"/>
          <w:lang w:val="es-CR"/>
        </w:rPr>
      </w:pPr>
      <w:r w:rsidRPr="009F337B">
        <w:rPr>
          <w:rStyle w:val="Refdenotaalpie"/>
          <w:szCs w:val="16"/>
          <w:lang w:val="en-US"/>
        </w:rPr>
        <w:footnoteRef/>
      </w:r>
      <w:r w:rsidRPr="009F337B">
        <w:rPr>
          <w:szCs w:val="16"/>
          <w:lang w:val="en-US"/>
        </w:rPr>
        <w:tab/>
      </w:r>
      <w:r w:rsidRPr="009F337B">
        <w:rPr>
          <w:i/>
          <w:szCs w:val="16"/>
          <w:lang w:val="en-US"/>
        </w:rPr>
        <w:t xml:space="preserve">Cf. </w:t>
      </w:r>
      <w:r w:rsidRPr="009F337B">
        <w:rPr>
          <w:rStyle w:val="Textoennegrita"/>
          <w:b w:val="0"/>
          <w:i/>
          <w:color w:val="000000"/>
          <w:szCs w:val="16"/>
          <w:shd w:val="clear" w:color="auto" w:fill="FFFFFF"/>
          <w:lang w:val="en-US"/>
        </w:rPr>
        <w:t>Case of Ramírez Escobar et al. v. Guatemala. Merits, reparations and costs.</w:t>
      </w:r>
      <w:r w:rsidRPr="009F337B">
        <w:rPr>
          <w:rStyle w:val="Textoennegrita"/>
          <w:b w:val="0"/>
          <w:color w:val="000000"/>
          <w:szCs w:val="16"/>
          <w:shd w:val="clear" w:color="auto" w:fill="FFFFFF"/>
          <w:lang w:val="en-US"/>
        </w:rPr>
        <w:t xml:space="preserve"> Judgment of March 9, 2018. Series C No. 351, para. 276, and </w:t>
      </w:r>
      <w:r w:rsidRPr="009F337B">
        <w:rPr>
          <w:szCs w:val="16"/>
          <w:lang w:val="en-US"/>
        </w:rPr>
        <w:t xml:space="preserve">Committee for the Elimination of Discrimination against Women, General Recommendation No. 28 on the Core Obligations of States Parties under Article 2 of the Convention on the Elimination of All Forms of Discrimination against Women, December 16, 2010, U.N. Doc. </w:t>
      </w:r>
      <w:r w:rsidRPr="009F337B">
        <w:rPr>
          <w:szCs w:val="16"/>
          <w:lang w:val="es-CR"/>
        </w:rPr>
        <w:t>CEDAW/C/GC/28, para. 18.</w:t>
      </w:r>
    </w:p>
  </w:footnote>
  <w:footnote w:id="167">
    <w:p w14:paraId="4D87090F" w14:textId="587056C3" w:rsidR="00AF5CC6" w:rsidRPr="009F337B" w:rsidRDefault="00AF5CC6" w:rsidP="00A30D95">
      <w:pPr>
        <w:autoSpaceDE w:val="0"/>
        <w:autoSpaceDN w:val="0"/>
        <w:adjustRightInd w:val="0"/>
        <w:spacing w:after="120"/>
        <w:rPr>
          <w:sz w:val="16"/>
          <w:szCs w:val="16"/>
          <w:lang w:val="en-US"/>
        </w:rPr>
      </w:pPr>
      <w:r w:rsidRPr="009F337B">
        <w:rPr>
          <w:rStyle w:val="Refdenotaalpie"/>
          <w:sz w:val="16"/>
          <w:szCs w:val="16"/>
          <w:lang w:val="en-US"/>
        </w:rPr>
        <w:footnoteRef/>
      </w:r>
      <w:r w:rsidRPr="009F337B">
        <w:rPr>
          <w:sz w:val="16"/>
          <w:szCs w:val="16"/>
          <w:lang w:val="es-CR"/>
        </w:rPr>
        <w:tab/>
      </w:r>
      <w:r w:rsidRPr="009F337B">
        <w:rPr>
          <w:i/>
          <w:sz w:val="16"/>
          <w:szCs w:val="16"/>
          <w:lang w:val="es-CR"/>
        </w:rPr>
        <w:t xml:space="preserve">Cf. </w:t>
      </w:r>
      <w:r w:rsidRPr="009F337B">
        <w:rPr>
          <w:rStyle w:val="Textoennegrita"/>
          <w:b w:val="0"/>
          <w:i/>
          <w:color w:val="000000"/>
          <w:sz w:val="16"/>
          <w:szCs w:val="16"/>
          <w:shd w:val="clear" w:color="auto" w:fill="FFFFFF"/>
          <w:lang w:val="es-CR"/>
        </w:rPr>
        <w:t xml:space="preserve">Case of Acevedo Buendía et al. </w:t>
      </w:r>
      <w:r w:rsidRPr="009F337B">
        <w:rPr>
          <w:rStyle w:val="Textoennegrita"/>
          <w:b w:val="0"/>
          <w:i/>
          <w:color w:val="000000"/>
          <w:sz w:val="16"/>
          <w:szCs w:val="16"/>
          <w:shd w:val="clear" w:color="auto" w:fill="FFFFFF"/>
          <w:lang w:val="en-US"/>
        </w:rPr>
        <w:t>(“Discharged and Retired Employees of the Comptroller’s Office”) v. Peru. Preliminary objection, merits, reparations and costs</w:t>
      </w:r>
      <w:r w:rsidRPr="009F337B">
        <w:rPr>
          <w:rStyle w:val="Textoennegrita"/>
          <w:b w:val="0"/>
          <w:color w:val="000000"/>
          <w:sz w:val="16"/>
          <w:szCs w:val="16"/>
          <w:shd w:val="clear" w:color="auto" w:fill="FFFFFF"/>
          <w:lang w:val="en-US"/>
        </w:rPr>
        <w:t>. Judgment of July 1, 2009. Series C No. 198</w:t>
      </w:r>
      <w:r w:rsidRPr="009F337B">
        <w:rPr>
          <w:sz w:val="16"/>
          <w:szCs w:val="16"/>
          <w:lang w:val="en-US"/>
        </w:rPr>
        <w:t>, para. 102, and Committee on Economic, Social and Cultural Rights, General Comment No. 3: The Nature of States Parties’ Obligations (Art. 2, Para. 1, of the Covenant), December 14, 1990, U.N. Doc. E/1991/23</w:t>
      </w:r>
      <w:r w:rsidRPr="009F337B">
        <w:rPr>
          <w:rFonts w:cs="Verdana"/>
          <w:sz w:val="16"/>
          <w:szCs w:val="16"/>
          <w:lang w:val="en-US"/>
        </w:rPr>
        <w:t>, para. 9.</w:t>
      </w:r>
    </w:p>
  </w:footnote>
  <w:footnote w:id="168">
    <w:p w14:paraId="507373A4" w14:textId="02D3F221" w:rsidR="00AF5CC6" w:rsidRPr="009F337B" w:rsidRDefault="00AF5CC6" w:rsidP="00A30D95">
      <w:pPr>
        <w:autoSpaceDE w:val="0"/>
        <w:autoSpaceDN w:val="0"/>
        <w:adjustRightInd w:val="0"/>
        <w:spacing w:after="120"/>
        <w:rPr>
          <w:sz w:val="16"/>
          <w:szCs w:val="16"/>
          <w:lang w:val="en-US"/>
        </w:rPr>
      </w:pPr>
      <w:r w:rsidRPr="009F337B">
        <w:rPr>
          <w:rStyle w:val="Refdenotaalpie"/>
          <w:sz w:val="16"/>
          <w:szCs w:val="16"/>
          <w:lang w:val="en-US"/>
        </w:rPr>
        <w:footnoteRef/>
      </w:r>
      <w:r w:rsidRPr="009F337B">
        <w:rPr>
          <w:b/>
          <w:sz w:val="16"/>
          <w:szCs w:val="16"/>
          <w:lang w:val="en-US"/>
        </w:rPr>
        <w:tab/>
      </w:r>
      <w:r w:rsidRPr="009F337B">
        <w:rPr>
          <w:i/>
          <w:sz w:val="16"/>
          <w:szCs w:val="16"/>
          <w:lang w:val="en-US"/>
        </w:rPr>
        <w:t>Cf. Case of Acevedo Buendía et al. (“Discharged and Retired Employees of the Comptroller’s Office”) v. Peru. Preliminary objection, merits, reparations and costs.</w:t>
      </w:r>
      <w:r w:rsidRPr="009F337B">
        <w:rPr>
          <w:sz w:val="16"/>
          <w:szCs w:val="16"/>
          <w:lang w:val="en-US"/>
        </w:rPr>
        <w:t xml:space="preserve"> Judgment of July 1, 2009. Series C No. 198, para. 102, and </w:t>
      </w:r>
      <w:r w:rsidRPr="009F337B">
        <w:rPr>
          <w:rFonts w:cs="Verdana"/>
          <w:sz w:val="16"/>
          <w:szCs w:val="16"/>
          <w:lang w:val="en-US"/>
        </w:rPr>
        <w:t>Committee on Economic, Social and Cultural Rights, Statement on “An evaluation of the obligation to take steps to the “Maximum of available resources” under an optional protocol to the Covenant,” September 21, 2007, U.N. Doc. E/C.12/2007/1, paras. 8 and 9.</w:t>
      </w:r>
    </w:p>
  </w:footnote>
  <w:footnote w:id="169">
    <w:p w14:paraId="782849B2" w14:textId="6995BEAC"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r>
      <w:r w:rsidRPr="009F337B">
        <w:rPr>
          <w:i/>
          <w:szCs w:val="16"/>
          <w:lang w:val="en-US"/>
        </w:rPr>
        <w:t xml:space="preserve">Cf. Case of Acevedo </w:t>
      </w:r>
      <w:proofErr w:type="spellStart"/>
      <w:r w:rsidRPr="009F337B">
        <w:rPr>
          <w:i/>
          <w:szCs w:val="16"/>
          <w:lang w:val="en-US"/>
        </w:rPr>
        <w:t>Buendía</w:t>
      </w:r>
      <w:proofErr w:type="spellEnd"/>
      <w:r w:rsidRPr="009F337B">
        <w:rPr>
          <w:i/>
          <w:szCs w:val="16"/>
          <w:lang w:val="en-US"/>
        </w:rPr>
        <w:t xml:space="preserve"> et al. (“Discharged and Retired Employees of the Comptroller’s Office”) v. Peru. Preliminary objection, merits, reparations and costs.</w:t>
      </w:r>
      <w:r w:rsidRPr="009F337B">
        <w:rPr>
          <w:szCs w:val="16"/>
          <w:lang w:val="en-US"/>
        </w:rPr>
        <w:t xml:space="preserve"> Judgment of July 1, 2009. Series C No. 198, para. 102.</w:t>
      </w:r>
    </w:p>
  </w:footnote>
  <w:footnote w:id="170">
    <w:p w14:paraId="3CA019D1" w14:textId="4B4D9F89" w:rsidR="00AF5CC6" w:rsidRPr="009F337B" w:rsidRDefault="00AF5CC6" w:rsidP="00A30D95">
      <w:pPr>
        <w:spacing w:after="120"/>
        <w:rPr>
          <w:rFonts w:eastAsia="Times New Roman"/>
          <w:sz w:val="16"/>
          <w:szCs w:val="16"/>
          <w:lang w:val="es-CR"/>
        </w:rPr>
      </w:pPr>
      <w:r w:rsidRPr="009F337B">
        <w:rPr>
          <w:rStyle w:val="Refdenotaalpie"/>
          <w:sz w:val="16"/>
          <w:szCs w:val="16"/>
          <w:lang w:val="en-US"/>
        </w:rPr>
        <w:footnoteRef/>
      </w:r>
      <w:r w:rsidRPr="009F337B">
        <w:rPr>
          <w:sz w:val="16"/>
          <w:szCs w:val="16"/>
          <w:lang w:val="en-US"/>
        </w:rPr>
        <w:tab/>
      </w:r>
      <w:r w:rsidRPr="009F337B">
        <w:rPr>
          <w:i/>
          <w:sz w:val="16"/>
          <w:szCs w:val="16"/>
          <w:lang w:val="en-US"/>
        </w:rPr>
        <w:t>Cf. Case of Acevedo Buendía et al. (“Discharged and Retired Employees of the Comptroller’s Office”) v. Peru. Preliminary objection, merits, reparations and costs.</w:t>
      </w:r>
      <w:r w:rsidRPr="009F337B">
        <w:rPr>
          <w:sz w:val="16"/>
          <w:szCs w:val="16"/>
          <w:lang w:val="en-US"/>
        </w:rPr>
        <w:t xml:space="preserve"> Judgment of July 1, 2009. Series C No. 198, para. 103; Committee on Economic, Social and Cultural Rights, General Comment No. 3: The Nature of States Parties’ Obligations (Art. 2, Para. 1, of the Covenant) December 14, 1990, U.N. Doc. E/1991/23</w:t>
      </w:r>
      <w:r w:rsidRPr="009F337B">
        <w:rPr>
          <w:rFonts w:cs="Verdana"/>
          <w:sz w:val="16"/>
          <w:szCs w:val="16"/>
          <w:lang w:val="en-US"/>
        </w:rPr>
        <w:t xml:space="preserve">. According to the Committee on Economic, Social and Cultural Rights, </w:t>
      </w:r>
      <w:bookmarkStart w:id="88" w:name="_Hlk5391082"/>
      <w:r w:rsidRPr="009F337B">
        <w:rPr>
          <w:sz w:val="16"/>
          <w:szCs w:val="16"/>
          <w:lang w:val="en-US"/>
        </w:rPr>
        <w:t>“[s]hould a State party use “resource constraints” as an explanation for any retrogressive steps taken, the Committee would consider such information on a country-by-country basis in the light of objective criteria such as: (a) The country’s level of development;</w:t>
      </w:r>
      <w:r w:rsidRPr="009F337B">
        <w:rPr>
          <w:rFonts w:eastAsia="Times New Roman"/>
          <w:sz w:val="16"/>
          <w:szCs w:val="16"/>
          <w:lang w:val="en-US"/>
        </w:rPr>
        <w:t xml:space="preserve"> </w:t>
      </w:r>
      <w:r w:rsidRPr="009F337B">
        <w:rPr>
          <w:sz w:val="16"/>
          <w:szCs w:val="16"/>
          <w:lang w:val="en-US"/>
        </w:rPr>
        <w:t>(b) The severity of the alleged breach, in particular whether the situation concerned the enjoyment of the minimum core content of the Covenant;</w:t>
      </w:r>
      <w:r w:rsidRPr="009F337B">
        <w:rPr>
          <w:rFonts w:eastAsia="Times New Roman"/>
          <w:sz w:val="16"/>
          <w:szCs w:val="16"/>
          <w:lang w:val="en-US"/>
        </w:rPr>
        <w:t xml:space="preserve"> </w:t>
      </w:r>
      <w:r w:rsidRPr="009F337B">
        <w:rPr>
          <w:sz w:val="16"/>
          <w:szCs w:val="16"/>
          <w:lang w:val="en-US"/>
        </w:rPr>
        <w:t>(c) The country’s current economic situation, in particular whether the country was undergoing a period of economic recession;</w:t>
      </w:r>
      <w:r w:rsidRPr="009F337B">
        <w:rPr>
          <w:rFonts w:eastAsia="Times New Roman"/>
          <w:sz w:val="16"/>
          <w:szCs w:val="16"/>
          <w:lang w:val="en-US"/>
        </w:rPr>
        <w:t xml:space="preserve"> </w:t>
      </w:r>
      <w:r w:rsidRPr="009F337B">
        <w:rPr>
          <w:sz w:val="16"/>
          <w:szCs w:val="16"/>
          <w:lang w:val="en-US"/>
        </w:rPr>
        <w:t>(d) The existence of other serious claims on the State party’s limited resources; for example, resulting from a recent natural disaster or from recent internal or international armed conflict; (e) Whether the State party had sought to identify low-cost options; and (f) Whether the State party had sought cooperation and assistance or rejected offers of resources from the international community for the purposes of implementing the provisions of the Covenant without sufficient reason.</w:t>
      </w:r>
      <w:r w:rsidRPr="009F337B">
        <w:rPr>
          <w:rFonts w:cs="Verdana"/>
          <w:sz w:val="16"/>
          <w:szCs w:val="16"/>
          <w:lang w:val="en-US"/>
        </w:rPr>
        <w:t xml:space="preserve">” </w:t>
      </w:r>
      <w:bookmarkEnd w:id="88"/>
      <w:r w:rsidRPr="009F337B">
        <w:rPr>
          <w:rFonts w:cs="Verdana"/>
          <w:i/>
          <w:sz w:val="16"/>
          <w:szCs w:val="16"/>
          <w:lang w:val="en-US"/>
        </w:rPr>
        <w:t>Cf.</w:t>
      </w:r>
      <w:r w:rsidRPr="009F337B">
        <w:rPr>
          <w:rFonts w:cs="Verdana"/>
          <w:sz w:val="16"/>
          <w:szCs w:val="16"/>
          <w:lang w:val="en-US"/>
        </w:rPr>
        <w:t xml:space="preserve"> Committee on Economic, Social and Cultural Rights, Statement on “An evaluation of the obligation to take steps to the “maximum of available resources” under an optional protocol to the Covenant,” September 21, 2007, U.N. Doc. </w:t>
      </w:r>
      <w:r w:rsidRPr="009F337B">
        <w:rPr>
          <w:rFonts w:cs="Verdana"/>
          <w:sz w:val="16"/>
          <w:szCs w:val="16"/>
          <w:lang w:val="es-CR"/>
        </w:rPr>
        <w:t>E/C.12/2007/1,  para. 10.</w:t>
      </w:r>
    </w:p>
  </w:footnote>
  <w:footnote w:id="171">
    <w:p w14:paraId="650B2CD5" w14:textId="43DAC49D"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s-CR"/>
        </w:rPr>
        <w:tab/>
      </w:r>
      <w:r w:rsidRPr="009F337B">
        <w:rPr>
          <w:i/>
          <w:szCs w:val="16"/>
          <w:lang w:val="es-CR"/>
        </w:rPr>
        <w:t xml:space="preserve">Cf. Case </w:t>
      </w:r>
      <w:proofErr w:type="spellStart"/>
      <w:r w:rsidRPr="009F337B">
        <w:rPr>
          <w:i/>
          <w:szCs w:val="16"/>
          <w:lang w:val="es-CR"/>
        </w:rPr>
        <w:t>of</w:t>
      </w:r>
      <w:proofErr w:type="spellEnd"/>
      <w:r w:rsidRPr="009F337B">
        <w:rPr>
          <w:i/>
          <w:szCs w:val="16"/>
          <w:lang w:val="es-CR"/>
        </w:rPr>
        <w:t xml:space="preserve"> Acevedo Buendía et al. </w:t>
      </w:r>
      <w:r w:rsidRPr="009F337B">
        <w:rPr>
          <w:i/>
          <w:szCs w:val="16"/>
          <w:lang w:val="en-US"/>
        </w:rPr>
        <w:t>(“Discharged and Retired Employees of the Comptroller’s Office”) v. Peru. Preliminary objection, merits, reparations and costs.</w:t>
      </w:r>
      <w:r w:rsidRPr="009F337B">
        <w:rPr>
          <w:szCs w:val="16"/>
          <w:lang w:val="en-US"/>
        </w:rPr>
        <w:t xml:space="preserve"> Judgment of July 1, 2009. Series C No. 198,</w:t>
      </w:r>
      <w:r w:rsidRPr="009F337B">
        <w:rPr>
          <w:i/>
          <w:szCs w:val="16"/>
          <w:lang w:val="en-US"/>
        </w:rPr>
        <w:t xml:space="preserve"> </w:t>
      </w:r>
      <w:r w:rsidRPr="009F337B">
        <w:rPr>
          <w:szCs w:val="16"/>
          <w:lang w:val="en-US"/>
        </w:rPr>
        <w:t>para.</w:t>
      </w:r>
      <w:r w:rsidRPr="009F337B">
        <w:rPr>
          <w:i/>
          <w:szCs w:val="16"/>
          <w:lang w:val="en-US"/>
        </w:rPr>
        <w:t xml:space="preserve"> </w:t>
      </w:r>
      <w:r w:rsidRPr="009F337B">
        <w:rPr>
          <w:szCs w:val="16"/>
          <w:lang w:val="en-US"/>
        </w:rPr>
        <w:t xml:space="preserve">103, Admissibility and Merits Report No. 38/09, Case 12,670, National Association of Former Employees of the Peruvian Social Security Institute </w:t>
      </w:r>
      <w:r w:rsidRPr="009F337B">
        <w:rPr>
          <w:i/>
          <w:szCs w:val="16"/>
          <w:lang w:val="en-US"/>
        </w:rPr>
        <w:t>et al. v.</w:t>
      </w:r>
      <w:r w:rsidRPr="009F337B">
        <w:rPr>
          <w:szCs w:val="16"/>
          <w:lang w:val="en-US"/>
        </w:rPr>
        <w:t xml:space="preserve"> Peru, issued by the Inter-American Commission on Human Rights on March 27, 2009, paras. 140 to 147.</w:t>
      </w:r>
    </w:p>
  </w:footnote>
  <w:footnote w:id="172">
    <w:p w14:paraId="78C3D346" w14:textId="3D8A6972" w:rsidR="00AF5CC6" w:rsidRPr="009F337B" w:rsidRDefault="00AF5CC6" w:rsidP="00A30D95">
      <w:pPr>
        <w:pStyle w:val="Textonotapie"/>
        <w:spacing w:before="0"/>
        <w:rPr>
          <w:szCs w:val="16"/>
          <w:lang w:val="es-CR"/>
        </w:rPr>
      </w:pPr>
      <w:r w:rsidRPr="009F337B">
        <w:rPr>
          <w:rStyle w:val="Refdenotaalpie"/>
          <w:szCs w:val="16"/>
          <w:lang w:val="en-US"/>
        </w:rPr>
        <w:footnoteRef/>
      </w:r>
      <w:r w:rsidRPr="009F337B">
        <w:rPr>
          <w:szCs w:val="16"/>
          <w:lang w:val="en-US"/>
        </w:rPr>
        <w:tab/>
      </w:r>
      <w:r w:rsidRPr="009F337B">
        <w:rPr>
          <w:i/>
          <w:szCs w:val="16"/>
          <w:lang w:val="en-US"/>
        </w:rPr>
        <w:t xml:space="preserve">Cf. Poblete </w:t>
      </w:r>
      <w:proofErr w:type="spellStart"/>
      <w:r w:rsidRPr="009F337B">
        <w:rPr>
          <w:i/>
          <w:szCs w:val="16"/>
          <w:lang w:val="en-US"/>
        </w:rPr>
        <w:t>Vilches</w:t>
      </w:r>
      <w:proofErr w:type="spellEnd"/>
      <w:r w:rsidRPr="009F337B">
        <w:rPr>
          <w:i/>
          <w:szCs w:val="16"/>
          <w:lang w:val="en-US"/>
        </w:rPr>
        <w:t xml:space="preserve"> et al. v. Chile. Merits, reparations and costs</w:t>
      </w:r>
      <w:r w:rsidRPr="009F337B">
        <w:rPr>
          <w:szCs w:val="16"/>
          <w:lang w:val="en-US"/>
        </w:rPr>
        <w:t xml:space="preserve">. Judgment of March 8, 2018. Series C No. 349, para. 104 and Committee on Economic, Social and Cultural Rights, General Comment  No. 14: The Right to the Highest Attainable Standard of Health, August 11, 2000, U.N. Doc. </w:t>
      </w:r>
      <w:r w:rsidRPr="009F337B">
        <w:rPr>
          <w:szCs w:val="16"/>
          <w:lang w:val="es-CR"/>
        </w:rPr>
        <w:t>E/C.12/2000/4, para. 31.</w:t>
      </w:r>
    </w:p>
  </w:footnote>
  <w:footnote w:id="173">
    <w:p w14:paraId="0B8D13DA" w14:textId="05D8EE19"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s-CR"/>
        </w:rPr>
        <w:tab/>
      </w:r>
      <w:r w:rsidRPr="009F337B">
        <w:rPr>
          <w:i/>
          <w:szCs w:val="16"/>
          <w:lang w:val="es-CR"/>
        </w:rPr>
        <w:t xml:space="preserve">Cf. Poblete Vilches et al. v. Chile. </w:t>
      </w:r>
      <w:r w:rsidRPr="009F337B">
        <w:rPr>
          <w:i/>
          <w:szCs w:val="16"/>
          <w:lang w:val="en-US"/>
        </w:rPr>
        <w:t>Merits, reparations and costs</w:t>
      </w:r>
      <w:r w:rsidRPr="009F337B">
        <w:rPr>
          <w:szCs w:val="16"/>
          <w:lang w:val="en-US"/>
        </w:rPr>
        <w:t>. Judgment of March 8, 2018. Series C No. 349,</w:t>
      </w:r>
      <w:r w:rsidRPr="009F337B">
        <w:rPr>
          <w:i/>
          <w:szCs w:val="16"/>
          <w:lang w:val="en-US"/>
        </w:rPr>
        <w:t xml:space="preserve"> </w:t>
      </w:r>
      <w:r w:rsidRPr="009F337B">
        <w:rPr>
          <w:szCs w:val="16"/>
          <w:lang w:val="en-US"/>
        </w:rPr>
        <w:t>para. 104.</w:t>
      </w:r>
    </w:p>
  </w:footnote>
  <w:footnote w:id="174">
    <w:p w14:paraId="470318A5" w14:textId="15ED32E9"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r>
      <w:r w:rsidRPr="009F337B">
        <w:rPr>
          <w:i/>
          <w:szCs w:val="16"/>
          <w:lang w:val="en-US"/>
        </w:rPr>
        <w:t xml:space="preserve">Cf. </w:t>
      </w:r>
      <w:r w:rsidRPr="009F337B">
        <w:rPr>
          <w:szCs w:val="16"/>
          <w:lang w:val="en-US"/>
        </w:rPr>
        <w:t xml:space="preserve">IACHR, Merits Report No. 2/16, </w:t>
      </w:r>
      <w:r w:rsidRPr="009F337B">
        <w:rPr>
          <w:i/>
          <w:szCs w:val="16"/>
          <w:lang w:val="en-US"/>
        </w:rPr>
        <w:t xml:space="preserve">Luis Ronaldo </w:t>
      </w:r>
      <w:proofErr w:type="spellStart"/>
      <w:r w:rsidRPr="009F337B">
        <w:rPr>
          <w:i/>
          <w:szCs w:val="16"/>
          <w:lang w:val="en-US"/>
        </w:rPr>
        <w:t>Cuscul</w:t>
      </w:r>
      <w:proofErr w:type="spellEnd"/>
      <w:r w:rsidRPr="009F337B">
        <w:rPr>
          <w:i/>
          <w:szCs w:val="16"/>
          <w:lang w:val="en-US"/>
        </w:rPr>
        <w:t xml:space="preserve"> </w:t>
      </w:r>
      <w:proofErr w:type="spellStart"/>
      <w:r w:rsidRPr="009F337B">
        <w:rPr>
          <w:i/>
          <w:szCs w:val="16"/>
          <w:lang w:val="en-US"/>
        </w:rPr>
        <w:t>Pivaral</w:t>
      </w:r>
      <w:proofErr w:type="spellEnd"/>
      <w:r w:rsidRPr="009F337B">
        <w:rPr>
          <w:i/>
          <w:szCs w:val="16"/>
          <w:lang w:val="en-US"/>
        </w:rPr>
        <w:t xml:space="preserve"> and other persons living with HIV/AIDS, </w:t>
      </w:r>
      <w:r w:rsidRPr="009F337B">
        <w:rPr>
          <w:szCs w:val="16"/>
          <w:lang w:val="en-US"/>
        </w:rPr>
        <w:t>Guatemala, April 13, 2016 (merits file, folio 30).</w:t>
      </w:r>
    </w:p>
  </w:footnote>
  <w:footnote w:id="175">
    <w:p w14:paraId="1CF6226F" w14:textId="2F402736"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r>
      <w:r w:rsidRPr="009F337B">
        <w:rPr>
          <w:i/>
          <w:szCs w:val="16"/>
          <w:lang w:val="en-US"/>
        </w:rPr>
        <w:t xml:space="preserve">Cf. Case of J. v. Peru. Preliminary objection, merits, reparations and costs. </w:t>
      </w:r>
      <w:r w:rsidRPr="009F337B">
        <w:rPr>
          <w:szCs w:val="16"/>
          <w:lang w:val="en-US"/>
        </w:rPr>
        <w:t xml:space="preserve">Judgment of November 27, 2013. Series C No. 275, para. 53, and </w:t>
      </w:r>
      <w:r w:rsidRPr="009F337B">
        <w:rPr>
          <w:i/>
          <w:szCs w:val="16"/>
          <w:lang w:val="en-US"/>
        </w:rPr>
        <w:t xml:space="preserve">Case of the Dismissed Employees of </w:t>
      </w:r>
      <w:proofErr w:type="spellStart"/>
      <w:r w:rsidRPr="009F337B">
        <w:rPr>
          <w:i/>
          <w:szCs w:val="16"/>
          <w:lang w:val="en-US"/>
        </w:rPr>
        <w:t>PetroPeru</w:t>
      </w:r>
      <w:proofErr w:type="spellEnd"/>
      <w:r w:rsidRPr="009F337B">
        <w:rPr>
          <w:i/>
          <w:szCs w:val="16"/>
          <w:lang w:val="en-US"/>
        </w:rPr>
        <w:t xml:space="preserve"> et al. v. Peru. Preliminary objections, merits, reparations and costs. </w:t>
      </w:r>
      <w:r w:rsidRPr="009F337B">
        <w:rPr>
          <w:szCs w:val="16"/>
          <w:lang w:val="en-US"/>
        </w:rPr>
        <w:t>Judgment of November 23, 2017. Series C No. 344, para. 67.</w:t>
      </w:r>
    </w:p>
  </w:footnote>
  <w:footnote w:id="176">
    <w:p w14:paraId="2993BF3D" w14:textId="75D7E20C" w:rsidR="00AF5CC6" w:rsidRPr="009F337B" w:rsidRDefault="00AF5CC6" w:rsidP="00A30D95">
      <w:pPr>
        <w:pStyle w:val="Textonotapie"/>
        <w:tabs>
          <w:tab w:val="left" w:pos="709"/>
        </w:tabs>
        <w:spacing w:before="0"/>
        <w:rPr>
          <w:szCs w:val="16"/>
          <w:lang w:val="en-US"/>
        </w:rPr>
      </w:pPr>
      <w:r w:rsidRPr="009F337B">
        <w:rPr>
          <w:rStyle w:val="Refdenotaalpie"/>
          <w:szCs w:val="16"/>
          <w:lang w:val="en-US"/>
        </w:rPr>
        <w:footnoteRef/>
      </w:r>
      <w:r w:rsidRPr="009F337B">
        <w:rPr>
          <w:szCs w:val="16"/>
          <w:lang w:val="en-US"/>
        </w:rPr>
        <w:tab/>
      </w:r>
      <w:r w:rsidRPr="009F337B">
        <w:rPr>
          <w:i/>
          <w:szCs w:val="16"/>
          <w:lang w:val="en-US"/>
        </w:rPr>
        <w:t>Cf.</w:t>
      </w:r>
      <w:r w:rsidRPr="009F337B">
        <w:rPr>
          <w:szCs w:val="16"/>
          <w:lang w:val="en-US"/>
        </w:rPr>
        <w:t xml:space="preserve"> </w:t>
      </w:r>
      <w:r w:rsidRPr="009F337B">
        <w:rPr>
          <w:rFonts w:eastAsia="Calibri"/>
          <w:bCs/>
          <w:i/>
          <w:color w:val="000000"/>
          <w:szCs w:val="16"/>
          <w:shd w:val="clear" w:color="auto" w:fill="FFFFFF"/>
          <w:lang w:val="en-US" w:eastAsia="es-CR"/>
        </w:rPr>
        <w:t>Case of the "Five Pensioners" v. Peru. Merits, reparations and costs.</w:t>
      </w:r>
      <w:r w:rsidRPr="009F337B">
        <w:rPr>
          <w:rFonts w:eastAsia="Calibri"/>
          <w:bCs/>
          <w:color w:val="000000"/>
          <w:szCs w:val="16"/>
          <w:shd w:val="clear" w:color="auto" w:fill="FFFFFF"/>
          <w:lang w:val="en-US" w:eastAsia="es-CR"/>
        </w:rPr>
        <w:t xml:space="preserve"> Judgment of February 28, 2003. Series C No. 98</w:t>
      </w:r>
      <w:r w:rsidRPr="009F337B">
        <w:rPr>
          <w:szCs w:val="16"/>
          <w:lang w:val="en-US"/>
        </w:rPr>
        <w:t xml:space="preserve">, para. 153, and </w:t>
      </w:r>
      <w:r w:rsidRPr="009F337B">
        <w:rPr>
          <w:bCs/>
          <w:i/>
          <w:szCs w:val="16"/>
          <w:shd w:val="clear" w:color="auto" w:fill="FFFFFF"/>
          <w:lang w:val="en-US"/>
        </w:rPr>
        <w:t xml:space="preserve">Case of </w:t>
      </w:r>
      <w:proofErr w:type="spellStart"/>
      <w:r w:rsidRPr="009F337B">
        <w:rPr>
          <w:bCs/>
          <w:i/>
          <w:szCs w:val="16"/>
          <w:shd w:val="clear" w:color="auto" w:fill="FFFFFF"/>
          <w:lang w:val="en-US"/>
        </w:rPr>
        <w:t>Amrhein</w:t>
      </w:r>
      <w:proofErr w:type="spellEnd"/>
      <w:r w:rsidRPr="009F337B">
        <w:rPr>
          <w:bCs/>
          <w:i/>
          <w:szCs w:val="16"/>
          <w:shd w:val="clear" w:color="auto" w:fill="FFFFFF"/>
          <w:lang w:val="en-US"/>
        </w:rPr>
        <w:t xml:space="preserve"> et al. v. Costa Rica. Preliminary objections, merits, reparations and costs</w:t>
      </w:r>
      <w:r w:rsidRPr="009F337B">
        <w:rPr>
          <w:bCs/>
          <w:szCs w:val="16"/>
          <w:shd w:val="clear" w:color="auto" w:fill="FFFFFF"/>
          <w:lang w:val="en-US"/>
        </w:rPr>
        <w:t>. Judgment of April 25, 2018. Series C No. 354, para. 148.</w:t>
      </w:r>
    </w:p>
  </w:footnote>
  <w:footnote w:id="177">
    <w:p w14:paraId="241C4281" w14:textId="26140BDB"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r>
      <w:r w:rsidRPr="009F337B">
        <w:rPr>
          <w:i/>
          <w:szCs w:val="16"/>
          <w:lang w:val="en-US"/>
        </w:rPr>
        <w:t xml:space="preserve">Cf. </w:t>
      </w:r>
      <w:r w:rsidRPr="009F337B">
        <w:rPr>
          <w:rStyle w:val="Textoennegrita"/>
          <w:b w:val="0"/>
          <w:i/>
          <w:szCs w:val="16"/>
          <w:lang w:val="en-US"/>
        </w:rPr>
        <w:t>Case of García Ibarra et al. v. Ecuador. Preliminary objections, merits, reparations and costs.</w:t>
      </w:r>
      <w:r w:rsidRPr="009F337B">
        <w:rPr>
          <w:rStyle w:val="Textoennegrita"/>
          <w:b w:val="0"/>
          <w:szCs w:val="16"/>
          <w:lang w:val="en-US"/>
        </w:rPr>
        <w:t xml:space="preserve"> Judgment of November 17, 2015. Series C No. 306., para. 48, and </w:t>
      </w:r>
      <w:r w:rsidRPr="009F337B">
        <w:rPr>
          <w:i/>
          <w:szCs w:val="16"/>
          <w:lang w:val="en-US"/>
        </w:rPr>
        <w:t xml:space="preserve">Case of the Dismissed Employees of </w:t>
      </w:r>
      <w:proofErr w:type="spellStart"/>
      <w:r w:rsidRPr="009F337B">
        <w:rPr>
          <w:i/>
          <w:szCs w:val="16"/>
          <w:lang w:val="en-US"/>
        </w:rPr>
        <w:t>PetroPeru</w:t>
      </w:r>
      <w:proofErr w:type="spellEnd"/>
      <w:r w:rsidRPr="009F337B">
        <w:rPr>
          <w:i/>
          <w:szCs w:val="16"/>
          <w:lang w:val="en-US"/>
        </w:rPr>
        <w:t xml:space="preserve"> et al. v. Peru. Preliminary objections, merits, reparations and costs. </w:t>
      </w:r>
      <w:r w:rsidRPr="009F337B">
        <w:rPr>
          <w:szCs w:val="16"/>
          <w:lang w:val="en-US"/>
        </w:rPr>
        <w:t>Judgment of November 23, 2017. Series C No. 344, para. 65.</w:t>
      </w:r>
    </w:p>
  </w:footnote>
  <w:footnote w:id="178">
    <w:p w14:paraId="6B30234E" w14:textId="780B2031" w:rsidR="00AF5CC6" w:rsidRPr="009F337B" w:rsidRDefault="00AF5CC6" w:rsidP="00A30D95">
      <w:pPr>
        <w:pStyle w:val="Textonotapie"/>
        <w:tabs>
          <w:tab w:val="left" w:pos="709"/>
        </w:tabs>
        <w:spacing w:before="0"/>
        <w:rPr>
          <w:b/>
          <w:szCs w:val="16"/>
          <w:lang w:val="en-US"/>
        </w:rPr>
      </w:pPr>
      <w:r w:rsidRPr="009F337B">
        <w:rPr>
          <w:rStyle w:val="Refdenotaalpie"/>
          <w:szCs w:val="16"/>
          <w:lang w:val="en-US"/>
        </w:rPr>
        <w:footnoteRef/>
      </w:r>
      <w:r w:rsidRPr="009F337B">
        <w:rPr>
          <w:szCs w:val="16"/>
          <w:lang w:val="en-US"/>
        </w:rPr>
        <w:tab/>
      </w:r>
      <w:r w:rsidRPr="009F337B">
        <w:rPr>
          <w:i/>
          <w:iCs/>
          <w:szCs w:val="16"/>
          <w:lang w:val="en-US"/>
        </w:rPr>
        <w:t xml:space="preserve">Cf. </w:t>
      </w:r>
      <w:r w:rsidRPr="009F337B">
        <w:rPr>
          <w:rFonts w:eastAsia="Calibri"/>
          <w:bCs/>
          <w:i/>
          <w:color w:val="000000"/>
          <w:szCs w:val="16"/>
          <w:shd w:val="clear" w:color="auto" w:fill="FFFFFF"/>
          <w:lang w:val="en-US" w:eastAsia="es-CR"/>
        </w:rPr>
        <w:t xml:space="preserve">Case of the </w:t>
      </w:r>
      <w:proofErr w:type="spellStart"/>
      <w:r w:rsidRPr="009F337B">
        <w:rPr>
          <w:rFonts w:eastAsia="Calibri"/>
          <w:bCs/>
          <w:i/>
          <w:color w:val="000000"/>
          <w:szCs w:val="16"/>
          <w:shd w:val="clear" w:color="auto" w:fill="FFFFFF"/>
          <w:lang w:val="en-US" w:eastAsia="es-CR"/>
        </w:rPr>
        <w:t>Mapiripán</w:t>
      </w:r>
      <w:proofErr w:type="spellEnd"/>
      <w:r w:rsidRPr="009F337B">
        <w:rPr>
          <w:rFonts w:eastAsia="Calibri"/>
          <w:bCs/>
          <w:i/>
          <w:color w:val="000000"/>
          <w:szCs w:val="16"/>
          <w:shd w:val="clear" w:color="auto" w:fill="FFFFFF"/>
          <w:lang w:val="en-US" w:eastAsia="es-CR"/>
        </w:rPr>
        <w:t xml:space="preserve"> Massacre v. Colombia. Judgment of September 15, 2005.</w:t>
      </w:r>
      <w:r w:rsidRPr="009F337B">
        <w:rPr>
          <w:rFonts w:eastAsia="Calibri"/>
          <w:bCs/>
          <w:color w:val="000000"/>
          <w:szCs w:val="16"/>
          <w:shd w:val="clear" w:color="auto" w:fill="FFFFFF"/>
          <w:lang w:val="en-US" w:eastAsia="es-CR"/>
        </w:rPr>
        <w:t xml:space="preserve"> Series C No. 134</w:t>
      </w:r>
      <w:r w:rsidRPr="009F337B">
        <w:rPr>
          <w:szCs w:val="16"/>
          <w:lang w:val="en-US"/>
        </w:rPr>
        <w:t xml:space="preserve">, para. 59, and </w:t>
      </w:r>
      <w:r w:rsidRPr="009F337B">
        <w:rPr>
          <w:bCs/>
          <w:i/>
          <w:szCs w:val="16"/>
          <w:shd w:val="clear" w:color="auto" w:fill="FFFFFF"/>
          <w:lang w:val="en-US"/>
        </w:rPr>
        <w:t xml:space="preserve">Case of </w:t>
      </w:r>
      <w:proofErr w:type="spellStart"/>
      <w:r w:rsidRPr="009F337B">
        <w:rPr>
          <w:bCs/>
          <w:i/>
          <w:szCs w:val="16"/>
          <w:shd w:val="clear" w:color="auto" w:fill="FFFFFF"/>
          <w:lang w:val="en-US"/>
        </w:rPr>
        <w:t>Amrhein</w:t>
      </w:r>
      <w:proofErr w:type="spellEnd"/>
      <w:r w:rsidRPr="009F337B">
        <w:rPr>
          <w:bCs/>
          <w:i/>
          <w:szCs w:val="16"/>
          <w:shd w:val="clear" w:color="auto" w:fill="FFFFFF"/>
          <w:lang w:val="en-US"/>
        </w:rPr>
        <w:t xml:space="preserve"> et al. v. Costa Rica. Preliminary objections, merits, reparations and costs</w:t>
      </w:r>
      <w:r w:rsidRPr="009F337B">
        <w:rPr>
          <w:bCs/>
          <w:szCs w:val="16"/>
          <w:shd w:val="clear" w:color="auto" w:fill="FFFFFF"/>
          <w:lang w:val="en-US"/>
        </w:rPr>
        <w:t>. Judgment of April 25, 2018. Series C No. 354, para. 148.</w:t>
      </w:r>
    </w:p>
  </w:footnote>
  <w:footnote w:id="179">
    <w:p w14:paraId="6ACCB9EB" w14:textId="68DA29AC" w:rsidR="00AF5CC6" w:rsidRPr="009F337B" w:rsidRDefault="00AF5CC6" w:rsidP="00A30D95">
      <w:pPr>
        <w:tabs>
          <w:tab w:val="left" w:pos="567"/>
        </w:tabs>
        <w:spacing w:after="120"/>
        <w:ind w:right="51"/>
        <w:rPr>
          <w:sz w:val="16"/>
          <w:szCs w:val="16"/>
          <w:lang w:val="en-US"/>
        </w:rPr>
      </w:pPr>
      <w:r w:rsidRPr="009F337B">
        <w:rPr>
          <w:rStyle w:val="Refdenotaalpie"/>
          <w:sz w:val="16"/>
          <w:szCs w:val="16"/>
          <w:lang w:val="en-US"/>
        </w:rPr>
        <w:footnoteRef/>
      </w:r>
      <w:r w:rsidRPr="009F337B">
        <w:rPr>
          <w:sz w:val="16"/>
          <w:szCs w:val="16"/>
          <w:lang w:val="en-US"/>
        </w:rPr>
        <w:tab/>
      </w:r>
      <w:r w:rsidRPr="009F337B">
        <w:rPr>
          <w:sz w:val="16"/>
          <w:szCs w:val="16"/>
          <w:lang w:val="en-US"/>
        </w:rPr>
        <w:tab/>
      </w:r>
      <w:r w:rsidRPr="009F337B">
        <w:rPr>
          <w:i/>
          <w:iCs/>
          <w:sz w:val="16"/>
          <w:szCs w:val="16"/>
          <w:lang w:val="en-US"/>
        </w:rPr>
        <w:t xml:space="preserve">Cf. </w:t>
      </w:r>
      <w:r w:rsidRPr="009F337B">
        <w:rPr>
          <w:i/>
          <w:sz w:val="16"/>
          <w:szCs w:val="16"/>
          <w:lang w:val="en-US"/>
        </w:rPr>
        <w:t>Case of the “Street Children” (Villagrán Morales et al.) v. Guatemala. Merits</w:t>
      </w:r>
      <w:r w:rsidRPr="009F337B">
        <w:rPr>
          <w:sz w:val="16"/>
          <w:szCs w:val="16"/>
          <w:lang w:val="en-US"/>
        </w:rPr>
        <w:t xml:space="preserve">. Judgment of November 19, 1999. Series C No. 63, para. 144, and </w:t>
      </w:r>
      <w:r w:rsidRPr="009F337B">
        <w:rPr>
          <w:i/>
          <w:sz w:val="16"/>
          <w:szCs w:val="16"/>
          <w:lang w:val="en-US"/>
        </w:rPr>
        <w:t>Case of Poblete Vilches et al. v. Chile. Merits, reparations and costs.</w:t>
      </w:r>
      <w:r w:rsidRPr="009F337B">
        <w:rPr>
          <w:sz w:val="16"/>
          <w:szCs w:val="16"/>
          <w:lang w:val="en-US"/>
        </w:rPr>
        <w:t xml:space="preserve"> Judgment of March 8, 2018. Series C No. 349, para. 145.</w:t>
      </w:r>
    </w:p>
  </w:footnote>
  <w:footnote w:id="180">
    <w:p w14:paraId="292EC038" w14:textId="4921079C" w:rsidR="00AF5CC6" w:rsidRPr="009F337B" w:rsidRDefault="00AF5CC6" w:rsidP="00A30D95">
      <w:pPr>
        <w:tabs>
          <w:tab w:val="left" w:pos="567"/>
        </w:tabs>
        <w:spacing w:after="120"/>
        <w:ind w:right="51"/>
        <w:rPr>
          <w:sz w:val="16"/>
          <w:szCs w:val="16"/>
          <w:lang w:val="en-US"/>
        </w:rPr>
      </w:pPr>
      <w:r w:rsidRPr="009F337B">
        <w:rPr>
          <w:rStyle w:val="Refdenotaalpie"/>
          <w:sz w:val="16"/>
          <w:szCs w:val="16"/>
          <w:lang w:val="en-US"/>
        </w:rPr>
        <w:footnoteRef/>
      </w:r>
      <w:r w:rsidRPr="009F337B">
        <w:rPr>
          <w:sz w:val="16"/>
          <w:szCs w:val="16"/>
          <w:lang w:val="en-US"/>
        </w:rPr>
        <w:tab/>
      </w:r>
      <w:r w:rsidRPr="009F337B">
        <w:rPr>
          <w:sz w:val="16"/>
          <w:szCs w:val="16"/>
          <w:lang w:val="en-US"/>
        </w:rPr>
        <w:tab/>
      </w:r>
      <w:r w:rsidRPr="009F337B">
        <w:rPr>
          <w:i/>
          <w:iCs/>
          <w:sz w:val="16"/>
          <w:szCs w:val="16"/>
          <w:lang w:val="en-US"/>
        </w:rPr>
        <w:t xml:space="preserve">Cf. </w:t>
      </w:r>
      <w:r w:rsidRPr="009F337B">
        <w:rPr>
          <w:i/>
          <w:sz w:val="16"/>
          <w:szCs w:val="16"/>
          <w:lang w:val="en-US"/>
        </w:rPr>
        <w:t>Case of Juan Humberto Sánchez v. Honduras. Preliminary objection, merits, reparations and costs</w:t>
      </w:r>
      <w:r w:rsidRPr="009F337B">
        <w:rPr>
          <w:sz w:val="16"/>
          <w:szCs w:val="16"/>
          <w:lang w:val="en-US"/>
        </w:rPr>
        <w:t xml:space="preserve">. Judgment of June 7, 2003. Series C No. 99, para. 110, and </w:t>
      </w:r>
      <w:r w:rsidRPr="009F337B">
        <w:rPr>
          <w:i/>
          <w:sz w:val="16"/>
          <w:szCs w:val="16"/>
          <w:lang w:val="en-US"/>
        </w:rPr>
        <w:t>Case of Poblete Vilches et al. v. Chile. Merits, reparations and costs.</w:t>
      </w:r>
      <w:r w:rsidRPr="009F337B">
        <w:rPr>
          <w:sz w:val="16"/>
          <w:szCs w:val="16"/>
          <w:lang w:val="en-US"/>
        </w:rPr>
        <w:t xml:space="preserve"> Judgment of March 8, 2018. Series C No. 349, para. 146.</w:t>
      </w:r>
    </w:p>
  </w:footnote>
  <w:footnote w:id="181">
    <w:p w14:paraId="0190EA55" w14:textId="11A4CDCF" w:rsidR="00AF5CC6" w:rsidRPr="009F337B" w:rsidRDefault="00AF5CC6" w:rsidP="00A30D95">
      <w:pPr>
        <w:tabs>
          <w:tab w:val="left" w:pos="567"/>
        </w:tabs>
        <w:spacing w:after="120"/>
        <w:ind w:right="51"/>
        <w:rPr>
          <w:bCs/>
          <w:sz w:val="16"/>
          <w:szCs w:val="16"/>
          <w:lang w:val="en-US"/>
        </w:rPr>
      </w:pPr>
      <w:r w:rsidRPr="009F337B">
        <w:rPr>
          <w:rStyle w:val="Refdenotaalpie"/>
          <w:sz w:val="16"/>
          <w:szCs w:val="16"/>
          <w:lang w:val="en-US"/>
        </w:rPr>
        <w:footnoteRef/>
      </w:r>
      <w:r w:rsidRPr="009F337B">
        <w:rPr>
          <w:sz w:val="16"/>
          <w:szCs w:val="16"/>
          <w:lang w:val="en-US"/>
        </w:rPr>
        <w:tab/>
      </w:r>
      <w:r w:rsidRPr="009F337B">
        <w:rPr>
          <w:sz w:val="16"/>
          <w:szCs w:val="16"/>
          <w:lang w:val="en-US"/>
        </w:rPr>
        <w:tab/>
      </w:r>
      <w:r w:rsidRPr="009F337B">
        <w:rPr>
          <w:i/>
          <w:iCs/>
          <w:sz w:val="16"/>
          <w:szCs w:val="16"/>
          <w:lang w:val="en-US"/>
        </w:rPr>
        <w:t xml:space="preserve">Cf. </w:t>
      </w:r>
      <w:r w:rsidRPr="009F337B">
        <w:rPr>
          <w:i/>
          <w:sz w:val="16"/>
          <w:szCs w:val="16"/>
          <w:lang w:val="en-US"/>
        </w:rPr>
        <w:t>Case of the “Street Children” (Villagrán Morales et al.) v. Guatemala. Merits</w:t>
      </w:r>
      <w:r w:rsidRPr="009F337B">
        <w:rPr>
          <w:sz w:val="16"/>
          <w:szCs w:val="16"/>
          <w:lang w:val="en-US"/>
        </w:rPr>
        <w:t xml:space="preserve">. Judgment of November 19, 1999. Series C No. 63, para. 144, and </w:t>
      </w:r>
      <w:r w:rsidRPr="009F337B">
        <w:rPr>
          <w:i/>
          <w:sz w:val="16"/>
          <w:szCs w:val="16"/>
          <w:lang w:val="en-US"/>
        </w:rPr>
        <w:t>Case of Poblete Vilches et al. v. Chile. Merits, reparations and costs.</w:t>
      </w:r>
      <w:r w:rsidRPr="009F337B">
        <w:rPr>
          <w:sz w:val="16"/>
          <w:szCs w:val="16"/>
          <w:lang w:val="en-US"/>
        </w:rPr>
        <w:t xml:space="preserve"> Judgment of March 8, 2018. Series C No. 349, para. 148 </w:t>
      </w:r>
    </w:p>
  </w:footnote>
  <w:footnote w:id="182">
    <w:p w14:paraId="2B910691" w14:textId="1ED28929" w:rsidR="00AF5CC6" w:rsidRPr="009F337B" w:rsidRDefault="00AF5CC6" w:rsidP="00A30D95">
      <w:pPr>
        <w:pStyle w:val="Textonotapie"/>
        <w:spacing w:before="0"/>
        <w:rPr>
          <w:szCs w:val="16"/>
          <w:lang w:val="en-US"/>
        </w:rPr>
      </w:pPr>
      <w:r w:rsidRPr="009F337B">
        <w:rPr>
          <w:rStyle w:val="Refdenotaalpie"/>
          <w:rFonts w:eastAsia="Calibri"/>
          <w:szCs w:val="16"/>
          <w:lang w:val="en-US"/>
        </w:rPr>
        <w:footnoteRef/>
      </w:r>
      <w:r w:rsidRPr="009F337B">
        <w:rPr>
          <w:szCs w:val="16"/>
          <w:lang w:val="en-US"/>
        </w:rPr>
        <w:tab/>
      </w:r>
      <w:r w:rsidRPr="009F337B">
        <w:rPr>
          <w:i/>
          <w:szCs w:val="16"/>
          <w:lang w:val="en-US"/>
        </w:rPr>
        <w:t>Cf. Case of Ximenes Lopes v. Brazil.</w:t>
      </w:r>
      <w:r w:rsidRPr="009F337B">
        <w:rPr>
          <w:szCs w:val="16"/>
          <w:lang w:val="en-US"/>
        </w:rPr>
        <w:t xml:space="preserve"> Judgment of July 4, 2006. Series C No. 149, paras. 120 to 122, 146 and 150, and </w:t>
      </w:r>
      <w:r w:rsidRPr="009F337B">
        <w:rPr>
          <w:i/>
          <w:szCs w:val="16"/>
          <w:lang w:val="en-US"/>
        </w:rPr>
        <w:t xml:space="preserve">Case of Poblete </w:t>
      </w:r>
      <w:proofErr w:type="spellStart"/>
      <w:r w:rsidRPr="009F337B">
        <w:rPr>
          <w:i/>
          <w:szCs w:val="16"/>
          <w:lang w:val="en-US"/>
        </w:rPr>
        <w:t>Vilches</w:t>
      </w:r>
      <w:proofErr w:type="spellEnd"/>
      <w:r w:rsidRPr="009F337B">
        <w:rPr>
          <w:i/>
          <w:szCs w:val="16"/>
          <w:lang w:val="en-US"/>
        </w:rPr>
        <w:t xml:space="preserve"> et al. v. Chile. Merits, reparations and costs.</w:t>
      </w:r>
      <w:r w:rsidRPr="009F337B">
        <w:rPr>
          <w:szCs w:val="16"/>
          <w:lang w:val="en-US"/>
        </w:rPr>
        <w:t xml:space="preserve"> Judgment of March 8, 2018. Series C No. 349, para. 148.</w:t>
      </w:r>
    </w:p>
  </w:footnote>
  <w:footnote w:id="183">
    <w:p w14:paraId="75B5A8F6" w14:textId="39CE4FBF"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rStyle w:val="Refdenotaalpie"/>
          <w:rFonts w:eastAsia="Calibri"/>
          <w:szCs w:val="16"/>
          <w:lang w:val="en-US"/>
        </w:rPr>
        <w:tab/>
      </w:r>
      <w:r w:rsidRPr="009F337B">
        <w:rPr>
          <w:i/>
          <w:szCs w:val="16"/>
          <w:lang w:val="en-US"/>
        </w:rPr>
        <w:t xml:space="preserve">Case of Poblete </w:t>
      </w:r>
      <w:proofErr w:type="spellStart"/>
      <w:r w:rsidRPr="009F337B">
        <w:rPr>
          <w:i/>
          <w:szCs w:val="16"/>
          <w:lang w:val="en-US"/>
        </w:rPr>
        <w:t>Vilches</w:t>
      </w:r>
      <w:proofErr w:type="spellEnd"/>
      <w:r w:rsidRPr="009F337B">
        <w:rPr>
          <w:i/>
          <w:szCs w:val="16"/>
          <w:lang w:val="en-US"/>
        </w:rPr>
        <w:t xml:space="preserve"> et al. v. Chile. Merits, reparations and costs.</w:t>
      </w:r>
      <w:r w:rsidRPr="009F337B">
        <w:rPr>
          <w:szCs w:val="16"/>
          <w:lang w:val="en-US"/>
        </w:rPr>
        <w:t xml:space="preserve"> Judgment of March 8, 2018. Series C No. 349, para. 148.</w:t>
      </w:r>
    </w:p>
  </w:footnote>
  <w:footnote w:id="184">
    <w:p w14:paraId="551FDFB9" w14:textId="47D3C436" w:rsidR="00AF5CC6" w:rsidRPr="009F337B" w:rsidRDefault="00AF5CC6" w:rsidP="00A30D95">
      <w:pPr>
        <w:pStyle w:val="Textonotapie"/>
        <w:spacing w:before="0"/>
        <w:rPr>
          <w:szCs w:val="16"/>
          <w:lang w:val="en-US"/>
        </w:rPr>
      </w:pPr>
      <w:r w:rsidRPr="009F337B">
        <w:rPr>
          <w:rStyle w:val="Refdenotaalpie"/>
          <w:rFonts w:eastAsia="Calibri"/>
          <w:szCs w:val="16"/>
          <w:lang w:val="en-US"/>
        </w:rPr>
        <w:footnoteRef/>
      </w:r>
      <w:r w:rsidRPr="009F337B">
        <w:rPr>
          <w:rStyle w:val="Refdenotaalpie"/>
          <w:rFonts w:eastAsia="Calibri"/>
          <w:szCs w:val="16"/>
          <w:lang w:val="en-US"/>
        </w:rPr>
        <w:t xml:space="preserve"> </w:t>
      </w:r>
      <w:r w:rsidRPr="009F337B">
        <w:rPr>
          <w:rStyle w:val="Refdenotaalpie"/>
          <w:rFonts w:eastAsia="Calibri"/>
          <w:szCs w:val="16"/>
          <w:lang w:val="en-US"/>
        </w:rPr>
        <w:tab/>
      </w:r>
      <w:r w:rsidRPr="009F337B">
        <w:rPr>
          <w:rFonts w:eastAsia="Calibri"/>
          <w:i/>
          <w:szCs w:val="16"/>
          <w:lang w:val="en-US"/>
        </w:rPr>
        <w:t xml:space="preserve">Cf. Case of the </w:t>
      </w:r>
      <w:proofErr w:type="spellStart"/>
      <w:r w:rsidRPr="009F337B">
        <w:rPr>
          <w:rFonts w:eastAsia="Calibri"/>
          <w:i/>
          <w:szCs w:val="16"/>
          <w:lang w:val="en-US"/>
        </w:rPr>
        <w:t>Xákmok</w:t>
      </w:r>
      <w:proofErr w:type="spellEnd"/>
      <w:r w:rsidRPr="009F337B">
        <w:rPr>
          <w:rFonts w:eastAsia="Calibri"/>
          <w:i/>
          <w:szCs w:val="16"/>
          <w:lang w:val="en-US"/>
        </w:rPr>
        <w:t xml:space="preserve"> </w:t>
      </w:r>
      <w:proofErr w:type="spellStart"/>
      <w:r w:rsidRPr="009F337B">
        <w:rPr>
          <w:rFonts w:eastAsia="Calibri"/>
          <w:i/>
          <w:szCs w:val="16"/>
          <w:lang w:val="en-US"/>
        </w:rPr>
        <w:t>Kásek</w:t>
      </w:r>
      <w:proofErr w:type="spellEnd"/>
      <w:r w:rsidRPr="009F337B">
        <w:rPr>
          <w:rFonts w:eastAsia="Calibri"/>
          <w:i/>
          <w:szCs w:val="16"/>
          <w:lang w:val="en-US"/>
        </w:rPr>
        <w:t xml:space="preserve"> Indigenous Community v. Paraguay. Merits, reparations and costs.</w:t>
      </w:r>
      <w:r w:rsidRPr="009F337B">
        <w:rPr>
          <w:rFonts w:eastAsia="Calibri"/>
          <w:szCs w:val="16"/>
          <w:lang w:val="en-US"/>
        </w:rPr>
        <w:t xml:space="preserve"> Judgment of August 24, 2010. Series C No. 214, para. 227, and </w:t>
      </w:r>
      <w:r w:rsidRPr="009F337B">
        <w:rPr>
          <w:i/>
          <w:szCs w:val="16"/>
          <w:lang w:val="en-US"/>
        </w:rPr>
        <w:t xml:space="preserve">Case of Poblete </w:t>
      </w:r>
      <w:proofErr w:type="spellStart"/>
      <w:r w:rsidRPr="009F337B">
        <w:rPr>
          <w:i/>
          <w:szCs w:val="16"/>
          <w:lang w:val="en-US"/>
        </w:rPr>
        <w:t>Vilches</w:t>
      </w:r>
      <w:proofErr w:type="spellEnd"/>
      <w:r w:rsidRPr="009F337B">
        <w:rPr>
          <w:i/>
          <w:szCs w:val="16"/>
          <w:lang w:val="en-US"/>
        </w:rPr>
        <w:t xml:space="preserve"> et al. v. Chile. Merits, reparations and costs.</w:t>
      </w:r>
      <w:r w:rsidRPr="009F337B">
        <w:rPr>
          <w:szCs w:val="16"/>
          <w:lang w:val="en-US"/>
        </w:rPr>
        <w:t xml:space="preserve"> Judgment of March 8, 2018. Series C No. 349, para. 148</w:t>
      </w:r>
      <w:r w:rsidRPr="009F337B">
        <w:rPr>
          <w:rFonts w:eastAsia="Calibri"/>
          <w:szCs w:val="16"/>
          <w:lang w:val="en-US"/>
        </w:rPr>
        <w:t xml:space="preserve">. </w:t>
      </w:r>
    </w:p>
  </w:footnote>
  <w:footnote w:id="185">
    <w:p w14:paraId="42D6ADE0" w14:textId="1018BCD0"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r>
      <w:r w:rsidRPr="009F337B">
        <w:rPr>
          <w:i/>
          <w:szCs w:val="16"/>
          <w:lang w:val="en-US"/>
        </w:rPr>
        <w:t xml:space="preserve">Cf. Case of Ximenes Lopes v. Brazil. </w:t>
      </w:r>
      <w:r w:rsidRPr="009F337B">
        <w:rPr>
          <w:szCs w:val="16"/>
          <w:lang w:val="en-US"/>
        </w:rPr>
        <w:t xml:space="preserve">Judgment of July 4, 2006. Series C No. 149, para. 125, and </w:t>
      </w:r>
      <w:r w:rsidRPr="009F337B">
        <w:rPr>
          <w:i/>
          <w:szCs w:val="16"/>
          <w:lang w:val="en-US"/>
        </w:rPr>
        <w:t xml:space="preserve">Case of Poblete </w:t>
      </w:r>
      <w:proofErr w:type="spellStart"/>
      <w:r w:rsidRPr="009F337B">
        <w:rPr>
          <w:i/>
          <w:szCs w:val="16"/>
          <w:lang w:val="en-US"/>
        </w:rPr>
        <w:t>Vilches</w:t>
      </w:r>
      <w:proofErr w:type="spellEnd"/>
      <w:r w:rsidRPr="009F337B">
        <w:rPr>
          <w:i/>
          <w:szCs w:val="16"/>
          <w:lang w:val="en-US"/>
        </w:rPr>
        <w:t xml:space="preserve"> et al. v. Chile. Merits, reparations and costs.</w:t>
      </w:r>
      <w:r w:rsidRPr="009F337B">
        <w:rPr>
          <w:szCs w:val="16"/>
          <w:lang w:val="en-US"/>
        </w:rPr>
        <w:t xml:space="preserve"> Judgment of March 8, 2018. Series C No. 349, para. 148.  </w:t>
      </w:r>
    </w:p>
  </w:footnote>
  <w:footnote w:id="186">
    <w:p w14:paraId="6782C186" w14:textId="10D2AAD8"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t>Expert opinion provided by Ricardo Boza Cordero at the public hearing held before the Court and written report on this opinion (merits file, folio 1458).</w:t>
      </w:r>
    </w:p>
  </w:footnote>
  <w:footnote w:id="187">
    <w:p w14:paraId="74B42088" w14:textId="0CA6B05A" w:rsidR="00AF5CC6" w:rsidRPr="009F337B" w:rsidRDefault="00AF5CC6" w:rsidP="00A30D95">
      <w:pPr>
        <w:tabs>
          <w:tab w:val="left" w:pos="567"/>
          <w:tab w:val="left" w:pos="2265"/>
        </w:tabs>
        <w:spacing w:after="120"/>
        <w:ind w:right="51"/>
        <w:rPr>
          <w:b/>
          <w:sz w:val="16"/>
          <w:szCs w:val="16"/>
          <w:lang w:val="en-US"/>
        </w:rPr>
      </w:pPr>
      <w:r w:rsidRPr="009F337B">
        <w:rPr>
          <w:rStyle w:val="Refdenotaalpie"/>
          <w:rFonts w:eastAsia="Times"/>
          <w:sz w:val="16"/>
          <w:szCs w:val="16"/>
          <w:lang w:val="en-US"/>
        </w:rPr>
        <w:footnoteRef/>
      </w:r>
      <w:r w:rsidRPr="009F337B">
        <w:rPr>
          <w:bCs/>
          <w:iCs/>
          <w:sz w:val="16"/>
          <w:szCs w:val="16"/>
          <w:lang w:val="en-US"/>
        </w:rPr>
        <w:tab/>
        <w:t xml:space="preserve">  </w:t>
      </w:r>
      <w:r w:rsidRPr="009F337B">
        <w:rPr>
          <w:bCs/>
          <w:i/>
          <w:iCs/>
          <w:sz w:val="16"/>
          <w:szCs w:val="16"/>
          <w:lang w:val="en-US"/>
        </w:rPr>
        <w:t>Cf. Case of Loayza Tamayo v. Peru. Merits. Judgment of September 17, 1997.</w:t>
      </w:r>
      <w:r w:rsidRPr="009F337B">
        <w:rPr>
          <w:bCs/>
          <w:iCs/>
          <w:sz w:val="16"/>
          <w:szCs w:val="16"/>
          <w:lang w:val="en-US"/>
        </w:rPr>
        <w:t xml:space="preserve"> Series C No. 33, para. 57, and </w:t>
      </w:r>
      <w:r w:rsidRPr="009F337B">
        <w:rPr>
          <w:bCs/>
          <w:i/>
          <w:iCs/>
          <w:sz w:val="16"/>
          <w:szCs w:val="16"/>
          <w:lang w:val="en-US"/>
        </w:rPr>
        <w:t>Case of the Xucuru Indigenous People and its members v. Brazil. Preliminary objections, merits, reparations and costs.</w:t>
      </w:r>
      <w:r w:rsidRPr="009F337B">
        <w:rPr>
          <w:bCs/>
          <w:iCs/>
          <w:sz w:val="16"/>
          <w:szCs w:val="16"/>
          <w:lang w:val="en-US"/>
        </w:rPr>
        <w:t xml:space="preserve"> Judgment of February 5, 2018. Series C No. 346, para. 171.</w:t>
      </w:r>
    </w:p>
  </w:footnote>
  <w:footnote w:id="188">
    <w:p w14:paraId="3D50FDF0" w14:textId="2A1F8D22"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r>
      <w:r w:rsidRPr="009F337B">
        <w:rPr>
          <w:i/>
          <w:szCs w:val="16"/>
          <w:lang w:val="en-US"/>
        </w:rPr>
        <w:t xml:space="preserve">Cf. Case of </w:t>
      </w:r>
      <w:proofErr w:type="spellStart"/>
      <w:r w:rsidRPr="009F337B">
        <w:rPr>
          <w:i/>
          <w:szCs w:val="16"/>
          <w:lang w:val="en-US"/>
        </w:rPr>
        <w:t>Albán</w:t>
      </w:r>
      <w:proofErr w:type="spellEnd"/>
      <w:r w:rsidRPr="009F337B">
        <w:rPr>
          <w:i/>
          <w:szCs w:val="16"/>
          <w:lang w:val="en-US"/>
        </w:rPr>
        <w:t xml:space="preserve"> Cornejo et al. v. Ecuador. Merits, reparations and costs.</w:t>
      </w:r>
      <w:r w:rsidRPr="009F337B">
        <w:rPr>
          <w:szCs w:val="16"/>
          <w:lang w:val="en-US"/>
        </w:rPr>
        <w:t xml:space="preserve"> Judgment of November 22, 2007. Series C No. 171, para. 117, and </w:t>
      </w:r>
      <w:r w:rsidRPr="009F337B">
        <w:rPr>
          <w:i/>
          <w:szCs w:val="16"/>
          <w:lang w:val="en-US"/>
        </w:rPr>
        <w:t xml:space="preserve">Case of Poblete </w:t>
      </w:r>
      <w:proofErr w:type="spellStart"/>
      <w:r w:rsidRPr="009F337B">
        <w:rPr>
          <w:i/>
          <w:szCs w:val="16"/>
          <w:lang w:val="en-US"/>
        </w:rPr>
        <w:t>Vilches</w:t>
      </w:r>
      <w:proofErr w:type="spellEnd"/>
      <w:r w:rsidRPr="009F337B">
        <w:rPr>
          <w:i/>
          <w:szCs w:val="16"/>
          <w:lang w:val="en-US"/>
        </w:rPr>
        <w:t xml:space="preserve"> et al. v. Chile. Merits, reparations and costs</w:t>
      </w:r>
      <w:r w:rsidRPr="009F337B">
        <w:rPr>
          <w:szCs w:val="16"/>
          <w:lang w:val="en-US"/>
        </w:rPr>
        <w:t>. Judgment of March 8, 2018. Series C No. 349, para. 152.</w:t>
      </w:r>
    </w:p>
  </w:footnote>
  <w:footnote w:id="189">
    <w:p w14:paraId="672AB5D4" w14:textId="3D5D8080" w:rsidR="00AF5CC6" w:rsidRPr="009F337B" w:rsidRDefault="00AF5CC6" w:rsidP="00A30D95">
      <w:pPr>
        <w:pStyle w:val="Textonotapie"/>
        <w:spacing w:before="0"/>
        <w:rPr>
          <w:b/>
          <w:szCs w:val="16"/>
          <w:lang w:val="en-US"/>
        </w:rPr>
      </w:pPr>
      <w:r w:rsidRPr="009F337B">
        <w:rPr>
          <w:rStyle w:val="Refdenotaalpie"/>
          <w:szCs w:val="16"/>
          <w:lang w:val="en-US"/>
        </w:rPr>
        <w:footnoteRef/>
      </w:r>
      <w:r w:rsidRPr="009F337B">
        <w:rPr>
          <w:szCs w:val="16"/>
          <w:lang w:val="en-US"/>
        </w:rPr>
        <w:tab/>
      </w:r>
      <w:r w:rsidRPr="009F337B">
        <w:rPr>
          <w:i/>
          <w:szCs w:val="16"/>
          <w:lang w:val="en-US"/>
        </w:rPr>
        <w:t xml:space="preserve">Cf. Case of </w:t>
      </w:r>
      <w:proofErr w:type="spellStart"/>
      <w:r w:rsidRPr="009F337B">
        <w:rPr>
          <w:i/>
          <w:szCs w:val="16"/>
          <w:lang w:val="en-US"/>
        </w:rPr>
        <w:t>Tibi</w:t>
      </w:r>
      <w:proofErr w:type="spellEnd"/>
      <w:r w:rsidRPr="009F337B">
        <w:rPr>
          <w:i/>
          <w:szCs w:val="16"/>
          <w:lang w:val="en-US"/>
        </w:rPr>
        <w:t xml:space="preserve"> v. Ecuador. Preliminary objections, merits, reparations and costs.</w:t>
      </w:r>
      <w:r w:rsidRPr="009F337B">
        <w:rPr>
          <w:szCs w:val="16"/>
          <w:lang w:val="en-US"/>
        </w:rPr>
        <w:t xml:space="preserve"> Judgment of September 7, 2004. Series C No. 114, para. 156 and 157, and </w:t>
      </w:r>
      <w:r w:rsidRPr="009F337B">
        <w:rPr>
          <w:i/>
          <w:szCs w:val="16"/>
          <w:lang w:val="en-US"/>
        </w:rPr>
        <w:t xml:space="preserve">Case of Poblete </w:t>
      </w:r>
      <w:proofErr w:type="spellStart"/>
      <w:r w:rsidRPr="009F337B">
        <w:rPr>
          <w:i/>
          <w:szCs w:val="16"/>
          <w:lang w:val="en-US"/>
        </w:rPr>
        <w:t>Vilches</w:t>
      </w:r>
      <w:proofErr w:type="spellEnd"/>
      <w:r w:rsidRPr="009F337B">
        <w:rPr>
          <w:i/>
          <w:szCs w:val="16"/>
          <w:lang w:val="en-US"/>
        </w:rPr>
        <w:t xml:space="preserve"> et al. v. Chile. Merits, reparations and costs.</w:t>
      </w:r>
      <w:r w:rsidRPr="009F337B">
        <w:rPr>
          <w:szCs w:val="16"/>
          <w:lang w:val="en-US"/>
        </w:rPr>
        <w:t xml:space="preserve"> Judgment of March 8, 2018. Series C No. 349, para. 152.</w:t>
      </w:r>
    </w:p>
  </w:footnote>
  <w:footnote w:id="190">
    <w:p w14:paraId="6C8E7774" w14:textId="79028463"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r>
      <w:r w:rsidRPr="009F337B">
        <w:rPr>
          <w:i/>
          <w:szCs w:val="16"/>
          <w:lang w:val="en-US"/>
        </w:rPr>
        <w:t xml:space="preserve">Cf. Case of Ximenes Lopes v. Brazil. </w:t>
      </w:r>
      <w:r w:rsidRPr="009F337B">
        <w:rPr>
          <w:szCs w:val="16"/>
          <w:lang w:val="en-US"/>
        </w:rPr>
        <w:t>Judgment of July 4, 2006</w:t>
      </w:r>
      <w:r w:rsidRPr="009F337B">
        <w:rPr>
          <w:i/>
          <w:szCs w:val="16"/>
          <w:lang w:val="en-US"/>
        </w:rPr>
        <w:t>.</w:t>
      </w:r>
      <w:r w:rsidRPr="009F337B">
        <w:rPr>
          <w:szCs w:val="16"/>
          <w:lang w:val="en-US"/>
        </w:rPr>
        <w:t xml:space="preserve"> Series C No. 149, paras. 89 and 90, and </w:t>
      </w:r>
      <w:r w:rsidRPr="009F337B">
        <w:rPr>
          <w:i/>
          <w:szCs w:val="16"/>
          <w:lang w:val="en-US"/>
        </w:rPr>
        <w:t xml:space="preserve">Case of Poblete </w:t>
      </w:r>
      <w:proofErr w:type="spellStart"/>
      <w:r w:rsidRPr="009F337B">
        <w:rPr>
          <w:i/>
          <w:szCs w:val="16"/>
          <w:lang w:val="en-US"/>
        </w:rPr>
        <w:t>Vilches</w:t>
      </w:r>
      <w:proofErr w:type="spellEnd"/>
      <w:r w:rsidRPr="009F337B">
        <w:rPr>
          <w:i/>
          <w:szCs w:val="16"/>
          <w:lang w:val="en-US"/>
        </w:rPr>
        <w:t xml:space="preserve"> et al. v. Chile. Merits, reparations and costs.</w:t>
      </w:r>
      <w:r w:rsidRPr="009F337B">
        <w:rPr>
          <w:szCs w:val="16"/>
          <w:lang w:val="en-US"/>
        </w:rPr>
        <w:t xml:space="preserve"> Judgment of March 8, 2018. Series C No. 349, para. 152.</w:t>
      </w:r>
    </w:p>
  </w:footnote>
  <w:footnote w:id="191">
    <w:p w14:paraId="30899D7E" w14:textId="42D75DB6"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r>
      <w:r w:rsidRPr="009F337B">
        <w:rPr>
          <w:i/>
          <w:szCs w:val="16"/>
          <w:lang w:val="en-US"/>
        </w:rPr>
        <w:t xml:space="preserve">Cf. </w:t>
      </w:r>
      <w:r w:rsidRPr="009F337B">
        <w:rPr>
          <w:szCs w:val="16"/>
          <w:lang w:val="en-US"/>
        </w:rPr>
        <w:t>Expert opinion of Dr. Olga Alicia Paz Bailey provided on December 17, 2017 (merits file, folios 1412 and 1419).</w:t>
      </w:r>
    </w:p>
  </w:footnote>
  <w:footnote w:id="192">
    <w:p w14:paraId="2A6BCA75" w14:textId="2D4F2EE4" w:rsidR="00AF5CC6" w:rsidRPr="009F337B" w:rsidRDefault="00AF5CC6" w:rsidP="00A30D95">
      <w:pPr>
        <w:pStyle w:val="Textonotapie"/>
        <w:spacing w:before="0"/>
        <w:rPr>
          <w:i/>
          <w:szCs w:val="16"/>
          <w:lang w:val="en-US"/>
        </w:rPr>
      </w:pPr>
      <w:r w:rsidRPr="009F337B">
        <w:rPr>
          <w:rStyle w:val="Refdenotaalpie"/>
          <w:szCs w:val="16"/>
          <w:lang w:val="en-US"/>
        </w:rPr>
        <w:footnoteRef/>
      </w:r>
      <w:r w:rsidRPr="009F337B">
        <w:rPr>
          <w:szCs w:val="16"/>
          <w:lang w:val="en-US"/>
        </w:rPr>
        <w:tab/>
        <w:t>Expert opinion of Dr. Olga Alicia Paz Bailey provided on December 17, 2017 (merits file, folio 1436).</w:t>
      </w:r>
    </w:p>
  </w:footnote>
  <w:footnote w:id="193">
    <w:p w14:paraId="158CC2E4" w14:textId="55E260A1" w:rsidR="00AF5CC6" w:rsidRPr="009F337B" w:rsidRDefault="00AF5CC6" w:rsidP="00A30D95">
      <w:pPr>
        <w:spacing w:after="120"/>
        <w:rPr>
          <w:sz w:val="16"/>
          <w:szCs w:val="16"/>
          <w:lang w:val="es-CR"/>
        </w:rPr>
      </w:pPr>
      <w:r w:rsidRPr="009F337B">
        <w:rPr>
          <w:rStyle w:val="Refdenotaalpie"/>
          <w:sz w:val="16"/>
          <w:szCs w:val="16"/>
          <w:lang w:val="en-US"/>
        </w:rPr>
        <w:footnoteRef/>
      </w:r>
      <w:r w:rsidRPr="009F337B">
        <w:rPr>
          <w:sz w:val="16"/>
          <w:szCs w:val="16"/>
          <w:lang w:val="es-CR"/>
        </w:rPr>
        <w:tab/>
        <w:t>The following fall within this category: i) Ismar Ramírez Chajón, ii) José Cupertino Ramírez, iii) Sebastián Emilio Dueñas, iv) Julia Aguilar, v) Luis Rubén Isabel Alvarez Flores, vi) Saira Elisa Barrios, vii) Felix de Jesús Cabrera Morales, viii) César Noé Cancinos Gómez, ix) Aracely Cinto, x) Luis Rolando Cuscul Pivaral, xi) María Felipe Pérez, xii) Mardo Luis Hernández and Hernández, xiii) Luis Armando Linares Ruano, xiv) Pascuala de Jesús Mérida Rodríguez, xv) Darinel López Montes de Oca, xvi) Audencio Rodas Rodríguez, xvii) Zoila Marina Pérez Ruíz, xviii) Santiago Francisco Valdéz Aguilar, xix) Karen Judith Samayoa Vásquez, xx) Francisco Sop Quiej, xxi) Miguel Lucas Vaíl, xxii) Sandra Lisbeth Zepeda Herrera, xxiii) Petrona López Robledo, xxiv) Rita Mariana Dubón Orozco, xxv) Maria Blanca Vail López, xxvi) José Rubén Delgado López, xxvii) Elsa Miriam Estrada Ruíz, xxviii) Guadalupe Herminia Cayaxon García, xxix) Juana Aguilar, xxx) Melvin Yovani Ajtun Escobar, xxxi) Felipe Tebalan Ordoñez, xxxii) Martina Candelaria Álvarez Estrada, xxxiii) Ismerai Olibia García Castañon, xxxiv) Santos Isacar Vásquez Barrios, xxxv) Marta Alicia Maldonado Paz, xxxvi) Dora Marina Martínez Sofoifa, xxxvii) Israel Pérez Charal, xxxviii) Teresa Magdalena Ramírez Castro, xxxix) Jorge Armando Tavares Barreno, xl) Santos Vásquez Oliveros xli) Iris Carolina Vicente Baullas, xlii) Facundo Gómez Reyes, xliii) Reina López Mujica, xliv) Alberto Quiché Cuxeva, xlv) Silvia Mirtala Álvarez Villatoro and xlvi) Corina Dianeth Robledo Alvarado.</w:t>
      </w:r>
    </w:p>
  </w:footnote>
  <w:footnote w:id="194">
    <w:p w14:paraId="657D8474" w14:textId="30D6361C" w:rsidR="00AF5CC6" w:rsidRPr="009F337B" w:rsidRDefault="00AF5CC6" w:rsidP="00A30D95">
      <w:pPr>
        <w:spacing w:after="120"/>
        <w:rPr>
          <w:sz w:val="16"/>
          <w:szCs w:val="16"/>
          <w:lang w:val="en-US"/>
        </w:rPr>
      </w:pPr>
      <w:r w:rsidRPr="009F337B">
        <w:rPr>
          <w:rStyle w:val="Refdenotaalpie"/>
          <w:sz w:val="16"/>
          <w:szCs w:val="16"/>
          <w:lang w:val="en-US"/>
        </w:rPr>
        <w:footnoteRef/>
      </w:r>
      <w:r w:rsidRPr="009F337B">
        <w:rPr>
          <w:sz w:val="16"/>
          <w:szCs w:val="16"/>
          <w:lang w:val="en-US"/>
        </w:rPr>
        <w:tab/>
        <w:t>With regard to i) Luis Edwin Cruz Gramajo, ii) Ingrid Janeth Barillas Martínez, iii) Olga Marina Castillo, the Court notes that it has insufficient information to determine their situation.</w:t>
      </w:r>
    </w:p>
  </w:footnote>
  <w:footnote w:id="195">
    <w:p w14:paraId="203AC959" w14:textId="506D16C5" w:rsidR="00AF5CC6" w:rsidRPr="009F337B" w:rsidRDefault="00AF5CC6" w:rsidP="00A30D95">
      <w:pPr>
        <w:tabs>
          <w:tab w:val="left" w:pos="480"/>
          <w:tab w:val="left" w:pos="1680"/>
          <w:tab w:val="left" w:pos="5400"/>
        </w:tabs>
        <w:suppressAutoHyphens/>
        <w:spacing w:after="120"/>
        <w:rPr>
          <w:spacing w:val="-3"/>
          <w:sz w:val="16"/>
          <w:szCs w:val="16"/>
          <w:lang w:val="en-US"/>
        </w:rPr>
      </w:pPr>
      <w:r w:rsidRPr="009F337B">
        <w:rPr>
          <w:rStyle w:val="Refdenotaalpie"/>
          <w:sz w:val="16"/>
          <w:szCs w:val="16"/>
          <w:lang w:val="en-US"/>
        </w:rPr>
        <w:footnoteRef/>
      </w:r>
      <w:r w:rsidRPr="009F337B">
        <w:rPr>
          <w:sz w:val="16"/>
          <w:szCs w:val="16"/>
          <w:lang w:val="en-US"/>
        </w:rPr>
        <w:t xml:space="preserve"> </w:t>
      </w:r>
      <w:r w:rsidRPr="009F337B">
        <w:rPr>
          <w:sz w:val="16"/>
          <w:szCs w:val="16"/>
          <w:lang w:val="en-US"/>
        </w:rPr>
        <w:tab/>
      </w:r>
      <w:r w:rsidRPr="009F337B">
        <w:rPr>
          <w:rFonts w:cs="Tahoma"/>
          <w:color w:val="000000"/>
          <w:sz w:val="16"/>
          <w:szCs w:val="16"/>
          <w:lang w:val="en-US"/>
        </w:rPr>
        <w:t xml:space="preserve">Article 8 of the Convention establishes: “1. </w:t>
      </w:r>
      <w:r w:rsidRPr="009F337B">
        <w:rPr>
          <w:spacing w:val="-3"/>
          <w:sz w:val="16"/>
          <w:szCs w:val="16"/>
          <w:lang w:val="en-US"/>
        </w:rPr>
        <w:t>Every person has the right to a hearing, with due guarantees and within a reasonable time, by a competent, independent, and impartial tribunal, previously established by law, in the substantiation of any accusation of a criminal nature made against him or for the determination of his rights and obligations of a civil, labor, fiscal, or any other nature. 2. Every person accused of a criminal offense has the right to be presumed innocent so long as his guilt has not been proven according to law.  During the proceedings, every person is entitled, with full equality, to the following minimum guarantees: (a) the right of the accused to be assisted without charge by a translator or interpreter, if he does not understand or does not speak the language of the tribunal or court; (b) prior notification in detail to the accused of the charges against him; (c) adequate time and means for the preparation of his defense; (d) the right of the accused to defend himself personally or to be assisted by legal counsel of his own choosing, and to communicate freely and privately with his counsel; (e) the inalienable right to be assisted by counsel provided by the state, paid or not as the domestic law provides, if the accused does not defend himself personally or engage his own counsel within the time period established by law; (f) the right of the defense to examine witnesses present in the court and to obtain the appearance, as witnesses, of experts or other persons who may throw light on the facts; (g) the right not to be compelled to be a witness against himself or to plead guilty; and (h)</w:t>
      </w:r>
      <w:r w:rsidRPr="009F337B">
        <w:rPr>
          <w:spacing w:val="-3"/>
          <w:sz w:val="16"/>
          <w:szCs w:val="16"/>
          <w:lang w:val="en-US"/>
        </w:rPr>
        <w:tab/>
        <w:t>the right to appeal the judgment to a higher court. 3. A confession of guilt by the accused shall be valid only if it is made without coercion of any kind. 4. An accused person acquitted by a non-appealable judgment shall not be subjected to a new trial for the same cause. 5. Criminal proceedings shall be public, except insofar as may be necessary to protect the interests of justice.</w:t>
      </w:r>
      <w:r w:rsidRPr="009F337B">
        <w:rPr>
          <w:rFonts w:cs="Tahoma"/>
          <w:color w:val="000000"/>
          <w:sz w:val="16"/>
          <w:szCs w:val="16"/>
          <w:lang w:val="en-US"/>
        </w:rPr>
        <w:t>”</w:t>
      </w:r>
    </w:p>
  </w:footnote>
  <w:footnote w:id="196">
    <w:p w14:paraId="452E6396" w14:textId="6F900B14" w:rsidR="00AF5CC6" w:rsidRPr="009F337B" w:rsidRDefault="00AF5CC6" w:rsidP="00A30D95">
      <w:pPr>
        <w:tabs>
          <w:tab w:val="left" w:pos="480"/>
          <w:tab w:val="left" w:pos="1080"/>
          <w:tab w:val="left" w:pos="1680"/>
          <w:tab w:val="left" w:pos="5400"/>
        </w:tabs>
        <w:suppressAutoHyphens/>
        <w:spacing w:after="120"/>
        <w:rPr>
          <w:spacing w:val="-3"/>
          <w:sz w:val="16"/>
          <w:szCs w:val="16"/>
          <w:lang w:val="en-US"/>
        </w:rPr>
      </w:pPr>
      <w:r w:rsidRPr="009F337B">
        <w:rPr>
          <w:rStyle w:val="Refdenotaalpie"/>
          <w:sz w:val="16"/>
          <w:szCs w:val="16"/>
          <w:lang w:val="en-US"/>
        </w:rPr>
        <w:footnoteRef/>
      </w:r>
      <w:r w:rsidRPr="009F337B">
        <w:rPr>
          <w:sz w:val="16"/>
          <w:szCs w:val="16"/>
          <w:lang w:val="en-US"/>
        </w:rPr>
        <w:tab/>
        <w:t xml:space="preserve"> </w:t>
      </w:r>
      <w:r w:rsidRPr="009F337B">
        <w:rPr>
          <w:rFonts w:cs="Tahoma"/>
          <w:bCs/>
          <w:color w:val="000000"/>
          <w:sz w:val="16"/>
          <w:szCs w:val="16"/>
          <w:lang w:val="en-US" w:eastAsia="es-CR"/>
        </w:rPr>
        <w:t>Article 25 of the Convention stipulates: “</w:t>
      </w:r>
      <w:r w:rsidRPr="009F337B">
        <w:rPr>
          <w:rFonts w:cs="Tahoma"/>
          <w:color w:val="000000"/>
          <w:sz w:val="16"/>
          <w:szCs w:val="16"/>
          <w:lang w:val="en-US"/>
        </w:rPr>
        <w:t xml:space="preserve">1. </w:t>
      </w:r>
      <w:r w:rsidRPr="009F337B">
        <w:rPr>
          <w:spacing w:val="-3"/>
          <w:sz w:val="16"/>
          <w:szCs w:val="16"/>
          <w:lang w:val="en-US"/>
        </w:rPr>
        <w:t>Everyone has the right to simple and prompt recourse, or any other effective recourse, to a competent court or tribunal for protection against acts that violate his fundamental rights recognized by the constitution or laws of the state concerned or by this Convention, even though such violation may have been committed by persons acting in the course of their official duties. 2. The States Parties undertake: (a) to ensure that any person claiming such remedy shall have his rights determined by the competent authority provided for by the legal system of the state; (b) to develop the possibilities of judicial remedy, and (c) to ensure that the competent authorities shall enforce such remedies when granted.</w:t>
      </w:r>
      <w:r w:rsidRPr="009F337B">
        <w:rPr>
          <w:rFonts w:cs="Tahoma"/>
          <w:color w:val="000000"/>
          <w:sz w:val="16"/>
          <w:szCs w:val="16"/>
          <w:lang w:val="en-US"/>
        </w:rPr>
        <w:t>”</w:t>
      </w:r>
    </w:p>
  </w:footnote>
  <w:footnote w:id="197">
    <w:p w14:paraId="1388A857" w14:textId="26BC0966" w:rsidR="00AF5CC6" w:rsidRPr="009F337B" w:rsidRDefault="00AF5CC6" w:rsidP="00A30D95">
      <w:pPr>
        <w:tabs>
          <w:tab w:val="left" w:pos="480"/>
          <w:tab w:val="left" w:pos="1080"/>
          <w:tab w:val="left" w:pos="1680"/>
          <w:tab w:val="left" w:pos="5400"/>
        </w:tabs>
        <w:suppressAutoHyphens/>
        <w:spacing w:after="120"/>
        <w:rPr>
          <w:spacing w:val="-3"/>
          <w:sz w:val="16"/>
          <w:szCs w:val="16"/>
          <w:lang w:val="en-US"/>
        </w:rPr>
      </w:pPr>
      <w:r w:rsidRPr="009F337B">
        <w:rPr>
          <w:rStyle w:val="Refdenotaalpie"/>
          <w:sz w:val="16"/>
          <w:szCs w:val="16"/>
          <w:lang w:val="en-US"/>
        </w:rPr>
        <w:footnoteRef/>
      </w:r>
      <w:r w:rsidRPr="009F337B">
        <w:rPr>
          <w:sz w:val="16"/>
          <w:szCs w:val="16"/>
          <w:lang w:val="en-US"/>
        </w:rPr>
        <w:t xml:space="preserve"> </w:t>
      </w:r>
      <w:r w:rsidRPr="009F337B">
        <w:rPr>
          <w:sz w:val="16"/>
          <w:szCs w:val="16"/>
          <w:lang w:val="en-US"/>
        </w:rPr>
        <w:tab/>
      </w:r>
      <w:r w:rsidRPr="009F337B">
        <w:rPr>
          <w:rFonts w:cs="Tahoma"/>
          <w:bCs/>
          <w:color w:val="000000"/>
          <w:sz w:val="16"/>
          <w:szCs w:val="16"/>
          <w:lang w:val="en-US" w:eastAsia="es-CR"/>
        </w:rPr>
        <w:t xml:space="preserve">Article 1(1) of the Convention establishes: </w:t>
      </w:r>
      <w:r w:rsidRPr="009F337B">
        <w:rPr>
          <w:rFonts w:cs="Tahoma"/>
          <w:color w:val="000000"/>
          <w:sz w:val="16"/>
          <w:szCs w:val="16"/>
          <w:lang w:val="en-US"/>
        </w:rPr>
        <w:t xml:space="preserve">1. </w:t>
      </w:r>
      <w:r w:rsidRPr="009F337B">
        <w:rPr>
          <w:spacing w:val="-3"/>
          <w:sz w:val="16"/>
          <w:szCs w:val="16"/>
          <w:lang w:val="en-US"/>
        </w:rPr>
        <w:t>The States Parties to this Convention undertake to respect the rights and freedoms recognized herein and to ensure to all persons subject to their jurisdiction the free and full exercise of those rights and freedoms, without any discrimination for reasons of race, color, sex, language, religion, political or other opinion, national or social origin, economic status, birth, or any other social condition.</w:t>
      </w:r>
      <w:r w:rsidRPr="009F337B">
        <w:rPr>
          <w:rFonts w:cs="Tahoma"/>
          <w:color w:val="000000"/>
          <w:sz w:val="16"/>
          <w:szCs w:val="16"/>
          <w:lang w:val="en-US"/>
        </w:rPr>
        <w:t>”</w:t>
      </w:r>
    </w:p>
  </w:footnote>
  <w:footnote w:id="198">
    <w:p w14:paraId="438E2FDA" w14:textId="77777777" w:rsidR="00AF5CC6" w:rsidRPr="009F337B" w:rsidRDefault="00AF5CC6" w:rsidP="00A30D95">
      <w:pPr>
        <w:pStyle w:val="Sinespaciado"/>
        <w:spacing w:after="120"/>
        <w:jc w:val="both"/>
        <w:rPr>
          <w:rFonts w:ascii="Verdana" w:eastAsiaTheme="minorHAnsi" w:hAnsi="Verdana" w:cstheme="minorHAnsi"/>
          <w:iCs/>
          <w:sz w:val="16"/>
          <w:szCs w:val="16"/>
        </w:rPr>
      </w:pPr>
      <w:r w:rsidRPr="009F337B">
        <w:rPr>
          <w:rStyle w:val="Refdenotaalpie"/>
          <w:rFonts w:ascii="Verdana" w:hAnsi="Verdana"/>
          <w:sz w:val="16"/>
          <w:szCs w:val="16"/>
        </w:rPr>
        <w:footnoteRef/>
      </w:r>
      <w:r w:rsidRPr="009F337B">
        <w:rPr>
          <w:rFonts w:ascii="Verdana" w:hAnsi="Verdana"/>
          <w:bCs/>
          <w:i/>
          <w:sz w:val="16"/>
          <w:szCs w:val="16"/>
          <w:lang w:val="es-CR"/>
        </w:rPr>
        <w:tab/>
        <w:t xml:space="preserve">Cf. Case </w:t>
      </w:r>
      <w:proofErr w:type="spellStart"/>
      <w:r w:rsidRPr="009F337B">
        <w:rPr>
          <w:rFonts w:ascii="Verdana" w:hAnsi="Verdana"/>
          <w:bCs/>
          <w:i/>
          <w:sz w:val="16"/>
          <w:szCs w:val="16"/>
          <w:lang w:val="es-CR"/>
        </w:rPr>
        <w:t>of</w:t>
      </w:r>
      <w:proofErr w:type="spellEnd"/>
      <w:r w:rsidRPr="009F337B">
        <w:rPr>
          <w:rFonts w:ascii="Verdana" w:hAnsi="Verdana"/>
          <w:bCs/>
          <w:i/>
          <w:sz w:val="16"/>
          <w:szCs w:val="16"/>
          <w:lang w:val="es-CR"/>
        </w:rPr>
        <w:t xml:space="preserve"> Velásquez Rodríguez v. Honduras. </w:t>
      </w:r>
      <w:r w:rsidRPr="009F337B">
        <w:rPr>
          <w:rFonts w:ascii="Verdana" w:hAnsi="Verdana"/>
          <w:bCs/>
          <w:i/>
          <w:sz w:val="16"/>
          <w:szCs w:val="16"/>
        </w:rPr>
        <w:t xml:space="preserve">Preliminary objections. </w:t>
      </w:r>
      <w:r w:rsidRPr="009F337B">
        <w:rPr>
          <w:rFonts w:ascii="Verdana" w:hAnsi="Verdana"/>
          <w:bCs/>
          <w:sz w:val="16"/>
          <w:szCs w:val="16"/>
        </w:rPr>
        <w:t xml:space="preserve">Judgment of June 26, 1987. Series C No. 1, para. 91, and </w:t>
      </w:r>
      <w:r w:rsidRPr="009F337B">
        <w:rPr>
          <w:rStyle w:val="Textoennegrita"/>
          <w:rFonts w:ascii="Verdana" w:hAnsi="Verdana"/>
          <w:b w:val="0"/>
          <w:i/>
          <w:color w:val="000000"/>
          <w:sz w:val="16"/>
          <w:szCs w:val="16"/>
          <w:shd w:val="clear" w:color="auto" w:fill="FFFFFF"/>
        </w:rPr>
        <w:t>Case of Ramírez Escobar et al. v. Guatemala. Merits, reparations and costs</w:t>
      </w:r>
      <w:r w:rsidRPr="009F337B">
        <w:rPr>
          <w:rStyle w:val="Textoennegrita"/>
          <w:rFonts w:ascii="Verdana" w:hAnsi="Verdana"/>
          <w:b w:val="0"/>
          <w:color w:val="000000"/>
          <w:sz w:val="16"/>
          <w:szCs w:val="16"/>
          <w:shd w:val="clear" w:color="auto" w:fill="FFFFFF"/>
        </w:rPr>
        <w:t>. Judgment of March 9, 2018. Series C No. 351, para. 251.</w:t>
      </w:r>
    </w:p>
  </w:footnote>
  <w:footnote w:id="199">
    <w:p w14:paraId="73085BC9" w14:textId="0193E571" w:rsidR="00AF5CC6" w:rsidRPr="009F337B" w:rsidRDefault="00AF5CC6" w:rsidP="00A30D95">
      <w:pPr>
        <w:pStyle w:val="Textonotapie"/>
        <w:spacing w:before="0"/>
        <w:rPr>
          <w:rFonts w:cstheme="minorHAnsi"/>
          <w:szCs w:val="16"/>
          <w:lang w:val="en-US"/>
        </w:rPr>
      </w:pPr>
      <w:r w:rsidRPr="009F337B">
        <w:rPr>
          <w:rStyle w:val="Refdenotaalpie"/>
          <w:rFonts w:cstheme="minorHAnsi"/>
          <w:szCs w:val="16"/>
          <w:lang w:val="en-US"/>
        </w:rPr>
        <w:footnoteRef/>
      </w:r>
      <w:r w:rsidRPr="009F337B">
        <w:rPr>
          <w:rFonts w:cstheme="minorHAnsi"/>
          <w:i/>
          <w:szCs w:val="16"/>
          <w:lang w:val="en-US"/>
        </w:rPr>
        <w:tab/>
      </w:r>
      <w:r w:rsidRPr="009F337B">
        <w:rPr>
          <w:bCs/>
          <w:i/>
          <w:szCs w:val="16"/>
          <w:lang w:val="en-US"/>
        </w:rPr>
        <w:t xml:space="preserve">Cf. </w:t>
      </w:r>
      <w:r w:rsidRPr="009F337B">
        <w:rPr>
          <w:rStyle w:val="Textoennegrita"/>
          <w:b w:val="0"/>
          <w:i/>
          <w:color w:val="000000"/>
          <w:szCs w:val="16"/>
          <w:shd w:val="clear" w:color="auto" w:fill="FFFFFF"/>
          <w:lang w:val="en-US"/>
        </w:rPr>
        <w:t>Judicial Guarantees in States of Emergency (Arts. 27(2), 25 and (8) American Convention on Human Rights). Advisory Opinion OC-9/87 of October 6, 1987.</w:t>
      </w:r>
      <w:r w:rsidRPr="009F337B">
        <w:rPr>
          <w:rStyle w:val="Textoennegrita"/>
          <w:b w:val="0"/>
          <w:color w:val="000000"/>
          <w:szCs w:val="16"/>
          <w:shd w:val="clear" w:color="auto" w:fill="FFFFFF"/>
          <w:lang w:val="en-US"/>
        </w:rPr>
        <w:t xml:space="preserve"> Series A No. 9, para. 24</w:t>
      </w:r>
      <w:r w:rsidRPr="009F337B">
        <w:rPr>
          <w:bCs/>
          <w:szCs w:val="16"/>
          <w:lang w:val="en-US"/>
        </w:rPr>
        <w:t>,</w:t>
      </w:r>
      <w:r w:rsidRPr="009F337B">
        <w:rPr>
          <w:szCs w:val="16"/>
          <w:lang w:val="en-US"/>
        </w:rPr>
        <w:t xml:space="preserve"> and </w:t>
      </w:r>
      <w:r w:rsidRPr="009F337B">
        <w:rPr>
          <w:rStyle w:val="Textoennegrita"/>
          <w:b w:val="0"/>
          <w:i/>
          <w:color w:val="000000"/>
          <w:szCs w:val="16"/>
          <w:shd w:val="clear" w:color="auto" w:fill="FFFFFF"/>
          <w:lang w:val="en-US"/>
        </w:rPr>
        <w:t xml:space="preserve">Case of </w:t>
      </w:r>
      <w:proofErr w:type="spellStart"/>
      <w:r w:rsidRPr="009F337B">
        <w:rPr>
          <w:rStyle w:val="Textoennegrita"/>
          <w:b w:val="0"/>
          <w:i/>
          <w:color w:val="000000"/>
          <w:szCs w:val="16"/>
          <w:shd w:val="clear" w:color="auto" w:fill="FFFFFF"/>
          <w:lang w:val="en-US"/>
        </w:rPr>
        <w:t>Amrhein</w:t>
      </w:r>
      <w:proofErr w:type="spellEnd"/>
      <w:r w:rsidRPr="009F337B">
        <w:rPr>
          <w:rStyle w:val="Textoennegrita"/>
          <w:b w:val="0"/>
          <w:i/>
          <w:color w:val="000000"/>
          <w:szCs w:val="16"/>
          <w:shd w:val="clear" w:color="auto" w:fill="FFFFFF"/>
          <w:lang w:val="en-US"/>
        </w:rPr>
        <w:t xml:space="preserve"> et al. v. Costa Rica. Preliminary objections, merits, reparations and costs.</w:t>
      </w:r>
      <w:r w:rsidRPr="009F337B">
        <w:rPr>
          <w:rStyle w:val="Textoennegrita"/>
          <w:b w:val="0"/>
          <w:color w:val="000000"/>
          <w:szCs w:val="16"/>
          <w:shd w:val="clear" w:color="auto" w:fill="FFFFFF"/>
          <w:lang w:val="en-US"/>
        </w:rPr>
        <w:t xml:space="preserve"> Judgment of April 25, 2018. Series C No. 354, para. 257.</w:t>
      </w:r>
    </w:p>
  </w:footnote>
  <w:footnote w:id="200">
    <w:p w14:paraId="420C92F9" w14:textId="212F6A17" w:rsidR="00AF5CC6" w:rsidRPr="009F337B" w:rsidRDefault="00AF5CC6" w:rsidP="00A30D95">
      <w:pPr>
        <w:pStyle w:val="Textonotapie"/>
        <w:spacing w:before="0"/>
        <w:rPr>
          <w:rFonts w:cstheme="minorHAnsi"/>
          <w:szCs w:val="16"/>
          <w:lang w:val="en-US"/>
        </w:rPr>
      </w:pPr>
      <w:r w:rsidRPr="009F337B">
        <w:rPr>
          <w:rStyle w:val="Refdenotaalpie"/>
          <w:rFonts w:cstheme="minorHAnsi"/>
          <w:szCs w:val="16"/>
          <w:lang w:val="en-US"/>
        </w:rPr>
        <w:footnoteRef/>
      </w:r>
      <w:r w:rsidRPr="009F337B">
        <w:rPr>
          <w:rFonts w:cstheme="minorHAnsi"/>
          <w:szCs w:val="16"/>
          <w:lang w:val="en-US"/>
        </w:rPr>
        <w:tab/>
      </w:r>
      <w:r w:rsidRPr="009F337B">
        <w:rPr>
          <w:rFonts w:cstheme="minorHAnsi"/>
          <w:i/>
          <w:szCs w:val="16"/>
          <w:lang w:val="en-US"/>
        </w:rPr>
        <w:t xml:space="preserve">Cf. </w:t>
      </w:r>
      <w:r w:rsidRPr="009F337B">
        <w:rPr>
          <w:rStyle w:val="Textoennegrita"/>
          <w:b w:val="0"/>
          <w:i/>
          <w:color w:val="000000"/>
          <w:szCs w:val="16"/>
          <w:shd w:val="clear" w:color="auto" w:fill="FFFFFF"/>
          <w:lang w:val="en-US"/>
        </w:rPr>
        <w:t>Judicial Guarantees in States of Emergency (Arts. 27(2), 25 and (8) American Convention on Human Rights). Advisory Opinion OC-9/87 of October 6, 1987.</w:t>
      </w:r>
      <w:r w:rsidRPr="009F337B">
        <w:rPr>
          <w:rStyle w:val="Textoennegrita"/>
          <w:b w:val="0"/>
          <w:color w:val="000000"/>
          <w:szCs w:val="16"/>
          <w:shd w:val="clear" w:color="auto" w:fill="FFFFFF"/>
          <w:lang w:val="en-US"/>
        </w:rPr>
        <w:t xml:space="preserve"> Series A No. 9, para. 24</w:t>
      </w:r>
      <w:r w:rsidRPr="009F337B">
        <w:rPr>
          <w:rFonts w:cstheme="minorHAnsi"/>
          <w:szCs w:val="16"/>
          <w:lang w:val="en-US"/>
        </w:rPr>
        <w:t xml:space="preserve">, and </w:t>
      </w:r>
      <w:r w:rsidRPr="009F337B">
        <w:rPr>
          <w:rFonts w:cstheme="minorHAnsi"/>
          <w:bCs/>
          <w:i/>
          <w:szCs w:val="16"/>
          <w:lang w:val="en-US"/>
        </w:rPr>
        <w:t>Case of San Miguel Sosa et al. v. Venezuela. Merits, reparations and costs.</w:t>
      </w:r>
      <w:r w:rsidRPr="009F337B">
        <w:rPr>
          <w:rFonts w:cstheme="minorHAnsi"/>
          <w:bCs/>
          <w:szCs w:val="16"/>
          <w:lang w:val="en-US"/>
        </w:rPr>
        <w:t xml:space="preserve"> Judgment of February 8, 2018. Series C No. 348. para. 208. </w:t>
      </w:r>
    </w:p>
  </w:footnote>
  <w:footnote w:id="201">
    <w:p w14:paraId="776F24EF" w14:textId="0007DE50" w:rsidR="00AF5CC6" w:rsidRPr="009F337B" w:rsidRDefault="00AF5CC6" w:rsidP="00A30D95">
      <w:pPr>
        <w:pStyle w:val="Textonotapie"/>
        <w:spacing w:before="0"/>
        <w:rPr>
          <w:rFonts w:cstheme="minorHAnsi"/>
          <w:szCs w:val="16"/>
          <w:lang w:val="en-US"/>
        </w:rPr>
      </w:pPr>
      <w:r w:rsidRPr="009F337B">
        <w:rPr>
          <w:rStyle w:val="Refdenotaalpie"/>
          <w:rFonts w:cstheme="minorHAnsi"/>
          <w:szCs w:val="16"/>
          <w:lang w:val="en-US"/>
        </w:rPr>
        <w:footnoteRef/>
      </w:r>
      <w:r w:rsidRPr="009F337B">
        <w:rPr>
          <w:rFonts w:cstheme="minorHAnsi"/>
          <w:szCs w:val="16"/>
          <w:lang w:val="en-US"/>
        </w:rPr>
        <w:tab/>
      </w:r>
      <w:r w:rsidRPr="009F337B">
        <w:rPr>
          <w:rFonts w:cstheme="minorHAnsi"/>
          <w:i/>
          <w:szCs w:val="16"/>
          <w:lang w:val="en-US"/>
        </w:rPr>
        <w:t xml:space="preserve">Cf. </w:t>
      </w:r>
      <w:r w:rsidRPr="009F337B">
        <w:rPr>
          <w:rStyle w:val="Textoennegrita"/>
          <w:b w:val="0"/>
          <w:i/>
          <w:color w:val="000000"/>
          <w:szCs w:val="16"/>
          <w:shd w:val="clear" w:color="auto" w:fill="FFFFFF"/>
          <w:lang w:val="en-US"/>
        </w:rPr>
        <w:t>Judicial Guarantees in States of Emergency (Arts. 27(2), 25 and (8) American Convention on Human Rights). Advisory Opinion OC-9/87 of October 6, 1987.</w:t>
      </w:r>
      <w:r w:rsidRPr="009F337B">
        <w:rPr>
          <w:rStyle w:val="Textoennegrita"/>
          <w:b w:val="0"/>
          <w:color w:val="000000"/>
          <w:szCs w:val="16"/>
          <w:shd w:val="clear" w:color="auto" w:fill="FFFFFF"/>
          <w:lang w:val="en-US"/>
        </w:rPr>
        <w:t xml:space="preserve"> Series A No. 9, para. 24</w:t>
      </w:r>
      <w:r w:rsidRPr="009F337B">
        <w:rPr>
          <w:rFonts w:cstheme="minorHAnsi"/>
          <w:szCs w:val="16"/>
          <w:lang w:val="en-US"/>
        </w:rPr>
        <w:t xml:space="preserve">, and </w:t>
      </w:r>
      <w:r w:rsidRPr="009F337B">
        <w:rPr>
          <w:rFonts w:cstheme="minorHAnsi"/>
          <w:bCs/>
          <w:i/>
          <w:szCs w:val="16"/>
          <w:lang w:val="en-US"/>
        </w:rPr>
        <w:t>Case of San Miguel Sosa et al. v. Venezuela. Merits, reparations and costs.</w:t>
      </w:r>
      <w:r w:rsidRPr="009F337B">
        <w:rPr>
          <w:rFonts w:cstheme="minorHAnsi"/>
          <w:bCs/>
          <w:szCs w:val="16"/>
          <w:lang w:val="en-US"/>
        </w:rPr>
        <w:t xml:space="preserve"> Judgment of February 8, 2018. Series C No. 348. para. 208. </w:t>
      </w:r>
    </w:p>
  </w:footnote>
  <w:footnote w:id="202">
    <w:p w14:paraId="7DE8D3CA" w14:textId="1A65E974" w:rsidR="00AF5CC6" w:rsidRPr="009F337B" w:rsidRDefault="00AF5CC6" w:rsidP="00A30D95">
      <w:pPr>
        <w:pStyle w:val="Textonotapie"/>
        <w:tabs>
          <w:tab w:val="left" w:pos="709"/>
        </w:tabs>
        <w:spacing w:before="0"/>
        <w:rPr>
          <w:rFonts w:cstheme="minorHAnsi"/>
          <w:szCs w:val="16"/>
          <w:lang w:val="en-US"/>
        </w:rPr>
      </w:pPr>
      <w:r w:rsidRPr="009F337B">
        <w:rPr>
          <w:rStyle w:val="Refdenotaalpie"/>
          <w:rFonts w:eastAsiaTheme="majorEastAsia" w:cstheme="minorHAnsi"/>
          <w:szCs w:val="16"/>
          <w:lang w:val="en-US"/>
        </w:rPr>
        <w:footnoteRef/>
      </w:r>
      <w:r w:rsidRPr="009F337B">
        <w:rPr>
          <w:rFonts w:cstheme="minorHAnsi"/>
          <w:szCs w:val="16"/>
          <w:lang w:val="en-US"/>
        </w:rPr>
        <w:tab/>
      </w:r>
      <w:r w:rsidRPr="009F337B">
        <w:rPr>
          <w:rFonts w:cstheme="minorHAnsi"/>
          <w:i/>
          <w:szCs w:val="16"/>
          <w:lang w:val="en-US"/>
        </w:rPr>
        <w:t xml:space="preserve">Cf. </w:t>
      </w:r>
      <w:r w:rsidRPr="009F337B">
        <w:rPr>
          <w:rFonts w:cstheme="minorHAnsi"/>
          <w:bCs/>
          <w:i/>
          <w:szCs w:val="16"/>
          <w:lang w:val="en-US"/>
        </w:rPr>
        <w:t xml:space="preserve">Case of </w:t>
      </w:r>
      <w:proofErr w:type="spellStart"/>
      <w:r w:rsidRPr="009F337B">
        <w:rPr>
          <w:rFonts w:cstheme="minorHAnsi"/>
          <w:bCs/>
          <w:i/>
          <w:szCs w:val="16"/>
          <w:lang w:val="en-US"/>
        </w:rPr>
        <w:t>Baena</w:t>
      </w:r>
      <w:proofErr w:type="spellEnd"/>
      <w:r w:rsidRPr="009F337B">
        <w:rPr>
          <w:rFonts w:cstheme="minorHAnsi"/>
          <w:bCs/>
          <w:i/>
          <w:szCs w:val="16"/>
          <w:lang w:val="en-US"/>
        </w:rPr>
        <w:t xml:space="preserve"> Ricardo et al. v. Panama. Jurisdiction. </w:t>
      </w:r>
      <w:r w:rsidRPr="009F337B">
        <w:rPr>
          <w:rFonts w:cstheme="minorHAnsi"/>
          <w:bCs/>
          <w:szCs w:val="16"/>
          <w:lang w:val="en-US"/>
        </w:rPr>
        <w:t>Judgment of November 28, 2003. Series C No. 104.</w:t>
      </w:r>
      <w:r w:rsidRPr="009F337B">
        <w:rPr>
          <w:rFonts w:cstheme="minorHAnsi"/>
          <w:szCs w:val="16"/>
          <w:lang w:val="en-US"/>
        </w:rPr>
        <w:t xml:space="preserve"> para. 73, and </w:t>
      </w:r>
      <w:r w:rsidRPr="009F337B">
        <w:rPr>
          <w:bCs/>
          <w:i/>
          <w:szCs w:val="16"/>
          <w:lang w:val="en-US"/>
        </w:rPr>
        <w:t xml:space="preserve">Case of the Dismissed Employees of </w:t>
      </w:r>
      <w:proofErr w:type="spellStart"/>
      <w:r w:rsidRPr="009F337B">
        <w:rPr>
          <w:bCs/>
          <w:i/>
          <w:szCs w:val="16"/>
          <w:lang w:val="en-US"/>
        </w:rPr>
        <w:t>PetroPeru</w:t>
      </w:r>
      <w:proofErr w:type="spellEnd"/>
      <w:r w:rsidRPr="009F337B">
        <w:rPr>
          <w:bCs/>
          <w:i/>
          <w:szCs w:val="16"/>
          <w:lang w:val="en-US"/>
        </w:rPr>
        <w:t xml:space="preserve"> et al. v. Peru. Preliminary objections, merits, reparations and costs. </w:t>
      </w:r>
      <w:r w:rsidRPr="009F337B">
        <w:rPr>
          <w:bCs/>
          <w:szCs w:val="16"/>
          <w:lang w:val="en-US"/>
        </w:rPr>
        <w:t>Judgment of November 23, 2017. Series C No. 344, para. 154</w:t>
      </w:r>
      <w:r w:rsidRPr="009F337B">
        <w:rPr>
          <w:szCs w:val="16"/>
          <w:lang w:val="en-US"/>
        </w:rPr>
        <w:t>.</w:t>
      </w:r>
      <w:r w:rsidRPr="009F337B" w:rsidDel="00450A9F">
        <w:rPr>
          <w:rStyle w:val="Textoennegrita"/>
          <w:rFonts w:cstheme="minorHAnsi"/>
          <w:b w:val="0"/>
          <w:bCs w:val="0"/>
          <w:szCs w:val="16"/>
          <w:shd w:val="clear" w:color="auto" w:fill="FFFFFF"/>
          <w:lang w:val="en-US"/>
        </w:rPr>
        <w:t xml:space="preserve"> </w:t>
      </w:r>
    </w:p>
  </w:footnote>
  <w:footnote w:id="203">
    <w:p w14:paraId="6811ED08" w14:textId="1190CD4D" w:rsidR="00AF5CC6" w:rsidRPr="009F337B" w:rsidRDefault="00AF5CC6" w:rsidP="00A30D95">
      <w:pPr>
        <w:tabs>
          <w:tab w:val="left" w:pos="709"/>
        </w:tabs>
        <w:spacing w:after="120"/>
        <w:rPr>
          <w:sz w:val="16"/>
          <w:szCs w:val="16"/>
          <w:lang w:val="en-US"/>
        </w:rPr>
      </w:pPr>
      <w:r w:rsidRPr="009F337B">
        <w:rPr>
          <w:rStyle w:val="Refdenotaalpie"/>
          <w:sz w:val="16"/>
          <w:szCs w:val="16"/>
          <w:lang w:val="en-US"/>
        </w:rPr>
        <w:footnoteRef/>
      </w:r>
      <w:r w:rsidRPr="009F337B">
        <w:rPr>
          <w:sz w:val="16"/>
          <w:szCs w:val="16"/>
          <w:lang w:val="en-US"/>
        </w:rPr>
        <w:tab/>
      </w:r>
      <w:r w:rsidRPr="009F337B">
        <w:rPr>
          <w:i/>
          <w:sz w:val="16"/>
          <w:szCs w:val="16"/>
          <w:lang w:val="en-US"/>
        </w:rPr>
        <w:t xml:space="preserve">Cf. </w:t>
      </w:r>
      <w:r w:rsidRPr="009F337B">
        <w:rPr>
          <w:rStyle w:val="Textoennegrita"/>
          <w:b w:val="0"/>
          <w:i/>
          <w:color w:val="000000"/>
          <w:sz w:val="16"/>
          <w:szCs w:val="16"/>
          <w:shd w:val="clear" w:color="auto" w:fill="FFFFFF"/>
          <w:lang w:val="en-US"/>
        </w:rPr>
        <w:t>Judicial Guarantees in States of Emergency (Arts. 27(2), 25 and (8) American Convention on Human Rights). Advisory Opinion OC-9/87 of October 6, 1987.</w:t>
      </w:r>
      <w:r w:rsidRPr="009F337B">
        <w:rPr>
          <w:rStyle w:val="Textoennegrita"/>
          <w:b w:val="0"/>
          <w:color w:val="000000"/>
          <w:sz w:val="16"/>
          <w:szCs w:val="16"/>
          <w:shd w:val="clear" w:color="auto" w:fill="FFFFFF"/>
          <w:lang w:val="en-US"/>
        </w:rPr>
        <w:t xml:space="preserve"> Series A No. 9, para. 24</w:t>
      </w:r>
      <w:r w:rsidRPr="009F337B">
        <w:rPr>
          <w:bCs/>
          <w:sz w:val="16"/>
          <w:szCs w:val="16"/>
          <w:lang w:val="en-US"/>
        </w:rPr>
        <w:t xml:space="preserve">, and </w:t>
      </w:r>
      <w:r w:rsidRPr="009F337B">
        <w:rPr>
          <w:rStyle w:val="Textoennegrita"/>
          <w:b w:val="0"/>
          <w:i/>
          <w:color w:val="000000"/>
          <w:sz w:val="16"/>
          <w:szCs w:val="16"/>
          <w:shd w:val="clear" w:color="auto" w:fill="FFFFFF"/>
          <w:lang w:val="en-US"/>
        </w:rPr>
        <w:t>Case of San Miguel Sosa et al. v. Venezuela. Merits, reparations and costs</w:t>
      </w:r>
      <w:r w:rsidRPr="009F337B">
        <w:rPr>
          <w:rStyle w:val="Textoennegrita"/>
          <w:b w:val="0"/>
          <w:color w:val="000000"/>
          <w:sz w:val="16"/>
          <w:szCs w:val="16"/>
          <w:shd w:val="clear" w:color="auto" w:fill="FFFFFF"/>
          <w:lang w:val="en-US"/>
        </w:rPr>
        <w:t>. Judgment of February 8, 2018. Series C No. 348, para. 188</w:t>
      </w:r>
      <w:r w:rsidRPr="009F337B">
        <w:rPr>
          <w:b/>
          <w:sz w:val="16"/>
          <w:szCs w:val="16"/>
          <w:lang w:val="en-US"/>
        </w:rPr>
        <w:t>.</w:t>
      </w:r>
    </w:p>
  </w:footnote>
  <w:footnote w:id="204">
    <w:p w14:paraId="12BF4777" w14:textId="31070B52" w:rsidR="00AF5CC6" w:rsidRPr="009F337B" w:rsidRDefault="00AF5CC6" w:rsidP="00A30D95">
      <w:pPr>
        <w:pStyle w:val="Textonotapie"/>
        <w:tabs>
          <w:tab w:val="left" w:pos="709"/>
        </w:tabs>
        <w:spacing w:before="0"/>
        <w:rPr>
          <w:szCs w:val="16"/>
          <w:lang w:val="en-US"/>
        </w:rPr>
      </w:pPr>
      <w:r w:rsidRPr="009F337B">
        <w:rPr>
          <w:rStyle w:val="Refdenotaalpie"/>
          <w:rFonts w:eastAsiaTheme="majorEastAsia"/>
          <w:szCs w:val="16"/>
          <w:lang w:val="en-US"/>
        </w:rPr>
        <w:footnoteRef/>
      </w:r>
      <w:r w:rsidRPr="009F337B">
        <w:rPr>
          <w:szCs w:val="16"/>
          <w:lang w:val="en-US"/>
        </w:rPr>
        <w:tab/>
      </w:r>
      <w:r w:rsidRPr="009F337B">
        <w:rPr>
          <w:i/>
          <w:szCs w:val="16"/>
          <w:lang w:val="en-US"/>
        </w:rPr>
        <w:t xml:space="preserve">Cf. </w:t>
      </w:r>
      <w:r w:rsidRPr="009F337B">
        <w:rPr>
          <w:rStyle w:val="Textoennegrita"/>
          <w:b w:val="0"/>
          <w:i/>
          <w:color w:val="000000"/>
          <w:szCs w:val="16"/>
          <w:shd w:val="clear" w:color="auto" w:fill="FFFFFF"/>
          <w:lang w:val="en-US"/>
        </w:rPr>
        <w:t>Judicial Guarantees in States of Emergency (Arts. 27(2), 25 and (8) American Convention on Human Rights). Advisory Opinion OC-9/87 of October 6, 1987.</w:t>
      </w:r>
      <w:r w:rsidRPr="009F337B">
        <w:rPr>
          <w:rStyle w:val="Textoennegrita"/>
          <w:b w:val="0"/>
          <w:color w:val="000000"/>
          <w:szCs w:val="16"/>
          <w:shd w:val="clear" w:color="auto" w:fill="FFFFFF"/>
          <w:lang w:val="en-US"/>
        </w:rPr>
        <w:t xml:space="preserve"> Series A No. 9, para. 24</w:t>
      </w:r>
      <w:r w:rsidRPr="009F337B">
        <w:rPr>
          <w:bCs/>
          <w:szCs w:val="16"/>
          <w:lang w:val="en-US"/>
        </w:rPr>
        <w:t xml:space="preserve">, and </w:t>
      </w:r>
      <w:r w:rsidRPr="009F337B">
        <w:rPr>
          <w:rStyle w:val="Textoennegrita"/>
          <w:b w:val="0"/>
          <w:i/>
          <w:color w:val="000000"/>
          <w:szCs w:val="16"/>
          <w:shd w:val="clear" w:color="auto" w:fill="FFFFFF"/>
          <w:lang w:val="en-US"/>
        </w:rPr>
        <w:t>Case of Ramírez Escobar et al. v. Guatemala. Merits, reparations and costs</w:t>
      </w:r>
      <w:r w:rsidRPr="009F337B">
        <w:rPr>
          <w:rStyle w:val="Textoennegrita"/>
          <w:b w:val="0"/>
          <w:color w:val="000000"/>
          <w:szCs w:val="16"/>
          <w:shd w:val="clear" w:color="auto" w:fill="FFFFFF"/>
          <w:lang w:val="en-US"/>
        </w:rPr>
        <w:t>. Judgment of March 9, 2018. Series C No. 351, paras. 251 and 252.</w:t>
      </w:r>
    </w:p>
  </w:footnote>
  <w:footnote w:id="205">
    <w:p w14:paraId="4F2567DC" w14:textId="416D8E05" w:rsidR="00AF5CC6" w:rsidRPr="009F337B" w:rsidRDefault="00AF5CC6" w:rsidP="00A30D95">
      <w:pPr>
        <w:pStyle w:val="Textonotapie"/>
        <w:tabs>
          <w:tab w:val="left" w:pos="709"/>
        </w:tabs>
        <w:spacing w:before="0"/>
        <w:rPr>
          <w:szCs w:val="16"/>
          <w:lang w:val="en-US"/>
        </w:rPr>
      </w:pPr>
      <w:r w:rsidRPr="009F337B">
        <w:rPr>
          <w:rStyle w:val="Refdenotaalpie"/>
          <w:rFonts w:eastAsiaTheme="majorEastAsia"/>
          <w:szCs w:val="16"/>
          <w:lang w:val="en-US"/>
        </w:rPr>
        <w:footnoteRef/>
      </w:r>
      <w:r w:rsidRPr="009F337B">
        <w:rPr>
          <w:szCs w:val="16"/>
          <w:lang w:val="en-US"/>
        </w:rPr>
        <w:tab/>
      </w:r>
      <w:r w:rsidRPr="009F337B">
        <w:rPr>
          <w:i/>
          <w:szCs w:val="16"/>
          <w:lang w:val="en-US"/>
        </w:rPr>
        <w:t xml:space="preserve">Cf. </w:t>
      </w:r>
      <w:r w:rsidRPr="009F337B">
        <w:rPr>
          <w:rStyle w:val="Textoennegrita"/>
          <w:b w:val="0"/>
          <w:bCs w:val="0"/>
          <w:i/>
          <w:szCs w:val="16"/>
          <w:shd w:val="clear" w:color="auto" w:fill="FFFFFF"/>
          <w:lang w:val="en-US"/>
        </w:rPr>
        <w:t xml:space="preserve">Case of López Álvarez v. Honduras. Merits, reparations and costs. </w:t>
      </w:r>
      <w:r w:rsidRPr="009F337B">
        <w:rPr>
          <w:rStyle w:val="Textoennegrita"/>
          <w:b w:val="0"/>
          <w:bCs w:val="0"/>
          <w:szCs w:val="16"/>
          <w:shd w:val="clear" w:color="auto" w:fill="FFFFFF"/>
          <w:lang w:val="en-US"/>
        </w:rPr>
        <w:t xml:space="preserve">Judgment of February 1, 2006. Series C No. 141, para. 96, and </w:t>
      </w:r>
      <w:r w:rsidRPr="009F337B">
        <w:rPr>
          <w:bCs/>
          <w:i/>
          <w:szCs w:val="16"/>
          <w:shd w:val="clear" w:color="auto" w:fill="FFFFFF"/>
          <w:lang w:val="en-US"/>
        </w:rPr>
        <w:t xml:space="preserve">Case of </w:t>
      </w:r>
      <w:proofErr w:type="spellStart"/>
      <w:r w:rsidRPr="009F337B">
        <w:rPr>
          <w:bCs/>
          <w:i/>
          <w:szCs w:val="16"/>
          <w:shd w:val="clear" w:color="auto" w:fill="FFFFFF"/>
          <w:lang w:val="en-US"/>
        </w:rPr>
        <w:t>Amrhein</w:t>
      </w:r>
      <w:proofErr w:type="spellEnd"/>
      <w:r w:rsidRPr="009F337B">
        <w:rPr>
          <w:bCs/>
          <w:i/>
          <w:szCs w:val="16"/>
          <w:shd w:val="clear" w:color="auto" w:fill="FFFFFF"/>
          <w:lang w:val="en-US"/>
        </w:rPr>
        <w:t xml:space="preserve"> et al. v. Costa Rica. Preliminary objections, merits, reparations and costs</w:t>
      </w:r>
      <w:r w:rsidRPr="009F337B">
        <w:rPr>
          <w:bCs/>
          <w:szCs w:val="16"/>
          <w:shd w:val="clear" w:color="auto" w:fill="FFFFFF"/>
          <w:lang w:val="en-US"/>
        </w:rPr>
        <w:t>. Judgment of April 25, 2018. Series C No. 354, para. 267.</w:t>
      </w:r>
    </w:p>
  </w:footnote>
  <w:footnote w:id="206">
    <w:p w14:paraId="690E55A3" w14:textId="0D7FAFDD" w:rsidR="00AF5CC6" w:rsidRPr="009F337B" w:rsidRDefault="00AF5CC6" w:rsidP="00A30D95">
      <w:pPr>
        <w:pStyle w:val="Textonotapie"/>
        <w:tabs>
          <w:tab w:val="left" w:pos="709"/>
        </w:tabs>
        <w:spacing w:before="0"/>
        <w:rPr>
          <w:szCs w:val="16"/>
          <w:lang w:val="en-US"/>
        </w:rPr>
      </w:pPr>
      <w:r w:rsidRPr="009F337B">
        <w:rPr>
          <w:rStyle w:val="Refdenotaalpie"/>
          <w:rFonts w:eastAsiaTheme="majorEastAsia"/>
          <w:szCs w:val="16"/>
          <w:lang w:val="en-US"/>
        </w:rPr>
        <w:footnoteRef/>
      </w:r>
      <w:r w:rsidRPr="009F337B">
        <w:rPr>
          <w:i/>
          <w:szCs w:val="16"/>
          <w:lang w:val="en-US"/>
        </w:rPr>
        <w:tab/>
        <w:t xml:space="preserve">Cf. </w:t>
      </w:r>
      <w:r w:rsidRPr="009F337B">
        <w:rPr>
          <w:bCs/>
          <w:i/>
          <w:szCs w:val="16"/>
          <w:lang w:val="en-US"/>
        </w:rPr>
        <w:t xml:space="preserve">Case of </w:t>
      </w:r>
      <w:proofErr w:type="spellStart"/>
      <w:r w:rsidRPr="009F337B">
        <w:rPr>
          <w:bCs/>
          <w:i/>
          <w:szCs w:val="16"/>
          <w:lang w:val="en-US"/>
        </w:rPr>
        <w:t>Velásquez</w:t>
      </w:r>
      <w:proofErr w:type="spellEnd"/>
      <w:r w:rsidRPr="009F337B">
        <w:rPr>
          <w:bCs/>
          <w:i/>
          <w:szCs w:val="16"/>
          <w:lang w:val="en-US"/>
        </w:rPr>
        <w:t xml:space="preserve"> Rodríguez v. Honduras. Merits. </w:t>
      </w:r>
      <w:r w:rsidRPr="009F337B">
        <w:rPr>
          <w:bCs/>
          <w:szCs w:val="16"/>
          <w:lang w:val="en-US"/>
        </w:rPr>
        <w:t xml:space="preserve">Judgment of July 29, 1988. Series C No. 4, para. 67, and </w:t>
      </w:r>
      <w:r w:rsidRPr="009F337B">
        <w:rPr>
          <w:bCs/>
          <w:i/>
          <w:szCs w:val="16"/>
          <w:lang w:val="en-US"/>
        </w:rPr>
        <w:t xml:space="preserve">Case of the Dismissed Employees of </w:t>
      </w:r>
      <w:proofErr w:type="spellStart"/>
      <w:r w:rsidRPr="009F337B">
        <w:rPr>
          <w:bCs/>
          <w:i/>
          <w:szCs w:val="16"/>
          <w:lang w:val="en-US"/>
        </w:rPr>
        <w:t>PetroPeru</w:t>
      </w:r>
      <w:proofErr w:type="spellEnd"/>
      <w:r w:rsidRPr="009F337B">
        <w:rPr>
          <w:bCs/>
          <w:i/>
          <w:szCs w:val="16"/>
          <w:lang w:val="en-US"/>
        </w:rPr>
        <w:t xml:space="preserve"> et al. v. Peru. Preliminary objections, merits, reparations and costs. </w:t>
      </w:r>
      <w:r w:rsidRPr="009F337B">
        <w:rPr>
          <w:bCs/>
          <w:szCs w:val="16"/>
          <w:lang w:val="en-US"/>
        </w:rPr>
        <w:t>Judgment of November 23, 2017. Series C No. 344, para. 34</w:t>
      </w:r>
      <w:r w:rsidRPr="009F337B">
        <w:rPr>
          <w:szCs w:val="16"/>
          <w:lang w:val="en-US"/>
        </w:rPr>
        <w:t>.</w:t>
      </w:r>
    </w:p>
  </w:footnote>
  <w:footnote w:id="207">
    <w:p w14:paraId="65F82B93" w14:textId="1472D3EC" w:rsidR="00AF5CC6" w:rsidRPr="009F337B" w:rsidRDefault="00AF5CC6" w:rsidP="00A30D95">
      <w:pPr>
        <w:pStyle w:val="Textonotapie"/>
        <w:spacing w:before="0"/>
        <w:rPr>
          <w:szCs w:val="16"/>
          <w:lang w:val="en-US"/>
        </w:rPr>
      </w:pPr>
      <w:r w:rsidRPr="009F337B">
        <w:rPr>
          <w:rStyle w:val="Refdenotaalpie"/>
          <w:rFonts w:eastAsiaTheme="majorEastAsia"/>
          <w:szCs w:val="16"/>
          <w:lang w:val="en-US"/>
        </w:rPr>
        <w:footnoteRef/>
      </w:r>
      <w:r w:rsidRPr="009F337B">
        <w:rPr>
          <w:szCs w:val="16"/>
          <w:lang w:val="en-US"/>
        </w:rPr>
        <w:tab/>
      </w:r>
      <w:r w:rsidRPr="009F337B">
        <w:rPr>
          <w:rFonts w:cstheme="minorHAnsi"/>
          <w:i/>
          <w:szCs w:val="16"/>
          <w:lang w:val="en-US"/>
        </w:rPr>
        <w:t xml:space="preserve">Cf. </w:t>
      </w:r>
      <w:r w:rsidRPr="009F337B">
        <w:rPr>
          <w:rStyle w:val="Textoennegrita"/>
          <w:b w:val="0"/>
          <w:i/>
          <w:color w:val="000000"/>
          <w:szCs w:val="16"/>
          <w:shd w:val="clear" w:color="auto" w:fill="FFFFFF"/>
          <w:lang w:val="en-US"/>
        </w:rPr>
        <w:t>Judicial Guarantees in States of Emergency (Arts. 27(2), 25 and (8) American Convention on Human Rights). Advisory Opinion OC-9/87 of October 6, 1987.</w:t>
      </w:r>
      <w:r w:rsidRPr="009F337B">
        <w:rPr>
          <w:rStyle w:val="Textoennegrita"/>
          <w:b w:val="0"/>
          <w:color w:val="000000"/>
          <w:szCs w:val="16"/>
          <w:shd w:val="clear" w:color="auto" w:fill="FFFFFF"/>
          <w:lang w:val="en-US"/>
        </w:rPr>
        <w:t xml:space="preserve"> Series A No. 9, para. 24</w:t>
      </w:r>
      <w:r w:rsidRPr="009F337B">
        <w:rPr>
          <w:rFonts w:cstheme="minorHAnsi"/>
          <w:szCs w:val="16"/>
          <w:lang w:val="en-US"/>
        </w:rPr>
        <w:t xml:space="preserve">, and </w:t>
      </w:r>
      <w:r w:rsidRPr="009F337B">
        <w:rPr>
          <w:rFonts w:cstheme="minorHAnsi"/>
          <w:bCs/>
          <w:i/>
          <w:szCs w:val="16"/>
          <w:lang w:val="en-US"/>
        </w:rPr>
        <w:t>Case of San Miguel Sosa et al. v. Venezuela. Merits, reparations and costs.</w:t>
      </w:r>
      <w:r w:rsidRPr="009F337B">
        <w:rPr>
          <w:rFonts w:cstheme="minorHAnsi"/>
          <w:bCs/>
          <w:szCs w:val="16"/>
          <w:lang w:val="en-US"/>
        </w:rPr>
        <w:t xml:space="preserve"> Judgment of February 8, 2018. Series C No. 348. para. 208.</w:t>
      </w:r>
    </w:p>
  </w:footnote>
  <w:footnote w:id="208">
    <w:p w14:paraId="7CAC8CAD" w14:textId="36F7B6A0" w:rsidR="00AF5CC6" w:rsidRPr="009F337B" w:rsidRDefault="00AF5CC6" w:rsidP="00A30D95">
      <w:pPr>
        <w:pStyle w:val="Textonotapie"/>
        <w:tabs>
          <w:tab w:val="left" w:pos="709"/>
        </w:tabs>
        <w:spacing w:before="0"/>
        <w:rPr>
          <w:szCs w:val="16"/>
          <w:lang w:val="en-US"/>
        </w:rPr>
      </w:pPr>
      <w:r w:rsidRPr="009F337B">
        <w:rPr>
          <w:rStyle w:val="Refdenotaalpie"/>
          <w:rFonts w:eastAsiaTheme="majorEastAsia"/>
          <w:szCs w:val="16"/>
          <w:lang w:val="en-US"/>
        </w:rPr>
        <w:footnoteRef/>
      </w:r>
      <w:r w:rsidRPr="009F337B">
        <w:rPr>
          <w:szCs w:val="16"/>
          <w:lang w:val="en-US"/>
        </w:rPr>
        <w:tab/>
      </w:r>
      <w:r w:rsidRPr="009F337B">
        <w:rPr>
          <w:i/>
          <w:szCs w:val="16"/>
          <w:lang w:val="en-US"/>
        </w:rPr>
        <w:t xml:space="preserve">Cf. </w:t>
      </w:r>
      <w:r w:rsidRPr="009F337B">
        <w:rPr>
          <w:bCs/>
          <w:i/>
          <w:szCs w:val="16"/>
          <w:lang w:val="en-US"/>
        </w:rPr>
        <w:t xml:space="preserve">Case of Case of </w:t>
      </w:r>
      <w:proofErr w:type="spellStart"/>
      <w:r w:rsidRPr="009F337B">
        <w:rPr>
          <w:bCs/>
          <w:i/>
          <w:szCs w:val="16"/>
          <w:lang w:val="en-US"/>
        </w:rPr>
        <w:t>Barbani</w:t>
      </w:r>
      <w:proofErr w:type="spellEnd"/>
      <w:r w:rsidRPr="009F337B">
        <w:rPr>
          <w:bCs/>
          <w:i/>
          <w:szCs w:val="16"/>
          <w:lang w:val="en-US"/>
        </w:rPr>
        <w:t xml:space="preserve"> Duarte et al. v. Uruguay. Merits, reparations and costs. </w:t>
      </w:r>
      <w:r w:rsidRPr="009F337B">
        <w:rPr>
          <w:bCs/>
          <w:szCs w:val="16"/>
          <w:lang w:val="en-US"/>
        </w:rPr>
        <w:t xml:space="preserve">Judgment of October 13, 2011. Series C No. 234, para. 122, and </w:t>
      </w:r>
      <w:r w:rsidRPr="009F337B">
        <w:rPr>
          <w:bCs/>
          <w:i/>
          <w:szCs w:val="16"/>
          <w:lang w:val="en-US"/>
        </w:rPr>
        <w:t xml:space="preserve">Case of the Dismissed Employees of </w:t>
      </w:r>
      <w:proofErr w:type="spellStart"/>
      <w:r w:rsidRPr="009F337B">
        <w:rPr>
          <w:bCs/>
          <w:i/>
          <w:szCs w:val="16"/>
          <w:lang w:val="en-US"/>
        </w:rPr>
        <w:t>PetroPeru</w:t>
      </w:r>
      <w:proofErr w:type="spellEnd"/>
      <w:r w:rsidRPr="009F337B">
        <w:rPr>
          <w:bCs/>
          <w:i/>
          <w:szCs w:val="16"/>
          <w:lang w:val="en-US"/>
        </w:rPr>
        <w:t xml:space="preserve"> et al. v. Peru. Preliminary objections, merits, reparations and costs. </w:t>
      </w:r>
      <w:r w:rsidRPr="009F337B">
        <w:rPr>
          <w:bCs/>
          <w:szCs w:val="16"/>
          <w:lang w:val="en-US"/>
        </w:rPr>
        <w:t>Judgment of November 23, 2017. Series C No. 344, para. 153.</w:t>
      </w:r>
      <w:r w:rsidRPr="009F337B">
        <w:rPr>
          <w:szCs w:val="16"/>
          <w:lang w:val="en-US"/>
        </w:rPr>
        <w:t xml:space="preserve"> </w:t>
      </w:r>
    </w:p>
  </w:footnote>
  <w:footnote w:id="209">
    <w:p w14:paraId="029DC6BB" w14:textId="57B59DC3" w:rsidR="00AF5CC6" w:rsidRPr="009F337B" w:rsidRDefault="00AF5CC6" w:rsidP="00A30D95">
      <w:pPr>
        <w:pStyle w:val="Textonotapie"/>
        <w:spacing w:before="0"/>
        <w:rPr>
          <w:i/>
          <w:szCs w:val="16"/>
          <w:lang w:val="en-US"/>
        </w:rPr>
      </w:pPr>
      <w:r w:rsidRPr="009F337B">
        <w:rPr>
          <w:rStyle w:val="Refdenotaalpie"/>
          <w:rFonts w:eastAsiaTheme="majorEastAsia"/>
          <w:szCs w:val="16"/>
          <w:lang w:val="en-US"/>
        </w:rPr>
        <w:footnoteRef/>
      </w:r>
      <w:r w:rsidRPr="009F337B">
        <w:rPr>
          <w:szCs w:val="16"/>
          <w:lang w:val="en-US"/>
        </w:rPr>
        <w:tab/>
      </w:r>
      <w:r w:rsidRPr="009F337B">
        <w:rPr>
          <w:i/>
          <w:szCs w:val="16"/>
          <w:lang w:val="en-US"/>
        </w:rPr>
        <w:t xml:space="preserve">Cf. Case of Hilaire, Constantine and Benjamin et al. v. Trinidad and Tobago. Merits, reparations and costs. </w:t>
      </w:r>
      <w:r w:rsidRPr="009F337B">
        <w:rPr>
          <w:szCs w:val="16"/>
          <w:lang w:val="en-US"/>
        </w:rPr>
        <w:t xml:space="preserve">Judgment of June 21, 2002. Series C No. 94, para. 145, and </w:t>
      </w:r>
      <w:r w:rsidRPr="009F337B">
        <w:rPr>
          <w:bCs/>
          <w:i/>
          <w:szCs w:val="16"/>
          <w:shd w:val="clear" w:color="auto" w:fill="FFFFFF"/>
          <w:lang w:val="en-US"/>
        </w:rPr>
        <w:t xml:space="preserve">Case of </w:t>
      </w:r>
      <w:proofErr w:type="spellStart"/>
      <w:r w:rsidRPr="009F337B">
        <w:rPr>
          <w:bCs/>
          <w:i/>
          <w:szCs w:val="16"/>
          <w:shd w:val="clear" w:color="auto" w:fill="FFFFFF"/>
          <w:lang w:val="en-US"/>
        </w:rPr>
        <w:t>Amrhein</w:t>
      </w:r>
      <w:proofErr w:type="spellEnd"/>
      <w:r w:rsidRPr="009F337B">
        <w:rPr>
          <w:bCs/>
          <w:i/>
          <w:szCs w:val="16"/>
          <w:shd w:val="clear" w:color="auto" w:fill="FFFFFF"/>
          <w:lang w:val="en-US"/>
        </w:rPr>
        <w:t xml:space="preserve"> et al. v. Costa Rica. Preliminary objections, merits, reparations and costs</w:t>
      </w:r>
      <w:r w:rsidRPr="009F337B">
        <w:rPr>
          <w:bCs/>
          <w:szCs w:val="16"/>
          <w:shd w:val="clear" w:color="auto" w:fill="FFFFFF"/>
          <w:lang w:val="en-US"/>
        </w:rPr>
        <w:t>. Judgment of April 25, 2018. Series C No. 354, para. 421.</w:t>
      </w:r>
    </w:p>
  </w:footnote>
  <w:footnote w:id="210">
    <w:p w14:paraId="79DDAD67" w14:textId="583EF7B5" w:rsidR="00AF5CC6" w:rsidRPr="009F337B" w:rsidRDefault="00AF5CC6" w:rsidP="00A30D95">
      <w:pPr>
        <w:pStyle w:val="Textonotapie"/>
        <w:tabs>
          <w:tab w:val="left" w:pos="426"/>
          <w:tab w:val="left" w:pos="567"/>
        </w:tabs>
        <w:spacing w:before="0"/>
        <w:rPr>
          <w:spacing w:val="-4"/>
          <w:szCs w:val="16"/>
          <w:lang w:val="en-US"/>
        </w:rPr>
      </w:pPr>
      <w:r w:rsidRPr="009F337B">
        <w:rPr>
          <w:rStyle w:val="Refdenotaalpie"/>
          <w:rFonts w:eastAsiaTheme="majorEastAsia"/>
          <w:spacing w:val="-4"/>
          <w:szCs w:val="16"/>
          <w:lang w:val="en-US"/>
        </w:rPr>
        <w:footnoteRef/>
      </w:r>
      <w:r w:rsidRPr="009F337B">
        <w:rPr>
          <w:spacing w:val="-4"/>
          <w:szCs w:val="16"/>
          <w:lang w:val="en-US"/>
        </w:rPr>
        <w:tab/>
      </w:r>
      <w:r w:rsidRPr="009F337B">
        <w:rPr>
          <w:spacing w:val="-4"/>
          <w:szCs w:val="16"/>
          <w:lang w:val="en-US"/>
        </w:rPr>
        <w:tab/>
      </w:r>
      <w:r w:rsidRPr="009F337B">
        <w:rPr>
          <w:spacing w:val="-4"/>
          <w:szCs w:val="16"/>
          <w:lang w:val="en-US"/>
        </w:rPr>
        <w:tab/>
      </w:r>
      <w:r w:rsidRPr="009F337B">
        <w:rPr>
          <w:i/>
          <w:iCs/>
          <w:spacing w:val="-4"/>
          <w:szCs w:val="16"/>
          <w:lang w:val="en-US"/>
        </w:rPr>
        <w:t xml:space="preserve">Cf. </w:t>
      </w:r>
      <w:r w:rsidRPr="009F337B">
        <w:rPr>
          <w:bCs/>
          <w:i/>
          <w:iCs/>
          <w:spacing w:val="-4"/>
          <w:szCs w:val="16"/>
          <w:lang w:val="en-US"/>
        </w:rPr>
        <w:t xml:space="preserve">Case of </w:t>
      </w:r>
      <w:proofErr w:type="spellStart"/>
      <w:r w:rsidRPr="009F337B">
        <w:rPr>
          <w:bCs/>
          <w:i/>
          <w:iCs/>
          <w:spacing w:val="-4"/>
          <w:szCs w:val="16"/>
          <w:lang w:val="en-US"/>
        </w:rPr>
        <w:t>Apitz</w:t>
      </w:r>
      <w:proofErr w:type="spellEnd"/>
      <w:r w:rsidRPr="009F337B">
        <w:rPr>
          <w:bCs/>
          <w:i/>
          <w:iCs/>
          <w:spacing w:val="-4"/>
          <w:szCs w:val="16"/>
          <w:lang w:val="en-US"/>
        </w:rPr>
        <w:t xml:space="preserve"> Barbera et al. (“First Administrative Contentious Court”) v. Venezuela. Preliminary objection, merits, reparations and costs. </w:t>
      </w:r>
      <w:r w:rsidRPr="009F337B">
        <w:rPr>
          <w:bCs/>
          <w:iCs/>
          <w:spacing w:val="-4"/>
          <w:szCs w:val="16"/>
          <w:lang w:val="en-US"/>
        </w:rPr>
        <w:t>Judgment of August 5, 2008. Series C No. 182</w:t>
      </w:r>
      <w:r w:rsidRPr="009F337B">
        <w:rPr>
          <w:rFonts w:eastAsia="Calibri"/>
          <w:bCs/>
          <w:szCs w:val="16"/>
          <w:shd w:val="clear" w:color="auto" w:fill="FFFFFF"/>
          <w:lang w:val="en-US"/>
        </w:rPr>
        <w:t>,</w:t>
      </w:r>
      <w:r w:rsidRPr="009F337B">
        <w:rPr>
          <w:spacing w:val="-4"/>
          <w:szCs w:val="16"/>
          <w:lang w:val="en-US"/>
        </w:rPr>
        <w:t xml:space="preserve"> para. 78, and </w:t>
      </w:r>
      <w:r w:rsidRPr="009F337B">
        <w:rPr>
          <w:bCs/>
          <w:i/>
          <w:szCs w:val="16"/>
          <w:shd w:val="clear" w:color="auto" w:fill="FFFFFF"/>
          <w:lang w:val="en-US"/>
        </w:rPr>
        <w:t xml:space="preserve">Case of </w:t>
      </w:r>
      <w:proofErr w:type="spellStart"/>
      <w:r w:rsidRPr="009F337B">
        <w:rPr>
          <w:bCs/>
          <w:i/>
          <w:szCs w:val="16"/>
          <w:shd w:val="clear" w:color="auto" w:fill="FFFFFF"/>
          <w:lang w:val="en-US"/>
        </w:rPr>
        <w:t>Amrhein</w:t>
      </w:r>
      <w:proofErr w:type="spellEnd"/>
      <w:r w:rsidRPr="009F337B">
        <w:rPr>
          <w:bCs/>
          <w:i/>
          <w:szCs w:val="16"/>
          <w:shd w:val="clear" w:color="auto" w:fill="FFFFFF"/>
          <w:lang w:val="en-US"/>
        </w:rPr>
        <w:t xml:space="preserve"> et al. v. Costa Rica. Preliminary objections, merits, reparations and costs</w:t>
      </w:r>
      <w:r w:rsidRPr="009F337B">
        <w:rPr>
          <w:bCs/>
          <w:szCs w:val="16"/>
          <w:shd w:val="clear" w:color="auto" w:fill="FFFFFF"/>
          <w:lang w:val="en-US"/>
        </w:rPr>
        <w:t>. Judgment of April 25, 2018. Series C No. 354, para. 268.</w:t>
      </w:r>
    </w:p>
  </w:footnote>
  <w:footnote w:id="211">
    <w:p w14:paraId="48522E79" w14:textId="2FA2A6F7" w:rsidR="00AF5CC6" w:rsidRPr="009F337B" w:rsidRDefault="00AF5CC6" w:rsidP="00A30D95">
      <w:pPr>
        <w:tabs>
          <w:tab w:val="left" w:pos="426"/>
          <w:tab w:val="left" w:pos="567"/>
        </w:tabs>
        <w:autoSpaceDE w:val="0"/>
        <w:autoSpaceDN w:val="0"/>
        <w:spacing w:after="120"/>
        <w:rPr>
          <w:rFonts w:cs="Verdana"/>
          <w:i/>
          <w:iCs/>
          <w:spacing w:val="-4"/>
          <w:sz w:val="16"/>
          <w:szCs w:val="16"/>
          <w:lang w:val="en-US"/>
        </w:rPr>
      </w:pPr>
      <w:r w:rsidRPr="009F337B">
        <w:rPr>
          <w:rStyle w:val="Refdenotaalpie"/>
          <w:spacing w:val="-4"/>
          <w:sz w:val="16"/>
          <w:szCs w:val="16"/>
          <w:lang w:val="en-US"/>
        </w:rPr>
        <w:footnoteRef/>
      </w:r>
      <w:r w:rsidRPr="009F337B">
        <w:rPr>
          <w:spacing w:val="-4"/>
          <w:sz w:val="16"/>
          <w:szCs w:val="16"/>
          <w:lang w:val="en-US"/>
        </w:rPr>
        <w:tab/>
      </w:r>
      <w:r w:rsidRPr="009F337B">
        <w:rPr>
          <w:spacing w:val="-4"/>
          <w:sz w:val="16"/>
          <w:szCs w:val="16"/>
          <w:lang w:val="en-US"/>
        </w:rPr>
        <w:tab/>
      </w:r>
      <w:r w:rsidRPr="009F337B">
        <w:rPr>
          <w:spacing w:val="-4"/>
          <w:sz w:val="16"/>
          <w:szCs w:val="16"/>
          <w:lang w:val="en-US"/>
        </w:rPr>
        <w:tab/>
      </w:r>
      <w:r w:rsidRPr="009F337B">
        <w:rPr>
          <w:i/>
          <w:spacing w:val="-4"/>
          <w:sz w:val="16"/>
          <w:szCs w:val="16"/>
          <w:lang w:val="en-US"/>
        </w:rPr>
        <w:t>Cf.</w:t>
      </w:r>
      <w:r w:rsidRPr="009F337B">
        <w:rPr>
          <w:spacing w:val="-4"/>
          <w:sz w:val="16"/>
          <w:szCs w:val="16"/>
          <w:lang w:val="en-US"/>
        </w:rPr>
        <w:t xml:space="preserve"> </w:t>
      </w:r>
      <w:r w:rsidRPr="009F337B">
        <w:rPr>
          <w:rFonts w:cs="Verdana"/>
          <w:i/>
          <w:iCs/>
          <w:spacing w:val="-4"/>
          <w:sz w:val="16"/>
          <w:szCs w:val="16"/>
          <w:lang w:val="en-US"/>
        </w:rPr>
        <w:t>Case of Chaparro Álvarez and Lapo Íñiguez v. Ecuador. Preliminary objections, merits, reparations and costs</w:t>
      </w:r>
      <w:r w:rsidRPr="009F337B">
        <w:rPr>
          <w:rFonts w:cs="Verdana"/>
          <w:iCs/>
          <w:spacing w:val="-4"/>
          <w:sz w:val="16"/>
          <w:szCs w:val="16"/>
          <w:lang w:val="en-US"/>
        </w:rPr>
        <w:t>. Judgment of November 21, 2007. Series C No. 170</w:t>
      </w:r>
      <w:r w:rsidRPr="009F337B">
        <w:rPr>
          <w:rFonts w:cs="Verdana"/>
          <w:spacing w:val="-4"/>
          <w:sz w:val="16"/>
          <w:szCs w:val="16"/>
          <w:lang w:val="en-US"/>
        </w:rPr>
        <w:t>, para. 107</w:t>
      </w:r>
      <w:r w:rsidRPr="009F337B">
        <w:rPr>
          <w:spacing w:val="-4"/>
          <w:sz w:val="16"/>
          <w:szCs w:val="16"/>
          <w:lang w:val="en-US"/>
        </w:rPr>
        <w:t xml:space="preserve">, and </w:t>
      </w:r>
      <w:r w:rsidRPr="009F337B">
        <w:rPr>
          <w:i/>
          <w:spacing w:val="-4"/>
          <w:sz w:val="16"/>
          <w:szCs w:val="16"/>
          <w:lang w:val="en-US"/>
        </w:rPr>
        <w:t xml:space="preserve">Case of </w:t>
      </w:r>
      <w:r w:rsidRPr="009F337B">
        <w:rPr>
          <w:bCs/>
          <w:i/>
          <w:sz w:val="16"/>
          <w:szCs w:val="16"/>
          <w:shd w:val="clear" w:color="auto" w:fill="FFFFFF"/>
          <w:lang w:val="en-US"/>
        </w:rPr>
        <w:t>Amrhein et al. v. Costa Rica. Preliminary objections, merits, reparations and costs</w:t>
      </w:r>
      <w:r w:rsidRPr="009F337B">
        <w:rPr>
          <w:bCs/>
          <w:sz w:val="16"/>
          <w:szCs w:val="16"/>
          <w:shd w:val="clear" w:color="auto" w:fill="FFFFFF"/>
          <w:lang w:val="en-US"/>
        </w:rPr>
        <w:t>. Judgment of April 25, 2018. Series C No. 354, para. 268.</w:t>
      </w:r>
    </w:p>
  </w:footnote>
  <w:footnote w:id="212">
    <w:p w14:paraId="13CDB1A6" w14:textId="770AF5A5" w:rsidR="00AF5CC6" w:rsidRPr="009F337B" w:rsidRDefault="00AF5CC6" w:rsidP="00A30D95">
      <w:pPr>
        <w:pStyle w:val="Textonotapie"/>
        <w:tabs>
          <w:tab w:val="left" w:pos="426"/>
          <w:tab w:val="left" w:pos="567"/>
        </w:tabs>
        <w:spacing w:before="0"/>
        <w:rPr>
          <w:spacing w:val="-4"/>
          <w:szCs w:val="16"/>
          <w:lang w:val="en-US"/>
        </w:rPr>
      </w:pPr>
      <w:r w:rsidRPr="009F337B">
        <w:rPr>
          <w:rStyle w:val="Refdenotaalpie"/>
          <w:rFonts w:eastAsiaTheme="majorEastAsia"/>
          <w:spacing w:val="-4"/>
          <w:szCs w:val="16"/>
          <w:lang w:val="en-US"/>
        </w:rPr>
        <w:footnoteRef/>
      </w:r>
      <w:r w:rsidRPr="009F337B">
        <w:rPr>
          <w:spacing w:val="-4"/>
          <w:szCs w:val="16"/>
          <w:lang w:val="en-US"/>
        </w:rPr>
        <w:tab/>
      </w:r>
      <w:r w:rsidRPr="009F337B">
        <w:rPr>
          <w:spacing w:val="-4"/>
          <w:szCs w:val="16"/>
          <w:lang w:val="en-US"/>
        </w:rPr>
        <w:tab/>
      </w:r>
      <w:r w:rsidRPr="009F337B">
        <w:rPr>
          <w:spacing w:val="-4"/>
          <w:szCs w:val="16"/>
          <w:lang w:val="en-US"/>
        </w:rPr>
        <w:tab/>
      </w:r>
      <w:r w:rsidRPr="009F337B">
        <w:rPr>
          <w:i/>
          <w:spacing w:val="-4"/>
          <w:szCs w:val="16"/>
          <w:lang w:val="en-US"/>
        </w:rPr>
        <w:t>Cf.</w:t>
      </w:r>
      <w:r w:rsidRPr="009F337B">
        <w:rPr>
          <w:spacing w:val="-4"/>
          <w:szCs w:val="16"/>
          <w:lang w:val="en-US"/>
        </w:rPr>
        <w:t xml:space="preserve"> </w:t>
      </w:r>
      <w:r w:rsidRPr="009F337B">
        <w:rPr>
          <w:rFonts w:cs="Tahoma"/>
          <w:i/>
          <w:szCs w:val="16"/>
          <w:shd w:val="clear" w:color="auto" w:fill="FFFFFF"/>
          <w:lang w:val="en-US"/>
        </w:rPr>
        <w:t xml:space="preserve">Case of </w:t>
      </w:r>
      <w:proofErr w:type="spellStart"/>
      <w:r w:rsidRPr="009F337B">
        <w:rPr>
          <w:rFonts w:cs="Tahoma"/>
          <w:i/>
          <w:szCs w:val="16"/>
          <w:shd w:val="clear" w:color="auto" w:fill="FFFFFF"/>
          <w:lang w:val="en-US"/>
        </w:rPr>
        <w:t>Apitz</w:t>
      </w:r>
      <w:proofErr w:type="spellEnd"/>
      <w:r w:rsidRPr="009F337B">
        <w:rPr>
          <w:rFonts w:cs="Tahoma"/>
          <w:i/>
          <w:szCs w:val="16"/>
          <w:shd w:val="clear" w:color="auto" w:fill="FFFFFF"/>
          <w:lang w:val="en-US"/>
        </w:rPr>
        <w:t xml:space="preserve"> Barbera et al. (“First Administrative Contentious Court”) v. Venezuela. Preliminary objection, merits, reparations and costs. </w:t>
      </w:r>
      <w:r w:rsidRPr="009F337B">
        <w:rPr>
          <w:rFonts w:cs="Tahoma"/>
          <w:szCs w:val="16"/>
          <w:shd w:val="clear" w:color="auto" w:fill="FFFFFF"/>
          <w:lang w:val="en-US"/>
        </w:rPr>
        <w:t>Judgment of August 5, 2008. Series C No. 182</w:t>
      </w:r>
      <w:r w:rsidRPr="009F337B">
        <w:rPr>
          <w:i/>
          <w:spacing w:val="-4"/>
          <w:szCs w:val="16"/>
          <w:lang w:val="en-US"/>
        </w:rPr>
        <w:t xml:space="preserve">, </w:t>
      </w:r>
      <w:r w:rsidRPr="009F337B">
        <w:rPr>
          <w:spacing w:val="-4"/>
          <w:szCs w:val="16"/>
          <w:lang w:val="en-US"/>
        </w:rPr>
        <w:t xml:space="preserve">para. 77, and </w:t>
      </w:r>
      <w:r w:rsidRPr="009F337B">
        <w:rPr>
          <w:bCs/>
          <w:i/>
          <w:szCs w:val="16"/>
          <w:shd w:val="clear" w:color="auto" w:fill="FFFFFF"/>
          <w:lang w:val="en-US"/>
        </w:rPr>
        <w:t xml:space="preserve">Case of </w:t>
      </w:r>
      <w:proofErr w:type="spellStart"/>
      <w:r w:rsidRPr="009F337B">
        <w:rPr>
          <w:bCs/>
          <w:i/>
          <w:szCs w:val="16"/>
          <w:shd w:val="clear" w:color="auto" w:fill="FFFFFF"/>
          <w:lang w:val="en-US"/>
        </w:rPr>
        <w:t>Amrhein</w:t>
      </w:r>
      <w:proofErr w:type="spellEnd"/>
      <w:r w:rsidRPr="009F337B">
        <w:rPr>
          <w:bCs/>
          <w:i/>
          <w:szCs w:val="16"/>
          <w:shd w:val="clear" w:color="auto" w:fill="FFFFFF"/>
          <w:lang w:val="en-US"/>
        </w:rPr>
        <w:t xml:space="preserve"> et al. v. Costa Rica. Preliminary objections, merits, reparations and costs</w:t>
      </w:r>
      <w:r w:rsidRPr="009F337B">
        <w:rPr>
          <w:bCs/>
          <w:szCs w:val="16"/>
          <w:shd w:val="clear" w:color="auto" w:fill="FFFFFF"/>
          <w:lang w:val="en-US"/>
        </w:rPr>
        <w:t>. Judgment of April 25, 2018. Series C No. 354, para. 268.</w:t>
      </w:r>
    </w:p>
  </w:footnote>
  <w:footnote w:id="213">
    <w:p w14:paraId="5524F10A" w14:textId="23FFE7A1" w:rsidR="00AF5CC6" w:rsidRPr="009F337B" w:rsidRDefault="00AF5CC6" w:rsidP="00A30D95">
      <w:pPr>
        <w:tabs>
          <w:tab w:val="left" w:pos="426"/>
          <w:tab w:val="left" w:pos="567"/>
        </w:tabs>
        <w:autoSpaceDE w:val="0"/>
        <w:autoSpaceDN w:val="0"/>
        <w:spacing w:after="120"/>
        <w:rPr>
          <w:rFonts w:cs="Verdana"/>
          <w:spacing w:val="-4"/>
          <w:sz w:val="16"/>
          <w:szCs w:val="16"/>
          <w:lang w:val="en-US"/>
        </w:rPr>
      </w:pPr>
      <w:r w:rsidRPr="009F337B">
        <w:rPr>
          <w:rStyle w:val="Refdenotaalpie"/>
          <w:spacing w:val="-4"/>
          <w:sz w:val="16"/>
          <w:szCs w:val="16"/>
          <w:lang w:val="en-US"/>
        </w:rPr>
        <w:footnoteRef/>
      </w:r>
      <w:r w:rsidRPr="009F337B">
        <w:rPr>
          <w:spacing w:val="-4"/>
          <w:sz w:val="16"/>
          <w:szCs w:val="16"/>
          <w:lang w:val="en-US"/>
        </w:rPr>
        <w:tab/>
      </w:r>
      <w:r w:rsidRPr="009F337B">
        <w:rPr>
          <w:spacing w:val="-4"/>
          <w:sz w:val="16"/>
          <w:szCs w:val="16"/>
          <w:lang w:val="en-US"/>
        </w:rPr>
        <w:tab/>
      </w:r>
      <w:r w:rsidRPr="009F337B">
        <w:rPr>
          <w:spacing w:val="-4"/>
          <w:sz w:val="16"/>
          <w:szCs w:val="16"/>
          <w:lang w:val="en-US"/>
        </w:rPr>
        <w:tab/>
      </w:r>
      <w:r w:rsidRPr="009F337B">
        <w:rPr>
          <w:i/>
          <w:spacing w:val="-4"/>
          <w:sz w:val="16"/>
          <w:szCs w:val="16"/>
          <w:lang w:val="en-US"/>
        </w:rPr>
        <w:t>Cf.</w:t>
      </w:r>
      <w:r w:rsidRPr="009F337B">
        <w:rPr>
          <w:rFonts w:cs="Verdana"/>
          <w:i/>
          <w:iCs/>
          <w:spacing w:val="-4"/>
          <w:sz w:val="16"/>
          <w:szCs w:val="16"/>
          <w:lang w:val="en-US"/>
        </w:rPr>
        <w:t xml:space="preserve"> </w:t>
      </w:r>
      <w:r w:rsidRPr="009F337B">
        <w:rPr>
          <w:bCs/>
          <w:i/>
          <w:sz w:val="16"/>
          <w:szCs w:val="16"/>
          <w:shd w:val="clear" w:color="auto" w:fill="FFFFFF"/>
          <w:lang w:val="en-US"/>
        </w:rPr>
        <w:t>Case of Yatama v. Nicaragua. Preliminary objections, merits, reparations and costs.</w:t>
      </w:r>
      <w:r w:rsidRPr="009F337B">
        <w:rPr>
          <w:bCs/>
          <w:sz w:val="16"/>
          <w:szCs w:val="16"/>
          <w:shd w:val="clear" w:color="auto" w:fill="FFFFFF"/>
          <w:lang w:val="en-US"/>
        </w:rPr>
        <w:t xml:space="preserve"> Judgment of June 23, 2005. Series C No. 127</w:t>
      </w:r>
      <w:r w:rsidRPr="009F337B">
        <w:rPr>
          <w:rFonts w:cs="Verdana"/>
          <w:i/>
          <w:iCs/>
          <w:spacing w:val="-4"/>
          <w:sz w:val="16"/>
          <w:szCs w:val="16"/>
          <w:lang w:val="en-US"/>
        </w:rPr>
        <w:t xml:space="preserve">, </w:t>
      </w:r>
      <w:r w:rsidRPr="009F337B">
        <w:rPr>
          <w:rFonts w:cs="Verdana"/>
          <w:spacing w:val="-4"/>
          <w:sz w:val="16"/>
          <w:szCs w:val="16"/>
          <w:lang w:val="en-US"/>
        </w:rPr>
        <w:t>para. 152,</w:t>
      </w:r>
      <w:r w:rsidRPr="009F337B">
        <w:rPr>
          <w:i/>
          <w:spacing w:val="-4"/>
          <w:sz w:val="16"/>
          <w:szCs w:val="16"/>
          <w:lang w:val="en-US"/>
        </w:rPr>
        <w:t xml:space="preserve"> and </w:t>
      </w:r>
      <w:r w:rsidRPr="009F337B">
        <w:rPr>
          <w:bCs/>
          <w:i/>
          <w:sz w:val="16"/>
          <w:szCs w:val="16"/>
          <w:shd w:val="clear" w:color="auto" w:fill="FFFFFF"/>
          <w:lang w:val="en-US"/>
        </w:rPr>
        <w:t xml:space="preserve">Case of Ramírez Escobar et al. v. Guatemala. Merits, reparations and costs. </w:t>
      </w:r>
      <w:r w:rsidRPr="009F337B">
        <w:rPr>
          <w:bCs/>
          <w:sz w:val="16"/>
          <w:szCs w:val="16"/>
          <w:shd w:val="clear" w:color="auto" w:fill="FFFFFF"/>
          <w:lang w:val="en-US"/>
        </w:rPr>
        <w:t>Judgment of March 9, 2018. Series C No. 351, para. 187.</w:t>
      </w:r>
    </w:p>
  </w:footnote>
  <w:footnote w:id="214">
    <w:p w14:paraId="053FEE45" w14:textId="11B92A11" w:rsidR="00AF5CC6" w:rsidRPr="009F337B" w:rsidRDefault="00AF5CC6" w:rsidP="00A30D95">
      <w:pPr>
        <w:pStyle w:val="Textonotapie"/>
        <w:tabs>
          <w:tab w:val="left" w:pos="709"/>
        </w:tabs>
        <w:spacing w:before="0"/>
        <w:rPr>
          <w:szCs w:val="16"/>
          <w:lang w:val="en-US"/>
        </w:rPr>
      </w:pPr>
      <w:r w:rsidRPr="009F337B">
        <w:rPr>
          <w:rStyle w:val="Refdenotaalpie"/>
          <w:spacing w:val="-4"/>
          <w:szCs w:val="16"/>
          <w:lang w:val="en-US"/>
        </w:rPr>
        <w:footnoteRef/>
      </w:r>
      <w:r w:rsidRPr="009F337B">
        <w:rPr>
          <w:spacing w:val="-4"/>
          <w:szCs w:val="16"/>
          <w:lang w:val="en-US"/>
        </w:rPr>
        <w:tab/>
      </w:r>
      <w:r w:rsidRPr="009F337B">
        <w:rPr>
          <w:spacing w:val="-4"/>
          <w:szCs w:val="16"/>
          <w:lang w:val="en-US"/>
        </w:rPr>
        <w:tab/>
      </w:r>
      <w:r w:rsidRPr="009F337B">
        <w:rPr>
          <w:i/>
          <w:iCs/>
          <w:spacing w:val="-4"/>
          <w:szCs w:val="16"/>
          <w:lang w:val="en-US"/>
        </w:rPr>
        <w:t xml:space="preserve">Cf. </w:t>
      </w:r>
      <w:r w:rsidRPr="009F337B">
        <w:rPr>
          <w:bCs/>
          <w:i/>
          <w:szCs w:val="16"/>
          <w:shd w:val="clear" w:color="auto" w:fill="FFFFFF"/>
          <w:lang w:val="en-US"/>
        </w:rPr>
        <w:t>Case of Claude Reyes et al. v. Chile. Merits, reparations and costs.</w:t>
      </w:r>
      <w:r w:rsidRPr="009F337B">
        <w:rPr>
          <w:bCs/>
          <w:szCs w:val="16"/>
          <w:shd w:val="clear" w:color="auto" w:fill="FFFFFF"/>
          <w:lang w:val="en-US"/>
        </w:rPr>
        <w:t xml:space="preserve"> Judgment of September 19, 2006. Series C No. 151</w:t>
      </w:r>
      <w:r w:rsidRPr="009F337B">
        <w:rPr>
          <w:rFonts w:cs="Verdana"/>
          <w:spacing w:val="-4"/>
          <w:szCs w:val="16"/>
          <w:lang w:val="en-US"/>
        </w:rPr>
        <w:t xml:space="preserve">, para. 122, and </w:t>
      </w:r>
      <w:r w:rsidRPr="009F337B">
        <w:rPr>
          <w:bCs/>
          <w:i/>
          <w:szCs w:val="16"/>
          <w:lang w:val="en-US"/>
        </w:rPr>
        <w:t xml:space="preserve">Case of the Dismissed Employees of </w:t>
      </w:r>
      <w:proofErr w:type="spellStart"/>
      <w:r w:rsidRPr="009F337B">
        <w:rPr>
          <w:bCs/>
          <w:i/>
          <w:szCs w:val="16"/>
          <w:lang w:val="en-US"/>
        </w:rPr>
        <w:t>PetroPeru</w:t>
      </w:r>
      <w:proofErr w:type="spellEnd"/>
      <w:r w:rsidRPr="009F337B">
        <w:rPr>
          <w:bCs/>
          <w:i/>
          <w:szCs w:val="16"/>
          <w:lang w:val="en-US"/>
        </w:rPr>
        <w:t xml:space="preserve"> et al. v. Peru. Preliminary objections, merits, reparations and costs. </w:t>
      </w:r>
      <w:r w:rsidRPr="009F337B">
        <w:rPr>
          <w:bCs/>
          <w:szCs w:val="16"/>
          <w:lang w:val="en-US"/>
        </w:rPr>
        <w:t>Judgment of November 23, 2017. Series C No. 344, para. 168</w:t>
      </w:r>
      <w:r w:rsidRPr="009F337B">
        <w:rPr>
          <w:szCs w:val="16"/>
          <w:lang w:val="en-US"/>
        </w:rPr>
        <w:t>.</w:t>
      </w:r>
    </w:p>
  </w:footnote>
  <w:footnote w:id="215">
    <w:p w14:paraId="00A4742F" w14:textId="6AB624ED" w:rsidR="00AF5CC6" w:rsidRPr="009F337B" w:rsidRDefault="00AF5CC6" w:rsidP="00A30D95">
      <w:pPr>
        <w:pStyle w:val="Textonotapie"/>
        <w:tabs>
          <w:tab w:val="left" w:pos="426"/>
          <w:tab w:val="left" w:pos="567"/>
          <w:tab w:val="left" w:pos="8085"/>
        </w:tabs>
        <w:spacing w:before="0"/>
        <w:rPr>
          <w:spacing w:val="-4"/>
          <w:szCs w:val="16"/>
          <w:lang w:val="en-US"/>
        </w:rPr>
      </w:pPr>
      <w:r w:rsidRPr="009F337B">
        <w:rPr>
          <w:rStyle w:val="Refdenotaalpie"/>
          <w:rFonts w:eastAsiaTheme="majorEastAsia"/>
          <w:spacing w:val="-4"/>
          <w:szCs w:val="16"/>
          <w:lang w:val="en-US"/>
        </w:rPr>
        <w:footnoteRef/>
      </w:r>
      <w:r w:rsidRPr="009F337B">
        <w:rPr>
          <w:i/>
          <w:spacing w:val="-4"/>
          <w:szCs w:val="16"/>
          <w:lang w:val="en-US"/>
        </w:rPr>
        <w:tab/>
      </w:r>
      <w:r w:rsidRPr="009F337B">
        <w:rPr>
          <w:i/>
          <w:spacing w:val="-4"/>
          <w:szCs w:val="16"/>
          <w:lang w:val="en-US"/>
        </w:rPr>
        <w:tab/>
        <w:t xml:space="preserve">  Cf.</w:t>
      </w:r>
      <w:r w:rsidRPr="009F337B">
        <w:rPr>
          <w:spacing w:val="-4"/>
          <w:szCs w:val="16"/>
          <w:lang w:val="en-US"/>
        </w:rPr>
        <w:t xml:space="preserve"> </w:t>
      </w:r>
      <w:r w:rsidRPr="009F337B">
        <w:rPr>
          <w:rFonts w:cs="Tahoma"/>
          <w:i/>
          <w:szCs w:val="16"/>
          <w:shd w:val="clear" w:color="auto" w:fill="FFFFFF"/>
          <w:lang w:val="en-US"/>
        </w:rPr>
        <w:t xml:space="preserve">Case of </w:t>
      </w:r>
      <w:proofErr w:type="spellStart"/>
      <w:r w:rsidRPr="009F337B">
        <w:rPr>
          <w:rFonts w:cs="Tahoma"/>
          <w:i/>
          <w:szCs w:val="16"/>
          <w:shd w:val="clear" w:color="auto" w:fill="FFFFFF"/>
          <w:lang w:val="en-US"/>
        </w:rPr>
        <w:t>Apitz</w:t>
      </w:r>
      <w:proofErr w:type="spellEnd"/>
      <w:r w:rsidRPr="009F337B">
        <w:rPr>
          <w:rFonts w:cs="Tahoma"/>
          <w:i/>
          <w:szCs w:val="16"/>
          <w:shd w:val="clear" w:color="auto" w:fill="FFFFFF"/>
          <w:lang w:val="en-US"/>
        </w:rPr>
        <w:t xml:space="preserve"> Barbera et al. (“First Administrative Contentious Court”) v. Venezuela. Preliminary objection, merits, reparations and costs. </w:t>
      </w:r>
      <w:r w:rsidRPr="009F337B">
        <w:rPr>
          <w:rFonts w:cs="Tahoma"/>
          <w:szCs w:val="16"/>
          <w:shd w:val="clear" w:color="auto" w:fill="FFFFFF"/>
          <w:lang w:val="en-US"/>
        </w:rPr>
        <w:t>Judgment of August 5, 2008. Series C No. 182</w:t>
      </w:r>
      <w:r w:rsidRPr="009F337B">
        <w:rPr>
          <w:spacing w:val="-4"/>
          <w:szCs w:val="16"/>
          <w:lang w:val="en-US"/>
        </w:rPr>
        <w:t xml:space="preserve">, para. 78, and </w:t>
      </w:r>
      <w:r w:rsidRPr="009F337B">
        <w:rPr>
          <w:rStyle w:val="Textoennegrita"/>
          <w:b w:val="0"/>
          <w:i/>
          <w:color w:val="000000"/>
          <w:szCs w:val="16"/>
          <w:shd w:val="clear" w:color="auto" w:fill="FFFFFF"/>
          <w:lang w:val="en-US"/>
        </w:rPr>
        <w:t>Case of Ramírez Escobar et al. v. Guatemala. Merits, reparations and costs</w:t>
      </w:r>
      <w:r w:rsidRPr="009F337B">
        <w:rPr>
          <w:rStyle w:val="Textoennegrita"/>
          <w:b w:val="0"/>
          <w:color w:val="000000"/>
          <w:szCs w:val="16"/>
          <w:shd w:val="clear" w:color="auto" w:fill="FFFFFF"/>
          <w:lang w:val="en-US"/>
        </w:rPr>
        <w:t>. Judgment of March 9, 2018. Series C No. 351, para. 187.</w:t>
      </w:r>
    </w:p>
  </w:footnote>
  <w:footnote w:id="216">
    <w:p w14:paraId="2BB33366" w14:textId="22998EE7" w:rsidR="00AF5CC6" w:rsidRPr="009F337B" w:rsidRDefault="00AF5CC6" w:rsidP="00A30D95">
      <w:pPr>
        <w:pStyle w:val="Textonotapie"/>
        <w:tabs>
          <w:tab w:val="left" w:pos="709"/>
        </w:tabs>
        <w:spacing w:before="0"/>
        <w:rPr>
          <w:szCs w:val="16"/>
          <w:lang w:val="en-US"/>
        </w:rPr>
      </w:pPr>
      <w:r w:rsidRPr="009F337B">
        <w:rPr>
          <w:rStyle w:val="Refdenotaalpie"/>
          <w:rFonts w:cs="Arial"/>
          <w:szCs w:val="16"/>
          <w:lang w:val="en-US"/>
        </w:rPr>
        <w:footnoteRef/>
      </w:r>
      <w:r w:rsidRPr="009F337B">
        <w:rPr>
          <w:rFonts w:cs="Arial"/>
          <w:szCs w:val="16"/>
          <w:lang w:val="en-US"/>
        </w:rPr>
        <w:t xml:space="preserve"> </w:t>
      </w:r>
      <w:r w:rsidRPr="009F337B">
        <w:rPr>
          <w:rFonts w:cs="Arial"/>
          <w:szCs w:val="16"/>
          <w:lang w:val="en-US"/>
        </w:rPr>
        <w:tab/>
      </w:r>
      <w:r w:rsidRPr="009F337B">
        <w:rPr>
          <w:rFonts w:cs="Arial"/>
          <w:i/>
          <w:szCs w:val="16"/>
          <w:lang w:val="en-US"/>
        </w:rPr>
        <w:t xml:space="preserve">Cf. Case of </w:t>
      </w:r>
      <w:proofErr w:type="spellStart"/>
      <w:r w:rsidRPr="009F337B">
        <w:rPr>
          <w:rFonts w:cs="Arial"/>
          <w:i/>
          <w:szCs w:val="16"/>
          <w:lang w:val="en-US"/>
        </w:rPr>
        <w:t>Castañeda</w:t>
      </w:r>
      <w:proofErr w:type="spellEnd"/>
      <w:r w:rsidRPr="009F337B">
        <w:rPr>
          <w:rFonts w:cs="Arial"/>
          <w:i/>
          <w:szCs w:val="16"/>
          <w:lang w:val="en-US"/>
        </w:rPr>
        <w:t xml:space="preserve"> Gutman v. Mexico. Preliminary objections, merits, reparations and costs.</w:t>
      </w:r>
      <w:r w:rsidRPr="009F337B">
        <w:rPr>
          <w:rFonts w:cs="Arial"/>
          <w:szCs w:val="16"/>
          <w:lang w:val="en-US"/>
        </w:rPr>
        <w:t xml:space="preserve"> Judgment of August 6, 2008. Series C No. 184, para. 94, and </w:t>
      </w:r>
      <w:r w:rsidRPr="009F337B">
        <w:rPr>
          <w:bCs/>
          <w:i/>
          <w:szCs w:val="16"/>
          <w:lang w:val="en-US"/>
        </w:rPr>
        <w:t xml:space="preserve">Case of the Dismissed Employees of </w:t>
      </w:r>
      <w:proofErr w:type="spellStart"/>
      <w:r w:rsidRPr="009F337B">
        <w:rPr>
          <w:bCs/>
          <w:i/>
          <w:szCs w:val="16"/>
          <w:lang w:val="en-US"/>
        </w:rPr>
        <w:t>PetroPeru</w:t>
      </w:r>
      <w:proofErr w:type="spellEnd"/>
      <w:r w:rsidRPr="009F337B">
        <w:rPr>
          <w:bCs/>
          <w:i/>
          <w:szCs w:val="16"/>
          <w:lang w:val="en-US"/>
        </w:rPr>
        <w:t xml:space="preserve"> et al. v. Peru. Preliminary objections, merits, reparations and costs. </w:t>
      </w:r>
      <w:r w:rsidRPr="009F337B">
        <w:rPr>
          <w:bCs/>
          <w:szCs w:val="16"/>
          <w:lang w:val="en-US"/>
        </w:rPr>
        <w:t>Judgment of November 23, 2017. Series C No. 344, para. 171.</w:t>
      </w:r>
    </w:p>
  </w:footnote>
  <w:footnote w:id="217">
    <w:p w14:paraId="14C79B83" w14:textId="5575A7A7" w:rsidR="00AF5CC6" w:rsidRPr="009F337B" w:rsidRDefault="00AF5CC6" w:rsidP="00A30D95">
      <w:pPr>
        <w:pStyle w:val="Textonotapie"/>
        <w:spacing w:before="0"/>
        <w:rPr>
          <w:rFonts w:cs="Arial"/>
          <w:szCs w:val="16"/>
          <w:lang w:val="en-US"/>
        </w:rPr>
      </w:pPr>
      <w:r w:rsidRPr="009F337B">
        <w:rPr>
          <w:rStyle w:val="Refdenotaalpie"/>
          <w:rFonts w:cs="Arial"/>
          <w:szCs w:val="16"/>
          <w:lang w:val="en-US"/>
        </w:rPr>
        <w:footnoteRef/>
      </w:r>
      <w:r w:rsidRPr="009F337B">
        <w:rPr>
          <w:rFonts w:cs="Arial"/>
          <w:szCs w:val="16"/>
          <w:lang w:val="en-US"/>
        </w:rPr>
        <w:t xml:space="preserve"> </w:t>
      </w:r>
      <w:r w:rsidRPr="009F337B">
        <w:rPr>
          <w:rFonts w:cs="Arial"/>
          <w:szCs w:val="16"/>
          <w:lang w:val="en-US"/>
        </w:rPr>
        <w:tab/>
      </w:r>
      <w:r w:rsidRPr="009F337B">
        <w:rPr>
          <w:rFonts w:cs="Arial"/>
          <w:i/>
          <w:szCs w:val="16"/>
          <w:lang w:val="en-US"/>
        </w:rPr>
        <w:t xml:space="preserve">Cf. </w:t>
      </w:r>
      <w:r w:rsidRPr="009F337B">
        <w:rPr>
          <w:rFonts w:cs="Arial"/>
          <w:bCs/>
          <w:i/>
          <w:szCs w:val="16"/>
          <w:lang w:val="en-US"/>
        </w:rPr>
        <w:t xml:space="preserve">Case of </w:t>
      </w:r>
      <w:proofErr w:type="spellStart"/>
      <w:r w:rsidRPr="009F337B">
        <w:rPr>
          <w:rFonts w:cs="Arial"/>
          <w:bCs/>
          <w:i/>
          <w:szCs w:val="16"/>
          <w:lang w:val="en-US"/>
        </w:rPr>
        <w:t>Barbani</w:t>
      </w:r>
      <w:proofErr w:type="spellEnd"/>
      <w:r w:rsidRPr="009F337B">
        <w:rPr>
          <w:rFonts w:cs="Arial"/>
          <w:bCs/>
          <w:i/>
          <w:szCs w:val="16"/>
          <w:lang w:val="en-US"/>
        </w:rPr>
        <w:t xml:space="preserve"> Duarte et al. v. Uruguay. Merits, reparations and costs. </w:t>
      </w:r>
      <w:r w:rsidRPr="009F337B">
        <w:rPr>
          <w:rFonts w:cs="Arial"/>
          <w:bCs/>
          <w:szCs w:val="16"/>
          <w:lang w:val="en-US"/>
        </w:rPr>
        <w:t xml:space="preserve">Judgment of October 13, 2011. Series C No. 234, para. 210, and </w:t>
      </w:r>
      <w:r w:rsidRPr="009F337B">
        <w:rPr>
          <w:i/>
          <w:szCs w:val="16"/>
          <w:lang w:val="en-US"/>
        </w:rPr>
        <w:t xml:space="preserve">ECHR, Case of Sigma Radio Television Ltd. v. Cyprus, </w:t>
      </w:r>
      <w:r w:rsidRPr="009F337B">
        <w:rPr>
          <w:szCs w:val="16"/>
          <w:lang w:val="en-US"/>
        </w:rPr>
        <w:t>No. 32181/04 and 35122/05. Judgment of July 21, 2016, para. 159.</w:t>
      </w:r>
    </w:p>
  </w:footnote>
  <w:footnote w:id="218">
    <w:p w14:paraId="48A5A0B2" w14:textId="7EE4F081" w:rsidR="00AF5CC6" w:rsidRPr="009F337B" w:rsidRDefault="00AF5CC6" w:rsidP="00A30D95">
      <w:pPr>
        <w:pStyle w:val="Textonotapie"/>
        <w:tabs>
          <w:tab w:val="left" w:pos="709"/>
        </w:tabs>
        <w:spacing w:before="0"/>
        <w:rPr>
          <w:szCs w:val="16"/>
          <w:lang w:val="en-US"/>
        </w:rPr>
      </w:pPr>
      <w:r w:rsidRPr="009F337B">
        <w:rPr>
          <w:rStyle w:val="Refdenotaalpie"/>
          <w:szCs w:val="16"/>
          <w:lang w:val="en-US"/>
        </w:rPr>
        <w:footnoteRef/>
      </w:r>
      <w:r w:rsidRPr="009F337B">
        <w:rPr>
          <w:szCs w:val="16"/>
          <w:lang w:val="en-US"/>
        </w:rPr>
        <w:t xml:space="preserve"> </w:t>
      </w:r>
      <w:r w:rsidRPr="009F337B">
        <w:rPr>
          <w:szCs w:val="16"/>
          <w:lang w:val="en-US"/>
        </w:rPr>
        <w:tab/>
      </w:r>
      <w:r w:rsidRPr="009F337B">
        <w:rPr>
          <w:i/>
          <w:szCs w:val="16"/>
          <w:lang w:val="en-US"/>
        </w:rPr>
        <w:t xml:space="preserve">Cf. </w:t>
      </w:r>
      <w:r w:rsidRPr="009F337B">
        <w:rPr>
          <w:rStyle w:val="Textoennegrita"/>
          <w:b w:val="0"/>
          <w:i/>
          <w:color w:val="000000"/>
          <w:szCs w:val="16"/>
          <w:shd w:val="clear" w:color="auto" w:fill="FFFFFF"/>
          <w:lang w:val="en-US"/>
        </w:rPr>
        <w:t xml:space="preserve">Case of Suárez </w:t>
      </w:r>
      <w:proofErr w:type="spellStart"/>
      <w:r w:rsidRPr="009F337B">
        <w:rPr>
          <w:rStyle w:val="Textoennegrita"/>
          <w:b w:val="0"/>
          <w:i/>
          <w:color w:val="000000"/>
          <w:szCs w:val="16"/>
          <w:shd w:val="clear" w:color="auto" w:fill="FFFFFF"/>
          <w:lang w:val="en-US"/>
        </w:rPr>
        <w:t>Rosero</w:t>
      </w:r>
      <w:proofErr w:type="spellEnd"/>
      <w:r w:rsidRPr="009F337B">
        <w:rPr>
          <w:rStyle w:val="Textoennegrita"/>
          <w:b w:val="0"/>
          <w:i/>
          <w:color w:val="000000"/>
          <w:szCs w:val="16"/>
          <w:shd w:val="clear" w:color="auto" w:fill="FFFFFF"/>
          <w:lang w:val="en-US"/>
        </w:rPr>
        <w:t xml:space="preserve"> v. Ecuador. Merits</w:t>
      </w:r>
      <w:r w:rsidRPr="009F337B">
        <w:rPr>
          <w:rStyle w:val="Textoennegrita"/>
          <w:b w:val="0"/>
          <w:color w:val="000000"/>
          <w:szCs w:val="16"/>
          <w:shd w:val="clear" w:color="auto" w:fill="FFFFFF"/>
          <w:lang w:val="en-US"/>
        </w:rPr>
        <w:t xml:space="preserve">. Judgment of November 12, 1997. Series C No. 35, para. 71, and </w:t>
      </w:r>
      <w:r w:rsidRPr="009F337B">
        <w:rPr>
          <w:bCs/>
          <w:i/>
          <w:szCs w:val="16"/>
          <w:shd w:val="clear" w:color="auto" w:fill="FFFFFF"/>
          <w:lang w:val="en-US"/>
        </w:rPr>
        <w:t xml:space="preserve">Case of </w:t>
      </w:r>
      <w:proofErr w:type="spellStart"/>
      <w:r w:rsidRPr="009F337B">
        <w:rPr>
          <w:bCs/>
          <w:i/>
          <w:szCs w:val="16"/>
          <w:shd w:val="clear" w:color="auto" w:fill="FFFFFF"/>
          <w:lang w:val="en-US"/>
        </w:rPr>
        <w:t>Amrhein</w:t>
      </w:r>
      <w:proofErr w:type="spellEnd"/>
      <w:r w:rsidRPr="009F337B">
        <w:rPr>
          <w:bCs/>
          <w:i/>
          <w:szCs w:val="16"/>
          <w:shd w:val="clear" w:color="auto" w:fill="FFFFFF"/>
          <w:lang w:val="en-US"/>
        </w:rPr>
        <w:t xml:space="preserve"> et al. v. Costa Rica. Preliminary objections, merits, reparations and costs</w:t>
      </w:r>
      <w:r w:rsidRPr="009F337B">
        <w:rPr>
          <w:bCs/>
          <w:szCs w:val="16"/>
          <w:shd w:val="clear" w:color="auto" w:fill="FFFFFF"/>
          <w:lang w:val="en-US"/>
        </w:rPr>
        <w:t>. Judgment of April 25, 2018. Series C No. 354, para. 268.</w:t>
      </w:r>
    </w:p>
  </w:footnote>
  <w:footnote w:id="219">
    <w:p w14:paraId="151297AC" w14:textId="51433F7D" w:rsidR="00AF5CC6" w:rsidRPr="009F337B" w:rsidRDefault="00AF5CC6" w:rsidP="00A30D95">
      <w:pPr>
        <w:pStyle w:val="Textonotapie"/>
        <w:tabs>
          <w:tab w:val="left" w:pos="709"/>
        </w:tabs>
        <w:spacing w:before="0"/>
        <w:rPr>
          <w:szCs w:val="16"/>
          <w:lang w:val="en-US"/>
        </w:rPr>
      </w:pPr>
      <w:r w:rsidRPr="009F337B">
        <w:rPr>
          <w:rStyle w:val="Refdenotaalpie"/>
          <w:szCs w:val="16"/>
          <w:lang w:val="en-US"/>
        </w:rPr>
        <w:footnoteRef/>
      </w:r>
      <w:r w:rsidRPr="009F337B">
        <w:rPr>
          <w:szCs w:val="16"/>
          <w:lang w:val="en-US"/>
        </w:rPr>
        <w:t xml:space="preserve"> </w:t>
      </w:r>
      <w:r w:rsidRPr="009F337B">
        <w:rPr>
          <w:szCs w:val="16"/>
          <w:lang w:val="en-US"/>
        </w:rPr>
        <w:tab/>
      </w:r>
      <w:r w:rsidRPr="009F337B">
        <w:rPr>
          <w:i/>
          <w:szCs w:val="16"/>
          <w:lang w:val="en-US"/>
        </w:rPr>
        <w:t xml:space="preserve">Cf. Case of </w:t>
      </w:r>
      <w:proofErr w:type="spellStart"/>
      <w:r w:rsidRPr="009F337B">
        <w:rPr>
          <w:i/>
          <w:szCs w:val="16"/>
          <w:lang w:val="en-US"/>
        </w:rPr>
        <w:t>Anzualdo</w:t>
      </w:r>
      <w:proofErr w:type="spellEnd"/>
      <w:r w:rsidRPr="009F337B">
        <w:rPr>
          <w:i/>
          <w:szCs w:val="16"/>
          <w:lang w:val="en-US"/>
        </w:rPr>
        <w:t xml:space="preserve"> Castro v. Peru. Preliminary objection, merits, reparations and costs.</w:t>
      </w:r>
      <w:r w:rsidRPr="009F337B">
        <w:rPr>
          <w:szCs w:val="16"/>
          <w:lang w:val="en-US"/>
        </w:rPr>
        <w:t xml:space="preserve"> Judgment of September 22, 2009. Series C No. 202, para. 156, and </w:t>
      </w:r>
      <w:r w:rsidRPr="009F337B">
        <w:rPr>
          <w:bCs/>
          <w:i/>
          <w:szCs w:val="16"/>
          <w:shd w:val="clear" w:color="auto" w:fill="FFFFFF"/>
          <w:lang w:val="en-US"/>
        </w:rPr>
        <w:t xml:space="preserve">Case of </w:t>
      </w:r>
      <w:proofErr w:type="spellStart"/>
      <w:r w:rsidRPr="009F337B">
        <w:rPr>
          <w:bCs/>
          <w:i/>
          <w:szCs w:val="16"/>
          <w:shd w:val="clear" w:color="auto" w:fill="FFFFFF"/>
          <w:lang w:val="en-US"/>
        </w:rPr>
        <w:t>Amrhein</w:t>
      </w:r>
      <w:proofErr w:type="spellEnd"/>
      <w:r w:rsidRPr="009F337B">
        <w:rPr>
          <w:bCs/>
          <w:i/>
          <w:szCs w:val="16"/>
          <w:shd w:val="clear" w:color="auto" w:fill="FFFFFF"/>
          <w:lang w:val="en-US"/>
        </w:rPr>
        <w:t xml:space="preserve"> et al. v. Costa Rica. Preliminary objections, merits, reparations and costs</w:t>
      </w:r>
      <w:r w:rsidRPr="009F337B">
        <w:rPr>
          <w:bCs/>
          <w:szCs w:val="16"/>
          <w:shd w:val="clear" w:color="auto" w:fill="FFFFFF"/>
          <w:lang w:val="en-US"/>
        </w:rPr>
        <w:t>. Judgment of April 25, 2018. Series C No. 354, para. 422.</w:t>
      </w:r>
    </w:p>
  </w:footnote>
  <w:footnote w:id="220">
    <w:p w14:paraId="1B2F9ECF" w14:textId="0A608C72" w:rsidR="00AF5CC6" w:rsidRPr="009F337B" w:rsidRDefault="00AF5CC6" w:rsidP="00A30D95">
      <w:pPr>
        <w:spacing w:beforeLines="60" w:before="144" w:after="120"/>
        <w:rPr>
          <w:sz w:val="16"/>
          <w:szCs w:val="16"/>
          <w:lang w:val="en-US"/>
        </w:rPr>
      </w:pPr>
      <w:r w:rsidRPr="009F337B">
        <w:rPr>
          <w:rStyle w:val="Refdenotaalpie"/>
          <w:sz w:val="16"/>
          <w:szCs w:val="16"/>
          <w:lang w:val="en-US"/>
        </w:rPr>
        <w:footnoteRef/>
      </w:r>
      <w:r w:rsidRPr="009F337B">
        <w:rPr>
          <w:sz w:val="16"/>
          <w:szCs w:val="16"/>
          <w:lang w:val="en-US"/>
        </w:rPr>
        <w:t xml:space="preserve">  </w:t>
      </w:r>
      <w:r w:rsidRPr="009F337B">
        <w:rPr>
          <w:sz w:val="16"/>
          <w:szCs w:val="16"/>
          <w:lang w:val="en-US"/>
        </w:rPr>
        <w:tab/>
      </w:r>
      <w:r w:rsidRPr="009F337B">
        <w:rPr>
          <w:i/>
          <w:sz w:val="16"/>
          <w:szCs w:val="16"/>
          <w:lang w:val="en-US"/>
        </w:rPr>
        <w:t xml:space="preserve">Cf. Inter alia, Case of Genie Lacayo v. Nicaragua. Merits, reparations and costs. </w:t>
      </w:r>
      <w:r w:rsidRPr="009F337B">
        <w:rPr>
          <w:sz w:val="16"/>
          <w:szCs w:val="16"/>
          <w:lang w:val="en-US"/>
        </w:rPr>
        <w:t xml:space="preserve">Judgment of January 29, 1997. Series C No. 30, para. 78, and </w:t>
      </w:r>
      <w:r w:rsidRPr="009F337B">
        <w:rPr>
          <w:bCs/>
          <w:i/>
          <w:sz w:val="16"/>
          <w:szCs w:val="16"/>
          <w:shd w:val="clear" w:color="auto" w:fill="FFFFFF"/>
          <w:lang w:val="en-US"/>
        </w:rPr>
        <w:t>Case of Amrhein et al. v. Costa Rica. Preliminary objections, merits, reparations and costs</w:t>
      </w:r>
      <w:r w:rsidRPr="009F337B">
        <w:rPr>
          <w:bCs/>
          <w:sz w:val="16"/>
          <w:szCs w:val="16"/>
          <w:shd w:val="clear" w:color="auto" w:fill="FFFFFF"/>
          <w:lang w:val="en-US"/>
        </w:rPr>
        <w:t>. Judgment of April 25, 2018. Series C No. 354, para. 424.</w:t>
      </w:r>
    </w:p>
  </w:footnote>
  <w:footnote w:id="221">
    <w:p w14:paraId="5DC591F4" w14:textId="0F24BFE6" w:rsidR="00AF5CC6" w:rsidRPr="009F337B" w:rsidRDefault="00AF5CC6" w:rsidP="00A30D95">
      <w:pPr>
        <w:pStyle w:val="Textonotapie"/>
        <w:tabs>
          <w:tab w:val="left" w:pos="709"/>
        </w:tabs>
        <w:spacing w:before="0"/>
        <w:rPr>
          <w:szCs w:val="16"/>
          <w:lang w:val="en-US"/>
        </w:rPr>
      </w:pPr>
      <w:r w:rsidRPr="009F337B">
        <w:rPr>
          <w:rStyle w:val="Refdenotaalpie"/>
          <w:rFonts w:eastAsiaTheme="majorEastAsia"/>
          <w:szCs w:val="16"/>
          <w:lang w:val="en-US"/>
        </w:rPr>
        <w:footnoteRef/>
      </w:r>
      <w:r w:rsidRPr="009F337B">
        <w:rPr>
          <w:szCs w:val="16"/>
          <w:lang w:val="en-US"/>
        </w:rPr>
        <w:t xml:space="preserve"> </w:t>
      </w:r>
      <w:r w:rsidRPr="009F337B">
        <w:rPr>
          <w:szCs w:val="16"/>
          <w:lang w:val="en-US"/>
        </w:rPr>
        <w:tab/>
      </w:r>
      <w:r w:rsidRPr="009F337B">
        <w:rPr>
          <w:i/>
          <w:szCs w:val="16"/>
          <w:lang w:val="en-US"/>
        </w:rPr>
        <w:t xml:space="preserve">Cf. </w:t>
      </w:r>
      <w:r w:rsidRPr="009F337B">
        <w:rPr>
          <w:rStyle w:val="Textoennegrita"/>
          <w:b w:val="0"/>
          <w:i/>
          <w:color w:val="000000"/>
          <w:szCs w:val="16"/>
          <w:shd w:val="clear" w:color="auto" w:fill="FFFFFF"/>
          <w:lang w:val="en-US"/>
        </w:rPr>
        <w:t>Case of Lagos del Campo v. Peru. Preliminary objections, merits, reparations and costs</w:t>
      </w:r>
      <w:r w:rsidRPr="009F337B">
        <w:rPr>
          <w:rStyle w:val="Textoennegrita"/>
          <w:b w:val="0"/>
          <w:color w:val="000000"/>
          <w:szCs w:val="16"/>
          <w:shd w:val="clear" w:color="auto" w:fill="FFFFFF"/>
          <w:lang w:val="en-US"/>
        </w:rPr>
        <w:t>. Judgment of August 31, 2017. Series C No. 340</w:t>
      </w:r>
      <w:r w:rsidRPr="009F337B">
        <w:rPr>
          <w:szCs w:val="16"/>
          <w:lang w:val="en-US"/>
        </w:rPr>
        <w:t>, para. 184.</w:t>
      </w:r>
    </w:p>
  </w:footnote>
  <w:footnote w:id="222">
    <w:p w14:paraId="3139E64A" w14:textId="416361C1"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r>
      <w:r w:rsidRPr="009F337B">
        <w:rPr>
          <w:i/>
          <w:szCs w:val="16"/>
          <w:lang w:val="en-US"/>
        </w:rPr>
        <w:t xml:space="preserve">Cf. Case of Castillo </w:t>
      </w:r>
      <w:proofErr w:type="spellStart"/>
      <w:r w:rsidRPr="009F337B">
        <w:rPr>
          <w:i/>
          <w:szCs w:val="16"/>
          <w:lang w:val="en-US"/>
        </w:rPr>
        <w:t>Páez</w:t>
      </w:r>
      <w:proofErr w:type="spellEnd"/>
      <w:r w:rsidRPr="009F337B">
        <w:rPr>
          <w:i/>
          <w:szCs w:val="16"/>
          <w:lang w:val="en-US"/>
        </w:rPr>
        <w:t xml:space="preserve"> v. Peru. Merits.</w:t>
      </w:r>
      <w:r w:rsidRPr="009F337B">
        <w:rPr>
          <w:szCs w:val="16"/>
          <w:lang w:val="en-US"/>
        </w:rPr>
        <w:t xml:space="preserve"> Judgment of November 3, 1997. Series C No. 34, fourth operative paragraph, and </w:t>
      </w:r>
      <w:r w:rsidRPr="009F337B">
        <w:rPr>
          <w:i/>
          <w:szCs w:val="16"/>
          <w:lang w:val="en-US"/>
        </w:rPr>
        <w:t>Case of Herzog et al. v. Brazil. Preliminary objections, merits, reparations and costs.</w:t>
      </w:r>
      <w:r w:rsidRPr="009F337B">
        <w:rPr>
          <w:szCs w:val="16"/>
          <w:lang w:val="en-US"/>
        </w:rPr>
        <w:t xml:space="preserve"> Judgment of March 15, 2018. Series C No. 353, para. 351.</w:t>
      </w:r>
    </w:p>
  </w:footnote>
  <w:footnote w:id="223">
    <w:p w14:paraId="15447788" w14:textId="4BA44F68"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r>
      <w:r w:rsidRPr="009F337B">
        <w:rPr>
          <w:i/>
          <w:szCs w:val="16"/>
          <w:lang w:val="en-US"/>
        </w:rPr>
        <w:t xml:space="preserve">Cf. Case of Blake v. Guatemala. Merits. </w:t>
      </w:r>
      <w:r w:rsidRPr="009F337B">
        <w:rPr>
          <w:szCs w:val="16"/>
          <w:lang w:val="en-US"/>
        </w:rPr>
        <w:t xml:space="preserve">Judgment of January 24, 1998. Series C No. 36, para. 114, and </w:t>
      </w:r>
      <w:r w:rsidRPr="009F337B">
        <w:rPr>
          <w:i/>
          <w:szCs w:val="16"/>
          <w:lang w:val="en-US"/>
        </w:rPr>
        <w:t>Case of Herzog et al. v. Brazil. Preliminary objections, merits, reparations and costs.</w:t>
      </w:r>
      <w:r w:rsidRPr="009F337B">
        <w:rPr>
          <w:szCs w:val="16"/>
          <w:lang w:val="en-US"/>
        </w:rPr>
        <w:t xml:space="preserve"> Judgment of March 15, 2018. Series C No. 353, para. 351. </w:t>
      </w:r>
    </w:p>
  </w:footnote>
  <w:footnote w:id="224">
    <w:p w14:paraId="7EAA5D4A" w14:textId="46E8B5A5"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r>
      <w:r w:rsidRPr="009F337B">
        <w:rPr>
          <w:i/>
          <w:szCs w:val="16"/>
          <w:lang w:val="en-US"/>
        </w:rPr>
        <w:t>Cf. Case of Blake v. Guatemala. Merits.</w:t>
      </w:r>
      <w:r w:rsidRPr="009F337B">
        <w:rPr>
          <w:szCs w:val="16"/>
          <w:lang w:val="en-US"/>
        </w:rPr>
        <w:t xml:space="preserve"> Judgment of January 24, 1998. Series C No. 36, para. 114, and </w:t>
      </w:r>
      <w:r w:rsidRPr="009F337B">
        <w:rPr>
          <w:i/>
          <w:szCs w:val="16"/>
          <w:lang w:val="en-US"/>
        </w:rPr>
        <w:t xml:space="preserve">Case of Poblete </w:t>
      </w:r>
      <w:proofErr w:type="spellStart"/>
      <w:r w:rsidRPr="009F337B">
        <w:rPr>
          <w:i/>
          <w:szCs w:val="16"/>
          <w:lang w:val="en-US"/>
        </w:rPr>
        <w:t>Vilches</w:t>
      </w:r>
      <w:proofErr w:type="spellEnd"/>
      <w:r w:rsidRPr="009F337B">
        <w:rPr>
          <w:i/>
          <w:szCs w:val="16"/>
          <w:lang w:val="en-US"/>
        </w:rPr>
        <w:t xml:space="preserve"> et al. v. Chile. Merits, reparations and costs.</w:t>
      </w:r>
      <w:r w:rsidRPr="009F337B">
        <w:rPr>
          <w:szCs w:val="16"/>
          <w:lang w:val="en-US"/>
        </w:rPr>
        <w:t xml:space="preserve"> Judgment of March 8, 2018. Series C No. 349, para. 208.</w:t>
      </w:r>
    </w:p>
  </w:footnote>
  <w:footnote w:id="225">
    <w:p w14:paraId="68C9EB9F" w14:textId="68E105C7"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r>
      <w:r w:rsidRPr="009F337B">
        <w:rPr>
          <w:i/>
          <w:szCs w:val="16"/>
          <w:lang w:val="en-US"/>
        </w:rPr>
        <w:t xml:space="preserve">Cf. Case of </w:t>
      </w:r>
      <w:proofErr w:type="spellStart"/>
      <w:r w:rsidRPr="009F337B">
        <w:rPr>
          <w:i/>
          <w:szCs w:val="16"/>
          <w:lang w:val="en-US"/>
        </w:rPr>
        <w:t>Bámaca</w:t>
      </w:r>
      <w:proofErr w:type="spellEnd"/>
      <w:r w:rsidRPr="009F337B">
        <w:rPr>
          <w:i/>
          <w:szCs w:val="16"/>
          <w:lang w:val="en-US"/>
        </w:rPr>
        <w:t xml:space="preserve"> </w:t>
      </w:r>
      <w:proofErr w:type="spellStart"/>
      <w:r w:rsidRPr="009F337B">
        <w:rPr>
          <w:i/>
          <w:szCs w:val="16"/>
          <w:lang w:val="en-US"/>
        </w:rPr>
        <w:t>Velásquez</w:t>
      </w:r>
      <w:proofErr w:type="spellEnd"/>
      <w:r w:rsidRPr="009F337B">
        <w:rPr>
          <w:i/>
          <w:szCs w:val="16"/>
          <w:lang w:val="en-US"/>
        </w:rPr>
        <w:t xml:space="preserve"> v. Guatemala. Merits.</w:t>
      </w:r>
      <w:r w:rsidRPr="009F337B">
        <w:rPr>
          <w:szCs w:val="16"/>
          <w:lang w:val="en-US"/>
        </w:rPr>
        <w:t xml:space="preserve"> Judgment of November 25, 2000. Series C No. 70, paras. 162 and 163, and </w:t>
      </w:r>
      <w:r w:rsidRPr="009F337B">
        <w:rPr>
          <w:i/>
          <w:szCs w:val="16"/>
          <w:lang w:val="en-US"/>
        </w:rPr>
        <w:t xml:space="preserve">Case of Poblete </w:t>
      </w:r>
      <w:proofErr w:type="spellStart"/>
      <w:r w:rsidRPr="009F337B">
        <w:rPr>
          <w:i/>
          <w:szCs w:val="16"/>
          <w:lang w:val="en-US"/>
        </w:rPr>
        <w:t>Vilches</w:t>
      </w:r>
      <w:proofErr w:type="spellEnd"/>
      <w:r w:rsidRPr="009F337B">
        <w:rPr>
          <w:i/>
          <w:szCs w:val="16"/>
          <w:lang w:val="en-US"/>
        </w:rPr>
        <w:t xml:space="preserve"> et al. v. Chile. Merits, reparations and costs.</w:t>
      </w:r>
      <w:r w:rsidRPr="009F337B">
        <w:rPr>
          <w:szCs w:val="16"/>
          <w:lang w:val="en-US"/>
        </w:rPr>
        <w:t xml:space="preserve"> Judgment of March 8, 2018. Series C No. 349, para. 208.</w:t>
      </w:r>
    </w:p>
  </w:footnote>
  <w:footnote w:id="226">
    <w:p w14:paraId="256129D3" w14:textId="42CA2055" w:rsidR="00AF5CC6" w:rsidRPr="009F337B" w:rsidRDefault="00AF5CC6" w:rsidP="00A30D95">
      <w:pPr>
        <w:pStyle w:val="Textonotapie"/>
        <w:spacing w:before="0"/>
        <w:rPr>
          <w:szCs w:val="16"/>
          <w:lang w:val="es-CR"/>
        </w:rPr>
      </w:pPr>
      <w:r w:rsidRPr="009F337B">
        <w:rPr>
          <w:rStyle w:val="Refdenotaalpie"/>
          <w:szCs w:val="16"/>
          <w:lang w:val="en-US"/>
        </w:rPr>
        <w:footnoteRef/>
      </w:r>
      <w:r w:rsidRPr="009F337B">
        <w:rPr>
          <w:szCs w:val="16"/>
          <w:lang w:val="en-US"/>
        </w:rPr>
        <w:tab/>
      </w:r>
      <w:r w:rsidRPr="009F337B">
        <w:rPr>
          <w:i/>
          <w:szCs w:val="16"/>
          <w:lang w:val="en-US"/>
        </w:rPr>
        <w:t>Cf.</w:t>
      </w:r>
      <w:r w:rsidRPr="009F337B">
        <w:rPr>
          <w:b/>
          <w:i/>
          <w:szCs w:val="16"/>
          <w:lang w:val="en-US"/>
        </w:rPr>
        <w:t xml:space="preserve"> </w:t>
      </w:r>
      <w:r w:rsidRPr="009F337B">
        <w:rPr>
          <w:rStyle w:val="Textoennegrita"/>
          <w:b w:val="0"/>
          <w:i/>
          <w:color w:val="000000"/>
          <w:szCs w:val="16"/>
          <w:shd w:val="clear" w:color="auto" w:fill="FFFFFF"/>
          <w:lang w:val="en-US"/>
        </w:rPr>
        <w:t xml:space="preserve">Case of the Yean and </w:t>
      </w:r>
      <w:proofErr w:type="spellStart"/>
      <w:r w:rsidRPr="009F337B">
        <w:rPr>
          <w:rStyle w:val="Textoennegrita"/>
          <w:b w:val="0"/>
          <w:i/>
          <w:color w:val="000000"/>
          <w:szCs w:val="16"/>
          <w:shd w:val="clear" w:color="auto" w:fill="FFFFFF"/>
          <w:lang w:val="en-US"/>
        </w:rPr>
        <w:t>Bosico</w:t>
      </w:r>
      <w:proofErr w:type="spellEnd"/>
      <w:r w:rsidRPr="009F337B">
        <w:rPr>
          <w:rStyle w:val="Textoennegrita"/>
          <w:b w:val="0"/>
          <w:i/>
          <w:color w:val="000000"/>
          <w:szCs w:val="16"/>
          <w:shd w:val="clear" w:color="auto" w:fill="FFFFFF"/>
          <w:lang w:val="en-US"/>
        </w:rPr>
        <w:t xml:space="preserve"> Girls v. Dominican Republic</w:t>
      </w:r>
      <w:r w:rsidRPr="009F337B">
        <w:rPr>
          <w:rStyle w:val="Textoennegrita"/>
          <w:b w:val="0"/>
          <w:color w:val="000000"/>
          <w:szCs w:val="16"/>
          <w:shd w:val="clear" w:color="auto" w:fill="FFFFFF"/>
          <w:lang w:val="en-US"/>
        </w:rPr>
        <w:t>. Judgment of September 8, 2005. Series C No. 130</w:t>
      </w:r>
      <w:r w:rsidRPr="009F337B">
        <w:rPr>
          <w:szCs w:val="16"/>
          <w:lang w:val="en-US"/>
        </w:rPr>
        <w:t xml:space="preserve">, para. 205, and </w:t>
      </w:r>
      <w:r w:rsidRPr="009F337B">
        <w:rPr>
          <w:rStyle w:val="Textoennegrita"/>
          <w:b w:val="0"/>
          <w:i/>
          <w:color w:val="000000"/>
          <w:szCs w:val="16"/>
          <w:shd w:val="clear" w:color="auto" w:fill="FFFFFF"/>
          <w:lang w:val="en-US"/>
        </w:rPr>
        <w:t xml:space="preserve">Case of Poblete </w:t>
      </w:r>
      <w:proofErr w:type="spellStart"/>
      <w:r w:rsidRPr="009F337B">
        <w:rPr>
          <w:rStyle w:val="Textoennegrita"/>
          <w:b w:val="0"/>
          <w:i/>
          <w:color w:val="000000"/>
          <w:szCs w:val="16"/>
          <w:shd w:val="clear" w:color="auto" w:fill="FFFFFF"/>
          <w:lang w:val="en-US"/>
        </w:rPr>
        <w:t>Vilches</w:t>
      </w:r>
      <w:proofErr w:type="spellEnd"/>
      <w:r w:rsidRPr="009F337B">
        <w:rPr>
          <w:rStyle w:val="Textoennegrita"/>
          <w:b w:val="0"/>
          <w:i/>
          <w:color w:val="000000"/>
          <w:szCs w:val="16"/>
          <w:shd w:val="clear" w:color="auto" w:fill="FFFFFF"/>
          <w:lang w:val="en-US"/>
        </w:rPr>
        <w:t xml:space="preserve"> et al. v. Chile. Merits, reparations and costs</w:t>
      </w:r>
      <w:r w:rsidRPr="009F337B">
        <w:rPr>
          <w:rStyle w:val="Textoennegrita"/>
          <w:b w:val="0"/>
          <w:color w:val="000000"/>
          <w:szCs w:val="16"/>
          <w:shd w:val="clear" w:color="auto" w:fill="FFFFFF"/>
          <w:lang w:val="en-US"/>
        </w:rPr>
        <w:t xml:space="preserve">. </w:t>
      </w:r>
      <w:proofErr w:type="spellStart"/>
      <w:r w:rsidRPr="009F337B">
        <w:rPr>
          <w:rStyle w:val="Textoennegrita"/>
          <w:b w:val="0"/>
          <w:color w:val="000000"/>
          <w:szCs w:val="16"/>
          <w:shd w:val="clear" w:color="auto" w:fill="FFFFFF"/>
          <w:lang w:val="es-CR"/>
        </w:rPr>
        <w:t>Judgment</w:t>
      </w:r>
      <w:proofErr w:type="spellEnd"/>
      <w:r w:rsidRPr="009F337B">
        <w:rPr>
          <w:rStyle w:val="Textoennegrita"/>
          <w:b w:val="0"/>
          <w:color w:val="000000"/>
          <w:szCs w:val="16"/>
          <w:shd w:val="clear" w:color="auto" w:fill="FFFFFF"/>
          <w:lang w:val="es-CR"/>
        </w:rPr>
        <w:t xml:space="preserve"> </w:t>
      </w:r>
      <w:proofErr w:type="spellStart"/>
      <w:r w:rsidRPr="009F337B">
        <w:rPr>
          <w:rStyle w:val="Textoennegrita"/>
          <w:b w:val="0"/>
          <w:color w:val="000000"/>
          <w:szCs w:val="16"/>
          <w:shd w:val="clear" w:color="auto" w:fill="FFFFFF"/>
          <w:lang w:val="es-CR"/>
        </w:rPr>
        <w:t>of</w:t>
      </w:r>
      <w:proofErr w:type="spellEnd"/>
      <w:r w:rsidRPr="009F337B">
        <w:rPr>
          <w:rStyle w:val="Textoennegrita"/>
          <w:b w:val="0"/>
          <w:color w:val="000000"/>
          <w:szCs w:val="16"/>
          <w:shd w:val="clear" w:color="auto" w:fill="FFFFFF"/>
          <w:lang w:val="es-CR"/>
        </w:rPr>
        <w:t xml:space="preserve"> March 8, 2018. Series C No. 349, para. 205.</w:t>
      </w:r>
    </w:p>
  </w:footnote>
  <w:footnote w:id="227">
    <w:p w14:paraId="041AF9B1" w14:textId="1F8384C9" w:rsidR="00AF5CC6" w:rsidRPr="009F337B" w:rsidRDefault="00AF5CC6" w:rsidP="00A30D95">
      <w:pPr>
        <w:pStyle w:val="Textonotapie"/>
        <w:spacing w:before="0"/>
        <w:rPr>
          <w:szCs w:val="16"/>
          <w:lang w:val="es-CR"/>
        </w:rPr>
      </w:pPr>
      <w:r w:rsidRPr="009F337B">
        <w:rPr>
          <w:rStyle w:val="Refdenotaalpie"/>
          <w:szCs w:val="16"/>
          <w:lang w:val="en-US"/>
        </w:rPr>
        <w:footnoteRef/>
      </w:r>
      <w:r w:rsidRPr="009F337B">
        <w:rPr>
          <w:szCs w:val="16"/>
          <w:lang w:val="es-CR"/>
        </w:rPr>
        <w:tab/>
      </w:r>
      <w:r w:rsidRPr="009F337B">
        <w:rPr>
          <w:rFonts w:cs="Times New Roman"/>
          <w:szCs w:val="16"/>
          <w:lang w:val="es-CR"/>
        </w:rPr>
        <w:t xml:space="preserve">María de Jesús Chajón de León, </w:t>
      </w:r>
      <w:r w:rsidRPr="009F337B">
        <w:rPr>
          <w:szCs w:val="16"/>
          <w:lang w:val="es-CR"/>
        </w:rPr>
        <w:t xml:space="preserve">Carlos Fernando </w:t>
      </w:r>
      <w:proofErr w:type="spellStart"/>
      <w:r w:rsidRPr="009F337B">
        <w:rPr>
          <w:szCs w:val="16"/>
          <w:lang w:val="es-CR"/>
        </w:rPr>
        <w:t>Coc</w:t>
      </w:r>
      <w:proofErr w:type="spellEnd"/>
      <w:r w:rsidRPr="009F337B">
        <w:rPr>
          <w:szCs w:val="16"/>
          <w:lang w:val="es-CR"/>
        </w:rPr>
        <w:t xml:space="preserve"> Chajón</w:t>
      </w:r>
      <w:r w:rsidRPr="009F337B">
        <w:rPr>
          <w:rFonts w:cs="Times New Roman"/>
          <w:szCs w:val="16"/>
          <w:lang w:val="es-CR"/>
        </w:rPr>
        <w:t xml:space="preserve">, Cruz García Ramos, </w:t>
      </w:r>
      <w:r w:rsidRPr="009F337B">
        <w:rPr>
          <w:szCs w:val="16"/>
          <w:lang w:val="es-CR"/>
        </w:rPr>
        <w:t xml:space="preserve">Luis Alberto Hernández Estrada, Estuardo Edison Hernández Estrada, Osma Vinicio Hernández Estrada, Karen Herlinda Hernández Estrada, Miriam Lisbeth Hernández Estrada and </w:t>
      </w:r>
      <w:r w:rsidRPr="009F337B">
        <w:rPr>
          <w:rFonts w:cs="Times New Roman"/>
          <w:szCs w:val="16"/>
          <w:lang w:val="es-CR"/>
        </w:rPr>
        <w:t xml:space="preserve">María Magdalena Rodas Mérida, Victoria Ramírez Ramos, Sandra Judith Pérez </w:t>
      </w:r>
      <w:proofErr w:type="spellStart"/>
      <w:r w:rsidRPr="009F337B">
        <w:rPr>
          <w:rFonts w:cs="Times New Roman"/>
          <w:szCs w:val="16"/>
          <w:lang w:val="es-CR"/>
        </w:rPr>
        <w:t>Cayaxon</w:t>
      </w:r>
      <w:proofErr w:type="spellEnd"/>
      <w:r w:rsidRPr="009F337B">
        <w:rPr>
          <w:rFonts w:cs="Times New Roman"/>
          <w:szCs w:val="16"/>
          <w:lang w:val="es-CR"/>
        </w:rPr>
        <w:t xml:space="preserve">, Guadalupe Pérez </w:t>
      </w:r>
      <w:proofErr w:type="spellStart"/>
      <w:r w:rsidRPr="009F337B">
        <w:rPr>
          <w:rFonts w:cs="Times New Roman"/>
          <w:szCs w:val="16"/>
          <w:lang w:val="es-CR"/>
        </w:rPr>
        <w:t>Cayaxon</w:t>
      </w:r>
      <w:proofErr w:type="spellEnd"/>
      <w:r w:rsidRPr="009F337B">
        <w:rPr>
          <w:rFonts w:cs="Times New Roman"/>
          <w:szCs w:val="16"/>
          <w:lang w:val="es-CR"/>
        </w:rPr>
        <w:t xml:space="preserve">, </w:t>
      </w:r>
      <w:proofErr w:type="spellStart"/>
      <w:r w:rsidRPr="009F337B">
        <w:rPr>
          <w:rFonts w:cs="Times New Roman"/>
          <w:szCs w:val="16"/>
          <w:lang w:val="es-CR"/>
        </w:rPr>
        <w:t>Yensi</w:t>
      </w:r>
      <w:proofErr w:type="spellEnd"/>
      <w:r w:rsidRPr="009F337B">
        <w:rPr>
          <w:rFonts w:cs="Times New Roman"/>
          <w:szCs w:val="16"/>
          <w:lang w:val="es-CR"/>
        </w:rPr>
        <w:t xml:space="preserve"> </w:t>
      </w:r>
      <w:proofErr w:type="spellStart"/>
      <w:r w:rsidRPr="009F337B">
        <w:rPr>
          <w:rFonts w:cs="Times New Roman"/>
          <w:szCs w:val="16"/>
          <w:lang w:val="es-CR"/>
        </w:rPr>
        <w:t>Nohemi</w:t>
      </w:r>
      <w:proofErr w:type="spellEnd"/>
      <w:r w:rsidRPr="009F337B">
        <w:rPr>
          <w:rFonts w:cs="Times New Roman"/>
          <w:szCs w:val="16"/>
          <w:lang w:val="es-CR"/>
        </w:rPr>
        <w:t xml:space="preserve"> Pérez </w:t>
      </w:r>
      <w:proofErr w:type="spellStart"/>
      <w:r w:rsidRPr="009F337B">
        <w:rPr>
          <w:rFonts w:cs="Times New Roman"/>
          <w:szCs w:val="16"/>
          <w:lang w:val="es-CR"/>
        </w:rPr>
        <w:t>Cayaxon</w:t>
      </w:r>
      <w:proofErr w:type="spellEnd"/>
      <w:r w:rsidRPr="009F337B">
        <w:rPr>
          <w:rFonts w:cs="Times New Roman"/>
          <w:szCs w:val="16"/>
          <w:lang w:val="es-CR"/>
        </w:rPr>
        <w:t xml:space="preserve">, Braulio Adán Rodas Mérida, Andy Alberto Rodas Mérida, </w:t>
      </w:r>
      <w:proofErr w:type="spellStart"/>
      <w:r w:rsidRPr="009F337B">
        <w:rPr>
          <w:rFonts w:cs="Times New Roman"/>
          <w:szCs w:val="16"/>
          <w:lang w:val="es-CR"/>
        </w:rPr>
        <w:t>Anibal</w:t>
      </w:r>
      <w:proofErr w:type="spellEnd"/>
      <w:r w:rsidRPr="009F337B">
        <w:rPr>
          <w:rFonts w:cs="Times New Roman"/>
          <w:szCs w:val="16"/>
          <w:lang w:val="es-CR"/>
        </w:rPr>
        <w:t xml:space="preserve"> Leonel Rodas Mérida, Clara </w:t>
      </w:r>
      <w:proofErr w:type="spellStart"/>
      <w:r w:rsidRPr="009F337B">
        <w:rPr>
          <w:rFonts w:cs="Times New Roman"/>
          <w:szCs w:val="16"/>
          <w:lang w:val="es-CR"/>
        </w:rPr>
        <w:t>Veronica</w:t>
      </w:r>
      <w:proofErr w:type="spellEnd"/>
      <w:r w:rsidRPr="009F337B">
        <w:rPr>
          <w:rFonts w:cs="Times New Roman"/>
          <w:szCs w:val="16"/>
          <w:lang w:val="es-CR"/>
        </w:rPr>
        <w:t xml:space="preserve"> Rodas Mérida, Sonia Maribel Rodas Mérida, Walter </w:t>
      </w:r>
      <w:proofErr w:type="spellStart"/>
      <w:r w:rsidRPr="009F337B">
        <w:rPr>
          <w:rFonts w:cs="Times New Roman"/>
          <w:szCs w:val="16"/>
          <w:lang w:val="es-CR"/>
        </w:rPr>
        <w:t>Audencio</w:t>
      </w:r>
      <w:proofErr w:type="spellEnd"/>
      <w:r w:rsidRPr="009F337B">
        <w:rPr>
          <w:rFonts w:cs="Times New Roman"/>
          <w:szCs w:val="16"/>
          <w:lang w:val="es-CR"/>
        </w:rPr>
        <w:t xml:space="preserve"> Rodas Mérida, Flor de María Rodas Mérida and Leonel Celestino Mazariegos Cinto.</w:t>
      </w:r>
    </w:p>
  </w:footnote>
  <w:footnote w:id="228">
    <w:p w14:paraId="33EBA517" w14:textId="1E0CE600" w:rsidR="00AF5CC6" w:rsidRPr="009F337B" w:rsidRDefault="00AF5CC6" w:rsidP="00A30D95">
      <w:pPr>
        <w:pStyle w:val="Textonotapie"/>
        <w:spacing w:before="0"/>
        <w:rPr>
          <w:szCs w:val="16"/>
          <w:lang w:val="es-CR"/>
        </w:rPr>
      </w:pPr>
      <w:r w:rsidRPr="009F337B">
        <w:rPr>
          <w:rStyle w:val="Refdenotaalpie"/>
          <w:szCs w:val="16"/>
          <w:lang w:val="en-US"/>
        </w:rPr>
        <w:footnoteRef/>
      </w:r>
      <w:r w:rsidRPr="009F337B">
        <w:rPr>
          <w:szCs w:val="16"/>
          <w:lang w:val="es-CR"/>
        </w:rPr>
        <w:tab/>
        <w:t xml:space="preserve">María Elena Morales Villafuerte, Brandon David Adalberto Gómez Morales, María de Jesús Chacón de León, Carlos Fernando </w:t>
      </w:r>
      <w:proofErr w:type="spellStart"/>
      <w:r w:rsidRPr="009F337B">
        <w:rPr>
          <w:szCs w:val="16"/>
          <w:lang w:val="es-CR"/>
        </w:rPr>
        <w:t>Coc</w:t>
      </w:r>
      <w:proofErr w:type="spellEnd"/>
      <w:r w:rsidRPr="009F337B">
        <w:rPr>
          <w:szCs w:val="16"/>
          <w:lang w:val="es-CR"/>
        </w:rPr>
        <w:t xml:space="preserve"> Chajón, Antonio Vail Molina, </w:t>
      </w:r>
      <w:proofErr w:type="spellStart"/>
      <w:r w:rsidRPr="009F337B">
        <w:rPr>
          <w:szCs w:val="16"/>
          <w:lang w:val="es-CR"/>
        </w:rPr>
        <w:t>Lexana</w:t>
      </w:r>
      <w:proofErr w:type="spellEnd"/>
      <w:r w:rsidRPr="009F337B">
        <w:rPr>
          <w:szCs w:val="16"/>
          <w:lang w:val="es-CR"/>
        </w:rPr>
        <w:t xml:space="preserve"> </w:t>
      </w:r>
      <w:proofErr w:type="spellStart"/>
      <w:r w:rsidRPr="009F337B">
        <w:rPr>
          <w:szCs w:val="16"/>
          <w:lang w:val="es-CR"/>
        </w:rPr>
        <w:t>Rosbetty</w:t>
      </w:r>
      <w:proofErr w:type="spellEnd"/>
      <w:r w:rsidRPr="009F337B">
        <w:rPr>
          <w:szCs w:val="16"/>
          <w:lang w:val="es-CR"/>
        </w:rPr>
        <w:t xml:space="preserve"> Pérez Vail, Cruz García Ramos, Sandra Judith Pérez </w:t>
      </w:r>
      <w:proofErr w:type="spellStart"/>
      <w:r w:rsidRPr="009F337B">
        <w:rPr>
          <w:szCs w:val="16"/>
          <w:lang w:val="es-CR"/>
        </w:rPr>
        <w:t>Cayaxon</w:t>
      </w:r>
      <w:proofErr w:type="spellEnd"/>
      <w:r w:rsidRPr="009F337B">
        <w:rPr>
          <w:szCs w:val="16"/>
          <w:lang w:val="es-CR"/>
        </w:rPr>
        <w:t xml:space="preserve">, Guadalupe Pérez </w:t>
      </w:r>
      <w:proofErr w:type="spellStart"/>
      <w:r w:rsidRPr="009F337B">
        <w:rPr>
          <w:szCs w:val="16"/>
          <w:lang w:val="es-CR"/>
        </w:rPr>
        <w:t>Cayaxon</w:t>
      </w:r>
      <w:proofErr w:type="spellEnd"/>
      <w:r w:rsidRPr="009F337B">
        <w:rPr>
          <w:szCs w:val="16"/>
          <w:lang w:val="es-CR"/>
        </w:rPr>
        <w:t xml:space="preserve">, </w:t>
      </w:r>
      <w:proofErr w:type="spellStart"/>
      <w:r w:rsidRPr="009F337B">
        <w:rPr>
          <w:szCs w:val="16"/>
          <w:lang w:val="es-CR"/>
        </w:rPr>
        <w:t>Yensi</w:t>
      </w:r>
      <w:proofErr w:type="spellEnd"/>
      <w:r w:rsidRPr="009F337B">
        <w:rPr>
          <w:szCs w:val="16"/>
          <w:lang w:val="es-CR"/>
        </w:rPr>
        <w:t xml:space="preserve"> Nohemí Pérez </w:t>
      </w:r>
      <w:proofErr w:type="spellStart"/>
      <w:r w:rsidRPr="009F337B">
        <w:rPr>
          <w:szCs w:val="16"/>
          <w:lang w:val="es-CR"/>
        </w:rPr>
        <w:t>Cayaxon</w:t>
      </w:r>
      <w:proofErr w:type="spellEnd"/>
      <w:r w:rsidRPr="009F337B">
        <w:rPr>
          <w:szCs w:val="16"/>
          <w:lang w:val="es-CR"/>
        </w:rPr>
        <w:t>, Luis Alberto Hernández Estrada, Estuardo Edison Hernández Estrada, Osma Vinicio Hernández Estrada, Karen Herlinda Hernández Estrada and Miriam Lisbeth Hernández Estrada, Leonel Celestino Mazariegos Cinto, Antonio Miranda Méndez and Victoria Ramírez Ramos.</w:t>
      </w:r>
    </w:p>
  </w:footnote>
  <w:footnote w:id="229">
    <w:p w14:paraId="72291F85" w14:textId="0C6192C9" w:rsidR="00AF5CC6" w:rsidRPr="009F337B" w:rsidRDefault="00AF5CC6" w:rsidP="00A30D95">
      <w:pPr>
        <w:spacing w:after="120"/>
        <w:rPr>
          <w:rFonts w:cs="Times New Roman"/>
          <w:sz w:val="16"/>
          <w:szCs w:val="16"/>
          <w:lang w:val="es-CR"/>
        </w:rPr>
      </w:pPr>
      <w:r w:rsidRPr="009F337B">
        <w:rPr>
          <w:rStyle w:val="Refdenotaalpie"/>
          <w:sz w:val="16"/>
          <w:szCs w:val="16"/>
          <w:lang w:val="en-US"/>
        </w:rPr>
        <w:footnoteRef/>
      </w:r>
      <w:r w:rsidRPr="009F337B">
        <w:rPr>
          <w:sz w:val="16"/>
          <w:szCs w:val="16"/>
          <w:lang w:val="es-CR"/>
        </w:rPr>
        <w:tab/>
      </w:r>
      <w:r w:rsidRPr="009F337B">
        <w:rPr>
          <w:rFonts w:cs="Times New Roman"/>
          <w:sz w:val="16"/>
          <w:szCs w:val="16"/>
          <w:lang w:val="es-CR"/>
        </w:rPr>
        <w:t>Aníbal Leonel Rodas Mérida, Clara Verónica Rodas Mérida, Sonia Maribel Rodas Mérida, Braulio Adán Rodas Mérida, Andy Alberto Rodas Mérida, Walter Audencio Rodas Mérida, Flor de María Rodas Mérida and María Magdalena Rodas Mérida.</w:t>
      </w:r>
    </w:p>
  </w:footnote>
  <w:footnote w:id="230">
    <w:p w14:paraId="64C6903A" w14:textId="03C14B81" w:rsidR="00AF5CC6" w:rsidRPr="009F337B" w:rsidRDefault="00AF5CC6" w:rsidP="00A30D95">
      <w:pPr>
        <w:spacing w:after="120"/>
        <w:rPr>
          <w:rFonts w:cs="Times New Roman"/>
          <w:sz w:val="16"/>
          <w:szCs w:val="16"/>
          <w:lang w:val="es-CR"/>
        </w:rPr>
      </w:pPr>
      <w:r w:rsidRPr="009F337B">
        <w:rPr>
          <w:rStyle w:val="Refdenotaalpie"/>
          <w:sz w:val="16"/>
          <w:szCs w:val="16"/>
          <w:lang w:val="en-US"/>
        </w:rPr>
        <w:footnoteRef/>
      </w:r>
      <w:r w:rsidRPr="009F337B">
        <w:rPr>
          <w:sz w:val="16"/>
          <w:szCs w:val="16"/>
          <w:lang w:val="es-CR"/>
        </w:rPr>
        <w:tab/>
      </w:r>
      <w:r w:rsidRPr="009F337B">
        <w:rPr>
          <w:rFonts w:cs="Times New Roman"/>
          <w:sz w:val="16"/>
          <w:szCs w:val="16"/>
          <w:lang w:val="es-CR"/>
        </w:rPr>
        <w:t>Lexana Rosbetty Pérez Vaíl, Sandra Judith Pérez Cayaxon, Guadalupe Pérez Cayaxon, Yensi Nohemí Pérez Cayaxon</w:t>
      </w:r>
      <w:r w:rsidRPr="009F337B">
        <w:rPr>
          <w:sz w:val="16"/>
          <w:szCs w:val="16"/>
          <w:lang w:val="es-CR"/>
        </w:rPr>
        <w:t>, Jhony Francisco Valdéz Pérez, Boni Kennedy Valdéz Pérez, Nancy Beatríz Valdéz Pérez, Glendi Betsaida Valdéz Pérez, Mildred Odalis Valdéz Pérez, Zolia Argentina Valdéz Pérez, Nelson Gudiel Valdéz Pérez,</w:t>
      </w:r>
      <w:r w:rsidRPr="009F337B">
        <w:rPr>
          <w:rFonts w:cs="Times New Roman"/>
          <w:sz w:val="16"/>
          <w:szCs w:val="16"/>
          <w:lang w:val="es-CR"/>
        </w:rPr>
        <w:t xml:space="preserve"> Rocael Gómez Felipe, Jaime Gómez Felipe, Miguel Gómez Felipe, Carlos Gómez Felipe, Francisco Gómez Felipe, Margarita Gómez Felipe, Ana Patricia Gómez Felipe, Carlos Fernando Coc Chajón</w:t>
      </w:r>
      <w:r w:rsidRPr="009F337B">
        <w:rPr>
          <w:sz w:val="16"/>
          <w:szCs w:val="16"/>
          <w:lang w:val="es-CR"/>
        </w:rPr>
        <w:t xml:space="preserve">, Luis Alberto Hernández Estrada, </w:t>
      </w:r>
      <w:r w:rsidRPr="009F337B">
        <w:rPr>
          <w:rFonts w:cs="Times New Roman"/>
          <w:sz w:val="16"/>
          <w:szCs w:val="16"/>
          <w:lang w:val="es-CR"/>
        </w:rPr>
        <w:t>Clara Verónica Rodas Mérida, Sonia Maribel Rodas Mérida, Braulio Adán Rodas Mérida, Andy Alberto Rodas Mérida, Aníbal Leonel Rodas Mérida, Walter Audencio Rodas Mérida, Flor de María Rodas Mérida and María Magdalena Rodas Mérida.</w:t>
      </w:r>
    </w:p>
  </w:footnote>
  <w:footnote w:id="231">
    <w:p w14:paraId="769E1053" w14:textId="516BF928" w:rsidR="00AF5CC6" w:rsidRPr="009F337B" w:rsidRDefault="00AF5CC6" w:rsidP="00A30D95">
      <w:pPr>
        <w:spacing w:after="120"/>
        <w:rPr>
          <w:rFonts w:cs="Times New Roman"/>
          <w:sz w:val="16"/>
          <w:szCs w:val="16"/>
          <w:lang w:val="es-CR"/>
        </w:rPr>
      </w:pPr>
      <w:r w:rsidRPr="009F337B">
        <w:rPr>
          <w:rStyle w:val="Refdenotaalpie"/>
          <w:sz w:val="16"/>
          <w:szCs w:val="16"/>
          <w:lang w:val="en-US"/>
        </w:rPr>
        <w:footnoteRef/>
      </w:r>
      <w:r w:rsidRPr="009F337B">
        <w:rPr>
          <w:sz w:val="16"/>
          <w:szCs w:val="16"/>
          <w:lang w:val="es-CR"/>
        </w:rPr>
        <w:tab/>
      </w:r>
      <w:r w:rsidRPr="009F337B">
        <w:rPr>
          <w:rFonts w:cs="Times New Roman"/>
          <w:sz w:val="16"/>
          <w:szCs w:val="16"/>
          <w:lang w:val="es-CR"/>
        </w:rPr>
        <w:t xml:space="preserve">María Elena Morales Villafuerte, Brandon David Adalberto Gómez Morales, Antonio Miranda Méndez, Nancy Beatríz Valdéz Pérez, Glendi Betsaida Valdéz Pérez, Mildred Odalis Valdéz Pérez, Zoila Argentina Valdéz Pérez, Jhony Francisco Valdéz Pérez, Nelson Gudiel Valdéz Pérez, Boni Kennedy Valdéz Pérez, </w:t>
      </w:r>
      <w:r w:rsidRPr="009F337B">
        <w:rPr>
          <w:sz w:val="16"/>
          <w:szCs w:val="16"/>
          <w:lang w:val="es-CR"/>
        </w:rPr>
        <w:t>Candelaria Ordóñez Alvarez, Argentina Ordoñez Alvarez, Honoria Ordoñez Alvarez, Cecilia Ordoñez Alvarez, Daria Ordoñez Alvarez, Juan Carlos Ordoñez Alvarez, Edilma Evelina Barrios, Darlin Sureima Barrios, Kendi Liserli Barrios, Noret Adali Barrios, Sixto Mérida Mendoza, Hermina Rodríguez Coculista, Alejo Ranferi Maldonado Oxlaj, Ana Castillo López, Aracely Méndez Castillo and Carmen Mérida Coronado</w:t>
      </w:r>
      <w:r w:rsidRPr="009F337B">
        <w:rPr>
          <w:rFonts w:cs="Times New Roman"/>
          <w:sz w:val="16"/>
          <w:szCs w:val="16"/>
          <w:lang w:val="es-CR"/>
        </w:rPr>
        <w:t>.</w:t>
      </w:r>
    </w:p>
  </w:footnote>
  <w:footnote w:id="232">
    <w:p w14:paraId="28E53591" w14:textId="59C3BC35" w:rsidR="00AF5CC6" w:rsidRPr="009F337B" w:rsidRDefault="00AF5CC6" w:rsidP="00A30D95">
      <w:pPr>
        <w:spacing w:after="120"/>
        <w:rPr>
          <w:rFonts w:cs="Times New Roman"/>
          <w:sz w:val="16"/>
          <w:szCs w:val="16"/>
          <w:lang w:val="es-CR"/>
        </w:rPr>
      </w:pPr>
      <w:r w:rsidRPr="009F337B">
        <w:rPr>
          <w:rStyle w:val="Refdenotaalpie"/>
          <w:sz w:val="16"/>
          <w:szCs w:val="16"/>
          <w:lang w:val="en-US"/>
        </w:rPr>
        <w:footnoteRef/>
      </w:r>
      <w:r w:rsidRPr="009F337B">
        <w:rPr>
          <w:sz w:val="16"/>
          <w:szCs w:val="16"/>
          <w:lang w:val="es-CR"/>
        </w:rPr>
        <w:tab/>
      </w:r>
      <w:r w:rsidRPr="009F337B">
        <w:rPr>
          <w:rFonts w:cs="Times New Roman"/>
          <w:sz w:val="16"/>
          <w:szCs w:val="16"/>
          <w:lang w:val="es-CR"/>
        </w:rPr>
        <w:t xml:space="preserve">Nancy Beatríz Valdéz Pérez, Glendi Betsaida Valdéz Pérez, Mildred Odalis Valdéz Pérez, Zoila Argentina Valdéz Pérez, Jhony Francisco Valdéz Pérez, Nelson Gudiel Valdéz Pérez and Boni Kennedy Valdez Pérez and Alejo Ranferi Maldonado Oxlaj. </w:t>
      </w:r>
    </w:p>
  </w:footnote>
  <w:footnote w:id="233">
    <w:p w14:paraId="7C44C76D" w14:textId="488B41C5" w:rsidR="00AF5CC6" w:rsidRPr="009F337B" w:rsidRDefault="00AF5CC6" w:rsidP="00A30D95">
      <w:pPr>
        <w:pStyle w:val="Textonotapie"/>
        <w:spacing w:before="0"/>
        <w:rPr>
          <w:rFonts w:cstheme="minorBidi"/>
          <w:szCs w:val="16"/>
          <w:lang w:val="es-CR"/>
        </w:rPr>
      </w:pPr>
      <w:r w:rsidRPr="009F337B">
        <w:rPr>
          <w:rStyle w:val="Refdenotaalpie"/>
          <w:szCs w:val="16"/>
          <w:lang w:val="en-US"/>
        </w:rPr>
        <w:footnoteRef/>
      </w:r>
      <w:r w:rsidRPr="009F337B">
        <w:rPr>
          <w:szCs w:val="16"/>
          <w:lang w:val="es-CR"/>
        </w:rPr>
        <w:tab/>
      </w:r>
      <w:proofErr w:type="spellStart"/>
      <w:r w:rsidRPr="009F337B">
        <w:rPr>
          <w:rFonts w:cs="Times New Roman"/>
          <w:szCs w:val="16"/>
          <w:lang w:val="es-CR"/>
        </w:rPr>
        <w:t>Lexana</w:t>
      </w:r>
      <w:proofErr w:type="spellEnd"/>
      <w:r w:rsidRPr="009F337B">
        <w:rPr>
          <w:rFonts w:cs="Times New Roman"/>
          <w:szCs w:val="16"/>
          <w:lang w:val="es-CR"/>
        </w:rPr>
        <w:t xml:space="preserve"> </w:t>
      </w:r>
      <w:proofErr w:type="spellStart"/>
      <w:r w:rsidRPr="009F337B">
        <w:rPr>
          <w:rFonts w:cs="Times New Roman"/>
          <w:szCs w:val="16"/>
          <w:lang w:val="es-CR"/>
        </w:rPr>
        <w:t>Rosbetty</w:t>
      </w:r>
      <w:proofErr w:type="spellEnd"/>
      <w:r w:rsidRPr="009F337B">
        <w:rPr>
          <w:rFonts w:cs="Times New Roman"/>
          <w:szCs w:val="16"/>
          <w:lang w:val="es-CR"/>
        </w:rPr>
        <w:t xml:space="preserve"> Pérez </w:t>
      </w:r>
      <w:proofErr w:type="spellStart"/>
      <w:r w:rsidRPr="009F337B">
        <w:rPr>
          <w:rFonts w:cs="Times New Roman"/>
          <w:szCs w:val="16"/>
          <w:lang w:val="es-CR"/>
        </w:rPr>
        <w:t>Vaíl</w:t>
      </w:r>
      <w:proofErr w:type="spellEnd"/>
      <w:r w:rsidRPr="009F337B">
        <w:rPr>
          <w:rFonts w:cs="Times New Roman"/>
          <w:szCs w:val="16"/>
          <w:lang w:val="es-CR"/>
        </w:rPr>
        <w:t xml:space="preserve">, L.A.L., Rocael Gómez Felipe, Jaime Gómez Felipe, Miguel Gómez Felipe, Carlos Gómez Felipe, Francisco Gómez Felipe, Margarita Gómez Felipe, Ana Patricia Gómez Felipe, Karla de Jesús Coronado Mérida, Benita del Rosario Soto Mérida, Erick Alexander Maldonado Mérida, </w:t>
      </w:r>
      <w:r w:rsidRPr="009F337B">
        <w:rPr>
          <w:szCs w:val="16"/>
          <w:lang w:val="es-CR"/>
        </w:rPr>
        <w:t xml:space="preserve">Luis Alberto Hernández Estrada, Estuardo Edison Hernández Estrada, Osma Vinicio Hernández Estrada, Karen Herlinda Hernández Estrada, Miriam Lisbeth Hernández Estrada, Nidya Roxana </w:t>
      </w:r>
      <w:proofErr w:type="spellStart"/>
      <w:r w:rsidRPr="009F337B">
        <w:rPr>
          <w:szCs w:val="16"/>
          <w:lang w:val="es-CR"/>
        </w:rPr>
        <w:t>Zapet</w:t>
      </w:r>
      <w:proofErr w:type="spellEnd"/>
      <w:r w:rsidRPr="009F337B">
        <w:rPr>
          <w:szCs w:val="16"/>
          <w:lang w:val="es-CR"/>
        </w:rPr>
        <w:t xml:space="preserve"> Gómez and </w:t>
      </w:r>
      <w:proofErr w:type="spellStart"/>
      <w:r w:rsidRPr="009F337B">
        <w:rPr>
          <w:szCs w:val="16"/>
          <w:lang w:val="es-CR"/>
        </w:rPr>
        <w:t>Mardo</w:t>
      </w:r>
      <w:proofErr w:type="spellEnd"/>
      <w:r w:rsidRPr="009F337B">
        <w:rPr>
          <w:szCs w:val="16"/>
          <w:lang w:val="es-CR"/>
        </w:rPr>
        <w:t xml:space="preserve"> Kleiber Hernández </w:t>
      </w:r>
      <w:proofErr w:type="spellStart"/>
      <w:r w:rsidRPr="009F337B">
        <w:rPr>
          <w:szCs w:val="16"/>
          <w:lang w:val="es-CR"/>
        </w:rPr>
        <w:t>Zapet</w:t>
      </w:r>
      <w:proofErr w:type="spellEnd"/>
      <w:r w:rsidRPr="009F337B">
        <w:rPr>
          <w:szCs w:val="16"/>
          <w:lang w:val="es-CR"/>
        </w:rPr>
        <w:t>.</w:t>
      </w:r>
    </w:p>
  </w:footnote>
  <w:footnote w:id="234">
    <w:p w14:paraId="3876F673" w14:textId="06D134C0" w:rsidR="00AF5CC6" w:rsidRPr="009F337B" w:rsidRDefault="00AF5CC6" w:rsidP="00A30D95">
      <w:pPr>
        <w:pStyle w:val="Textonotapie"/>
        <w:spacing w:before="0"/>
        <w:rPr>
          <w:szCs w:val="16"/>
          <w:lang w:val="es-CR"/>
        </w:rPr>
      </w:pPr>
      <w:r w:rsidRPr="009F337B">
        <w:rPr>
          <w:rStyle w:val="Refdenotaalpie"/>
          <w:szCs w:val="16"/>
          <w:lang w:val="en-US"/>
        </w:rPr>
        <w:footnoteRef/>
      </w:r>
      <w:r w:rsidRPr="009F337B">
        <w:rPr>
          <w:szCs w:val="16"/>
          <w:lang w:val="es-CR"/>
        </w:rPr>
        <w:tab/>
      </w:r>
      <w:r w:rsidRPr="009F337B">
        <w:rPr>
          <w:rFonts w:cs="Times New Roman"/>
          <w:szCs w:val="16"/>
          <w:lang w:val="es-CR"/>
        </w:rPr>
        <w:t>María Elena Morales Villafuerte, Brandon David Adalberto Gómez Morales and Cruz García Ramos.</w:t>
      </w:r>
    </w:p>
  </w:footnote>
  <w:footnote w:id="235">
    <w:p w14:paraId="5F0843E8" w14:textId="252F224B"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 xml:space="preserve"> </w:t>
      </w:r>
      <w:r w:rsidRPr="009F337B">
        <w:rPr>
          <w:szCs w:val="16"/>
          <w:lang w:val="en-US"/>
        </w:rPr>
        <w:tab/>
      </w:r>
      <w:r w:rsidRPr="009F337B">
        <w:rPr>
          <w:i/>
          <w:szCs w:val="16"/>
          <w:lang w:val="en-US"/>
        </w:rPr>
        <w:t xml:space="preserve">Cf. </w:t>
      </w:r>
      <w:r w:rsidRPr="009F337B">
        <w:rPr>
          <w:rStyle w:val="Textoennegrita"/>
          <w:b w:val="0"/>
          <w:i/>
          <w:color w:val="000000"/>
          <w:szCs w:val="16"/>
          <w:shd w:val="clear" w:color="auto" w:fill="FFFFFF"/>
          <w:lang w:val="en-US"/>
        </w:rPr>
        <w:t xml:space="preserve">Case of </w:t>
      </w:r>
      <w:proofErr w:type="spellStart"/>
      <w:r w:rsidRPr="009F337B">
        <w:rPr>
          <w:rStyle w:val="Textoennegrita"/>
          <w:b w:val="0"/>
          <w:i/>
          <w:color w:val="000000"/>
          <w:szCs w:val="16"/>
          <w:shd w:val="clear" w:color="auto" w:fill="FFFFFF"/>
          <w:lang w:val="en-US"/>
        </w:rPr>
        <w:t>Servellón</w:t>
      </w:r>
      <w:proofErr w:type="spellEnd"/>
      <w:r w:rsidRPr="009F337B">
        <w:rPr>
          <w:rStyle w:val="Textoennegrita"/>
          <w:b w:val="0"/>
          <w:i/>
          <w:color w:val="000000"/>
          <w:szCs w:val="16"/>
          <w:shd w:val="clear" w:color="auto" w:fill="FFFFFF"/>
          <w:lang w:val="en-US"/>
        </w:rPr>
        <w:t xml:space="preserve"> García et al. v. Honduras.</w:t>
      </w:r>
      <w:r w:rsidRPr="009F337B">
        <w:rPr>
          <w:rStyle w:val="Textoennegrita"/>
          <w:b w:val="0"/>
          <w:color w:val="000000"/>
          <w:szCs w:val="16"/>
          <w:shd w:val="clear" w:color="auto" w:fill="FFFFFF"/>
          <w:lang w:val="en-US"/>
        </w:rPr>
        <w:t xml:space="preserve"> Judgment of September 21, 2006. Series C No. 152., paras. 137 and 138.</w:t>
      </w:r>
    </w:p>
  </w:footnote>
  <w:footnote w:id="236">
    <w:p w14:paraId="2F9DE087" w14:textId="36B968FC"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 xml:space="preserve"> </w:t>
      </w:r>
      <w:r w:rsidRPr="009F337B">
        <w:rPr>
          <w:szCs w:val="16"/>
          <w:lang w:val="en-US"/>
        </w:rPr>
        <w:tab/>
        <w:t xml:space="preserve">World Health Organization, What is the impact of HIV on families? 2005, p. 13. Available at: </w:t>
      </w:r>
      <w:hyperlink r:id="rId5" w:history="1">
        <w:r w:rsidRPr="009F337B">
          <w:rPr>
            <w:rStyle w:val="Hipervnculo"/>
            <w:color w:val="auto"/>
            <w:szCs w:val="16"/>
            <w:u w:val="none"/>
            <w:lang w:val="en-US"/>
          </w:rPr>
          <w:t>http://www.euro.who.int/__data/assets/pdf_file/0009/74664/E87762.pdf</w:t>
        </w:r>
      </w:hyperlink>
      <w:r w:rsidRPr="009F337B">
        <w:rPr>
          <w:szCs w:val="16"/>
          <w:lang w:val="en-US"/>
        </w:rPr>
        <w:t xml:space="preserve"> </w:t>
      </w:r>
    </w:p>
  </w:footnote>
  <w:footnote w:id="237">
    <w:p w14:paraId="63607817" w14:textId="2DEE4DE1" w:rsidR="00AF5CC6" w:rsidRPr="009F337B" w:rsidRDefault="00AF5CC6" w:rsidP="00A30D95">
      <w:pPr>
        <w:tabs>
          <w:tab w:val="left" w:pos="480"/>
          <w:tab w:val="left" w:pos="1080"/>
          <w:tab w:val="left" w:pos="1680"/>
          <w:tab w:val="left" w:pos="5400"/>
        </w:tabs>
        <w:suppressAutoHyphens/>
        <w:spacing w:after="120"/>
        <w:rPr>
          <w:spacing w:val="-3"/>
          <w:sz w:val="16"/>
          <w:szCs w:val="16"/>
          <w:lang w:val="en-US"/>
        </w:rPr>
      </w:pPr>
      <w:r w:rsidRPr="009F337B">
        <w:rPr>
          <w:rStyle w:val="Refdenotaalpie"/>
          <w:sz w:val="16"/>
          <w:szCs w:val="16"/>
          <w:lang w:val="en-US"/>
        </w:rPr>
        <w:footnoteRef/>
      </w:r>
      <w:r w:rsidRPr="009F337B">
        <w:rPr>
          <w:sz w:val="16"/>
          <w:szCs w:val="16"/>
          <w:lang w:val="en-US"/>
        </w:rPr>
        <w:tab/>
        <w:t>Article 63(1) of the Convention establishes: “</w:t>
      </w:r>
      <w:r w:rsidRPr="009F337B">
        <w:rPr>
          <w:spacing w:val="-3"/>
          <w:sz w:val="16"/>
          <w:szCs w:val="16"/>
          <w:lang w:val="en-US"/>
        </w:rPr>
        <w:t>[i]f the Court finds that there has been a violation of a right or freedom protected by this Convention, the Court shall rule that the injured party be ensured the enjoyment of his right or freedom that was violated.  It shall also rule, if appropriate, that the consequences of the measure or situation that constituted the breach of such right or freedom be remedied and that fair compensation be paid to the injured party.”</w:t>
      </w:r>
    </w:p>
  </w:footnote>
  <w:footnote w:id="238">
    <w:p w14:paraId="44D1DBA6" w14:textId="57A12E2E" w:rsidR="00AF5CC6" w:rsidRPr="009F337B" w:rsidRDefault="00AF5CC6" w:rsidP="00A30D95">
      <w:pPr>
        <w:pStyle w:val="2Footnotes"/>
        <w:spacing w:before="0"/>
        <w:rPr>
          <w:szCs w:val="16"/>
          <w:lang w:val="en-US"/>
        </w:rPr>
      </w:pPr>
      <w:r w:rsidRPr="009F337B">
        <w:rPr>
          <w:rStyle w:val="Refdenotaalpie"/>
          <w:rFonts w:eastAsia="Batang"/>
          <w:szCs w:val="16"/>
          <w:lang w:val="en-US"/>
        </w:rPr>
        <w:footnoteRef/>
      </w:r>
      <w:r w:rsidRPr="009F337B">
        <w:rPr>
          <w:szCs w:val="16"/>
          <w:lang w:val="es-CR"/>
        </w:rPr>
        <w:tab/>
      </w:r>
      <w:r w:rsidRPr="009F337B">
        <w:rPr>
          <w:i/>
          <w:szCs w:val="16"/>
          <w:lang w:val="es-CR" w:bidi="en-US"/>
        </w:rPr>
        <w:t xml:space="preserve">Cf. </w:t>
      </w:r>
      <w:r w:rsidRPr="009F337B">
        <w:rPr>
          <w:rFonts w:cs="Verdana"/>
          <w:i/>
          <w:szCs w:val="16"/>
          <w:lang w:val="es-CR" w:bidi="en-US"/>
        </w:rPr>
        <w:t xml:space="preserve">Case </w:t>
      </w:r>
      <w:proofErr w:type="spellStart"/>
      <w:r w:rsidRPr="009F337B">
        <w:rPr>
          <w:rFonts w:cs="Verdana"/>
          <w:i/>
          <w:szCs w:val="16"/>
          <w:lang w:val="es-CR" w:bidi="en-US"/>
        </w:rPr>
        <w:t>of</w:t>
      </w:r>
      <w:proofErr w:type="spellEnd"/>
      <w:r w:rsidRPr="009F337B">
        <w:rPr>
          <w:rFonts w:cs="Verdana"/>
          <w:i/>
          <w:szCs w:val="16"/>
          <w:lang w:val="es-CR" w:bidi="en-US"/>
        </w:rPr>
        <w:t xml:space="preserve"> Velásquez Rodríguez v. Honduras.</w:t>
      </w:r>
      <w:r w:rsidRPr="009F337B">
        <w:rPr>
          <w:rFonts w:cs="Verdana"/>
          <w:szCs w:val="16"/>
          <w:lang w:val="es-CR" w:bidi="en-US"/>
        </w:rPr>
        <w:t xml:space="preserve"> </w:t>
      </w:r>
      <w:r w:rsidRPr="009F337B">
        <w:rPr>
          <w:rFonts w:cs="Verdana"/>
          <w:i/>
          <w:szCs w:val="16"/>
          <w:lang w:val="en-US" w:bidi="en-US"/>
        </w:rPr>
        <w:t>Reparations and costs</w:t>
      </w:r>
      <w:r w:rsidRPr="009F337B">
        <w:rPr>
          <w:rFonts w:cs="Verdana"/>
          <w:szCs w:val="16"/>
          <w:lang w:val="en-US" w:bidi="en-US"/>
        </w:rPr>
        <w:t>. Judgment of July 21, 1989. Series C No. 7</w:t>
      </w:r>
      <w:r w:rsidRPr="009F337B">
        <w:rPr>
          <w:rFonts w:cs="Verdana"/>
          <w:i/>
          <w:szCs w:val="16"/>
          <w:lang w:val="en-US" w:bidi="en-US"/>
        </w:rPr>
        <w:t xml:space="preserve">, </w:t>
      </w:r>
      <w:r w:rsidRPr="009F337B">
        <w:rPr>
          <w:rFonts w:cs="Verdana"/>
          <w:szCs w:val="16"/>
          <w:lang w:val="en-US" w:bidi="en-US"/>
        </w:rPr>
        <w:t xml:space="preserve">para. 25, and </w:t>
      </w:r>
      <w:r w:rsidRPr="009F337B">
        <w:rPr>
          <w:rStyle w:val="Textoennegrita"/>
          <w:b w:val="0"/>
          <w:i/>
          <w:color w:val="000000"/>
          <w:szCs w:val="16"/>
          <w:shd w:val="clear" w:color="auto" w:fill="FFFFFF"/>
          <w:lang w:val="en-US"/>
        </w:rPr>
        <w:t xml:space="preserve">Case of </w:t>
      </w:r>
      <w:proofErr w:type="spellStart"/>
      <w:r w:rsidRPr="009F337B">
        <w:rPr>
          <w:rStyle w:val="Textoennegrita"/>
          <w:b w:val="0"/>
          <w:i/>
          <w:color w:val="000000"/>
          <w:szCs w:val="16"/>
          <w:shd w:val="clear" w:color="auto" w:fill="FFFFFF"/>
          <w:lang w:val="en-US"/>
        </w:rPr>
        <w:t>Amrhein</w:t>
      </w:r>
      <w:proofErr w:type="spellEnd"/>
      <w:r w:rsidRPr="009F337B">
        <w:rPr>
          <w:rStyle w:val="Textoennegrita"/>
          <w:b w:val="0"/>
          <w:i/>
          <w:color w:val="000000"/>
          <w:szCs w:val="16"/>
          <w:shd w:val="clear" w:color="auto" w:fill="FFFFFF"/>
          <w:lang w:val="en-US"/>
        </w:rPr>
        <w:t xml:space="preserve"> et al. v. Costa Rica. Preliminary objections, merits, reparations and costs</w:t>
      </w:r>
      <w:r w:rsidRPr="009F337B">
        <w:rPr>
          <w:rStyle w:val="Textoennegrita"/>
          <w:b w:val="0"/>
          <w:color w:val="000000"/>
          <w:szCs w:val="16"/>
          <w:shd w:val="clear" w:color="auto" w:fill="FFFFFF"/>
          <w:lang w:val="en-US"/>
        </w:rPr>
        <w:t>. Judgment of April 25, 2018. Series C No. 354, para. 466.</w:t>
      </w:r>
    </w:p>
  </w:footnote>
  <w:footnote w:id="239">
    <w:p w14:paraId="2763CCE0" w14:textId="7FF0A0C7"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r>
      <w:r w:rsidRPr="009F337B">
        <w:rPr>
          <w:i/>
          <w:szCs w:val="16"/>
          <w:lang w:val="en-US" w:bidi="en-US"/>
        </w:rPr>
        <w:t xml:space="preserve">Cf. </w:t>
      </w:r>
      <w:r w:rsidRPr="009F337B">
        <w:rPr>
          <w:rFonts w:cs="Verdana"/>
          <w:i/>
          <w:szCs w:val="16"/>
          <w:lang w:val="en-US" w:bidi="en-US"/>
        </w:rPr>
        <w:t xml:space="preserve">Case of </w:t>
      </w:r>
      <w:proofErr w:type="spellStart"/>
      <w:r w:rsidRPr="009F337B">
        <w:rPr>
          <w:rFonts w:cs="Verdana"/>
          <w:i/>
          <w:szCs w:val="16"/>
          <w:lang w:val="en-US" w:bidi="en-US"/>
        </w:rPr>
        <w:t>Velásquez</w:t>
      </w:r>
      <w:proofErr w:type="spellEnd"/>
      <w:r w:rsidRPr="009F337B">
        <w:rPr>
          <w:rFonts w:cs="Verdana"/>
          <w:i/>
          <w:szCs w:val="16"/>
          <w:lang w:val="en-US" w:bidi="en-US"/>
        </w:rPr>
        <w:t xml:space="preserve"> Rodríguez v. Honduras.</w:t>
      </w:r>
      <w:r w:rsidRPr="009F337B">
        <w:rPr>
          <w:rFonts w:cs="Verdana"/>
          <w:szCs w:val="16"/>
          <w:lang w:val="en-US" w:bidi="en-US"/>
        </w:rPr>
        <w:t xml:space="preserve"> </w:t>
      </w:r>
      <w:r w:rsidRPr="009F337B">
        <w:rPr>
          <w:rFonts w:cs="Verdana"/>
          <w:i/>
          <w:szCs w:val="16"/>
          <w:lang w:val="en-US" w:bidi="en-US"/>
        </w:rPr>
        <w:t>Reparations and costs</w:t>
      </w:r>
      <w:r w:rsidRPr="009F337B">
        <w:rPr>
          <w:rFonts w:cs="Verdana"/>
          <w:szCs w:val="16"/>
          <w:lang w:val="en-US" w:bidi="en-US"/>
        </w:rPr>
        <w:t>. Judgment of July 21, 1989. Series C No. 7, para. 24</w:t>
      </w:r>
      <w:r w:rsidRPr="009F337B">
        <w:rPr>
          <w:rFonts w:cs="Verdana"/>
          <w:i/>
          <w:szCs w:val="16"/>
          <w:lang w:val="en-US" w:bidi="en-US"/>
        </w:rPr>
        <w:t xml:space="preserve">, and </w:t>
      </w:r>
      <w:r w:rsidRPr="009F337B">
        <w:rPr>
          <w:rStyle w:val="Textoennegrita"/>
          <w:b w:val="0"/>
          <w:i/>
          <w:color w:val="000000"/>
          <w:szCs w:val="16"/>
          <w:shd w:val="clear" w:color="auto" w:fill="FFFFFF"/>
          <w:lang w:val="en-US"/>
        </w:rPr>
        <w:t xml:space="preserve">Case of </w:t>
      </w:r>
      <w:proofErr w:type="spellStart"/>
      <w:r w:rsidRPr="009F337B">
        <w:rPr>
          <w:rStyle w:val="Textoennegrita"/>
          <w:b w:val="0"/>
          <w:i/>
          <w:color w:val="000000"/>
          <w:szCs w:val="16"/>
          <w:shd w:val="clear" w:color="auto" w:fill="FFFFFF"/>
          <w:lang w:val="en-US"/>
        </w:rPr>
        <w:t>Amrhein</w:t>
      </w:r>
      <w:proofErr w:type="spellEnd"/>
      <w:r w:rsidRPr="009F337B">
        <w:rPr>
          <w:rStyle w:val="Textoennegrita"/>
          <w:b w:val="0"/>
          <w:i/>
          <w:color w:val="000000"/>
          <w:szCs w:val="16"/>
          <w:shd w:val="clear" w:color="auto" w:fill="FFFFFF"/>
          <w:lang w:val="en-US"/>
        </w:rPr>
        <w:t xml:space="preserve"> et al. v. Costa Rica. Preliminary objections, merits, reparations and costs</w:t>
      </w:r>
      <w:r w:rsidRPr="009F337B">
        <w:rPr>
          <w:rStyle w:val="Textoennegrita"/>
          <w:b w:val="0"/>
          <w:color w:val="000000"/>
          <w:szCs w:val="16"/>
          <w:shd w:val="clear" w:color="auto" w:fill="FFFFFF"/>
          <w:lang w:val="en-US"/>
        </w:rPr>
        <w:t xml:space="preserve">. Judgment of April 25, 2018. Series C No. 354, para. 466. </w:t>
      </w:r>
    </w:p>
  </w:footnote>
  <w:footnote w:id="240">
    <w:p w14:paraId="3AB76DAA" w14:textId="4CB73D07"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r>
      <w:r w:rsidRPr="009F337B">
        <w:rPr>
          <w:i/>
          <w:szCs w:val="16"/>
          <w:lang w:val="en-US"/>
        </w:rPr>
        <w:t xml:space="preserve">Cf. Case of </w:t>
      </w:r>
      <w:proofErr w:type="spellStart"/>
      <w:r w:rsidRPr="009F337B">
        <w:rPr>
          <w:i/>
          <w:szCs w:val="16"/>
          <w:lang w:val="en-US"/>
        </w:rPr>
        <w:t>Velásquez</w:t>
      </w:r>
      <w:proofErr w:type="spellEnd"/>
      <w:r w:rsidRPr="009F337B">
        <w:rPr>
          <w:i/>
          <w:szCs w:val="16"/>
          <w:lang w:val="en-US"/>
        </w:rPr>
        <w:t xml:space="preserve"> Rodríguez v. Honduras. Reparations and costs</w:t>
      </w:r>
      <w:r w:rsidRPr="009F337B">
        <w:rPr>
          <w:szCs w:val="16"/>
          <w:lang w:val="en-US"/>
        </w:rPr>
        <w:t xml:space="preserve">. </w:t>
      </w:r>
      <w:r w:rsidRPr="009F337B">
        <w:rPr>
          <w:rFonts w:cs="Verdana"/>
          <w:szCs w:val="16"/>
          <w:lang w:val="en-US" w:bidi="en-US"/>
        </w:rPr>
        <w:t xml:space="preserve">Judgment of July 21, 1989. Series C No. 7, </w:t>
      </w:r>
      <w:r w:rsidRPr="009F337B">
        <w:rPr>
          <w:szCs w:val="16"/>
          <w:lang w:val="en-US"/>
        </w:rPr>
        <w:t xml:space="preserve">para. 26, and </w:t>
      </w:r>
      <w:r w:rsidRPr="009F337B">
        <w:rPr>
          <w:rStyle w:val="Textoennegrita"/>
          <w:b w:val="0"/>
          <w:i/>
          <w:color w:val="000000"/>
          <w:szCs w:val="16"/>
          <w:shd w:val="clear" w:color="auto" w:fill="FFFFFF"/>
          <w:lang w:val="en-US"/>
        </w:rPr>
        <w:t xml:space="preserve">Case of </w:t>
      </w:r>
      <w:proofErr w:type="spellStart"/>
      <w:r w:rsidRPr="009F337B">
        <w:rPr>
          <w:rStyle w:val="Textoennegrita"/>
          <w:b w:val="0"/>
          <w:i/>
          <w:color w:val="000000"/>
          <w:szCs w:val="16"/>
          <w:shd w:val="clear" w:color="auto" w:fill="FFFFFF"/>
          <w:lang w:val="en-US"/>
        </w:rPr>
        <w:t>Amrhein</w:t>
      </w:r>
      <w:proofErr w:type="spellEnd"/>
      <w:r w:rsidRPr="009F337B">
        <w:rPr>
          <w:rStyle w:val="Textoennegrita"/>
          <w:b w:val="0"/>
          <w:i/>
          <w:color w:val="000000"/>
          <w:szCs w:val="16"/>
          <w:shd w:val="clear" w:color="auto" w:fill="FFFFFF"/>
          <w:lang w:val="en-US"/>
        </w:rPr>
        <w:t xml:space="preserve"> et al. v. Costa Rica. Preliminary objections, merits, reparations and costs</w:t>
      </w:r>
      <w:r w:rsidRPr="009F337B">
        <w:rPr>
          <w:rStyle w:val="Textoennegrita"/>
          <w:b w:val="0"/>
          <w:color w:val="000000"/>
          <w:szCs w:val="16"/>
          <w:shd w:val="clear" w:color="auto" w:fill="FFFFFF"/>
          <w:lang w:val="en-US"/>
        </w:rPr>
        <w:t>. Judgment of April 25, 2018. Series C No. 354, para. 467.</w:t>
      </w:r>
    </w:p>
  </w:footnote>
  <w:footnote w:id="241">
    <w:p w14:paraId="29F6E6C1" w14:textId="7882FE6D" w:rsidR="00AF5CC6" w:rsidRPr="009F337B" w:rsidRDefault="00AF5CC6" w:rsidP="00A30D95">
      <w:pPr>
        <w:pStyle w:val="Textonotapie"/>
        <w:spacing w:before="0"/>
        <w:rPr>
          <w:b/>
          <w:szCs w:val="16"/>
          <w:lang w:val="en-US"/>
        </w:rPr>
      </w:pPr>
      <w:r w:rsidRPr="009F337B">
        <w:rPr>
          <w:rStyle w:val="Refdenotaalpie"/>
          <w:szCs w:val="16"/>
          <w:lang w:val="en-US"/>
        </w:rPr>
        <w:footnoteRef/>
      </w:r>
      <w:r w:rsidRPr="009F337B">
        <w:rPr>
          <w:szCs w:val="16"/>
          <w:lang w:val="en-US"/>
        </w:rPr>
        <w:tab/>
      </w:r>
      <w:r w:rsidRPr="009F337B">
        <w:rPr>
          <w:i/>
          <w:iCs/>
          <w:szCs w:val="16"/>
          <w:lang w:val="en-US"/>
        </w:rPr>
        <w:t xml:space="preserve">Cf. Case of the Las Dos </w:t>
      </w:r>
      <w:proofErr w:type="spellStart"/>
      <w:r w:rsidRPr="009F337B">
        <w:rPr>
          <w:i/>
          <w:iCs/>
          <w:szCs w:val="16"/>
          <w:lang w:val="en-US"/>
        </w:rPr>
        <w:t>Erres</w:t>
      </w:r>
      <w:proofErr w:type="spellEnd"/>
      <w:r w:rsidRPr="009F337B">
        <w:rPr>
          <w:i/>
          <w:iCs/>
          <w:szCs w:val="16"/>
          <w:lang w:val="en-US"/>
        </w:rPr>
        <w:t xml:space="preserve"> Massacre v. Guatemala. Preliminary objection, merits, reparations and costs. </w:t>
      </w:r>
      <w:r w:rsidRPr="009F337B">
        <w:rPr>
          <w:iCs/>
          <w:szCs w:val="16"/>
          <w:lang w:val="en-US"/>
        </w:rPr>
        <w:t>Judgment of November 24, 2009. Series C No. 211,</w:t>
      </w:r>
      <w:r w:rsidRPr="009F337B">
        <w:rPr>
          <w:rFonts w:cs="Arial"/>
          <w:iCs/>
          <w:szCs w:val="16"/>
          <w:lang w:val="en-US"/>
        </w:rPr>
        <w:t xml:space="preserve"> </w:t>
      </w:r>
      <w:r w:rsidRPr="009F337B">
        <w:rPr>
          <w:iCs/>
          <w:szCs w:val="16"/>
          <w:lang w:val="en-US"/>
        </w:rPr>
        <w:t xml:space="preserve">para. 226, and </w:t>
      </w:r>
      <w:r w:rsidRPr="009F337B">
        <w:rPr>
          <w:rStyle w:val="Textoennegrita"/>
          <w:b w:val="0"/>
          <w:i/>
          <w:color w:val="000000"/>
          <w:szCs w:val="16"/>
          <w:shd w:val="clear" w:color="auto" w:fill="FFFFFF"/>
          <w:lang w:val="en-US"/>
        </w:rPr>
        <w:t>Case of Ramírez Escobar et al. v. Guatemala. Merits, reparations and costs</w:t>
      </w:r>
      <w:r w:rsidRPr="009F337B">
        <w:rPr>
          <w:rStyle w:val="Textoennegrita"/>
          <w:b w:val="0"/>
          <w:color w:val="000000"/>
          <w:szCs w:val="16"/>
          <w:shd w:val="clear" w:color="auto" w:fill="FFFFFF"/>
          <w:lang w:val="en-US"/>
        </w:rPr>
        <w:t>. Judgment of March 9, 2018. Series C No. 351, para. 266.</w:t>
      </w:r>
    </w:p>
  </w:footnote>
  <w:footnote w:id="242">
    <w:p w14:paraId="7FFF4556" w14:textId="1BE04F3B" w:rsidR="00AF5CC6" w:rsidRPr="009F337B" w:rsidRDefault="00AF5CC6" w:rsidP="00A30D95">
      <w:pPr>
        <w:pStyle w:val="2Footnotes"/>
        <w:spacing w:before="0"/>
        <w:rPr>
          <w:szCs w:val="16"/>
          <w:lang w:val="en-US"/>
        </w:rPr>
      </w:pPr>
      <w:r w:rsidRPr="009F337B">
        <w:rPr>
          <w:rStyle w:val="Refdenotaalpie"/>
          <w:rFonts w:eastAsia="Batang"/>
          <w:szCs w:val="16"/>
          <w:lang w:val="en-US"/>
        </w:rPr>
        <w:footnoteRef/>
      </w:r>
      <w:r w:rsidRPr="009F337B">
        <w:rPr>
          <w:szCs w:val="16"/>
          <w:lang w:val="en-US"/>
        </w:rPr>
        <w:tab/>
      </w:r>
      <w:r w:rsidRPr="009F337B">
        <w:rPr>
          <w:i/>
          <w:szCs w:val="16"/>
          <w:lang w:val="en-US"/>
        </w:rPr>
        <w:t xml:space="preserve">Cf. Case of </w:t>
      </w:r>
      <w:proofErr w:type="spellStart"/>
      <w:r w:rsidRPr="009F337B">
        <w:rPr>
          <w:i/>
          <w:szCs w:val="16"/>
          <w:lang w:val="en-US"/>
        </w:rPr>
        <w:t>Ticona</w:t>
      </w:r>
      <w:proofErr w:type="spellEnd"/>
      <w:r w:rsidRPr="009F337B">
        <w:rPr>
          <w:i/>
          <w:szCs w:val="16"/>
          <w:lang w:val="en-US"/>
        </w:rPr>
        <w:t xml:space="preserve"> Estrada et al. v. Bolivia</w:t>
      </w:r>
      <w:r w:rsidRPr="009F337B">
        <w:rPr>
          <w:szCs w:val="16"/>
          <w:lang w:val="en-US"/>
        </w:rPr>
        <w:t xml:space="preserve">. </w:t>
      </w:r>
      <w:r w:rsidRPr="009F337B">
        <w:rPr>
          <w:i/>
          <w:szCs w:val="16"/>
          <w:lang w:val="en-US"/>
        </w:rPr>
        <w:t xml:space="preserve">Merits, reparations and costs. </w:t>
      </w:r>
      <w:r w:rsidRPr="009F337B">
        <w:rPr>
          <w:szCs w:val="16"/>
          <w:lang w:val="en-US"/>
        </w:rPr>
        <w:t xml:space="preserve">Judgment of November 27, 2008. Series C No. 191, para. 110, and </w:t>
      </w:r>
      <w:r w:rsidRPr="009F337B">
        <w:rPr>
          <w:rStyle w:val="Textoennegrita"/>
          <w:b w:val="0"/>
          <w:i/>
          <w:color w:val="000000"/>
          <w:szCs w:val="16"/>
          <w:shd w:val="clear" w:color="auto" w:fill="FFFFFF"/>
          <w:lang w:val="en-US"/>
        </w:rPr>
        <w:t xml:space="preserve">Case of </w:t>
      </w:r>
      <w:proofErr w:type="spellStart"/>
      <w:r w:rsidRPr="009F337B">
        <w:rPr>
          <w:rStyle w:val="Textoennegrita"/>
          <w:b w:val="0"/>
          <w:i/>
          <w:color w:val="000000"/>
          <w:szCs w:val="16"/>
          <w:shd w:val="clear" w:color="auto" w:fill="FFFFFF"/>
          <w:lang w:val="en-US"/>
        </w:rPr>
        <w:t>Amrhein</w:t>
      </w:r>
      <w:proofErr w:type="spellEnd"/>
      <w:r w:rsidRPr="009F337B">
        <w:rPr>
          <w:rStyle w:val="Textoennegrita"/>
          <w:b w:val="0"/>
          <w:i/>
          <w:color w:val="000000"/>
          <w:szCs w:val="16"/>
          <w:shd w:val="clear" w:color="auto" w:fill="FFFFFF"/>
          <w:lang w:val="en-US"/>
        </w:rPr>
        <w:t xml:space="preserve"> et al. v. Costa Rica. Preliminary objections, merits, reparations and costs</w:t>
      </w:r>
      <w:r w:rsidRPr="009F337B">
        <w:rPr>
          <w:rStyle w:val="Textoennegrita"/>
          <w:b w:val="0"/>
          <w:color w:val="000000"/>
          <w:szCs w:val="16"/>
          <w:shd w:val="clear" w:color="auto" w:fill="FFFFFF"/>
          <w:lang w:val="en-US"/>
        </w:rPr>
        <w:t>. Judgment of April 25, 2018. Series C No. 354, para. 468.</w:t>
      </w:r>
    </w:p>
  </w:footnote>
  <w:footnote w:id="243">
    <w:p w14:paraId="7F140287" w14:textId="4D3E4C8D"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r>
      <w:r w:rsidRPr="009F337B">
        <w:rPr>
          <w:i/>
          <w:iCs/>
          <w:szCs w:val="16"/>
          <w:lang w:val="en-US"/>
        </w:rPr>
        <w:t xml:space="preserve">Cf. </w:t>
      </w:r>
      <w:r w:rsidRPr="009F337B">
        <w:rPr>
          <w:i/>
          <w:szCs w:val="16"/>
          <w:lang w:val="en-US"/>
        </w:rPr>
        <w:t xml:space="preserve">Case of Andrade </w:t>
      </w:r>
      <w:proofErr w:type="spellStart"/>
      <w:r w:rsidRPr="009F337B">
        <w:rPr>
          <w:i/>
          <w:szCs w:val="16"/>
          <w:lang w:val="en-US"/>
        </w:rPr>
        <w:t>Salmón</w:t>
      </w:r>
      <w:proofErr w:type="spellEnd"/>
      <w:r w:rsidRPr="009F337B">
        <w:rPr>
          <w:i/>
          <w:szCs w:val="16"/>
          <w:lang w:val="en-US"/>
        </w:rPr>
        <w:t xml:space="preserve"> v. Bolivia. Merits, reparations and costs. </w:t>
      </w:r>
      <w:r w:rsidRPr="009F337B">
        <w:rPr>
          <w:szCs w:val="16"/>
          <w:lang w:val="en-US"/>
        </w:rPr>
        <w:t xml:space="preserve">Judgment of December 1, 2016. Series C No. 330, para. 189, and </w:t>
      </w:r>
      <w:r w:rsidRPr="009F337B">
        <w:rPr>
          <w:rStyle w:val="Textoennegrita"/>
          <w:b w:val="0"/>
          <w:i/>
          <w:color w:val="000000"/>
          <w:szCs w:val="16"/>
          <w:shd w:val="clear" w:color="auto" w:fill="FFFFFF"/>
          <w:lang w:val="en-US"/>
        </w:rPr>
        <w:t xml:space="preserve">Case of </w:t>
      </w:r>
      <w:proofErr w:type="spellStart"/>
      <w:r w:rsidRPr="009F337B">
        <w:rPr>
          <w:rStyle w:val="Textoennegrita"/>
          <w:b w:val="0"/>
          <w:i/>
          <w:color w:val="000000"/>
          <w:szCs w:val="16"/>
          <w:shd w:val="clear" w:color="auto" w:fill="FFFFFF"/>
          <w:lang w:val="en-US"/>
        </w:rPr>
        <w:t>Amrhein</w:t>
      </w:r>
      <w:proofErr w:type="spellEnd"/>
      <w:r w:rsidRPr="009F337B">
        <w:rPr>
          <w:rStyle w:val="Textoennegrita"/>
          <w:b w:val="0"/>
          <w:i/>
          <w:color w:val="000000"/>
          <w:szCs w:val="16"/>
          <w:shd w:val="clear" w:color="auto" w:fill="FFFFFF"/>
          <w:lang w:val="en-US"/>
        </w:rPr>
        <w:t xml:space="preserve"> et al. v. Costa Rica. Preliminary objections, merits, reparations and costs</w:t>
      </w:r>
      <w:r w:rsidRPr="009F337B">
        <w:rPr>
          <w:rStyle w:val="Textoennegrita"/>
          <w:b w:val="0"/>
          <w:color w:val="000000"/>
          <w:szCs w:val="16"/>
          <w:shd w:val="clear" w:color="auto" w:fill="FFFFFF"/>
          <w:lang w:val="en-US"/>
        </w:rPr>
        <w:t>. Judgment of April 25, 2018. Series C No. 354, para. 469.</w:t>
      </w:r>
    </w:p>
  </w:footnote>
  <w:footnote w:id="244">
    <w:p w14:paraId="3DB1F2D9" w14:textId="688E373C" w:rsidR="00AF5CC6" w:rsidRPr="009F337B" w:rsidRDefault="00AF5CC6" w:rsidP="00A30D95">
      <w:pPr>
        <w:pStyle w:val="Textonotapie"/>
        <w:tabs>
          <w:tab w:val="left" w:pos="426"/>
        </w:tabs>
        <w:spacing w:before="0"/>
        <w:rPr>
          <w:szCs w:val="16"/>
          <w:lang w:val="en-US"/>
        </w:rPr>
      </w:pPr>
      <w:r w:rsidRPr="009F337B">
        <w:rPr>
          <w:rStyle w:val="Refdenotaalpie"/>
          <w:rFonts w:eastAsia="Calibri"/>
          <w:szCs w:val="16"/>
          <w:lang w:val="en-US"/>
        </w:rPr>
        <w:footnoteRef/>
      </w:r>
      <w:r w:rsidRPr="009F337B">
        <w:rPr>
          <w:szCs w:val="16"/>
          <w:lang w:val="en-US"/>
        </w:rPr>
        <w:t xml:space="preserve"> </w:t>
      </w:r>
      <w:r w:rsidRPr="009F337B">
        <w:rPr>
          <w:szCs w:val="16"/>
          <w:lang w:val="en-US"/>
        </w:rPr>
        <w:tab/>
      </w:r>
      <w:r w:rsidRPr="009F337B">
        <w:rPr>
          <w:szCs w:val="16"/>
          <w:lang w:val="en-US"/>
        </w:rPr>
        <w:tab/>
      </w:r>
      <w:r w:rsidRPr="009F337B">
        <w:rPr>
          <w:i/>
          <w:iCs/>
          <w:szCs w:val="16"/>
          <w:lang w:val="en-US"/>
        </w:rPr>
        <w:t xml:space="preserve">Cf. Case of </w:t>
      </w:r>
      <w:proofErr w:type="spellStart"/>
      <w:r w:rsidRPr="009F337B">
        <w:rPr>
          <w:i/>
          <w:iCs/>
          <w:szCs w:val="16"/>
          <w:lang w:val="en-US"/>
        </w:rPr>
        <w:t>Neira</w:t>
      </w:r>
      <w:proofErr w:type="spellEnd"/>
      <w:r w:rsidRPr="009F337B">
        <w:rPr>
          <w:i/>
          <w:iCs/>
          <w:szCs w:val="16"/>
          <w:lang w:val="en-US"/>
        </w:rPr>
        <w:t xml:space="preserve"> </w:t>
      </w:r>
      <w:proofErr w:type="spellStart"/>
      <w:r w:rsidRPr="009F337B">
        <w:rPr>
          <w:i/>
          <w:iCs/>
          <w:szCs w:val="16"/>
          <w:lang w:val="en-US"/>
        </w:rPr>
        <w:t>Alegría</w:t>
      </w:r>
      <w:proofErr w:type="spellEnd"/>
      <w:r w:rsidRPr="009F337B">
        <w:rPr>
          <w:i/>
          <w:iCs/>
          <w:szCs w:val="16"/>
          <w:lang w:val="en-US"/>
        </w:rPr>
        <w:t xml:space="preserve"> et al. v. Peru. Reparations and costs</w:t>
      </w:r>
      <w:r w:rsidRPr="009F337B">
        <w:rPr>
          <w:szCs w:val="16"/>
          <w:lang w:val="en-US"/>
        </w:rPr>
        <w:t xml:space="preserve">. Judgment of September 19, 1996. Series C No. 29, para. 56, and </w:t>
      </w:r>
      <w:r w:rsidRPr="009F337B">
        <w:rPr>
          <w:rStyle w:val="Textoennegrita"/>
          <w:b w:val="0"/>
          <w:i/>
          <w:color w:val="000000"/>
          <w:szCs w:val="16"/>
          <w:shd w:val="clear" w:color="auto" w:fill="FFFFFF"/>
          <w:lang w:val="en-US"/>
        </w:rPr>
        <w:t xml:space="preserve">Case of </w:t>
      </w:r>
      <w:proofErr w:type="spellStart"/>
      <w:r w:rsidRPr="009F337B">
        <w:rPr>
          <w:rStyle w:val="Textoennegrita"/>
          <w:b w:val="0"/>
          <w:i/>
          <w:color w:val="000000"/>
          <w:szCs w:val="16"/>
          <w:shd w:val="clear" w:color="auto" w:fill="FFFFFF"/>
          <w:lang w:val="en-US"/>
        </w:rPr>
        <w:t>Amrhein</w:t>
      </w:r>
      <w:proofErr w:type="spellEnd"/>
      <w:r w:rsidRPr="009F337B">
        <w:rPr>
          <w:rStyle w:val="Textoennegrita"/>
          <w:b w:val="0"/>
          <w:i/>
          <w:color w:val="000000"/>
          <w:szCs w:val="16"/>
          <w:shd w:val="clear" w:color="auto" w:fill="FFFFFF"/>
          <w:lang w:val="en-US"/>
        </w:rPr>
        <w:t xml:space="preserve"> et al. v. Costa Rica. Preliminary objections, merits, reparations and costs</w:t>
      </w:r>
      <w:r w:rsidRPr="009F337B">
        <w:rPr>
          <w:rStyle w:val="Textoennegrita"/>
          <w:b w:val="0"/>
          <w:color w:val="000000"/>
          <w:szCs w:val="16"/>
          <w:shd w:val="clear" w:color="auto" w:fill="FFFFFF"/>
          <w:lang w:val="en-US"/>
        </w:rPr>
        <w:t>. Judgment of April 25, 2018. Series C No. 354, para. 474.</w:t>
      </w:r>
    </w:p>
  </w:footnote>
  <w:footnote w:id="245">
    <w:p w14:paraId="6EBE47C5" w14:textId="73F3FA6D"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 xml:space="preserve"> </w:t>
      </w:r>
      <w:r w:rsidRPr="009F337B">
        <w:rPr>
          <w:szCs w:val="16"/>
          <w:lang w:val="en-US"/>
        </w:rPr>
        <w:tab/>
      </w:r>
      <w:r w:rsidRPr="009F337B">
        <w:rPr>
          <w:i/>
          <w:szCs w:val="16"/>
          <w:lang w:val="en-US"/>
        </w:rPr>
        <w:t>Cf.</w:t>
      </w:r>
      <w:r w:rsidRPr="009F337B">
        <w:rPr>
          <w:b/>
          <w:i/>
          <w:szCs w:val="16"/>
          <w:lang w:val="en-US"/>
        </w:rPr>
        <w:t xml:space="preserve"> </w:t>
      </w:r>
      <w:r w:rsidRPr="009F337B">
        <w:rPr>
          <w:rStyle w:val="Textoennegrita"/>
          <w:b w:val="0"/>
          <w:i/>
          <w:color w:val="000000"/>
          <w:szCs w:val="16"/>
          <w:shd w:val="clear" w:color="auto" w:fill="FFFFFF"/>
          <w:lang w:val="en-US"/>
        </w:rPr>
        <w:t xml:space="preserve">Case of Gonzales </w:t>
      </w:r>
      <w:proofErr w:type="spellStart"/>
      <w:r w:rsidRPr="009F337B">
        <w:rPr>
          <w:rStyle w:val="Textoennegrita"/>
          <w:b w:val="0"/>
          <w:i/>
          <w:color w:val="000000"/>
          <w:szCs w:val="16"/>
          <w:shd w:val="clear" w:color="auto" w:fill="FFFFFF"/>
          <w:lang w:val="en-US"/>
        </w:rPr>
        <w:t>Lluy</w:t>
      </w:r>
      <w:proofErr w:type="spellEnd"/>
      <w:r w:rsidRPr="009F337B">
        <w:rPr>
          <w:rStyle w:val="Textoennegrita"/>
          <w:b w:val="0"/>
          <w:i/>
          <w:color w:val="000000"/>
          <w:szCs w:val="16"/>
          <w:shd w:val="clear" w:color="auto" w:fill="FFFFFF"/>
          <w:lang w:val="en-US"/>
        </w:rPr>
        <w:t xml:space="preserve"> et al. v. Ecuador. Preliminary objections, merits, reparations and costs. </w:t>
      </w:r>
      <w:r w:rsidRPr="009F337B">
        <w:rPr>
          <w:rStyle w:val="Textoennegrita"/>
          <w:b w:val="0"/>
          <w:color w:val="000000"/>
          <w:szCs w:val="16"/>
          <w:shd w:val="clear" w:color="auto" w:fill="FFFFFF"/>
          <w:lang w:val="en-US"/>
        </w:rPr>
        <w:t>Judgment of September 1, 2015. Series C No. 298, para. 233</w:t>
      </w:r>
      <w:r w:rsidRPr="009F337B">
        <w:rPr>
          <w:rStyle w:val="Textoennegrita"/>
          <w:b w:val="0"/>
          <w:i/>
          <w:color w:val="000000"/>
          <w:szCs w:val="16"/>
          <w:shd w:val="clear" w:color="auto" w:fill="FFFFFF"/>
          <w:lang w:val="en-US"/>
        </w:rPr>
        <w:t xml:space="preserve">, and Case of </w:t>
      </w:r>
      <w:proofErr w:type="spellStart"/>
      <w:r w:rsidRPr="009F337B">
        <w:rPr>
          <w:rStyle w:val="Textoennegrita"/>
          <w:b w:val="0"/>
          <w:i/>
          <w:color w:val="000000"/>
          <w:szCs w:val="16"/>
          <w:shd w:val="clear" w:color="auto" w:fill="FFFFFF"/>
          <w:lang w:val="en-US"/>
        </w:rPr>
        <w:t>Amrhein</w:t>
      </w:r>
      <w:proofErr w:type="spellEnd"/>
      <w:r w:rsidRPr="009F337B">
        <w:rPr>
          <w:rStyle w:val="Textoennegrita"/>
          <w:b w:val="0"/>
          <w:i/>
          <w:color w:val="000000"/>
          <w:szCs w:val="16"/>
          <w:shd w:val="clear" w:color="auto" w:fill="FFFFFF"/>
          <w:lang w:val="en-US"/>
        </w:rPr>
        <w:t xml:space="preserve"> et al. v. Costa Rica. Preliminary objections, merits, reparations and costs</w:t>
      </w:r>
      <w:r w:rsidRPr="009F337B">
        <w:rPr>
          <w:rStyle w:val="Textoennegrita"/>
          <w:b w:val="0"/>
          <w:color w:val="000000"/>
          <w:szCs w:val="16"/>
          <w:shd w:val="clear" w:color="auto" w:fill="FFFFFF"/>
          <w:lang w:val="en-US"/>
        </w:rPr>
        <w:t>. Judgment of April 25, 2018. Series C No. 354, para. 470.</w:t>
      </w:r>
    </w:p>
  </w:footnote>
  <w:footnote w:id="246">
    <w:p w14:paraId="2DE9A162" w14:textId="54353EEF"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 xml:space="preserve"> </w:t>
      </w:r>
      <w:r w:rsidRPr="009F337B">
        <w:rPr>
          <w:szCs w:val="16"/>
          <w:lang w:val="en-US"/>
        </w:rPr>
        <w:tab/>
        <w:t>Both the direct victims and their next of kin are listed in Annex 2 to the judgment.</w:t>
      </w:r>
    </w:p>
  </w:footnote>
  <w:footnote w:id="247">
    <w:p w14:paraId="76E10444" w14:textId="4A2CE919"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t xml:space="preserve">In this regard, they asked that this measure include conducting CD4 counts, and viral load and genotype testing and any other test required, as well as other technologies related to the treatment of HIV, opportunistic infections, and other illnesses (merits file, folio 1837). </w:t>
      </w:r>
    </w:p>
  </w:footnote>
  <w:footnote w:id="248">
    <w:p w14:paraId="09107A3F" w14:textId="00256C6A"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r>
      <w:r w:rsidRPr="009F337B">
        <w:rPr>
          <w:rFonts w:eastAsia="Times" w:cs="Times New Roman"/>
          <w:i/>
          <w:iCs/>
          <w:szCs w:val="16"/>
          <w:lang w:val="en-US" w:bidi="en-US"/>
        </w:rPr>
        <w:t>Cf.</w:t>
      </w:r>
      <w:r w:rsidRPr="009F337B">
        <w:rPr>
          <w:rFonts w:eastAsia="Times" w:cs="Times New Roman"/>
          <w:i/>
          <w:szCs w:val="16"/>
          <w:lang w:val="en-US" w:bidi="en-US"/>
        </w:rPr>
        <w:t xml:space="preserve"> </w:t>
      </w:r>
      <w:r w:rsidRPr="009F337B">
        <w:rPr>
          <w:rFonts w:eastAsia="Times" w:cs="Times New Roman"/>
          <w:bCs/>
          <w:i/>
          <w:szCs w:val="16"/>
          <w:lang w:val="en-US" w:eastAsia="ar-SA"/>
        </w:rPr>
        <w:t xml:space="preserve">Case of </w:t>
      </w:r>
      <w:proofErr w:type="spellStart"/>
      <w:r w:rsidRPr="009F337B">
        <w:rPr>
          <w:rFonts w:eastAsia="Times" w:cs="Times New Roman"/>
          <w:bCs/>
          <w:i/>
          <w:szCs w:val="16"/>
          <w:lang w:val="en-US" w:eastAsia="ar-SA"/>
        </w:rPr>
        <w:t>Radilla</w:t>
      </w:r>
      <w:proofErr w:type="spellEnd"/>
      <w:r w:rsidRPr="009F337B">
        <w:rPr>
          <w:rFonts w:eastAsia="Times" w:cs="Times New Roman"/>
          <w:bCs/>
          <w:i/>
          <w:szCs w:val="16"/>
          <w:lang w:val="en-US" w:eastAsia="ar-SA"/>
        </w:rPr>
        <w:t xml:space="preserve"> Pacheco v. Mexico. </w:t>
      </w:r>
      <w:r w:rsidRPr="009F337B">
        <w:rPr>
          <w:rFonts w:eastAsia="Times" w:cs="Times New Roman"/>
          <w:i/>
          <w:szCs w:val="16"/>
          <w:lang w:val="en-US" w:eastAsia="ar-SA"/>
        </w:rPr>
        <w:t>Preliminary objections, merits, reparations and costs</w:t>
      </w:r>
      <w:r w:rsidRPr="009F337B">
        <w:rPr>
          <w:rFonts w:eastAsia="Times" w:cs="Times New Roman"/>
          <w:szCs w:val="16"/>
          <w:lang w:val="en-US" w:eastAsia="ar-SA"/>
        </w:rPr>
        <w:t xml:space="preserve">. Judgment of November 23, 2009. Series C No. 209, para. 353, and </w:t>
      </w:r>
      <w:r w:rsidRPr="009F337B">
        <w:rPr>
          <w:rStyle w:val="Textoennegrita"/>
          <w:b w:val="0"/>
          <w:i/>
          <w:color w:val="000000"/>
          <w:szCs w:val="16"/>
          <w:shd w:val="clear" w:color="auto" w:fill="FFFFFF"/>
          <w:lang w:val="en-US"/>
        </w:rPr>
        <w:t>Case of Herzog et al. v. Brazil. Preliminary objections, merits, reparations and costs</w:t>
      </w:r>
      <w:r w:rsidRPr="009F337B">
        <w:rPr>
          <w:rStyle w:val="Textoennegrita"/>
          <w:b w:val="0"/>
          <w:color w:val="000000"/>
          <w:szCs w:val="16"/>
          <w:shd w:val="clear" w:color="auto" w:fill="FFFFFF"/>
          <w:lang w:val="en-US"/>
        </w:rPr>
        <w:t>. Judgment of March 15, 2018. Series C No. 353, para. 380.</w:t>
      </w:r>
    </w:p>
  </w:footnote>
  <w:footnote w:id="249">
    <w:p w14:paraId="316D9279" w14:textId="7185D2CF" w:rsidR="00AF5CC6" w:rsidRPr="009F337B" w:rsidRDefault="00AF5CC6" w:rsidP="00A30D95">
      <w:pPr>
        <w:tabs>
          <w:tab w:val="left" w:pos="426"/>
        </w:tabs>
        <w:spacing w:after="120"/>
        <w:rPr>
          <w:sz w:val="16"/>
          <w:szCs w:val="16"/>
          <w:lang w:val="en-US"/>
        </w:rPr>
      </w:pPr>
      <w:r w:rsidRPr="009F337B">
        <w:rPr>
          <w:rStyle w:val="Refdenotaalpie"/>
          <w:sz w:val="16"/>
          <w:szCs w:val="16"/>
          <w:lang w:val="en-US"/>
        </w:rPr>
        <w:footnoteRef/>
      </w:r>
      <w:r w:rsidRPr="009F337B">
        <w:rPr>
          <w:sz w:val="16"/>
          <w:szCs w:val="16"/>
          <w:lang w:val="en-US"/>
        </w:rPr>
        <w:tab/>
      </w:r>
      <w:r w:rsidRPr="009F337B">
        <w:rPr>
          <w:sz w:val="16"/>
          <w:szCs w:val="16"/>
          <w:lang w:val="en-US"/>
        </w:rPr>
        <w:tab/>
      </w:r>
      <w:r w:rsidRPr="009F337B">
        <w:rPr>
          <w:i/>
          <w:iCs/>
          <w:sz w:val="16"/>
          <w:szCs w:val="16"/>
          <w:lang w:val="en-US"/>
        </w:rPr>
        <w:t>Cf. Case of Neira Alegría et al. v. Peru. Reparations and costs</w:t>
      </w:r>
      <w:r w:rsidRPr="009F337B">
        <w:rPr>
          <w:sz w:val="16"/>
          <w:szCs w:val="16"/>
          <w:lang w:val="en-US"/>
        </w:rPr>
        <w:t xml:space="preserve">. Judgment of September 19, 1996. Series C No. 29, para. 56, and </w:t>
      </w:r>
      <w:r w:rsidRPr="009F337B">
        <w:rPr>
          <w:rStyle w:val="Textoennegrita"/>
          <w:b w:val="0"/>
          <w:i/>
          <w:color w:val="000000"/>
          <w:sz w:val="16"/>
          <w:szCs w:val="16"/>
          <w:shd w:val="clear" w:color="auto" w:fill="FFFFFF"/>
          <w:lang w:val="en-US"/>
        </w:rPr>
        <w:t>Case of Amrhein et al. v. Costa Rica. Preliminary objections, merits, reparations and costs</w:t>
      </w:r>
      <w:r w:rsidRPr="009F337B">
        <w:rPr>
          <w:rStyle w:val="Textoennegrita"/>
          <w:b w:val="0"/>
          <w:color w:val="000000"/>
          <w:sz w:val="16"/>
          <w:szCs w:val="16"/>
          <w:shd w:val="clear" w:color="auto" w:fill="FFFFFF"/>
          <w:lang w:val="en-US"/>
        </w:rPr>
        <w:t>. Judgment of April 25, 2018. Series C No. 354, para. 474.</w:t>
      </w:r>
    </w:p>
  </w:footnote>
  <w:footnote w:id="250">
    <w:p w14:paraId="539909D7" w14:textId="630D8F4D" w:rsidR="00AF5CC6" w:rsidRPr="009F337B" w:rsidRDefault="00AF5CC6" w:rsidP="00A30D95">
      <w:pPr>
        <w:tabs>
          <w:tab w:val="left" w:pos="426"/>
        </w:tabs>
        <w:spacing w:after="120"/>
        <w:rPr>
          <w:sz w:val="16"/>
          <w:szCs w:val="16"/>
          <w:lang w:val="en-US"/>
        </w:rPr>
      </w:pPr>
      <w:r w:rsidRPr="009F337B">
        <w:rPr>
          <w:rStyle w:val="Refdenotaalpie"/>
          <w:sz w:val="16"/>
          <w:szCs w:val="16"/>
          <w:lang w:val="en-US"/>
        </w:rPr>
        <w:footnoteRef/>
      </w:r>
      <w:r w:rsidRPr="009F337B">
        <w:rPr>
          <w:sz w:val="16"/>
          <w:szCs w:val="16"/>
          <w:lang w:val="en-US"/>
        </w:rPr>
        <w:tab/>
      </w:r>
      <w:r w:rsidRPr="009F337B">
        <w:rPr>
          <w:sz w:val="16"/>
          <w:szCs w:val="16"/>
          <w:lang w:val="en-US"/>
        </w:rPr>
        <w:tab/>
      </w:r>
      <w:r w:rsidRPr="009F337B">
        <w:rPr>
          <w:i/>
          <w:sz w:val="16"/>
          <w:szCs w:val="16"/>
          <w:lang w:val="en-US"/>
        </w:rPr>
        <w:t>Cf., inter alia, Case of Cantoral Benavides v. Peru. Reparations and costs</w:t>
      </w:r>
      <w:r w:rsidRPr="009F337B">
        <w:rPr>
          <w:sz w:val="16"/>
          <w:szCs w:val="16"/>
          <w:lang w:val="en-US"/>
        </w:rPr>
        <w:t xml:space="preserve">. Judgment of December 3, 2001. Series C No. 88, para. 79, and </w:t>
      </w:r>
      <w:r w:rsidRPr="009F337B">
        <w:rPr>
          <w:rStyle w:val="Textoennegrita"/>
          <w:b w:val="0"/>
          <w:i/>
          <w:color w:val="000000"/>
          <w:sz w:val="16"/>
          <w:szCs w:val="16"/>
          <w:shd w:val="clear" w:color="auto" w:fill="FFFFFF"/>
          <w:lang w:val="en-US"/>
        </w:rPr>
        <w:t>Case of Herzog et al. v. Brazil. Preliminary objections, merits, reparations and costs</w:t>
      </w:r>
      <w:r w:rsidRPr="009F337B">
        <w:rPr>
          <w:rStyle w:val="Textoennegrita"/>
          <w:b w:val="0"/>
          <w:color w:val="000000"/>
          <w:sz w:val="16"/>
          <w:szCs w:val="16"/>
          <w:shd w:val="clear" w:color="auto" w:fill="FFFFFF"/>
          <w:lang w:val="en-US"/>
        </w:rPr>
        <w:t>. Judgment of March 15, 2018. Series C No. 353, para. 383.</w:t>
      </w:r>
    </w:p>
  </w:footnote>
  <w:footnote w:id="251">
    <w:p w14:paraId="4E5A9A27" w14:textId="41691DAD"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r>
      <w:r w:rsidRPr="009F337B">
        <w:rPr>
          <w:i/>
          <w:szCs w:val="16"/>
          <w:lang w:val="en-US"/>
        </w:rPr>
        <w:t xml:space="preserve">Cf. Case of Rosendo </w:t>
      </w:r>
      <w:proofErr w:type="spellStart"/>
      <w:r w:rsidRPr="009F337B">
        <w:rPr>
          <w:i/>
          <w:szCs w:val="16"/>
          <w:lang w:val="en-US"/>
        </w:rPr>
        <w:t>Cantú</w:t>
      </w:r>
      <w:proofErr w:type="spellEnd"/>
      <w:r w:rsidRPr="009F337B">
        <w:rPr>
          <w:i/>
          <w:szCs w:val="16"/>
          <w:lang w:val="en-US"/>
        </w:rPr>
        <w:t xml:space="preserve"> et al. v. Mexico. Preliminary objection, merits, reparations and costs.</w:t>
      </w:r>
      <w:r w:rsidRPr="009F337B">
        <w:rPr>
          <w:szCs w:val="16"/>
          <w:lang w:val="en-US"/>
        </w:rPr>
        <w:t xml:space="preserve"> Judgment of August 31, 2010. Series C No. 216, para. 257, and </w:t>
      </w:r>
      <w:r w:rsidRPr="009F337B">
        <w:rPr>
          <w:i/>
          <w:szCs w:val="16"/>
          <w:lang w:val="en-US"/>
        </w:rPr>
        <w:t>Case of V.R.P., V.P.C. et al. v. Nicaragua. Preliminary objections, merits, reparations and costs.</w:t>
      </w:r>
      <w:r w:rsidRPr="009F337B">
        <w:rPr>
          <w:szCs w:val="16"/>
          <w:lang w:val="en-US"/>
        </w:rPr>
        <w:t xml:space="preserve"> Judgment of March 8, 2018. Series C No. 350, para. 427.</w:t>
      </w:r>
    </w:p>
  </w:footnote>
  <w:footnote w:id="252">
    <w:p w14:paraId="0E263B66" w14:textId="444FEBE2" w:rsidR="00AF5CC6" w:rsidRPr="009F337B" w:rsidRDefault="00AF5CC6" w:rsidP="00A30D95">
      <w:pPr>
        <w:tabs>
          <w:tab w:val="left" w:pos="720"/>
          <w:tab w:val="center" w:pos="4680"/>
        </w:tabs>
        <w:suppressAutoHyphens/>
        <w:spacing w:after="120"/>
        <w:rPr>
          <w:rFonts w:eastAsia="Times New Roman" w:cs="Arial"/>
          <w:sz w:val="16"/>
          <w:szCs w:val="16"/>
          <w:shd w:val="clear" w:color="auto" w:fill="FFFFFF"/>
          <w:lang w:val="en-US"/>
        </w:rPr>
      </w:pPr>
      <w:r w:rsidRPr="009F337B">
        <w:rPr>
          <w:rStyle w:val="Refdenotaalpie"/>
          <w:szCs w:val="16"/>
          <w:lang w:val="en-US"/>
        </w:rPr>
        <w:footnoteRef/>
      </w:r>
      <w:r w:rsidRPr="009F337B">
        <w:rPr>
          <w:szCs w:val="16"/>
          <w:lang w:val="en-US"/>
        </w:rPr>
        <w:t xml:space="preserve"> </w:t>
      </w:r>
      <w:r w:rsidRPr="009F337B">
        <w:rPr>
          <w:rFonts w:cs="Vrinda"/>
          <w:szCs w:val="16"/>
          <w:lang w:val="en-US"/>
        </w:rPr>
        <w:tab/>
      </w:r>
      <w:bookmarkStart w:id="122" w:name="_Hlk6242046"/>
      <w:r w:rsidRPr="009F337B">
        <w:rPr>
          <w:rFonts w:cs="Vrinda"/>
          <w:sz w:val="16"/>
          <w:szCs w:val="16"/>
          <w:lang w:val="en-US"/>
        </w:rPr>
        <w:t>The Court</w:t>
      </w:r>
      <w:r w:rsidRPr="009F337B">
        <w:rPr>
          <w:rFonts w:eastAsia="Times New Roman" w:cs="Arial"/>
          <w:sz w:val="16"/>
          <w:szCs w:val="16"/>
          <w:shd w:val="clear" w:color="auto" w:fill="FFFFFF"/>
          <w:lang w:val="en-US"/>
        </w:rPr>
        <w:t xml:space="preserve"> notes that, in the Agenda 2030, the UN General Assembly adopted a plan of action with Goals and targets to be specified by each Member State, in order to take into account inequalities among the countries and to realize the human rights of all human beings on the planet more rapidly. To this end, it indicated that it is essential to “ensure healthy lives and promote well-being for all at all ages.” Also, to achieve the Goals, the different levels of development and capacities of the States must be taken into account, and effective measures and actions established to empower people who are vulnerable, including those living with infections such as HIV/AIDS, added to a commitment to end such epidemics by 2030. </w:t>
      </w:r>
      <w:r w:rsidRPr="009F337B">
        <w:rPr>
          <w:sz w:val="16"/>
          <w:szCs w:val="16"/>
          <w:lang w:val="en-US"/>
        </w:rPr>
        <w:t xml:space="preserve">UN, General Assembly Resolution “Transforming our Word: the 2030 Agenda for Sustainable Development,” A/70/L.1 adopted on September 25, </w:t>
      </w:r>
      <w:r w:rsidRPr="009F337B">
        <w:rPr>
          <w:rFonts w:eastAsia="Times New Roman" w:cs="Arial"/>
          <w:sz w:val="16"/>
          <w:szCs w:val="16"/>
          <w:shd w:val="clear" w:color="auto" w:fill="FFFFFF"/>
          <w:lang w:val="en-US"/>
        </w:rPr>
        <w:t>2015, Preamble, paras. 3, 23, 26, 55 and 66, Goal 3, 3.3 and 3.8. Available at: https://undocs.org/A/RES/70/1</w:t>
      </w:r>
      <w:bookmarkEnd w:id="122"/>
      <w:r w:rsidRPr="009F337B">
        <w:rPr>
          <w:rFonts w:eastAsia="Times New Roman" w:cs="Arial"/>
          <w:sz w:val="16"/>
          <w:szCs w:val="16"/>
          <w:shd w:val="clear" w:color="auto" w:fill="FFFFFF"/>
          <w:lang w:val="en-US"/>
        </w:rPr>
        <w:t>.</w:t>
      </w:r>
    </w:p>
  </w:footnote>
  <w:footnote w:id="253">
    <w:p w14:paraId="311B6DCD" w14:textId="6D563CEB"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t>In this regard, the representatives alleged that, owing to the lack of comprehensive health care for the victims, they have had to assume extra financial expenses. In particular, the representatives indicated that they had to buy the inputs required to perform CD4 counts and viral load and genotype testing, or to purchase some of the drugs needed for their treatment, and at least seven of the victims had to pay for their own treatment of the HIV/AIDS related diseases with which they became infected. They also indicated that, owing to the distance of the health care centers from the victims’ homes, at least 20 of them incurred transport expenses</w:t>
      </w:r>
      <w:r w:rsidRPr="009F337B">
        <w:rPr>
          <w:rFonts w:eastAsia="Arial" w:cs="Vrinda"/>
          <w:spacing w:val="-1"/>
          <w:szCs w:val="16"/>
          <w:lang w:val="en-US"/>
        </w:rPr>
        <w:t xml:space="preserve"> (merits file, folio 740).</w:t>
      </w:r>
    </w:p>
  </w:footnote>
  <w:footnote w:id="254">
    <w:p w14:paraId="04500C25" w14:textId="784B78A4" w:rsidR="00AF5CC6" w:rsidRPr="009F337B" w:rsidRDefault="00AF5CC6" w:rsidP="00A30D95">
      <w:pPr>
        <w:tabs>
          <w:tab w:val="left" w:pos="426"/>
        </w:tabs>
        <w:spacing w:after="120"/>
        <w:rPr>
          <w:sz w:val="16"/>
          <w:szCs w:val="16"/>
          <w:lang w:val="en-US"/>
        </w:rPr>
      </w:pPr>
      <w:r w:rsidRPr="009F337B">
        <w:rPr>
          <w:rStyle w:val="Refdenotaalpie"/>
          <w:sz w:val="16"/>
          <w:szCs w:val="16"/>
          <w:lang w:val="en-US"/>
        </w:rPr>
        <w:footnoteRef/>
      </w:r>
      <w:r w:rsidRPr="009F337B">
        <w:rPr>
          <w:sz w:val="16"/>
          <w:szCs w:val="16"/>
          <w:lang w:val="en-US"/>
        </w:rPr>
        <w:tab/>
      </w:r>
      <w:r w:rsidRPr="009F337B">
        <w:rPr>
          <w:sz w:val="16"/>
          <w:szCs w:val="16"/>
          <w:lang w:val="en-US"/>
        </w:rPr>
        <w:tab/>
      </w:r>
      <w:r w:rsidRPr="009F337B">
        <w:rPr>
          <w:i/>
          <w:sz w:val="16"/>
          <w:szCs w:val="16"/>
          <w:lang w:val="en-US"/>
        </w:rPr>
        <w:t xml:space="preserve">Case of Bámaca Velásquez v. Guatemala. Reparations and costs. </w:t>
      </w:r>
      <w:r w:rsidRPr="009F337B">
        <w:rPr>
          <w:sz w:val="16"/>
          <w:szCs w:val="16"/>
          <w:lang w:val="en-US"/>
        </w:rPr>
        <w:t xml:space="preserve">Judgment of February 22, 2002. Series C No. 91, para. 43, and </w:t>
      </w:r>
      <w:r w:rsidRPr="009F337B">
        <w:rPr>
          <w:rStyle w:val="Textoennegrita"/>
          <w:b w:val="0"/>
          <w:i/>
          <w:color w:val="000000"/>
          <w:sz w:val="16"/>
          <w:szCs w:val="16"/>
          <w:shd w:val="clear" w:color="auto" w:fill="FFFFFF"/>
          <w:lang w:val="en-US"/>
        </w:rPr>
        <w:t>Case of Amrhein et al. v. Costa Rica. Preliminary objections, merits, reparations and costs</w:t>
      </w:r>
      <w:r w:rsidRPr="009F337B">
        <w:rPr>
          <w:rStyle w:val="Textoennegrita"/>
          <w:b w:val="0"/>
          <w:color w:val="000000"/>
          <w:sz w:val="16"/>
          <w:szCs w:val="16"/>
          <w:shd w:val="clear" w:color="auto" w:fill="FFFFFF"/>
          <w:lang w:val="en-US"/>
        </w:rPr>
        <w:t>. Judgment of April 25, 2018. Series C No. 354, para. 487.</w:t>
      </w:r>
    </w:p>
  </w:footnote>
  <w:footnote w:id="255">
    <w:p w14:paraId="0DEEA38A" w14:textId="2B31ACAD" w:rsidR="00AF5CC6" w:rsidRPr="009F337B" w:rsidRDefault="00AF5CC6" w:rsidP="00A30D95">
      <w:pPr>
        <w:pStyle w:val="Textonotapie"/>
        <w:tabs>
          <w:tab w:val="left" w:pos="426"/>
        </w:tabs>
        <w:spacing w:before="0"/>
        <w:rPr>
          <w:szCs w:val="16"/>
          <w:lang w:val="en-US"/>
        </w:rPr>
      </w:pPr>
      <w:r w:rsidRPr="009F337B">
        <w:rPr>
          <w:rStyle w:val="Refdenotaalpie"/>
          <w:szCs w:val="16"/>
          <w:lang w:val="en-US"/>
        </w:rPr>
        <w:footnoteRef/>
      </w:r>
      <w:r w:rsidRPr="009F337B">
        <w:rPr>
          <w:i/>
          <w:szCs w:val="16"/>
          <w:lang w:val="en-US"/>
        </w:rPr>
        <w:tab/>
      </w:r>
      <w:r w:rsidRPr="009F337B">
        <w:rPr>
          <w:i/>
          <w:szCs w:val="16"/>
          <w:lang w:val="en-US"/>
        </w:rPr>
        <w:tab/>
      </w:r>
      <w:r w:rsidRPr="009F337B">
        <w:rPr>
          <w:i/>
          <w:iCs/>
          <w:szCs w:val="16"/>
          <w:lang w:val="en-US"/>
        </w:rPr>
        <w:t xml:space="preserve">Cf. Case of </w:t>
      </w:r>
      <w:proofErr w:type="spellStart"/>
      <w:r w:rsidRPr="009F337B">
        <w:rPr>
          <w:i/>
          <w:iCs/>
          <w:szCs w:val="16"/>
          <w:lang w:val="en-US"/>
        </w:rPr>
        <w:t>Neira</w:t>
      </w:r>
      <w:proofErr w:type="spellEnd"/>
      <w:r w:rsidRPr="009F337B">
        <w:rPr>
          <w:i/>
          <w:iCs/>
          <w:szCs w:val="16"/>
          <w:lang w:val="en-US"/>
        </w:rPr>
        <w:t xml:space="preserve"> </w:t>
      </w:r>
      <w:proofErr w:type="spellStart"/>
      <w:r w:rsidRPr="009F337B">
        <w:rPr>
          <w:i/>
          <w:iCs/>
          <w:szCs w:val="16"/>
          <w:lang w:val="en-US"/>
        </w:rPr>
        <w:t>Alegría</w:t>
      </w:r>
      <w:proofErr w:type="spellEnd"/>
      <w:r w:rsidRPr="009F337B">
        <w:rPr>
          <w:i/>
          <w:iCs/>
          <w:szCs w:val="16"/>
          <w:lang w:val="en-US"/>
        </w:rPr>
        <w:t xml:space="preserve"> et al. v. Peru. Reparations and costs</w:t>
      </w:r>
      <w:r w:rsidRPr="009F337B">
        <w:rPr>
          <w:szCs w:val="16"/>
          <w:lang w:val="en-US"/>
        </w:rPr>
        <w:t xml:space="preserve">. Judgment of September 19, 1996. Series C No. 29, para. 56, and </w:t>
      </w:r>
      <w:r w:rsidRPr="009F337B">
        <w:rPr>
          <w:rStyle w:val="Textoennegrita"/>
          <w:b w:val="0"/>
          <w:i/>
          <w:color w:val="000000"/>
          <w:szCs w:val="16"/>
          <w:shd w:val="clear" w:color="auto" w:fill="FFFFFF"/>
          <w:lang w:val="en-US"/>
        </w:rPr>
        <w:t xml:space="preserve">Case of </w:t>
      </w:r>
      <w:proofErr w:type="spellStart"/>
      <w:r w:rsidRPr="009F337B">
        <w:rPr>
          <w:rStyle w:val="Textoennegrita"/>
          <w:b w:val="0"/>
          <w:i/>
          <w:color w:val="000000"/>
          <w:szCs w:val="16"/>
          <w:shd w:val="clear" w:color="auto" w:fill="FFFFFF"/>
          <w:lang w:val="en-US"/>
        </w:rPr>
        <w:t>Amrhein</w:t>
      </w:r>
      <w:proofErr w:type="spellEnd"/>
      <w:r w:rsidRPr="009F337B">
        <w:rPr>
          <w:rStyle w:val="Textoennegrita"/>
          <w:b w:val="0"/>
          <w:i/>
          <w:color w:val="000000"/>
          <w:szCs w:val="16"/>
          <w:shd w:val="clear" w:color="auto" w:fill="FFFFFF"/>
          <w:lang w:val="en-US"/>
        </w:rPr>
        <w:t xml:space="preserve"> et al. v. Costa Rica. Preliminary objections, merits, reparations and costs</w:t>
      </w:r>
      <w:r w:rsidRPr="009F337B">
        <w:rPr>
          <w:rStyle w:val="Textoennegrita"/>
          <w:b w:val="0"/>
          <w:color w:val="000000"/>
          <w:szCs w:val="16"/>
          <w:shd w:val="clear" w:color="auto" w:fill="FFFFFF"/>
          <w:lang w:val="en-US"/>
        </w:rPr>
        <w:t>. Judgment of April 25, 2018. Series C No. 354, para. 474.</w:t>
      </w:r>
    </w:p>
  </w:footnote>
  <w:footnote w:id="256">
    <w:p w14:paraId="17048C2C" w14:textId="48F598EB" w:rsidR="00AF5CC6" w:rsidRPr="009F337B" w:rsidRDefault="00AF5CC6" w:rsidP="00A30D95">
      <w:pPr>
        <w:pStyle w:val="Textonotapie"/>
        <w:tabs>
          <w:tab w:val="left" w:pos="426"/>
        </w:tabs>
        <w:spacing w:before="0"/>
        <w:rPr>
          <w:szCs w:val="16"/>
          <w:lang w:val="en-US"/>
        </w:rPr>
      </w:pPr>
      <w:r w:rsidRPr="009F337B">
        <w:rPr>
          <w:rStyle w:val="Refdenotaalpie"/>
          <w:rFonts w:eastAsiaTheme="majorEastAsia"/>
          <w:szCs w:val="16"/>
          <w:lang w:val="en-US"/>
        </w:rPr>
        <w:footnoteRef/>
      </w:r>
      <w:r w:rsidRPr="009F337B">
        <w:rPr>
          <w:szCs w:val="16"/>
          <w:lang w:val="en-US"/>
        </w:rPr>
        <w:tab/>
      </w:r>
      <w:r w:rsidRPr="009F337B">
        <w:rPr>
          <w:szCs w:val="16"/>
          <w:lang w:val="en-US"/>
        </w:rPr>
        <w:tab/>
      </w:r>
      <w:r w:rsidRPr="009F337B">
        <w:rPr>
          <w:i/>
          <w:szCs w:val="16"/>
          <w:lang w:val="en-US"/>
        </w:rPr>
        <w:t>Cf.</w:t>
      </w:r>
      <w:r w:rsidRPr="009F337B">
        <w:rPr>
          <w:szCs w:val="16"/>
          <w:lang w:val="en-US"/>
        </w:rPr>
        <w:t xml:space="preserve"> </w:t>
      </w:r>
      <w:r w:rsidRPr="009F337B">
        <w:rPr>
          <w:i/>
          <w:szCs w:val="16"/>
          <w:lang w:val="en-US"/>
        </w:rPr>
        <w:t>Case of the “Street Children” (</w:t>
      </w:r>
      <w:proofErr w:type="spellStart"/>
      <w:r w:rsidRPr="009F337B">
        <w:rPr>
          <w:i/>
          <w:szCs w:val="16"/>
          <w:lang w:val="en-US"/>
        </w:rPr>
        <w:t>Villagrán</w:t>
      </w:r>
      <w:proofErr w:type="spellEnd"/>
      <w:r w:rsidRPr="009F337B">
        <w:rPr>
          <w:i/>
          <w:szCs w:val="16"/>
          <w:lang w:val="en-US"/>
        </w:rPr>
        <w:t xml:space="preserve"> Morales et al.) v. Guatemala. Reparations and costs</w:t>
      </w:r>
      <w:r w:rsidRPr="009F337B">
        <w:rPr>
          <w:b/>
          <w:szCs w:val="16"/>
          <w:lang w:val="en-US"/>
        </w:rPr>
        <w:t xml:space="preserve">. </w:t>
      </w:r>
      <w:r w:rsidRPr="009F337B">
        <w:rPr>
          <w:rStyle w:val="Textoennegrita"/>
          <w:rFonts w:eastAsiaTheme="majorEastAsia"/>
          <w:b w:val="0"/>
          <w:szCs w:val="16"/>
          <w:shd w:val="clear" w:color="auto" w:fill="FFFFFF"/>
          <w:lang w:val="en-US"/>
        </w:rPr>
        <w:t>Judgment of May 26, 2001. Series C No. 77</w:t>
      </w:r>
      <w:r w:rsidRPr="009F337B">
        <w:rPr>
          <w:rStyle w:val="Textoennegrita"/>
          <w:rFonts w:eastAsiaTheme="majorEastAsia"/>
          <w:szCs w:val="16"/>
          <w:shd w:val="clear" w:color="auto" w:fill="FFFFFF"/>
          <w:lang w:val="en-US"/>
        </w:rPr>
        <w:t>,</w:t>
      </w:r>
      <w:r w:rsidRPr="009F337B">
        <w:rPr>
          <w:szCs w:val="16"/>
          <w:lang w:val="en-US"/>
        </w:rPr>
        <w:t xml:space="preserve"> para. 84, and </w:t>
      </w:r>
      <w:r w:rsidRPr="009F337B">
        <w:rPr>
          <w:rStyle w:val="Textoennegrita"/>
          <w:b w:val="0"/>
          <w:i/>
          <w:color w:val="000000"/>
          <w:szCs w:val="16"/>
          <w:shd w:val="clear" w:color="auto" w:fill="FFFFFF"/>
          <w:lang w:val="en-US"/>
        </w:rPr>
        <w:t xml:space="preserve">Case of </w:t>
      </w:r>
      <w:proofErr w:type="spellStart"/>
      <w:r w:rsidRPr="009F337B">
        <w:rPr>
          <w:rStyle w:val="Textoennegrita"/>
          <w:b w:val="0"/>
          <w:i/>
          <w:color w:val="000000"/>
          <w:szCs w:val="16"/>
          <w:shd w:val="clear" w:color="auto" w:fill="FFFFFF"/>
          <w:lang w:val="en-US"/>
        </w:rPr>
        <w:t>Amrhein</w:t>
      </w:r>
      <w:proofErr w:type="spellEnd"/>
      <w:r w:rsidRPr="009F337B">
        <w:rPr>
          <w:rStyle w:val="Textoennegrita"/>
          <w:b w:val="0"/>
          <w:i/>
          <w:color w:val="000000"/>
          <w:szCs w:val="16"/>
          <w:shd w:val="clear" w:color="auto" w:fill="FFFFFF"/>
          <w:lang w:val="en-US"/>
        </w:rPr>
        <w:t xml:space="preserve"> et al. v. Costa Rica. Preliminary objections, merits, reparations and costs</w:t>
      </w:r>
      <w:r w:rsidRPr="009F337B">
        <w:rPr>
          <w:rStyle w:val="Textoennegrita"/>
          <w:b w:val="0"/>
          <w:color w:val="000000"/>
          <w:szCs w:val="16"/>
          <w:shd w:val="clear" w:color="auto" w:fill="FFFFFF"/>
          <w:lang w:val="en-US"/>
        </w:rPr>
        <w:t>. Judgment of April 25, 2018. Series C No. 354, para. 482.</w:t>
      </w:r>
    </w:p>
  </w:footnote>
  <w:footnote w:id="257">
    <w:p w14:paraId="7A5B4DB5" w14:textId="705A87A5" w:rsidR="00AF5CC6" w:rsidRPr="009F337B" w:rsidRDefault="00AF5CC6" w:rsidP="00A30D95">
      <w:pPr>
        <w:pStyle w:val="Footnotes"/>
        <w:tabs>
          <w:tab w:val="left" w:pos="426"/>
        </w:tabs>
        <w:spacing w:after="120"/>
        <w:rPr>
          <w:spacing w:val="0"/>
          <w:lang w:val="en-US"/>
        </w:rPr>
      </w:pPr>
      <w:r w:rsidRPr="009F337B">
        <w:rPr>
          <w:rStyle w:val="Refdenotaalpie"/>
          <w:spacing w:val="0"/>
          <w:szCs w:val="16"/>
          <w:lang w:val="en-US"/>
        </w:rPr>
        <w:footnoteRef/>
      </w:r>
      <w:r w:rsidRPr="009F337B">
        <w:rPr>
          <w:spacing w:val="0"/>
          <w:lang w:val="en-US"/>
        </w:rPr>
        <w:tab/>
      </w:r>
      <w:r w:rsidRPr="009F337B">
        <w:rPr>
          <w:spacing w:val="0"/>
          <w:lang w:val="en-US"/>
        </w:rPr>
        <w:tab/>
      </w:r>
      <w:r w:rsidRPr="009F337B">
        <w:rPr>
          <w:spacing w:val="0"/>
          <w:lang w:val="en-US"/>
        </w:rPr>
        <w:tab/>
      </w:r>
      <w:r w:rsidRPr="009F337B">
        <w:rPr>
          <w:i/>
          <w:spacing w:val="0"/>
          <w:lang w:val="en-US"/>
        </w:rPr>
        <w:t xml:space="preserve">Cf. Case of </w:t>
      </w:r>
      <w:proofErr w:type="spellStart"/>
      <w:r w:rsidRPr="009F337B">
        <w:rPr>
          <w:i/>
          <w:spacing w:val="0"/>
          <w:lang w:val="en-US"/>
        </w:rPr>
        <w:t>Velásquez</w:t>
      </w:r>
      <w:proofErr w:type="spellEnd"/>
      <w:r w:rsidRPr="009F337B">
        <w:rPr>
          <w:i/>
          <w:spacing w:val="0"/>
          <w:lang w:val="en-US"/>
        </w:rPr>
        <w:t xml:space="preserve"> Rodríguez v. Honduras. Reparations and costs. </w:t>
      </w:r>
      <w:r w:rsidRPr="009F337B">
        <w:rPr>
          <w:spacing w:val="0"/>
          <w:lang w:val="en-US"/>
        </w:rPr>
        <w:t>Judgment of July 21, 1989. Series C No. 7,</w:t>
      </w:r>
      <w:r w:rsidRPr="009F337B">
        <w:rPr>
          <w:i/>
          <w:spacing w:val="0"/>
          <w:lang w:val="en-US"/>
        </w:rPr>
        <w:t xml:space="preserve"> </w:t>
      </w:r>
      <w:r w:rsidRPr="009F337B">
        <w:rPr>
          <w:spacing w:val="0"/>
          <w:lang w:val="en-US"/>
        </w:rPr>
        <w:t xml:space="preserve">para. 42, and </w:t>
      </w:r>
      <w:r w:rsidRPr="009F337B">
        <w:rPr>
          <w:rStyle w:val="Textoennegrita"/>
          <w:b w:val="0"/>
          <w:i/>
          <w:color w:val="000000"/>
          <w:shd w:val="clear" w:color="auto" w:fill="FFFFFF"/>
          <w:lang w:val="en-US"/>
        </w:rPr>
        <w:t xml:space="preserve">Case of Herzog et al. v. Brazil. Preliminary objections, merits, reparations and costs. </w:t>
      </w:r>
      <w:r w:rsidRPr="009F337B">
        <w:rPr>
          <w:rStyle w:val="Textoennegrita"/>
          <w:b w:val="0"/>
          <w:color w:val="000000"/>
          <w:shd w:val="clear" w:color="auto" w:fill="FFFFFF"/>
          <w:lang w:val="en-US"/>
        </w:rPr>
        <w:t>Judgment of March 15, 2018. Series C No. 353, para. 401.</w:t>
      </w:r>
    </w:p>
  </w:footnote>
  <w:footnote w:id="258">
    <w:p w14:paraId="1BC11E81" w14:textId="14E40D7D" w:rsidR="00AF5CC6" w:rsidRPr="009F337B" w:rsidRDefault="00AF5CC6" w:rsidP="00A30D95">
      <w:pPr>
        <w:pStyle w:val="Footnotes"/>
        <w:tabs>
          <w:tab w:val="left" w:pos="426"/>
        </w:tabs>
        <w:spacing w:after="120"/>
        <w:rPr>
          <w:spacing w:val="0"/>
          <w:lang w:val="en-US"/>
        </w:rPr>
      </w:pPr>
      <w:r w:rsidRPr="009F337B">
        <w:rPr>
          <w:rStyle w:val="Refdenotaalpie"/>
          <w:spacing w:val="0"/>
          <w:szCs w:val="16"/>
          <w:lang w:val="en-US"/>
        </w:rPr>
        <w:footnoteRef/>
      </w:r>
      <w:r w:rsidRPr="009F337B">
        <w:rPr>
          <w:spacing w:val="0"/>
          <w:lang w:val="en-US"/>
        </w:rPr>
        <w:tab/>
      </w:r>
      <w:r w:rsidRPr="009F337B">
        <w:rPr>
          <w:spacing w:val="0"/>
          <w:lang w:val="en-US"/>
        </w:rPr>
        <w:tab/>
      </w:r>
      <w:r w:rsidRPr="009F337B">
        <w:rPr>
          <w:spacing w:val="0"/>
          <w:lang w:val="en-US"/>
        </w:rPr>
        <w:tab/>
      </w:r>
      <w:r w:rsidRPr="009F337B">
        <w:rPr>
          <w:i/>
          <w:spacing w:val="0"/>
          <w:lang w:val="en-US"/>
        </w:rPr>
        <w:t xml:space="preserve">Cf. Case of Garrido and </w:t>
      </w:r>
      <w:proofErr w:type="spellStart"/>
      <w:r w:rsidRPr="009F337B">
        <w:rPr>
          <w:i/>
          <w:spacing w:val="0"/>
          <w:lang w:val="en-US"/>
        </w:rPr>
        <w:t>Baigorria</w:t>
      </w:r>
      <w:proofErr w:type="spellEnd"/>
      <w:r w:rsidRPr="009F337B">
        <w:rPr>
          <w:i/>
          <w:spacing w:val="0"/>
          <w:lang w:val="en-US"/>
        </w:rPr>
        <w:t xml:space="preserve"> v. Argentina. Reparations and costs</w:t>
      </w:r>
      <w:r w:rsidRPr="009F337B">
        <w:rPr>
          <w:spacing w:val="0"/>
          <w:lang w:val="en-US"/>
        </w:rPr>
        <w:t xml:space="preserve">. Judgment of August 27, 1998. Series C No. 39, para. 82, and </w:t>
      </w:r>
      <w:r w:rsidRPr="009F337B">
        <w:rPr>
          <w:rStyle w:val="Textoennegrita"/>
          <w:b w:val="0"/>
          <w:i/>
          <w:color w:val="000000"/>
          <w:shd w:val="clear" w:color="auto" w:fill="FFFFFF"/>
          <w:lang w:val="en-US"/>
        </w:rPr>
        <w:t xml:space="preserve">Case of Herzog et al. v. Brazil. Preliminary objections, merits, reparations and costs. </w:t>
      </w:r>
      <w:r w:rsidRPr="009F337B">
        <w:rPr>
          <w:rStyle w:val="Textoennegrita"/>
          <w:b w:val="0"/>
          <w:color w:val="000000"/>
          <w:shd w:val="clear" w:color="auto" w:fill="FFFFFF"/>
          <w:lang w:val="en-US"/>
        </w:rPr>
        <w:t>Judgment of March 15, 2018. Series C No. 353, para. 401.</w:t>
      </w:r>
    </w:p>
  </w:footnote>
  <w:footnote w:id="259">
    <w:p w14:paraId="6F469A6A" w14:textId="499EB9D5"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 xml:space="preserve"> </w:t>
      </w:r>
      <w:r w:rsidRPr="009F337B">
        <w:rPr>
          <w:szCs w:val="16"/>
          <w:lang w:val="en-US"/>
        </w:rPr>
        <w:tab/>
        <w:t>The name of the presumed victim has been kept confidential following a specific request, and the initials L.A.L. are used to refer to this person.</w:t>
      </w:r>
    </w:p>
  </w:footnote>
  <w:footnote w:id="260">
    <w:p w14:paraId="1B8B5212" w14:textId="06AC1D82"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t xml:space="preserve">Obligatory notification of a case of AIDS No. 005454 of February 27, 2003, signed by the Ministry of Public Health and Social Assistance, corresponding to Facundo Gómez Reyes (evidence file, folio 112089); application for amparo dated July 26, 2002 (evidence file, folio 13); the Guatemalan State’s report to the IACHR of August 26, 2010 (evidence file, folio 1461); Affidavit prepared by María Elena Morales Villafuerte on January 17, 2017 (evidence file, folios 11715 and 11716); initial petition of August 14, 2003 (evidence file, folio 466); the petitioners’ brief of August 7, 2009 (evidence file, folio 818), and the petitioners’ brief of December 10, 2010, which included data collected by Dr. Cristina Calderón (co-petitioner) from the medical records of the presumed victims and from interviews (evidence file, folio 1399). </w:t>
      </w:r>
    </w:p>
  </w:footnote>
  <w:footnote w:id="261">
    <w:p w14:paraId="4AD84704" w14:textId="24EF213E"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t>Affidavit prepared by María Elena Morales Villafuerte on February 10, 2017 (evidence file, folios 11719 and 11721), and the petitioners’ brief of September 30, 2011, containing a list of the next of kin or closest circle of each of them (evidence file, folio 1360).</w:t>
      </w:r>
    </w:p>
  </w:footnote>
  <w:footnote w:id="262">
    <w:p w14:paraId="6629536B" w14:textId="6883AC81"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t xml:space="preserve">Sheet with confidential data on HIV patients dated April 22, 2002, signed by </w:t>
      </w:r>
      <w:r w:rsidRPr="009F337B">
        <w:rPr>
          <w:i/>
          <w:szCs w:val="16"/>
          <w:lang w:val="en-US"/>
        </w:rPr>
        <w:t>Proyecto Vida</w:t>
      </w:r>
      <w:r w:rsidRPr="009F337B">
        <w:rPr>
          <w:szCs w:val="16"/>
          <w:lang w:val="en-US"/>
        </w:rPr>
        <w:t xml:space="preserve"> corresponding to Reina López </w:t>
      </w:r>
      <w:proofErr w:type="spellStart"/>
      <w:r w:rsidRPr="009F337B">
        <w:rPr>
          <w:szCs w:val="16"/>
          <w:lang w:val="en-US"/>
        </w:rPr>
        <w:t>Mujica</w:t>
      </w:r>
      <w:proofErr w:type="spellEnd"/>
      <w:r w:rsidRPr="009F337B">
        <w:rPr>
          <w:szCs w:val="16"/>
          <w:lang w:val="en-US"/>
        </w:rPr>
        <w:t xml:space="preserve"> (evidence file, folio 11188); the petitioners’ brief of April 2, 2004, advising of the death of Reina López </w:t>
      </w:r>
      <w:proofErr w:type="spellStart"/>
      <w:r w:rsidRPr="009F337B">
        <w:rPr>
          <w:szCs w:val="16"/>
          <w:lang w:val="en-US"/>
        </w:rPr>
        <w:t>Mujica</w:t>
      </w:r>
      <w:proofErr w:type="spellEnd"/>
      <w:r w:rsidRPr="009F337B">
        <w:rPr>
          <w:szCs w:val="16"/>
          <w:lang w:val="en-US"/>
        </w:rPr>
        <w:t>, and the petitioners’ brief of December 10, 2010, which included data collected by Dr. Cristina Calderón (co-petitioner) from the medical records of the presumed victims and from interviews (evidence file, folio 1399).</w:t>
      </w:r>
    </w:p>
  </w:footnote>
  <w:footnote w:id="263">
    <w:p w14:paraId="5A723072" w14:textId="775A4E77"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t xml:space="preserve">Affidavit prepared by María de Jesús </w:t>
      </w:r>
      <w:proofErr w:type="spellStart"/>
      <w:r w:rsidRPr="009F337B">
        <w:rPr>
          <w:szCs w:val="16"/>
          <w:lang w:val="en-US"/>
        </w:rPr>
        <w:t>Chajón</w:t>
      </w:r>
      <w:proofErr w:type="spellEnd"/>
      <w:r w:rsidRPr="009F337B">
        <w:rPr>
          <w:szCs w:val="16"/>
          <w:lang w:val="en-US"/>
        </w:rPr>
        <w:t xml:space="preserve"> De León on January 5, 2017 (evidence file, folio 11712); the petitioners’ brief of December 10, 2010, which included data collected by Dr. Cristina Calderón (co-petitioner) from the medical records of the presumed victims and from interviews (evidence file, folio 1401), and death certificate of </w:t>
      </w:r>
      <w:proofErr w:type="spellStart"/>
      <w:r w:rsidRPr="009F337B">
        <w:rPr>
          <w:szCs w:val="16"/>
          <w:lang w:val="en-US"/>
        </w:rPr>
        <w:t>Ismar</w:t>
      </w:r>
      <w:proofErr w:type="spellEnd"/>
      <w:r w:rsidRPr="009F337B">
        <w:rPr>
          <w:szCs w:val="16"/>
          <w:lang w:val="en-US"/>
        </w:rPr>
        <w:t xml:space="preserve"> Ramírez </w:t>
      </w:r>
      <w:proofErr w:type="spellStart"/>
      <w:r w:rsidRPr="009F337B">
        <w:rPr>
          <w:szCs w:val="16"/>
          <w:lang w:val="en-US"/>
        </w:rPr>
        <w:t>Chajón</w:t>
      </w:r>
      <w:proofErr w:type="spellEnd"/>
      <w:r w:rsidRPr="009F337B">
        <w:rPr>
          <w:szCs w:val="16"/>
          <w:lang w:val="en-US"/>
        </w:rPr>
        <w:t xml:space="preserve"> dated December 15, 2003 (evidence file, folio 12762).</w:t>
      </w:r>
    </w:p>
  </w:footnote>
  <w:footnote w:id="264">
    <w:p w14:paraId="69B979ED" w14:textId="47C7FAB7"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t>The petitioners’ brief of September 30, 2011 (evidence file, folio 1360), and list annexed to the IACHR Merits Report of April 13, 2016 (evidence file, folio 12766).</w:t>
      </w:r>
    </w:p>
  </w:footnote>
  <w:footnote w:id="265">
    <w:p w14:paraId="0B876440" w14:textId="6DCC8E36"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t xml:space="preserve">Clarification by the petitioners in the brief on precautionary measures of August 16, 2004 (evidence file, folio 11111), and State’s report of June 18, 2004, on the clarification of the name of </w:t>
      </w:r>
      <w:proofErr w:type="spellStart"/>
      <w:r w:rsidRPr="009F337B">
        <w:rPr>
          <w:szCs w:val="16"/>
          <w:lang w:val="en-US"/>
        </w:rPr>
        <w:t>Petrona</w:t>
      </w:r>
      <w:proofErr w:type="spellEnd"/>
      <w:r w:rsidRPr="009F337B">
        <w:rPr>
          <w:szCs w:val="16"/>
          <w:lang w:val="en-US"/>
        </w:rPr>
        <w:t xml:space="preserve"> López Robledo (evidence file, folio 11134).</w:t>
      </w:r>
    </w:p>
  </w:footnote>
  <w:footnote w:id="266">
    <w:p w14:paraId="641D94FC" w14:textId="57357F9D"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t xml:space="preserve">Sheet with confidential data on HIV patients dated March 8, 2001, signed by </w:t>
      </w:r>
      <w:r w:rsidRPr="009F337B">
        <w:rPr>
          <w:i/>
          <w:szCs w:val="16"/>
          <w:lang w:val="en-US"/>
        </w:rPr>
        <w:t>Proyecto Vida</w:t>
      </w:r>
      <w:r w:rsidRPr="009F337B">
        <w:rPr>
          <w:szCs w:val="16"/>
          <w:lang w:val="en-US"/>
        </w:rPr>
        <w:t xml:space="preserve"> corresponding to </w:t>
      </w:r>
      <w:proofErr w:type="spellStart"/>
      <w:r w:rsidRPr="009F337B">
        <w:rPr>
          <w:szCs w:val="16"/>
          <w:lang w:val="en-US"/>
        </w:rPr>
        <w:t>Petrona</w:t>
      </w:r>
      <w:proofErr w:type="spellEnd"/>
      <w:r w:rsidRPr="009F337B">
        <w:rPr>
          <w:szCs w:val="16"/>
          <w:lang w:val="en-US"/>
        </w:rPr>
        <w:t xml:space="preserve"> López Robledo (evidence file, folio 11189), and the petitioners’ brief of December 10, 2010, which included data collected by Dr. Cristina Calderón (co-petitioner) from the medical records of the presumed victims and from interviews (evidence file, folios 1400 and 1401).</w:t>
      </w:r>
    </w:p>
  </w:footnote>
  <w:footnote w:id="267">
    <w:p w14:paraId="5DE9680E" w14:textId="654A8BD7"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t>The petitioners’ brief of August 7, 2009 (evidence file, folio 818); the petitioners’ brief of September 30, 2011 (evidence file, folio 1360), and list annexed to the IACHR Merits Report of April 13, 2016 (evidence file, folio 12766).</w:t>
      </w:r>
    </w:p>
  </w:footnote>
  <w:footnote w:id="268">
    <w:p w14:paraId="5E49B920" w14:textId="673A5C13"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t>The petitioners’ brief of December 10, 2010, which included data collected by Dr. Cristina Calderón (co-petitioner) from the medical records of the presumed victims and from interviews (evidence file, folios 1401 and 1402); the Guatemalan State’s report of October 1, 2010 (evidence file, folio 1433), and table with updated information collected by Dr. Cristina Calderón, as an annex to the petitioners’ brief of June 27, 2008 (evidence file, folio 12777), and Affidavit prepared by Luz Imelda Lucas de León on December 21, 2016 (evidence file, folio 22702).</w:t>
      </w:r>
    </w:p>
  </w:footnote>
  <w:footnote w:id="269">
    <w:p w14:paraId="4D4FEADF" w14:textId="7521AD32"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t>The petitioners’ brief of September 30, 2011 (evidence file, folio 1359), and list annexed to the IACHR Merits Report of April 13, 2016 (evidence file, folio 12766).</w:t>
      </w:r>
    </w:p>
  </w:footnote>
  <w:footnote w:id="270">
    <w:p w14:paraId="25D6855D" w14:textId="1114371C"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t>Initial petition of August 14, 2003 (evidence file, folio 464); the petitioners’ brief of August 7, 2009, with information on some of the victims (evidence file, folio 818); the petitioners’ brief of December 10, 2010, which included data collected by Dr. Cristina Calderón (co-petitioner) from the medical records of the presumed victims and from interviews (evidence file, folio 1399).</w:t>
      </w:r>
    </w:p>
  </w:footnote>
  <w:footnote w:id="271">
    <w:p w14:paraId="31C71455" w14:textId="422A961E"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t>The petitioners’ brief of September 30, 2011 (evidence file, folio 1360); list annexed to the IACHR Merits Report of April 13, 2016 (evidence file, folio 12766), and the representatives’ brief of October 20, 2011 (evidence file, folio 1358).</w:t>
      </w:r>
    </w:p>
  </w:footnote>
  <w:footnote w:id="272">
    <w:p w14:paraId="3D63C8A9" w14:textId="155AC635"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t xml:space="preserve">Information dated May 30, 2003, provided by </w:t>
      </w:r>
      <w:r w:rsidRPr="009F337B">
        <w:rPr>
          <w:i/>
          <w:szCs w:val="16"/>
          <w:lang w:val="en-US"/>
        </w:rPr>
        <w:t>Proyecto Vida</w:t>
      </w:r>
      <w:r w:rsidRPr="009F337B">
        <w:rPr>
          <w:szCs w:val="16"/>
          <w:lang w:val="en-US"/>
        </w:rPr>
        <w:t xml:space="preserve">, </w:t>
      </w:r>
      <w:proofErr w:type="spellStart"/>
      <w:r w:rsidRPr="009F337B">
        <w:rPr>
          <w:szCs w:val="16"/>
          <w:lang w:val="en-US"/>
        </w:rPr>
        <w:t>Coatepeque</w:t>
      </w:r>
      <w:proofErr w:type="spellEnd"/>
      <w:r w:rsidRPr="009F337B">
        <w:rPr>
          <w:szCs w:val="16"/>
          <w:lang w:val="en-US"/>
        </w:rPr>
        <w:t>, updating the data of those who filed a petition against Guatemala before the Court (evidence file, folio 11218); the petitioners’ brief of August 7, 2009, with information on some of the victims (evidence file, folio 830), and the petitioners’ brief of December 10, 2010, which included data collected by Dr. Cristina Calderón (co-petitioner) from the medical records of the presumed victims and from interviews (evidence file, folio 1411).</w:t>
      </w:r>
    </w:p>
  </w:footnote>
  <w:footnote w:id="273">
    <w:p w14:paraId="3815D5AF" w14:textId="32FFDA8D"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t>The petitioners’ brief of September 30, 2011 (evidence file, folio 1360), and list annexed to the IACHR Merits Report of April 13, 2016 (evidence file, folio 12766).</w:t>
      </w:r>
    </w:p>
  </w:footnote>
  <w:footnote w:id="274">
    <w:p w14:paraId="38B36FB2" w14:textId="6D7C5308"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t xml:space="preserve">Statements made by Noelia Elizabeth </w:t>
      </w:r>
      <w:proofErr w:type="spellStart"/>
      <w:r w:rsidRPr="009F337B">
        <w:rPr>
          <w:szCs w:val="16"/>
          <w:lang w:val="en-US"/>
        </w:rPr>
        <w:t>Cayaxón</w:t>
      </w:r>
      <w:proofErr w:type="spellEnd"/>
      <w:r w:rsidRPr="009F337B">
        <w:rPr>
          <w:szCs w:val="16"/>
          <w:lang w:val="en-US"/>
        </w:rPr>
        <w:t xml:space="preserve"> García and Cruz García Ramos on January 13 and February 11, 2017 (evidence file, folio 11754); the petitioners’ brief of August 7, 2009 (evidence file, folios 830 and 831); report of the Administrative Director of the </w:t>
      </w:r>
      <w:proofErr w:type="spellStart"/>
      <w:r w:rsidRPr="009F337B">
        <w:rPr>
          <w:szCs w:val="16"/>
          <w:lang w:val="en-US"/>
        </w:rPr>
        <w:t>Coatepeque</w:t>
      </w:r>
      <w:proofErr w:type="spellEnd"/>
      <w:r w:rsidRPr="009F337B">
        <w:rPr>
          <w:szCs w:val="16"/>
          <w:lang w:val="en-US"/>
        </w:rPr>
        <w:t xml:space="preserve"> Hospital dated February 5, 2008, on the medical care provided to Guadalupe </w:t>
      </w:r>
      <w:proofErr w:type="spellStart"/>
      <w:r w:rsidRPr="009F337B">
        <w:rPr>
          <w:szCs w:val="16"/>
          <w:lang w:val="en-US"/>
        </w:rPr>
        <w:t>Cayaxon</w:t>
      </w:r>
      <w:proofErr w:type="spellEnd"/>
      <w:r w:rsidRPr="009F337B">
        <w:rPr>
          <w:szCs w:val="16"/>
          <w:lang w:val="en-US"/>
        </w:rPr>
        <w:t xml:space="preserve"> (evidence file, folio 1079), and statements made by Cruz García Ramos on January 11 and February 11, 2017 (evidence file, folio 11597).</w:t>
      </w:r>
    </w:p>
  </w:footnote>
  <w:footnote w:id="275">
    <w:p w14:paraId="56D0C053" w14:textId="12787EC9"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t>The petitioners’ brief of September 30, 2011 (evidence file, folio 1365), and list annexed to the IACHR Merits Report of April 13, 2016 (evidence file, folio 12766).</w:t>
      </w:r>
    </w:p>
  </w:footnote>
  <w:footnote w:id="276">
    <w:p w14:paraId="216F26FE" w14:textId="3F64E63A"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t xml:space="preserve">Affidavit prepared by Antonio Miranda Méndez on February 12, 2017 (evidence file, folio 11557); the petitioners’ brief of December 10, 2010, which included data collected by Dr. Cristina Calderón (co-petitioner) from the medical records of the presumed victims and from interviews (evidence file, folios 1405 and 1406); the petitioners’ brief of August 7, 2009 (evidence file, folio 825), and Report of the Administrative Director of the </w:t>
      </w:r>
      <w:proofErr w:type="spellStart"/>
      <w:r w:rsidRPr="009F337B">
        <w:rPr>
          <w:szCs w:val="16"/>
          <w:lang w:val="en-US"/>
        </w:rPr>
        <w:t>Coatepeque</w:t>
      </w:r>
      <w:proofErr w:type="spellEnd"/>
      <w:r w:rsidRPr="009F337B">
        <w:rPr>
          <w:szCs w:val="16"/>
          <w:lang w:val="en-US"/>
        </w:rPr>
        <w:t xml:space="preserve"> Hospital dated February 5, 2008, on the medical care provided to Rubén Delgado (evidence file, folio 1071).</w:t>
      </w:r>
    </w:p>
  </w:footnote>
  <w:footnote w:id="277">
    <w:p w14:paraId="403794E5" w14:textId="4F0A7452"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t>The petitioners’ brief of September 30, 2011 (evidence file, folio 1362), and list annexed to the IACHR Merits Report of April 13, 2016 (evidence file, folio 12768).</w:t>
      </w:r>
    </w:p>
  </w:footnote>
  <w:footnote w:id="278">
    <w:p w14:paraId="2F57FEFE" w14:textId="05C523BA"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t>Updated table of information collected by Dr. Cristina Calderón, as an annex to the petitioners’ brief of June 27, 2008 (evidence file, folio 12776); Updated table of information collected by Dr. Cristina Calderón in interviews conducted in November 2010 (evidence file, folios 12803 and 12804); the petitioners’ brief of August 7, 2009 (evidence file, folio 831), and the State’s report of August 26, 2010 (evidence file, folio 1460).</w:t>
      </w:r>
    </w:p>
  </w:footnote>
  <w:footnote w:id="279">
    <w:p w14:paraId="5DDE1C08" w14:textId="042BDC51"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t>The petitioners’ brief of September 30, 2011 (evidence file, folio 1365), and list annexed to the IACHR Merits Report of April 13, 2016 (evidence file, folio 12770).</w:t>
      </w:r>
    </w:p>
  </w:footnote>
  <w:footnote w:id="280">
    <w:p w14:paraId="2CE63CDE" w14:textId="5B63457B"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t xml:space="preserve">Updated table of information collected by Dr. Cristina Calderón, as an annex to the petitioners’ brief of June 27, 2008 (evidence file, folio 12777); the petitioners’ brief of December 10, 2010, which included data collected by Dr. Cristina Calderón (co-petitioner) from the medical records of the presumed victims and from interviews (evidence file, folio 1401), and the petitioners’ brief of August 7, 2009 (evidence file, folio 818). </w:t>
      </w:r>
    </w:p>
  </w:footnote>
  <w:footnote w:id="281">
    <w:p w14:paraId="17B9E1F3" w14:textId="1B1BDC8A"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t>The representatives’ brief of September 30, 2011 (evidence file, folio 1359); list annexed to the IACHR Merits Report of April 13, 2016 (evidence file, folio 12766), and updated table of information of December 10, 2010 signed by Dr. Cristina Calderón (evidence file, folio 12801).</w:t>
      </w:r>
    </w:p>
  </w:footnote>
  <w:footnote w:id="282">
    <w:p w14:paraId="511DDDD3" w14:textId="28C1EEC6"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 xml:space="preserve"> </w:t>
      </w:r>
      <w:r w:rsidRPr="009F337B">
        <w:rPr>
          <w:szCs w:val="16"/>
          <w:lang w:val="en-US"/>
        </w:rPr>
        <w:tab/>
        <w:t xml:space="preserve">Birth certificate of Silvia </w:t>
      </w:r>
      <w:proofErr w:type="spellStart"/>
      <w:r w:rsidRPr="009F337B">
        <w:rPr>
          <w:szCs w:val="16"/>
          <w:lang w:val="en-US"/>
        </w:rPr>
        <w:t>Mirtala</w:t>
      </w:r>
      <w:proofErr w:type="spellEnd"/>
      <w:r w:rsidRPr="009F337B">
        <w:rPr>
          <w:szCs w:val="16"/>
          <w:lang w:val="en-US"/>
        </w:rPr>
        <w:t xml:space="preserve"> Alvarez </w:t>
      </w:r>
      <w:proofErr w:type="spellStart"/>
      <w:r w:rsidRPr="009F337B">
        <w:rPr>
          <w:szCs w:val="16"/>
          <w:lang w:val="en-US"/>
        </w:rPr>
        <w:t>Villatoro</w:t>
      </w:r>
      <w:proofErr w:type="spellEnd"/>
      <w:r w:rsidRPr="009F337B">
        <w:rPr>
          <w:szCs w:val="16"/>
          <w:lang w:val="en-US"/>
        </w:rPr>
        <w:t xml:space="preserve"> (evidence file, folio 12870), and updated table of information collected by Dr. Cristina Calderón and interviews conducted in November 2010 (evidence file, folio 12801).</w:t>
      </w:r>
    </w:p>
  </w:footnote>
  <w:footnote w:id="283">
    <w:p w14:paraId="01D3CA7D" w14:textId="51F5E35E"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t>The petitioners’ brief of September 30, 2011 (evidence file, folio 1363), and list annexed to the IACHR Merits Report of April 13, 2016 (evidence file, folio 12769).</w:t>
      </w:r>
    </w:p>
  </w:footnote>
  <w:footnote w:id="284">
    <w:p w14:paraId="350BC0ED" w14:textId="04F25BEB"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t xml:space="preserve">Information provided by </w:t>
      </w:r>
      <w:r w:rsidRPr="009F337B">
        <w:rPr>
          <w:i/>
          <w:szCs w:val="16"/>
          <w:lang w:val="en-US"/>
        </w:rPr>
        <w:t>Proyecto Vida</w:t>
      </w:r>
      <w:r w:rsidRPr="009F337B">
        <w:rPr>
          <w:szCs w:val="16"/>
          <w:lang w:val="en-US"/>
        </w:rPr>
        <w:t xml:space="preserve">, </w:t>
      </w:r>
      <w:proofErr w:type="spellStart"/>
      <w:r w:rsidRPr="009F337B">
        <w:rPr>
          <w:szCs w:val="16"/>
          <w:lang w:val="en-US"/>
        </w:rPr>
        <w:t>Coatepeque</w:t>
      </w:r>
      <w:proofErr w:type="spellEnd"/>
      <w:r w:rsidRPr="009F337B">
        <w:rPr>
          <w:szCs w:val="16"/>
          <w:lang w:val="en-US"/>
        </w:rPr>
        <w:t xml:space="preserve">, on the updating of the data of the persons who filed a petition against Guatemala before the Court (evidence file, folio 11215); the petitioners’ brief of April 2, 2004 (evidence file, folio 455); the petitioners’ brief of August 7, 2009 (evidence file, folios 830 and 831); table with information collected by Dr. Cristina Calderón, through interviews in November 2010 (evidence file, folio 12788), and Report on the medical care provided to Juana Aguilar dated February 5, 2008, signed by the Administrative Director of the </w:t>
      </w:r>
      <w:proofErr w:type="spellStart"/>
      <w:r w:rsidRPr="009F337B">
        <w:rPr>
          <w:szCs w:val="16"/>
          <w:lang w:val="en-US"/>
        </w:rPr>
        <w:t>Coatepeque</w:t>
      </w:r>
      <w:proofErr w:type="spellEnd"/>
      <w:r w:rsidRPr="009F337B">
        <w:rPr>
          <w:szCs w:val="16"/>
          <w:lang w:val="en-US"/>
        </w:rPr>
        <w:t xml:space="preserve"> Hospital (evidence file, folio 168).</w:t>
      </w:r>
    </w:p>
  </w:footnote>
  <w:footnote w:id="285">
    <w:p w14:paraId="1EF521B0" w14:textId="31C898D8"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t>The petitioners’ brief of September 30, 2011 (evidence file, folios 1364 and 1365), and list annexed to the IACHR Merits Report of April 13, 2016 (evidence file, folio 12782).</w:t>
      </w:r>
    </w:p>
  </w:footnote>
  <w:footnote w:id="286">
    <w:p w14:paraId="3D1A2266" w14:textId="7CD10C12"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t>The petitioners’ brief of August 7, 2009 (evidence file, folios 825 and 826</w:t>
      </w:r>
      <w:r w:rsidRPr="009F337B">
        <w:rPr>
          <w:rFonts w:cs="Arial"/>
          <w:szCs w:val="16"/>
          <w:lang w:val="en-US"/>
        </w:rPr>
        <w:t>); table with information collected by Dr. Cristina Calderón through interviews in November 2010 (</w:t>
      </w:r>
      <w:r w:rsidRPr="009F337B">
        <w:rPr>
          <w:szCs w:val="16"/>
          <w:lang w:val="en-US"/>
        </w:rPr>
        <w:t xml:space="preserve">evidence file, folios 12782, </w:t>
      </w:r>
      <w:r w:rsidRPr="009F337B">
        <w:rPr>
          <w:rFonts w:cs="Arial"/>
          <w:szCs w:val="16"/>
          <w:lang w:val="en-US"/>
        </w:rPr>
        <w:t xml:space="preserve">12795 and 12796), and birth certificate of Melvin Yovani </w:t>
      </w:r>
      <w:proofErr w:type="spellStart"/>
      <w:r w:rsidRPr="009F337B">
        <w:rPr>
          <w:rFonts w:cs="Arial"/>
          <w:szCs w:val="16"/>
          <w:lang w:val="en-US"/>
        </w:rPr>
        <w:t>Ajtun</w:t>
      </w:r>
      <w:proofErr w:type="spellEnd"/>
      <w:r w:rsidRPr="009F337B">
        <w:rPr>
          <w:rFonts w:cs="Arial"/>
          <w:szCs w:val="16"/>
          <w:lang w:val="en-US"/>
        </w:rPr>
        <w:t xml:space="preserve"> Escobar (evidence file, folio 12898).</w:t>
      </w:r>
    </w:p>
  </w:footnote>
  <w:footnote w:id="287">
    <w:p w14:paraId="2EA66525" w14:textId="517FF3B1"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t>The petitioners’ brief of September 30, 2011 (evidence file, folios 1359 to 1366), and list annexed to the IACHR Merits Report of April 13, 2016 (evidence file, folios 12765 – 12771).</w:t>
      </w:r>
    </w:p>
  </w:footnote>
  <w:footnote w:id="288">
    <w:p w14:paraId="4082F7DC" w14:textId="1554F7C1"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t xml:space="preserve">Table with updated information collected by Dr. Cristina Calderón, as an annex to the petitioners’ brief of June 27, 2008 (evidence file, folio 12776); the petitioners’ brief of August 7, 2009 (evidence file, folio 829); </w:t>
      </w:r>
      <w:r w:rsidRPr="009F337B">
        <w:rPr>
          <w:rFonts w:cs="Arial"/>
          <w:szCs w:val="16"/>
          <w:lang w:val="en-US"/>
        </w:rPr>
        <w:t>table with information collected by Dr. Cristina Calderón through interviews in November 2010 (</w:t>
      </w:r>
      <w:r w:rsidRPr="009F337B">
        <w:rPr>
          <w:szCs w:val="16"/>
          <w:lang w:val="en-US"/>
        </w:rPr>
        <w:t xml:space="preserve">evidence file, folio </w:t>
      </w:r>
      <w:r w:rsidRPr="009F337B">
        <w:rPr>
          <w:rFonts w:cs="Arial"/>
          <w:szCs w:val="16"/>
          <w:lang w:val="en-US"/>
        </w:rPr>
        <w:t>12786), and Affidavit prepared by</w:t>
      </w:r>
      <w:r w:rsidRPr="009F337B">
        <w:rPr>
          <w:szCs w:val="16"/>
          <w:lang w:val="en-US"/>
        </w:rPr>
        <w:t xml:space="preserve"> Victoria Ramírez Ramos on February 11, 2017 (evidence file, folio 11812).</w:t>
      </w:r>
    </w:p>
  </w:footnote>
  <w:footnote w:id="289">
    <w:p w14:paraId="7B6B8E55" w14:textId="71D60202"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t>The petitioners’ brief of September 30, 2011 (evidence file, folio 1363), and list annexed to the IACHR Merits Report of April 13, 2016 (evidence file, folio 12769).</w:t>
      </w:r>
    </w:p>
  </w:footnote>
  <w:footnote w:id="290">
    <w:p w14:paraId="684043CB" w14:textId="6BC2120E"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t xml:space="preserve">Birth certificate of Sebastián Emilio </w:t>
      </w:r>
      <w:proofErr w:type="spellStart"/>
      <w:r w:rsidRPr="009F337B">
        <w:rPr>
          <w:szCs w:val="16"/>
          <w:lang w:val="en-US"/>
        </w:rPr>
        <w:t>Dueñas</w:t>
      </w:r>
      <w:proofErr w:type="spellEnd"/>
      <w:r w:rsidRPr="009F337B">
        <w:rPr>
          <w:szCs w:val="16"/>
          <w:lang w:val="en-US"/>
        </w:rPr>
        <w:t xml:space="preserve"> (evidence file, folio 12866); Affidavit prepared by Julia Aguilar on December 20, 2016 (evidence file, folio 11648); the petitioners’ brief of August 7, 2009 (evidence file, folio 823); table with information collected by Dr. Cristina Calderón through interviews in November 2010 (evidence file, folio 12791), and Affidavit prepared by Sebastián Emilio </w:t>
      </w:r>
      <w:proofErr w:type="spellStart"/>
      <w:r w:rsidRPr="009F337B">
        <w:rPr>
          <w:szCs w:val="16"/>
          <w:lang w:val="en-US"/>
        </w:rPr>
        <w:t>Dueñas</w:t>
      </w:r>
      <w:proofErr w:type="spellEnd"/>
      <w:r w:rsidRPr="009F337B">
        <w:rPr>
          <w:szCs w:val="16"/>
          <w:lang w:val="en-US"/>
        </w:rPr>
        <w:t xml:space="preserve"> on February 9, 2017 (evidence file, folio 11809).</w:t>
      </w:r>
    </w:p>
  </w:footnote>
  <w:footnote w:id="291">
    <w:p w14:paraId="0475B8C3" w14:textId="56B8D79A"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t xml:space="preserve">Affidavit prepared by Sebastián Emilio </w:t>
      </w:r>
      <w:proofErr w:type="spellStart"/>
      <w:r w:rsidRPr="009F337B">
        <w:rPr>
          <w:szCs w:val="16"/>
          <w:lang w:val="en-US"/>
        </w:rPr>
        <w:t>Dueñas</w:t>
      </w:r>
      <w:proofErr w:type="spellEnd"/>
      <w:r w:rsidRPr="009F337B">
        <w:rPr>
          <w:szCs w:val="16"/>
          <w:lang w:val="en-US"/>
        </w:rPr>
        <w:t xml:space="preserve"> on February 9, 2017 (evidence file, folios 11807 to 11809), and table with information collected by Dr. Cristina Calderón through interviews in November 2010 (evidence file, folio 12791).</w:t>
      </w:r>
    </w:p>
  </w:footnote>
  <w:footnote w:id="292">
    <w:p w14:paraId="333DC78A" w14:textId="42455E75"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t>The petitioners’ brief of September 30, 2011 (evidence file, folio 1361), and list annexed to the IACHR Merits Report of April 13, 2016 (evidence file, folio 12767).</w:t>
      </w:r>
    </w:p>
  </w:footnote>
  <w:footnote w:id="293">
    <w:p w14:paraId="641CC389" w14:textId="023F0A37"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t>Statements by Julia Aguilar on December 20, 2016, and February 11, 2017 (evidence file, folios 11648, 11649 and 11651), and the petitioners’ brief of August 7, 2009 (evidence file, folios 824 and 825).</w:t>
      </w:r>
    </w:p>
  </w:footnote>
  <w:footnote w:id="294">
    <w:p w14:paraId="3E8646C5" w14:textId="0CF80622"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t>Birth certificate of Julia Aguilar (evidence file, folio 12868), and statements made by Julia Aguilar on December 20, 2016 and February 11, 2017 (evidence file, folios 11648 – 11650).</w:t>
      </w:r>
    </w:p>
  </w:footnote>
  <w:footnote w:id="295">
    <w:p w14:paraId="4055D1E7" w14:textId="56112638"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t>The petitioners’ brief of September 30, 2011 (evidence file, folio 1361), and list annexed to the IACHR Merits Report of April 13, 2016 (evidence file, folio 12767).</w:t>
      </w:r>
    </w:p>
  </w:footnote>
  <w:footnote w:id="296">
    <w:p w14:paraId="376258B2" w14:textId="51F547BF"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t xml:space="preserve">Statements made by Felipe </w:t>
      </w:r>
      <w:proofErr w:type="spellStart"/>
      <w:r w:rsidRPr="009F337B">
        <w:rPr>
          <w:szCs w:val="16"/>
          <w:lang w:val="en-US"/>
        </w:rPr>
        <w:t>Tebalan</w:t>
      </w:r>
      <w:proofErr w:type="spellEnd"/>
      <w:r w:rsidRPr="009F337B">
        <w:rPr>
          <w:szCs w:val="16"/>
          <w:lang w:val="en-US"/>
        </w:rPr>
        <w:t xml:space="preserve"> </w:t>
      </w:r>
      <w:proofErr w:type="spellStart"/>
      <w:r w:rsidRPr="009F337B">
        <w:rPr>
          <w:szCs w:val="16"/>
          <w:lang w:val="en-US"/>
        </w:rPr>
        <w:t>Ordoñez</w:t>
      </w:r>
      <w:proofErr w:type="spellEnd"/>
      <w:r w:rsidRPr="009F337B">
        <w:rPr>
          <w:szCs w:val="16"/>
          <w:lang w:val="en-US"/>
        </w:rPr>
        <w:t xml:space="preserve"> on January 11 and February 9, 2017 (evidence file, folios 11618, 11621, 11622, 11623 and 11624).</w:t>
      </w:r>
    </w:p>
  </w:footnote>
  <w:footnote w:id="297">
    <w:p w14:paraId="52F16CF8" w14:textId="551E276E"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t xml:space="preserve">Birth certificate of Felipe </w:t>
      </w:r>
      <w:proofErr w:type="spellStart"/>
      <w:r w:rsidRPr="009F337B">
        <w:rPr>
          <w:szCs w:val="16"/>
          <w:lang w:val="en-US"/>
        </w:rPr>
        <w:t>Tebalan</w:t>
      </w:r>
      <w:proofErr w:type="spellEnd"/>
      <w:r w:rsidRPr="009F337B">
        <w:rPr>
          <w:szCs w:val="16"/>
          <w:lang w:val="en-US"/>
        </w:rPr>
        <w:t xml:space="preserve"> </w:t>
      </w:r>
      <w:proofErr w:type="spellStart"/>
      <w:r w:rsidRPr="009F337B">
        <w:rPr>
          <w:szCs w:val="16"/>
          <w:lang w:val="en-US"/>
        </w:rPr>
        <w:t>Ordoñez</w:t>
      </w:r>
      <w:proofErr w:type="spellEnd"/>
      <w:r w:rsidRPr="009F337B">
        <w:rPr>
          <w:szCs w:val="16"/>
          <w:lang w:val="en-US"/>
        </w:rPr>
        <w:t xml:space="preserve"> (evidence file, folio 12828); statements made by Felipe </w:t>
      </w:r>
      <w:proofErr w:type="spellStart"/>
      <w:r w:rsidRPr="009F337B">
        <w:rPr>
          <w:szCs w:val="16"/>
          <w:lang w:val="en-US"/>
        </w:rPr>
        <w:t>Tebalan</w:t>
      </w:r>
      <w:proofErr w:type="spellEnd"/>
      <w:r w:rsidRPr="009F337B">
        <w:rPr>
          <w:szCs w:val="16"/>
          <w:lang w:val="en-US"/>
        </w:rPr>
        <w:t xml:space="preserve"> </w:t>
      </w:r>
      <w:proofErr w:type="spellStart"/>
      <w:r w:rsidRPr="009F337B">
        <w:rPr>
          <w:szCs w:val="16"/>
          <w:lang w:val="en-US"/>
        </w:rPr>
        <w:t>Ordoñez</w:t>
      </w:r>
      <w:proofErr w:type="spellEnd"/>
      <w:r w:rsidRPr="009F337B">
        <w:rPr>
          <w:szCs w:val="16"/>
          <w:lang w:val="en-US"/>
        </w:rPr>
        <w:t xml:space="preserve"> on January 11 and February 9, 2017 (evidence file, folios 11618, 11619, 11620, 11621 and  11624), and the petitioners’ brief of August 7, 2009 (evidence file, folio 823).</w:t>
      </w:r>
    </w:p>
  </w:footnote>
  <w:footnote w:id="298">
    <w:p w14:paraId="12EE4ACD" w14:textId="33B74861"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t>The petitioners’ brief of September 30, 2011 (evidence file, folio 1361), and list annexed to the IACHR Merits Report of April 13, 2016 (evidence file, folio 12767).</w:t>
      </w:r>
    </w:p>
  </w:footnote>
  <w:footnote w:id="299">
    <w:p w14:paraId="5AB852BE" w14:textId="5C42A2C6"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t>Birth certificate of Martina Candelaria Álvarez Estrada (evidence file, folio 12896); statements made by Martina Candelaria Álvarez Estrada on March 25, 2017 (evidence file, folio 11734), and the petitioners’ brief of August 7, 2009 (evidence file, folio 824).</w:t>
      </w:r>
    </w:p>
  </w:footnote>
  <w:footnote w:id="300">
    <w:p w14:paraId="6C4B2CAC" w14:textId="7709FE48"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t xml:space="preserve">The petitioners’ brief of September 30, 2011 (evidence file, folio 1361), and list annexed to the IACHR Merits Report of April 13, 2016 (evidence file, folio 12767).he was </w:t>
      </w:r>
    </w:p>
  </w:footnote>
  <w:footnote w:id="301">
    <w:p w14:paraId="1AFDA0AC" w14:textId="7D0315FC"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t>Birth certificate of Luis Rubén Isabel Alvarez Flores (evidence file, folio 12884), and  statements made by Luis Rubén Isabel Alvarez Flores on March 29, 2017 (evidence file, folios 11690, 11691 and 11696).</w:t>
      </w:r>
    </w:p>
  </w:footnote>
  <w:footnote w:id="302">
    <w:p w14:paraId="0F09A667" w14:textId="5C7AE3CD"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t>Statements made by Luis Rubén Isabel Alvarez Flores of March 29, 2017 (evidence file, folios 11690 and 11692).</w:t>
      </w:r>
    </w:p>
  </w:footnote>
  <w:footnote w:id="303">
    <w:p w14:paraId="00416E93" w14:textId="16957F87"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t>The petitioners’ brief of September 30, 2011 (evidence file, folio 1361), and list annexed to the IACHR Merits Report of April 13, 2016 (evidence file, folios 12770 and 12771).</w:t>
      </w:r>
    </w:p>
  </w:footnote>
  <w:footnote w:id="304">
    <w:p w14:paraId="693BB6DF" w14:textId="09461BF2"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t xml:space="preserve">New application for amparo filed before the Constitutional Court on July 26, 2002 (evidence file, folio 14), and 2008 Updated table of information on each victim, collected by Dr. Cristina Calderón, which was attached to the petitioners’ brief with motions, pleadings and evidence </w:t>
      </w:r>
      <w:r w:rsidRPr="009F337B">
        <w:rPr>
          <w:rFonts w:cs="Arial"/>
          <w:szCs w:val="16"/>
          <w:lang w:val="en-US"/>
        </w:rPr>
        <w:t>(</w:t>
      </w:r>
      <w:r w:rsidRPr="009F337B">
        <w:rPr>
          <w:szCs w:val="16"/>
          <w:lang w:val="en-US"/>
        </w:rPr>
        <w:t xml:space="preserve">evidence file, folio </w:t>
      </w:r>
      <w:r w:rsidRPr="009F337B">
        <w:rPr>
          <w:rFonts w:cs="Arial"/>
          <w:szCs w:val="16"/>
          <w:lang w:val="en-US"/>
        </w:rPr>
        <w:t>12777).</w:t>
      </w:r>
    </w:p>
  </w:footnote>
  <w:footnote w:id="305">
    <w:p w14:paraId="32E36F11" w14:textId="48B6A5CE"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t xml:space="preserve">Statements made by </w:t>
      </w:r>
      <w:proofErr w:type="spellStart"/>
      <w:r w:rsidRPr="009F337B">
        <w:rPr>
          <w:szCs w:val="16"/>
          <w:lang w:val="en-US"/>
        </w:rPr>
        <w:t>Saira</w:t>
      </w:r>
      <w:proofErr w:type="spellEnd"/>
      <w:r w:rsidRPr="009F337B">
        <w:rPr>
          <w:szCs w:val="16"/>
          <w:lang w:val="en-US"/>
        </w:rPr>
        <w:t xml:space="preserve"> Elisa Barrios on January 16 and February 9, 2017 (evidence file, folios 11772, 11773, 11774 and 11777); birth certificate of </w:t>
      </w:r>
      <w:proofErr w:type="spellStart"/>
      <w:r w:rsidRPr="009F337B">
        <w:rPr>
          <w:szCs w:val="16"/>
          <w:lang w:val="en-US"/>
        </w:rPr>
        <w:t>Saira</w:t>
      </w:r>
      <w:proofErr w:type="spellEnd"/>
      <w:r w:rsidRPr="009F337B">
        <w:rPr>
          <w:szCs w:val="16"/>
          <w:lang w:val="en-US"/>
        </w:rPr>
        <w:t xml:space="preserve"> Elisa Barrios (evidence file, folio 12858), and the petitioners’ brief of August 7, 2009 (evidence file, folios 823, 824 and 825).</w:t>
      </w:r>
    </w:p>
  </w:footnote>
  <w:footnote w:id="306">
    <w:p w14:paraId="5A28B02C" w14:textId="371E4F81"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t>The petitioners’ brief of September 30, 2011 (evidence file, folio 1362), and list annexed to the IACHR Merits Report of April 13, 2016 (evidence file, folio 12767).</w:t>
      </w:r>
    </w:p>
  </w:footnote>
  <w:footnote w:id="307">
    <w:p w14:paraId="65FB6F62" w14:textId="26DD0412"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t>Birth certificate of Felix de Jesús Cabrera Morales (evidence file, folio 12872); statements made by Felix de Jesús Cabrera Morales on March 28, 2017 (evidence file, folios 11627, 11629 and 11636); the petitioners’ brief of August 7, 2009 (evidence file, folio 831), and Affidavit prepared by Felix de Jesús Cabrera Morales during the public hearing held before the Court.</w:t>
      </w:r>
    </w:p>
  </w:footnote>
  <w:footnote w:id="308">
    <w:p w14:paraId="79ECF5EA" w14:textId="6E98CD02"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t>Affidavit prepared by Felix de Jesús Cabrera Morales on March 28, 2017 (evidence file, folios 11627, 11628 and 11631), and Affidavit prepared by Felix de Jesús Cabrera Morales during the public hearing held before the Court.</w:t>
      </w:r>
    </w:p>
  </w:footnote>
  <w:footnote w:id="309">
    <w:p w14:paraId="12A300C1" w14:textId="51E5F7D0"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t>The petitioners’ brief of September 30, 2011 (evidence file, folio 1365), and list annexed to the IACHR Merits Report of April 13, 2016 (evidence file, folio 12770).</w:t>
      </w:r>
    </w:p>
  </w:footnote>
  <w:footnote w:id="310">
    <w:p w14:paraId="1260B16D" w14:textId="6BBB31FB"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t xml:space="preserve">Birth certificate of César </w:t>
      </w:r>
      <w:proofErr w:type="spellStart"/>
      <w:r w:rsidRPr="009F337B">
        <w:rPr>
          <w:szCs w:val="16"/>
          <w:lang w:val="en-US"/>
        </w:rPr>
        <w:t>Noé</w:t>
      </w:r>
      <w:proofErr w:type="spellEnd"/>
      <w:r w:rsidRPr="009F337B">
        <w:rPr>
          <w:szCs w:val="16"/>
          <w:lang w:val="en-US"/>
        </w:rPr>
        <w:t xml:space="preserve"> </w:t>
      </w:r>
      <w:proofErr w:type="spellStart"/>
      <w:r w:rsidRPr="009F337B">
        <w:rPr>
          <w:szCs w:val="16"/>
          <w:lang w:val="en-US"/>
        </w:rPr>
        <w:t>Cancinos</w:t>
      </w:r>
      <w:proofErr w:type="spellEnd"/>
      <w:r w:rsidRPr="009F337B">
        <w:rPr>
          <w:szCs w:val="16"/>
          <w:lang w:val="en-US"/>
        </w:rPr>
        <w:t xml:space="preserve"> Gómez (evidence file, folio 12816); Affidavit prepared by César </w:t>
      </w:r>
      <w:proofErr w:type="spellStart"/>
      <w:r w:rsidRPr="009F337B">
        <w:rPr>
          <w:szCs w:val="16"/>
          <w:lang w:val="en-US"/>
        </w:rPr>
        <w:t>Noé</w:t>
      </w:r>
      <w:proofErr w:type="spellEnd"/>
      <w:r w:rsidRPr="009F337B">
        <w:rPr>
          <w:szCs w:val="16"/>
          <w:lang w:val="en-US"/>
        </w:rPr>
        <w:t xml:space="preserve"> </w:t>
      </w:r>
      <w:proofErr w:type="spellStart"/>
      <w:r w:rsidRPr="009F337B">
        <w:rPr>
          <w:szCs w:val="16"/>
          <w:lang w:val="en-US"/>
        </w:rPr>
        <w:t>Cancinos</w:t>
      </w:r>
      <w:proofErr w:type="spellEnd"/>
      <w:r w:rsidRPr="009F337B">
        <w:rPr>
          <w:szCs w:val="16"/>
          <w:lang w:val="en-US"/>
        </w:rPr>
        <w:t xml:space="preserve"> Gómez on March 25, 2017 (evidence file, folios 11581, 11582 and 11583), and the petitioners’ brief of August 7, 2009 (evidence file, folio 827).</w:t>
      </w:r>
    </w:p>
  </w:footnote>
  <w:footnote w:id="311">
    <w:p w14:paraId="228356C0" w14:textId="6414DACF"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t>The petitioners’ brief of September 30, 2011 (evidence file, folio 1363), and list annexed to the IACHR Merits Report of April 13, 2016 (evidence file, folios 12768 and 12769).</w:t>
      </w:r>
    </w:p>
  </w:footnote>
  <w:footnote w:id="312">
    <w:p w14:paraId="23A3C76A" w14:textId="4CE65077"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t xml:space="preserve">Birth certificate of Aracely </w:t>
      </w:r>
      <w:proofErr w:type="spellStart"/>
      <w:r w:rsidRPr="009F337B">
        <w:rPr>
          <w:szCs w:val="16"/>
          <w:lang w:val="en-US"/>
        </w:rPr>
        <w:t>Cinto</w:t>
      </w:r>
      <w:proofErr w:type="spellEnd"/>
      <w:r w:rsidRPr="009F337B">
        <w:rPr>
          <w:szCs w:val="16"/>
          <w:lang w:val="en-US"/>
        </w:rPr>
        <w:t xml:space="preserve"> (evidence file, folio 12806); Affidavit prepared by Aracely </w:t>
      </w:r>
      <w:proofErr w:type="spellStart"/>
      <w:r w:rsidRPr="009F337B">
        <w:rPr>
          <w:szCs w:val="16"/>
          <w:lang w:val="en-US"/>
        </w:rPr>
        <w:t>Cinto</w:t>
      </w:r>
      <w:proofErr w:type="spellEnd"/>
      <w:r w:rsidRPr="009F337B">
        <w:rPr>
          <w:szCs w:val="16"/>
          <w:lang w:val="en-US"/>
        </w:rPr>
        <w:t xml:space="preserve"> on March 25, 2017 (evidence file, folios 11562, 11564, 11566, 11567 and 11569), and the petitioners’ brief of August 7, 2009 (evidence file, folio 828).</w:t>
      </w:r>
    </w:p>
  </w:footnote>
  <w:footnote w:id="313">
    <w:p w14:paraId="5D25E1CE" w14:textId="1D88F160"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t>The petitioners’ brief of September 30, 2011 (evidence file, folio 1363); and list annexed to the IACHR Merits Report of April 13, 2016 (evidence file, folio 12769).</w:t>
      </w:r>
    </w:p>
  </w:footnote>
  <w:footnote w:id="314">
    <w:p w14:paraId="115493CD" w14:textId="46006A5F"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t xml:space="preserve">Birth certificate of Luis Rolando </w:t>
      </w:r>
      <w:proofErr w:type="spellStart"/>
      <w:r w:rsidRPr="009F337B">
        <w:rPr>
          <w:szCs w:val="16"/>
          <w:lang w:val="en-US"/>
        </w:rPr>
        <w:t>Cuscul</w:t>
      </w:r>
      <w:proofErr w:type="spellEnd"/>
      <w:r w:rsidRPr="009F337B">
        <w:rPr>
          <w:szCs w:val="16"/>
          <w:lang w:val="en-US"/>
        </w:rPr>
        <w:t xml:space="preserve"> </w:t>
      </w:r>
      <w:proofErr w:type="spellStart"/>
      <w:r w:rsidRPr="009F337B">
        <w:rPr>
          <w:szCs w:val="16"/>
          <w:lang w:val="en-US"/>
        </w:rPr>
        <w:t>Pivaral</w:t>
      </w:r>
      <w:proofErr w:type="spellEnd"/>
      <w:r w:rsidRPr="009F337B">
        <w:rPr>
          <w:szCs w:val="16"/>
          <w:lang w:val="en-US"/>
        </w:rPr>
        <w:t xml:space="preserve"> (evidence file, folio 1880); statements made by Luis Rolando </w:t>
      </w:r>
      <w:proofErr w:type="spellStart"/>
      <w:r w:rsidRPr="009F337B">
        <w:rPr>
          <w:szCs w:val="16"/>
          <w:lang w:val="en-US"/>
        </w:rPr>
        <w:t>Cuscul</w:t>
      </w:r>
      <w:proofErr w:type="spellEnd"/>
      <w:r w:rsidRPr="009F337B">
        <w:rPr>
          <w:szCs w:val="16"/>
          <w:lang w:val="en-US"/>
        </w:rPr>
        <w:t xml:space="preserve"> </w:t>
      </w:r>
      <w:proofErr w:type="spellStart"/>
      <w:r w:rsidRPr="009F337B">
        <w:rPr>
          <w:szCs w:val="16"/>
          <w:lang w:val="en-US"/>
        </w:rPr>
        <w:t>Pivaral</w:t>
      </w:r>
      <w:proofErr w:type="spellEnd"/>
      <w:r w:rsidRPr="009F337B">
        <w:rPr>
          <w:szCs w:val="16"/>
          <w:lang w:val="en-US"/>
        </w:rPr>
        <w:t xml:space="preserve"> on March 29, 2017 (evidence file, folios 11676, 11677,11678, 11679, 11684, 11685 and 11686).</w:t>
      </w:r>
    </w:p>
  </w:footnote>
  <w:footnote w:id="315">
    <w:p w14:paraId="74B6CB87" w14:textId="1411B513"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t>The petitioners’ brief of September 30, 2011 (evidence file, folios 1360 and 1361), and list annexed to the IACHR Merits Report of April 13, 2016 (evidence file, folio 12766).</w:t>
      </w:r>
    </w:p>
  </w:footnote>
  <w:footnote w:id="316">
    <w:p w14:paraId="23AAF2C1" w14:textId="4E957DB7"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t>Initial petition of August 14, 2003, lodged with IACHR (evidence file, folio 463).</w:t>
      </w:r>
    </w:p>
  </w:footnote>
  <w:footnote w:id="317">
    <w:p w14:paraId="702FA190" w14:textId="03192430"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t>Birth certificate of María Felipe Pérez (evidence file, folio 12892); statements made by María Felipe Pérez on March 25, 2017 (evidence file, folios 11726, 11727, 11728 and 11730), and the petitioners’ brief of August 7, 2009 (evidence file, folio 827).</w:t>
      </w:r>
    </w:p>
  </w:footnote>
  <w:footnote w:id="318">
    <w:p w14:paraId="6E560E24" w14:textId="20AC35E9"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t>The petitioners’ brief of September 30, 2011 (evidence file, folio 1364), and list annexed to the IACHR Merits Report of April 13, 2016 (evidence file, folio 12769).</w:t>
      </w:r>
    </w:p>
  </w:footnote>
  <w:footnote w:id="319">
    <w:p w14:paraId="76696C71" w14:textId="41EE5BC4"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t xml:space="preserve">Birth certificate of Ismerai </w:t>
      </w:r>
      <w:proofErr w:type="spellStart"/>
      <w:r w:rsidRPr="009F337B">
        <w:rPr>
          <w:szCs w:val="16"/>
          <w:lang w:val="en-US"/>
        </w:rPr>
        <w:t>Olibia</w:t>
      </w:r>
      <w:proofErr w:type="spellEnd"/>
      <w:r w:rsidRPr="009F337B">
        <w:rPr>
          <w:szCs w:val="16"/>
          <w:lang w:val="en-US"/>
        </w:rPr>
        <w:t xml:space="preserve"> García </w:t>
      </w:r>
      <w:proofErr w:type="spellStart"/>
      <w:r w:rsidRPr="009F337B">
        <w:rPr>
          <w:szCs w:val="16"/>
          <w:lang w:val="en-US"/>
        </w:rPr>
        <w:t>Castañon</w:t>
      </w:r>
      <w:proofErr w:type="spellEnd"/>
      <w:r w:rsidRPr="009F337B">
        <w:rPr>
          <w:szCs w:val="16"/>
          <w:lang w:val="en-US"/>
        </w:rPr>
        <w:t xml:space="preserve"> (evidence file, folio 12848); table with information collected by Dr. Cristina Calderón, during meetings and review of the petitioners’ medical records in November 2010, which was attached to the brief with motions, pleadings and evidence (evidence file, folios 12795 and 12796), and the petitioners’ brief of August 7, 2009 (evidence file, folio 825).</w:t>
      </w:r>
    </w:p>
  </w:footnote>
  <w:footnote w:id="320">
    <w:p w14:paraId="45722482" w14:textId="628A3589"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t>The petitioners’ brief of September 30, 2011 (evidence file, folio 1362), and list annexed to the IACHR Merits Report of April 13, 2016 (evidence file, folio 12768).</w:t>
      </w:r>
    </w:p>
  </w:footnote>
  <w:footnote w:id="321">
    <w:p w14:paraId="46EF7A00" w14:textId="3A8F9CF3"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t xml:space="preserve">Birth certificate of Santos </w:t>
      </w:r>
      <w:proofErr w:type="spellStart"/>
      <w:r w:rsidRPr="009F337B">
        <w:rPr>
          <w:szCs w:val="16"/>
          <w:lang w:val="en-US"/>
        </w:rPr>
        <w:t>Isacar</w:t>
      </w:r>
      <w:proofErr w:type="spellEnd"/>
      <w:r w:rsidRPr="009F337B">
        <w:rPr>
          <w:szCs w:val="16"/>
          <w:lang w:val="en-US"/>
        </w:rPr>
        <w:t xml:space="preserve"> Vásquez Barrios (evidence file, folio 12840); Affidavit prepared by Santos </w:t>
      </w:r>
      <w:proofErr w:type="spellStart"/>
      <w:r w:rsidRPr="009F337B">
        <w:rPr>
          <w:szCs w:val="16"/>
          <w:lang w:val="en-US"/>
        </w:rPr>
        <w:t>Isacar</w:t>
      </w:r>
      <w:proofErr w:type="spellEnd"/>
      <w:r w:rsidRPr="009F337B">
        <w:rPr>
          <w:szCs w:val="16"/>
          <w:lang w:val="en-US"/>
        </w:rPr>
        <w:t xml:space="preserve"> Vásquez Barrios on February 12, 2017 (evidence file, folios 11802, 11803 and 11804); table with information collected by Dr. Cristina Calderón, during meetings and review of the petitioners’ medical records in November 2010, which was attached to the brief with motions, pleadings and evidence (evidence file, folio 12797), and the petitioners’ brief of August 7, 2009 (evidence file, folio 827).</w:t>
      </w:r>
    </w:p>
  </w:footnote>
  <w:footnote w:id="322">
    <w:p w14:paraId="6C28259E" w14:textId="5F3D7619"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t>The petitioners’ brief of September 30, 2011 (evidence file, folio 1362), and list annexed to the IACHR Merits Report of April 13, 2016 (evidence file, folio 12768).</w:t>
      </w:r>
    </w:p>
  </w:footnote>
  <w:footnote w:id="323">
    <w:p w14:paraId="5B381383" w14:textId="42CD67C3"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t xml:space="preserve">Birth certificate of </w:t>
      </w:r>
      <w:proofErr w:type="spellStart"/>
      <w:r w:rsidRPr="009F337B">
        <w:rPr>
          <w:szCs w:val="16"/>
          <w:lang w:val="en-US"/>
        </w:rPr>
        <w:t>Mardo</w:t>
      </w:r>
      <w:proofErr w:type="spellEnd"/>
      <w:r w:rsidRPr="009F337B">
        <w:rPr>
          <w:szCs w:val="16"/>
          <w:lang w:val="en-US"/>
        </w:rPr>
        <w:t xml:space="preserve"> Luis Hernández y Hernández (evidence file, folio 12886), and statements made by </w:t>
      </w:r>
      <w:proofErr w:type="spellStart"/>
      <w:r w:rsidRPr="009F337B">
        <w:rPr>
          <w:szCs w:val="16"/>
          <w:lang w:val="en-US"/>
        </w:rPr>
        <w:t>Mardo</w:t>
      </w:r>
      <w:proofErr w:type="spellEnd"/>
      <w:r w:rsidRPr="009F337B">
        <w:rPr>
          <w:szCs w:val="16"/>
          <w:lang w:val="en-US"/>
        </w:rPr>
        <w:t xml:space="preserve"> Luis Hernández y Hernández on March 25, 2017 (evidence file, folios 11705 to 11709).</w:t>
      </w:r>
    </w:p>
  </w:footnote>
  <w:footnote w:id="324">
    <w:p w14:paraId="11515ED6" w14:textId="1B1DEB44"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t>The petitioners’ brief of September 30, 2011 (evidence file, folio 1365), and list annexed to the IACHR Merits Report of April 13, 2016 (evidence file, folio 12777).</w:t>
      </w:r>
    </w:p>
  </w:footnote>
  <w:footnote w:id="325">
    <w:p w14:paraId="79AFEDD6" w14:textId="421C5141"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t xml:space="preserve">Birth certificate of Luis Armando Linares </w:t>
      </w:r>
      <w:proofErr w:type="spellStart"/>
      <w:r w:rsidRPr="009F337B">
        <w:rPr>
          <w:szCs w:val="16"/>
          <w:lang w:val="en-US"/>
        </w:rPr>
        <w:t>Ruano</w:t>
      </w:r>
      <w:proofErr w:type="spellEnd"/>
      <w:r w:rsidRPr="009F337B">
        <w:rPr>
          <w:szCs w:val="16"/>
          <w:lang w:val="en-US"/>
        </w:rPr>
        <w:t xml:space="preserve"> (evidence file, folio 12876), and Affidavit prepared by Luis Armando Linares </w:t>
      </w:r>
      <w:proofErr w:type="spellStart"/>
      <w:r w:rsidRPr="009F337B">
        <w:rPr>
          <w:szCs w:val="16"/>
          <w:lang w:val="en-US"/>
        </w:rPr>
        <w:t>Ruano</w:t>
      </w:r>
      <w:proofErr w:type="spellEnd"/>
      <w:r w:rsidRPr="009F337B">
        <w:rPr>
          <w:szCs w:val="16"/>
          <w:lang w:val="en-US"/>
        </w:rPr>
        <w:t xml:space="preserve"> on March 28, 2017 (evidence file, folios 11672, 11673 and 11674).</w:t>
      </w:r>
    </w:p>
  </w:footnote>
  <w:footnote w:id="326">
    <w:p w14:paraId="6D44307D" w14:textId="317E34CA"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t>Updated table of information (2008) with regard to each victim prepared by Dr. Cristina Calderón, which was attached to the brief with motions, pleadings and evidence of the petitioners (evidence file, folio 12774); Diagnosis record of Mrs. Marta Alicia Maldonado Paz (evidence file, folio 11193); the petitioners’ brief of August 7, 2009 (evidence file, folio 826), and table with information collected by Dr. Cristina Calderón during meetings and review of the petitioners’ medical records in November 2010, which was attached to the brief with motions, pleadings and evidence  (evidence file, folios 12795 and 12796).</w:t>
      </w:r>
    </w:p>
  </w:footnote>
  <w:footnote w:id="327">
    <w:p w14:paraId="6C050E17" w14:textId="11D6A3BE"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t>The petitioners’ brief of September 30, 2011 (evidence file, folio 1363), and list annexed to the IACHR Merits Report of April 13, 2016 (evidence file, folio 12768).</w:t>
      </w:r>
    </w:p>
  </w:footnote>
  <w:footnote w:id="328">
    <w:p w14:paraId="18FA6ABD" w14:textId="2148CB1C"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t xml:space="preserve">Birth certificate of Dora Marina Martínez </w:t>
      </w:r>
      <w:proofErr w:type="spellStart"/>
      <w:r w:rsidRPr="009F337B">
        <w:rPr>
          <w:szCs w:val="16"/>
          <w:lang w:val="en-US"/>
        </w:rPr>
        <w:t>Sofoifa</w:t>
      </w:r>
      <w:proofErr w:type="spellEnd"/>
      <w:r w:rsidRPr="009F337B">
        <w:rPr>
          <w:szCs w:val="16"/>
          <w:lang w:val="en-US"/>
        </w:rPr>
        <w:t xml:space="preserve"> (evidence file, folio 12874), and Affidavit prepared by Dora Marina Martínez </w:t>
      </w:r>
      <w:proofErr w:type="spellStart"/>
      <w:r w:rsidRPr="009F337B">
        <w:rPr>
          <w:szCs w:val="16"/>
          <w:lang w:val="en-US"/>
        </w:rPr>
        <w:t>Sofoifa</w:t>
      </w:r>
      <w:proofErr w:type="spellEnd"/>
      <w:r w:rsidRPr="009F337B">
        <w:rPr>
          <w:szCs w:val="16"/>
          <w:lang w:val="en-US"/>
        </w:rPr>
        <w:t xml:space="preserve"> on December 16, 2016 (evidence file, folios 11522 and 11523).</w:t>
      </w:r>
    </w:p>
  </w:footnote>
  <w:footnote w:id="329">
    <w:p w14:paraId="59DD9B2B" w14:textId="4C31B728"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t xml:space="preserve">Affidavit prepared by Dora Marina Martínez </w:t>
      </w:r>
      <w:proofErr w:type="spellStart"/>
      <w:r w:rsidRPr="009F337B">
        <w:rPr>
          <w:szCs w:val="16"/>
          <w:lang w:val="en-US"/>
        </w:rPr>
        <w:t>Sofoifa</w:t>
      </w:r>
      <w:proofErr w:type="spellEnd"/>
      <w:r w:rsidRPr="009F337B">
        <w:rPr>
          <w:szCs w:val="16"/>
          <w:lang w:val="en-US"/>
        </w:rPr>
        <w:t xml:space="preserve"> on December 16, 2016 (evidence file, folios 11523 and 11524). </w:t>
      </w:r>
    </w:p>
  </w:footnote>
  <w:footnote w:id="330">
    <w:p w14:paraId="2596978A" w14:textId="704C938B"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t xml:space="preserve">Birth certificate of </w:t>
      </w:r>
      <w:proofErr w:type="spellStart"/>
      <w:r w:rsidRPr="009F337B">
        <w:rPr>
          <w:szCs w:val="16"/>
          <w:lang w:val="en-US"/>
        </w:rPr>
        <w:t>Pascuala</w:t>
      </w:r>
      <w:proofErr w:type="spellEnd"/>
      <w:r w:rsidRPr="009F337B">
        <w:rPr>
          <w:szCs w:val="16"/>
          <w:lang w:val="en-US"/>
        </w:rPr>
        <w:t xml:space="preserve"> de Jesús Mérida Rodríguez (evidence file, folio 12902); Affidavit prepared by </w:t>
      </w:r>
      <w:proofErr w:type="spellStart"/>
      <w:r w:rsidRPr="009F337B">
        <w:rPr>
          <w:szCs w:val="16"/>
          <w:lang w:val="en-US"/>
        </w:rPr>
        <w:t>Pascuala</w:t>
      </w:r>
      <w:proofErr w:type="spellEnd"/>
      <w:r w:rsidRPr="009F337B">
        <w:rPr>
          <w:szCs w:val="16"/>
          <w:lang w:val="en-US"/>
        </w:rPr>
        <w:t xml:space="preserve"> De Jesús Mérida Rodríguez de Maldonado on March 25, 2017 (evidence file, folios 11760, 11761, 11762, 11763, 11764 and 11769), and the petitioners’ brief of August 7, 2009 (evidence file, folio 828).</w:t>
      </w:r>
    </w:p>
  </w:footnote>
  <w:footnote w:id="331">
    <w:p w14:paraId="1D405796" w14:textId="2CC45CCA"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t>The petitioners’ brief of September 30, 2011 (evidence file, folio 1363), and list annexed to the IACHR Merits Report of April 13, 2016 (evidence file, folio 12769).</w:t>
      </w:r>
    </w:p>
  </w:footnote>
  <w:footnote w:id="332">
    <w:p w14:paraId="486CCFC9" w14:textId="1D7EE9B8"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t xml:space="preserve">Birth certificate of </w:t>
      </w:r>
      <w:proofErr w:type="spellStart"/>
      <w:r w:rsidRPr="009F337B">
        <w:rPr>
          <w:szCs w:val="16"/>
          <w:lang w:val="en-US"/>
        </w:rPr>
        <w:t>Darinel</w:t>
      </w:r>
      <w:proofErr w:type="spellEnd"/>
      <w:r w:rsidRPr="009F337B">
        <w:rPr>
          <w:szCs w:val="16"/>
          <w:lang w:val="en-US"/>
        </w:rPr>
        <w:t xml:space="preserve"> López Montes de </w:t>
      </w:r>
      <w:proofErr w:type="spellStart"/>
      <w:r w:rsidRPr="009F337B">
        <w:rPr>
          <w:szCs w:val="16"/>
          <w:lang w:val="en-US"/>
        </w:rPr>
        <w:t>Oca</w:t>
      </w:r>
      <w:proofErr w:type="spellEnd"/>
      <w:r w:rsidRPr="009F337B">
        <w:rPr>
          <w:szCs w:val="16"/>
          <w:lang w:val="en-US"/>
        </w:rPr>
        <w:t xml:space="preserve"> (evidence file, folio 12822); Affidavit prepared by </w:t>
      </w:r>
      <w:proofErr w:type="spellStart"/>
      <w:r w:rsidRPr="009F337B">
        <w:rPr>
          <w:szCs w:val="16"/>
          <w:lang w:val="en-US"/>
        </w:rPr>
        <w:t>Darinel</w:t>
      </w:r>
      <w:proofErr w:type="spellEnd"/>
      <w:r w:rsidRPr="009F337B">
        <w:rPr>
          <w:szCs w:val="16"/>
          <w:lang w:val="en-US"/>
        </w:rPr>
        <w:t xml:space="preserve"> López Montes de </w:t>
      </w:r>
      <w:proofErr w:type="spellStart"/>
      <w:r w:rsidRPr="009F337B">
        <w:rPr>
          <w:szCs w:val="16"/>
          <w:lang w:val="en-US"/>
        </w:rPr>
        <w:t>Oca</w:t>
      </w:r>
      <w:proofErr w:type="spellEnd"/>
      <w:r w:rsidRPr="009F337B">
        <w:rPr>
          <w:szCs w:val="16"/>
          <w:lang w:val="en-US"/>
        </w:rPr>
        <w:t xml:space="preserve">  on January 11, 2017 (evidence file, folios 11606, 11607, 11608 and 11609); the petitioners’ brief of August 7, 2009 (evidence file, folio 823); table with information collected by Dr. Cristina Calderón, during meetings and review of the petitioners’ medical records in November 2010, which was attached to the brief with motions, pleadings and evidence (evidence file, folio 12791), and expert opinion provided by Ricardo Boza Cordero at the hearing held before the Court and written report on this opinion (merits file, folio 1471).</w:t>
      </w:r>
    </w:p>
  </w:footnote>
  <w:footnote w:id="333">
    <w:p w14:paraId="116C3800" w14:textId="22E4D635"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t>The petitioners’ brief of September 30, 2011 (evidence file, folio 1361), and list annexed to the IACHR Merits Report of April 13, 2016 (evidence file, folio 12767).</w:t>
      </w:r>
    </w:p>
  </w:footnote>
  <w:footnote w:id="334">
    <w:p w14:paraId="7FAD13A4" w14:textId="27E2B47C"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t xml:space="preserve">Identity card of Israel Pérez </w:t>
      </w:r>
      <w:proofErr w:type="spellStart"/>
      <w:r w:rsidRPr="009F337B">
        <w:rPr>
          <w:szCs w:val="16"/>
          <w:lang w:val="en-US"/>
        </w:rPr>
        <w:t>Charal</w:t>
      </w:r>
      <w:proofErr w:type="spellEnd"/>
      <w:r w:rsidRPr="009F337B">
        <w:rPr>
          <w:szCs w:val="16"/>
          <w:lang w:val="en-US"/>
        </w:rPr>
        <w:t xml:space="preserve"> (evidence file, folios 12387 and 12388), and Affidavit prepared by Israel Pérez </w:t>
      </w:r>
      <w:proofErr w:type="spellStart"/>
      <w:r w:rsidRPr="009F337B">
        <w:rPr>
          <w:szCs w:val="16"/>
          <w:lang w:val="en-US"/>
        </w:rPr>
        <w:t>Charal</w:t>
      </w:r>
      <w:proofErr w:type="spellEnd"/>
      <w:r w:rsidRPr="009F337B">
        <w:rPr>
          <w:szCs w:val="16"/>
          <w:lang w:val="en-US"/>
        </w:rPr>
        <w:t xml:space="preserve"> on December 16, 2016 (evidence file, folios 11528, 11529, 11530 and 11531).</w:t>
      </w:r>
    </w:p>
  </w:footnote>
  <w:footnote w:id="335">
    <w:p w14:paraId="2DD76AE6" w14:textId="1E8A16A0"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t xml:space="preserve">Birth certificate of Corina </w:t>
      </w:r>
      <w:proofErr w:type="spellStart"/>
      <w:r w:rsidRPr="009F337B">
        <w:rPr>
          <w:szCs w:val="16"/>
          <w:lang w:val="en-US"/>
        </w:rPr>
        <w:t>Dianeth</w:t>
      </w:r>
      <w:proofErr w:type="spellEnd"/>
      <w:r w:rsidRPr="009F337B">
        <w:rPr>
          <w:szCs w:val="16"/>
          <w:lang w:val="en-US"/>
        </w:rPr>
        <w:t xml:space="preserve"> Robledo Alvarado (evidence file, folio 12818), and Affidavit prepared by Corina </w:t>
      </w:r>
      <w:proofErr w:type="spellStart"/>
      <w:r w:rsidRPr="009F337B">
        <w:rPr>
          <w:szCs w:val="16"/>
          <w:lang w:val="en-US"/>
        </w:rPr>
        <w:t>Dianeth</w:t>
      </w:r>
      <w:proofErr w:type="spellEnd"/>
      <w:r w:rsidRPr="009F337B">
        <w:rPr>
          <w:szCs w:val="16"/>
          <w:lang w:val="en-US"/>
        </w:rPr>
        <w:t xml:space="preserve"> Robledo Alvarado on February 12, 2017 (evidence file, folios 11585, 11586 and 11587).</w:t>
      </w:r>
    </w:p>
  </w:footnote>
  <w:footnote w:id="336">
    <w:p w14:paraId="3C2CB7D2" w14:textId="07A403D4"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t>The petitioners’ brief of September 30, 2011 (evidence file, folio 1365), and list annexed to the IACHR Merits Report of April 13, 2016 (evidence file, folio 12770).</w:t>
      </w:r>
    </w:p>
  </w:footnote>
  <w:footnote w:id="337">
    <w:p w14:paraId="1A94CAF5" w14:textId="4C25A185"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t xml:space="preserve">Birth certificate of </w:t>
      </w:r>
      <w:proofErr w:type="spellStart"/>
      <w:r w:rsidRPr="009F337B">
        <w:rPr>
          <w:szCs w:val="16"/>
          <w:lang w:val="en-US"/>
        </w:rPr>
        <w:t>Audencio</w:t>
      </w:r>
      <w:proofErr w:type="spellEnd"/>
      <w:r w:rsidRPr="009F337B">
        <w:rPr>
          <w:szCs w:val="16"/>
          <w:lang w:val="en-US"/>
        </w:rPr>
        <w:t xml:space="preserve"> </w:t>
      </w:r>
      <w:proofErr w:type="spellStart"/>
      <w:r w:rsidRPr="009F337B">
        <w:rPr>
          <w:szCs w:val="16"/>
          <w:lang w:val="en-US"/>
        </w:rPr>
        <w:t>Rodas</w:t>
      </w:r>
      <w:proofErr w:type="spellEnd"/>
      <w:r w:rsidRPr="009F337B">
        <w:rPr>
          <w:szCs w:val="16"/>
          <w:lang w:val="en-US"/>
        </w:rPr>
        <w:t xml:space="preserve"> Rodríguez (evidence file, folio 12812); Affidavit prepared by </w:t>
      </w:r>
      <w:proofErr w:type="spellStart"/>
      <w:r w:rsidRPr="009F337B">
        <w:rPr>
          <w:szCs w:val="16"/>
          <w:lang w:val="en-US"/>
        </w:rPr>
        <w:t>Audencio</w:t>
      </w:r>
      <w:proofErr w:type="spellEnd"/>
      <w:r w:rsidRPr="009F337B">
        <w:rPr>
          <w:szCs w:val="16"/>
          <w:lang w:val="en-US"/>
        </w:rPr>
        <w:t xml:space="preserve"> </w:t>
      </w:r>
      <w:proofErr w:type="spellStart"/>
      <w:r w:rsidRPr="009F337B">
        <w:rPr>
          <w:szCs w:val="16"/>
          <w:lang w:val="en-US"/>
        </w:rPr>
        <w:t>Rodas</w:t>
      </w:r>
      <w:proofErr w:type="spellEnd"/>
      <w:r w:rsidRPr="009F337B">
        <w:rPr>
          <w:szCs w:val="16"/>
          <w:lang w:val="en-US"/>
        </w:rPr>
        <w:t xml:space="preserve"> Rodríguez on December 26, 2017 (</w:t>
      </w:r>
      <w:r w:rsidRPr="009F337B">
        <w:rPr>
          <w:rFonts w:eastAsiaTheme="minorEastAsia" w:cs="Arial"/>
          <w:szCs w:val="16"/>
          <w:lang w:val="en-US" w:eastAsia="ja-JP"/>
        </w:rPr>
        <w:t xml:space="preserve">evidence file, folios 11573, 11574, 11575 and 11576), and </w:t>
      </w:r>
      <w:r w:rsidRPr="009F337B">
        <w:rPr>
          <w:szCs w:val="16"/>
          <w:lang w:val="en-US"/>
        </w:rPr>
        <w:t>the petitioners’ brief of August 7, 2009 (evidence file, folios 823 and 824).</w:t>
      </w:r>
    </w:p>
  </w:footnote>
  <w:footnote w:id="338">
    <w:p w14:paraId="593AE069" w14:textId="66DB2908"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t>The petitioners’ brief of September 30, 2011 (evidence file, folio 1362), and list annexed to the IACHR Merits Report of April 13, 2016 (evidence file, folios 12767 and 12768).</w:t>
      </w:r>
    </w:p>
  </w:footnote>
  <w:footnote w:id="339">
    <w:p w14:paraId="42BFF9F4" w14:textId="68378D95"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t xml:space="preserve">Birth certificate of Zoila Marina Pérez </w:t>
      </w:r>
      <w:proofErr w:type="spellStart"/>
      <w:r w:rsidRPr="009F337B">
        <w:rPr>
          <w:szCs w:val="16"/>
          <w:lang w:val="en-US"/>
        </w:rPr>
        <w:t>Ruíz</w:t>
      </w:r>
      <w:proofErr w:type="spellEnd"/>
      <w:r w:rsidRPr="009F337B">
        <w:rPr>
          <w:szCs w:val="16"/>
          <w:lang w:val="en-US"/>
        </w:rPr>
        <w:t xml:space="preserve"> (evidence file, folio 12862); Statement made by Zoila Marina Pérez </w:t>
      </w:r>
      <w:proofErr w:type="spellStart"/>
      <w:r w:rsidRPr="009F337B">
        <w:rPr>
          <w:szCs w:val="16"/>
          <w:lang w:val="en-US"/>
        </w:rPr>
        <w:t>Ruíz</w:t>
      </w:r>
      <w:proofErr w:type="spellEnd"/>
      <w:r w:rsidRPr="009F337B">
        <w:rPr>
          <w:szCs w:val="16"/>
          <w:lang w:val="en-US"/>
        </w:rPr>
        <w:t xml:space="preserve"> during the public hearing held before the Court; Affidavit prepared by Zoila Marina Pérez </w:t>
      </w:r>
      <w:proofErr w:type="spellStart"/>
      <w:r w:rsidRPr="009F337B">
        <w:rPr>
          <w:szCs w:val="16"/>
          <w:lang w:val="en-US"/>
        </w:rPr>
        <w:t>Ruíz</w:t>
      </w:r>
      <w:proofErr w:type="spellEnd"/>
      <w:r w:rsidRPr="009F337B">
        <w:rPr>
          <w:szCs w:val="16"/>
          <w:lang w:val="en-US"/>
        </w:rPr>
        <w:t xml:space="preserve"> on February 9, 2017 (evidence file, folios 11548 and 11554); Table of information collected by Dr. Cristina Calderón, as an annex to the petitioners’ brief of June 27, 2008 (evidence file, folio 12774); the State’s report of March 23, 2009 (evidence file, folio 917); table with information collected by Dr. Cristina Calderón, through interviews in November 2010 (evidence file, folios 12787 and 12801); expert opinion provided by Ricardo Boza Cordero at the public hearing held before the Court and written report on this opinion (merits file, folio 1490), and petitioners’ brief with observations dated August 7, 2009 (evidence file, folio 829).</w:t>
      </w:r>
    </w:p>
  </w:footnote>
  <w:footnote w:id="340">
    <w:p w14:paraId="59E4EF5D" w14:textId="35D8DEB9"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t xml:space="preserve">Statement made by Zoila Marina Pérez </w:t>
      </w:r>
      <w:proofErr w:type="spellStart"/>
      <w:r w:rsidRPr="009F337B">
        <w:rPr>
          <w:szCs w:val="16"/>
          <w:lang w:val="en-US"/>
        </w:rPr>
        <w:t>Ruíz</w:t>
      </w:r>
      <w:proofErr w:type="spellEnd"/>
      <w:r w:rsidRPr="009F337B">
        <w:rPr>
          <w:szCs w:val="16"/>
          <w:lang w:val="en-US"/>
        </w:rPr>
        <w:t xml:space="preserve"> during the public hearing held before the Court, and Affidavit prepared by Zoila Marina Pérez </w:t>
      </w:r>
      <w:proofErr w:type="spellStart"/>
      <w:r w:rsidRPr="009F337B">
        <w:rPr>
          <w:szCs w:val="16"/>
          <w:lang w:val="en-US"/>
        </w:rPr>
        <w:t>Ruíz</w:t>
      </w:r>
      <w:proofErr w:type="spellEnd"/>
      <w:r w:rsidRPr="009F337B">
        <w:rPr>
          <w:szCs w:val="16"/>
          <w:lang w:val="en-US"/>
        </w:rPr>
        <w:t xml:space="preserve"> on February 9, 2017 (evidence file, folios 11549, 11550 and 11552).</w:t>
      </w:r>
    </w:p>
  </w:footnote>
  <w:footnote w:id="341">
    <w:p w14:paraId="3EBFA7F0" w14:textId="2C2D3502" w:rsidR="00AF5CC6" w:rsidRPr="009F337B" w:rsidRDefault="00AF5CC6" w:rsidP="00A30D95">
      <w:pPr>
        <w:pStyle w:val="Textonotapie"/>
        <w:spacing w:before="0"/>
        <w:rPr>
          <w:szCs w:val="16"/>
          <w:lang w:val="en-US"/>
        </w:rPr>
      </w:pPr>
      <w:r w:rsidRPr="009F337B">
        <w:rPr>
          <w:rStyle w:val="Refdenotaalpie"/>
          <w:rFonts w:eastAsia="Calibri"/>
          <w:szCs w:val="16"/>
          <w:lang w:val="en-US"/>
        </w:rPr>
        <w:footnoteRef/>
      </w:r>
      <w:r w:rsidRPr="009F337B">
        <w:rPr>
          <w:szCs w:val="16"/>
          <w:lang w:val="en-US"/>
        </w:rPr>
        <w:tab/>
        <w:t>List annexed to the IACHR Merits Report of April 13, 2016 (evidence file, folio 12769).</w:t>
      </w:r>
    </w:p>
  </w:footnote>
  <w:footnote w:id="342">
    <w:p w14:paraId="599A8444" w14:textId="78348364"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t xml:space="preserve">Birth certificate of Santiago Francisco </w:t>
      </w:r>
      <w:proofErr w:type="spellStart"/>
      <w:r w:rsidRPr="009F337B">
        <w:rPr>
          <w:szCs w:val="16"/>
          <w:lang w:val="en-US"/>
        </w:rPr>
        <w:t>Valdéz</w:t>
      </w:r>
      <w:proofErr w:type="spellEnd"/>
      <w:r w:rsidRPr="009F337B">
        <w:rPr>
          <w:szCs w:val="16"/>
          <w:lang w:val="en-US"/>
        </w:rPr>
        <w:t xml:space="preserve"> Aguilar (evidence file, folio 12860); Affidavit prepared by Santiago Francisco </w:t>
      </w:r>
      <w:proofErr w:type="spellStart"/>
      <w:r w:rsidRPr="009F337B">
        <w:rPr>
          <w:szCs w:val="16"/>
          <w:lang w:val="en-US"/>
        </w:rPr>
        <w:t>Valdéz</w:t>
      </w:r>
      <w:proofErr w:type="spellEnd"/>
      <w:r w:rsidRPr="009F337B">
        <w:rPr>
          <w:szCs w:val="16"/>
          <w:lang w:val="en-US"/>
        </w:rPr>
        <w:t xml:space="preserve"> Aguilar on December 21, 2016 (evidence file, folios 11790, 11791 and 11792); Table of information collected by Dr. Cristina Calderón, as an annex to the petitioners’ brief of June 27, 2008 (evidence file, folio 12774); table with information collected by Dr. Cristina Calderón, through interviews in November 2010 (evidence file, folios 12789 and 12803); report of the Administrative Director of the </w:t>
      </w:r>
      <w:proofErr w:type="spellStart"/>
      <w:r w:rsidRPr="009F337B">
        <w:rPr>
          <w:szCs w:val="16"/>
          <w:lang w:val="en-US"/>
        </w:rPr>
        <w:t>Coatepeque</w:t>
      </w:r>
      <w:proofErr w:type="spellEnd"/>
      <w:r w:rsidRPr="009F337B">
        <w:rPr>
          <w:szCs w:val="16"/>
          <w:lang w:val="en-US"/>
        </w:rPr>
        <w:t xml:space="preserve"> Hospital dated February 5, 2008, on the medical care provided to Santiago Francisco Valdez (evidence file, folio 1075); expert opinion provided by Ricardo Boza Cordero at the public hearing held before the Court and written report on this opinion (merits file, folios 1491 and 1492), and original petition of August 25, 2003 (evidence file, folio 465).</w:t>
      </w:r>
    </w:p>
  </w:footnote>
  <w:footnote w:id="343">
    <w:p w14:paraId="17D11BFE" w14:textId="11A17D5B"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t xml:space="preserve">Affidavit prepared by Santiago Francisco </w:t>
      </w:r>
      <w:proofErr w:type="spellStart"/>
      <w:r w:rsidRPr="009F337B">
        <w:rPr>
          <w:szCs w:val="16"/>
          <w:lang w:val="en-US"/>
        </w:rPr>
        <w:t>Valdéz</w:t>
      </w:r>
      <w:proofErr w:type="spellEnd"/>
      <w:r w:rsidRPr="009F337B">
        <w:rPr>
          <w:szCs w:val="16"/>
          <w:lang w:val="en-US"/>
        </w:rPr>
        <w:t xml:space="preserve"> Aguilar on December 21, 2016 (evidence file, folio 11790), and list annexed to the IACHR Merits Report of April 13, 2016 (evidence file, folio 12769).</w:t>
      </w:r>
    </w:p>
  </w:footnote>
  <w:footnote w:id="344">
    <w:p w14:paraId="4C2B9958" w14:textId="12B0BE86"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t>Table of information collected by Dr. Cristina Calderón, as an annex to the petitioners’ brief of June 27, 2008 (evidence file, folio 12777); table with information collected by Dr. Cristina Calderón, through interviews in November 2010 (evidence file, folios 12787 12801); expert opinion provided by Ricardo Boza Cordero at the public hearing held before the Court and written report on this opinion (merits file, folio 1504), and power of attorney granted by the victims a the representatives by a deed of January 23, 2017 (merits file, folio 111).</w:t>
      </w:r>
    </w:p>
  </w:footnote>
  <w:footnote w:id="345">
    <w:p w14:paraId="3FA6960B" w14:textId="38706090"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t>List annexed to the IACHR Merits Report of April 13, 2016 (evidence file, folios 12769 and 12770).</w:t>
      </w:r>
    </w:p>
  </w:footnote>
  <w:footnote w:id="346">
    <w:p w14:paraId="74D6EC00" w14:textId="364CDFDB"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t xml:space="preserve">Birth certificate of Karen Judith </w:t>
      </w:r>
      <w:proofErr w:type="spellStart"/>
      <w:r w:rsidRPr="009F337B">
        <w:rPr>
          <w:szCs w:val="16"/>
          <w:lang w:val="en-US"/>
        </w:rPr>
        <w:t>Samayoa</w:t>
      </w:r>
      <w:proofErr w:type="spellEnd"/>
      <w:r w:rsidRPr="009F337B">
        <w:rPr>
          <w:szCs w:val="16"/>
          <w:lang w:val="en-US"/>
        </w:rPr>
        <w:t xml:space="preserve"> Vásquez (evidence file, folio 12908); Affidavit prepared by Karen Judith </w:t>
      </w:r>
      <w:proofErr w:type="spellStart"/>
      <w:r w:rsidRPr="009F337B">
        <w:rPr>
          <w:szCs w:val="16"/>
          <w:lang w:val="en-US"/>
        </w:rPr>
        <w:t>Samayoa</w:t>
      </w:r>
      <w:proofErr w:type="spellEnd"/>
      <w:r w:rsidRPr="009F337B">
        <w:rPr>
          <w:szCs w:val="16"/>
          <w:lang w:val="en-US"/>
        </w:rPr>
        <w:t xml:space="preserve"> Vásquez on December 19, 2016 (evidence file, folios 11536, 11537 and 11538); expert opinion provided by Ricardo Boza Cordero at the public hearing held before the Court and written report on this opinion (merits file, folios 1480 and 1481); and the State’s report of October 1, 2010 (evidence file, folio 1430).</w:t>
      </w:r>
    </w:p>
  </w:footnote>
  <w:footnote w:id="347">
    <w:p w14:paraId="7428AB31" w14:textId="75A212FF"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t xml:space="preserve">Affidavit prepared by Karen Judith </w:t>
      </w:r>
      <w:proofErr w:type="spellStart"/>
      <w:r w:rsidRPr="009F337B">
        <w:rPr>
          <w:szCs w:val="16"/>
          <w:lang w:val="en-US"/>
        </w:rPr>
        <w:t>Samayoa</w:t>
      </w:r>
      <w:proofErr w:type="spellEnd"/>
      <w:r w:rsidRPr="009F337B">
        <w:rPr>
          <w:szCs w:val="16"/>
          <w:lang w:val="en-US"/>
        </w:rPr>
        <w:t xml:space="preserve"> Vásquez of December 19, 2016 (evidence file, folio 11536).</w:t>
      </w:r>
    </w:p>
  </w:footnote>
  <w:footnote w:id="348">
    <w:p w14:paraId="573C65EB" w14:textId="73948355"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t xml:space="preserve">Birth certificate of Francisco Sop </w:t>
      </w:r>
      <w:proofErr w:type="spellStart"/>
      <w:r w:rsidRPr="009F337B">
        <w:rPr>
          <w:szCs w:val="16"/>
          <w:lang w:val="en-US"/>
        </w:rPr>
        <w:t>Quiej</w:t>
      </w:r>
      <w:proofErr w:type="spellEnd"/>
      <w:r w:rsidRPr="009F337B">
        <w:rPr>
          <w:szCs w:val="16"/>
          <w:lang w:val="en-US"/>
        </w:rPr>
        <w:t xml:space="preserve"> (evidence file, folio 12830); statements made by Francisco Sop </w:t>
      </w:r>
      <w:proofErr w:type="spellStart"/>
      <w:r w:rsidRPr="009F337B">
        <w:rPr>
          <w:szCs w:val="16"/>
          <w:lang w:val="en-US"/>
        </w:rPr>
        <w:t>Quiej</w:t>
      </w:r>
      <w:proofErr w:type="spellEnd"/>
      <w:r w:rsidRPr="009F337B">
        <w:rPr>
          <w:szCs w:val="16"/>
          <w:lang w:val="en-US"/>
        </w:rPr>
        <w:t xml:space="preserve"> on January 11 and February 11, 2017 (evidence file, folios 11639, 11640, 11641, 11643, 11644 and 11645); Table of information collected by Dr. Cristina Calderón as an annex to the petitioners’ brief of June 27, 2008 (evidence file, folio 12775); table with information collected by Dr. Cristina Calderón, through interviews in November 2010 (evidence file, folios 12803 and 12804); the State’s report of February 14, 2012 (evidence file, folio 1323), and expert opinion provided by Ricardo Boza Cordero at the public hearing held before the Court and written report on this opinion (merits file, folio 1474).</w:t>
      </w:r>
    </w:p>
  </w:footnote>
  <w:footnote w:id="349">
    <w:p w14:paraId="431ED099" w14:textId="237F452C"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t xml:space="preserve">Birth certificate of Francisco Sop </w:t>
      </w:r>
      <w:proofErr w:type="spellStart"/>
      <w:r w:rsidRPr="009F337B">
        <w:rPr>
          <w:szCs w:val="16"/>
          <w:lang w:val="en-US"/>
        </w:rPr>
        <w:t>Quiej</w:t>
      </w:r>
      <w:proofErr w:type="spellEnd"/>
      <w:r w:rsidRPr="009F337B">
        <w:rPr>
          <w:szCs w:val="16"/>
          <w:lang w:val="en-US"/>
        </w:rPr>
        <w:t xml:space="preserve"> (evidence file, folio 12830), and Affidavit prepared by Francisco Sop </w:t>
      </w:r>
      <w:proofErr w:type="spellStart"/>
      <w:r w:rsidRPr="009F337B">
        <w:rPr>
          <w:szCs w:val="16"/>
          <w:lang w:val="en-US"/>
        </w:rPr>
        <w:t>Quiej</w:t>
      </w:r>
      <w:proofErr w:type="spellEnd"/>
      <w:r w:rsidRPr="009F337B">
        <w:rPr>
          <w:szCs w:val="16"/>
          <w:lang w:val="en-US"/>
        </w:rPr>
        <w:t xml:space="preserve"> on January 11, 2017 (evidence file, folio 11639).</w:t>
      </w:r>
    </w:p>
  </w:footnote>
  <w:footnote w:id="350">
    <w:p w14:paraId="10354A76" w14:textId="35D2A4F6"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t xml:space="preserve">Birth certificate of Jorge Armando Tavares </w:t>
      </w:r>
      <w:proofErr w:type="spellStart"/>
      <w:r w:rsidRPr="009F337B">
        <w:rPr>
          <w:szCs w:val="16"/>
          <w:lang w:val="en-US"/>
        </w:rPr>
        <w:t>Barreno</w:t>
      </w:r>
      <w:proofErr w:type="spellEnd"/>
      <w:r w:rsidRPr="009F337B">
        <w:rPr>
          <w:szCs w:val="16"/>
          <w:lang w:val="en-US"/>
        </w:rPr>
        <w:t xml:space="preserve"> (evidence file, folio 12846); power of attorney granted by the victims a the representatives by a deed of January 23, 2017 (merits file, folios 111 and 169); table with information collected by Dr. Cristina Calderón, through interviews in November 2010 (evidence file, folios 12783, 12797 and 12798); petitioners’ brief with observations dated August 7, 2009 (evidence file, folio 826); the State’s report of October 1, 2010 (evidence file, folio 1431); Table of information collected by Dr. Cristina Calderón, as an annex to the petitioners’ brief of June 27, 2008 (evidence file, folio 12777), and the State’s report of March 23, 2009 (evidence file, folio 917).</w:t>
      </w:r>
    </w:p>
  </w:footnote>
  <w:footnote w:id="351">
    <w:p w14:paraId="67765247" w14:textId="780736BA"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t>List annexed to the IACHR Merits Report of April 13, 2016 (evidence file, folio 12768).</w:t>
      </w:r>
    </w:p>
  </w:footnote>
  <w:footnote w:id="352">
    <w:p w14:paraId="413F5D96" w14:textId="634CEB9F"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t xml:space="preserve">Birth certificate of Miguel Lucas Vail (evidence file, folio 12900); Affidavit prepared by Miguel Lucas Vail on February 14, 2017 (evidence file, folios 11742, 11743, 11745 and 11746); Table of information collected by Dr. Cristina Calderón, as an annex to the petitioners’ brief of June 27, 2008 (evidence file, folio 12777); petitioners’ brief with observations of August 7,2009 (evidence file, folio 826); the State’s report of March 23, 2009 (evidence file, folio 918); the State’s report of October 1, 2010 (evidence file, folio 1432), and table with information collected by Dr. Cristina Calderón, through interviews in November 2010 (evidence file, folios 12797 and 12798). </w:t>
      </w:r>
    </w:p>
  </w:footnote>
  <w:footnote w:id="353">
    <w:p w14:paraId="36F61DA2" w14:textId="42368F5C"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t xml:space="preserve">Affidavit prepared by Miguel Lucas Vail on February 14, 2017 (evidence file, folios 11742 and 11745). </w:t>
      </w:r>
    </w:p>
  </w:footnote>
  <w:footnote w:id="354">
    <w:p w14:paraId="1ADB9709" w14:textId="019168A2"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t xml:space="preserve">Information provided by </w:t>
      </w:r>
      <w:r w:rsidRPr="009F337B">
        <w:rPr>
          <w:i/>
          <w:szCs w:val="16"/>
          <w:lang w:val="en-US"/>
        </w:rPr>
        <w:t>Proyecto Vida</w:t>
      </w:r>
      <w:r w:rsidRPr="009F337B">
        <w:rPr>
          <w:szCs w:val="16"/>
          <w:lang w:val="en-US"/>
        </w:rPr>
        <w:t xml:space="preserve">, </w:t>
      </w:r>
      <w:proofErr w:type="spellStart"/>
      <w:r w:rsidRPr="009F337B">
        <w:rPr>
          <w:szCs w:val="16"/>
          <w:lang w:val="en-US"/>
        </w:rPr>
        <w:t>Coatepeque</w:t>
      </w:r>
      <w:proofErr w:type="spellEnd"/>
      <w:r w:rsidRPr="009F337B">
        <w:rPr>
          <w:szCs w:val="16"/>
          <w:lang w:val="en-US"/>
        </w:rPr>
        <w:t xml:space="preserve">, updating the data of the persons who filed a petition against Guatemala before the Court (evidence file, folio 11215); Table of information collected by Dr. Cristina Calderón, as an annex to the petitioners’ brief of June 27, 2008 (evidence file, folio 12776); table with information collected by Dr. Cristina Calderón, through interviews in November 2010 (evidence file, folios 12791 and 12792); original petition of August 25,, 2003 (evidence file, folio 465); report of the Administrative Director of the </w:t>
      </w:r>
      <w:proofErr w:type="spellStart"/>
      <w:r w:rsidRPr="009F337B">
        <w:rPr>
          <w:szCs w:val="16"/>
          <w:lang w:val="en-US"/>
        </w:rPr>
        <w:t>Coatepeque</w:t>
      </w:r>
      <w:proofErr w:type="spellEnd"/>
      <w:r w:rsidRPr="009F337B">
        <w:rPr>
          <w:szCs w:val="16"/>
          <w:lang w:val="en-US"/>
        </w:rPr>
        <w:t xml:space="preserve"> Hospital dated February 5, 2008, on the medical care provided to Mr. Santos Vásquez (evidence file, folio 1081); the State’s report of October 1, 2010 (evidence file, folio 1431), and the petitioners’ brief of August 7, 2009 (evidence file, folio 822).</w:t>
      </w:r>
    </w:p>
  </w:footnote>
  <w:footnote w:id="355">
    <w:p w14:paraId="753DFD2C" w14:textId="64A7C678"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t>List annexed to the IACHR Merits Report of April 13, 2016 (evidence file, folio 12767).</w:t>
      </w:r>
    </w:p>
  </w:footnote>
  <w:footnote w:id="356">
    <w:p w14:paraId="66267712" w14:textId="255D223E"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t xml:space="preserve">Table of information collected by Dr. Cristina Calderón as an annex to the petitioners’ brief of June 27, 2008 (evidence file, folio 12774); information provided by </w:t>
      </w:r>
      <w:r w:rsidRPr="009F337B">
        <w:rPr>
          <w:i/>
          <w:szCs w:val="16"/>
          <w:lang w:val="en-US"/>
        </w:rPr>
        <w:t>Proyecto Vida</w:t>
      </w:r>
      <w:r w:rsidRPr="009F337B">
        <w:rPr>
          <w:szCs w:val="16"/>
          <w:lang w:val="en-US"/>
        </w:rPr>
        <w:t xml:space="preserve">, </w:t>
      </w:r>
      <w:proofErr w:type="spellStart"/>
      <w:r w:rsidRPr="009F337B">
        <w:rPr>
          <w:szCs w:val="16"/>
          <w:lang w:val="en-US"/>
        </w:rPr>
        <w:t>Coatepeque</w:t>
      </w:r>
      <w:proofErr w:type="spellEnd"/>
      <w:r w:rsidRPr="009F337B">
        <w:rPr>
          <w:szCs w:val="16"/>
          <w:lang w:val="en-US"/>
        </w:rPr>
        <w:t>, on the updating of the data of the persons who filed a petition against Guatemala before the Court (evidence file, folio 11216); original petition of August 25, 2003 (evidence file, folio 465); the State’s report of March 23, 2009 (evidence file, folio 912); the State’s report of October 1, 2010 (evidence file, folio 1433); table with information collected by Dr. Cristina Calderón through interviews in November 2010 (evidence file, folio 12786), and the State’s report of February 14, 2012 (evidence file, folio 1325).</w:t>
      </w:r>
    </w:p>
  </w:footnote>
  <w:footnote w:id="357">
    <w:p w14:paraId="6CB2D191" w14:textId="2CE7B0AC"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t>List annexed to the IACHR Merits Report of April 13, 2016 (evidence file, folio 12771).</w:t>
      </w:r>
    </w:p>
  </w:footnote>
  <w:footnote w:id="358">
    <w:p w14:paraId="231E9453" w14:textId="4E847E92"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t>Affidavit prepared by Sandra Lisbeth Zepeda Herrera on December 15, 2016 (evidence file, folios 11543 and 11544); power of attorney granted by the victims to the representatives by a deed of January 23, 2017 (merits file, folio 225); expert opinion provided by Ricardo Boza Cordero at the public hearing held before the Court and written report on this opinion (merits file, folios 1486 and 1487); IACHR file on precautionary measures (evidence file, folio 11219); report del Dr. Mario García, from the Marco Antonio Foundation of January 29, 2008, on the medical care provided to Sandra Elizabeth Herrera Zepeda  (evidence file, folio 1063), and The State’s report of March 23, 2009 (evidence file, folio 915).</w:t>
      </w:r>
    </w:p>
  </w:footnote>
  <w:footnote w:id="359">
    <w:p w14:paraId="672CF629" w14:textId="2287940D" w:rsidR="00AF5CC6" w:rsidRPr="009F337B"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t>Affidavit prepared by Sandra Lisbeth Zepeda Herrera on December 15, 2016 (evidence file, folios 11543, 11544, 11545 and 11546).</w:t>
      </w:r>
    </w:p>
  </w:footnote>
  <w:footnote w:id="360">
    <w:p w14:paraId="42EC8412" w14:textId="46478241" w:rsidR="00AF5CC6" w:rsidRPr="00B71C24" w:rsidRDefault="00AF5CC6" w:rsidP="00A30D95">
      <w:pPr>
        <w:pStyle w:val="Textonotapie"/>
        <w:spacing w:before="0"/>
        <w:rPr>
          <w:szCs w:val="16"/>
          <w:lang w:val="en-US"/>
        </w:rPr>
      </w:pPr>
      <w:r w:rsidRPr="009F337B">
        <w:rPr>
          <w:rStyle w:val="Refdenotaalpie"/>
          <w:szCs w:val="16"/>
          <w:lang w:val="en-US"/>
        </w:rPr>
        <w:footnoteRef/>
      </w:r>
      <w:r w:rsidRPr="009F337B">
        <w:rPr>
          <w:szCs w:val="16"/>
          <w:lang w:val="en-US"/>
        </w:rPr>
        <w:tab/>
        <w:t>Affidavit prepared by Sandra Lisbeth Zepeda Herrera on December 15, 2016 (evidence file, folio 11543).</w:t>
      </w:r>
      <w:r w:rsidRPr="00B71C24">
        <w:rPr>
          <w:szCs w:val="16"/>
          <w:lang w:val="en-US"/>
        </w:rPr>
        <w:t xml:space="preserve">  </w:t>
      </w:r>
    </w:p>
  </w:footnote>
  <w:footnote w:id="361">
    <w:p w14:paraId="2E42C76A" w14:textId="0A8F8035" w:rsidR="00AF5CC6" w:rsidRPr="00316B86" w:rsidRDefault="00AF5CC6" w:rsidP="00C36F0E">
      <w:pPr>
        <w:pStyle w:val="Textonotapie"/>
        <w:rPr>
          <w:b/>
          <w:bCs/>
          <w:color w:val="000000"/>
          <w:szCs w:val="16"/>
          <w:shd w:val="clear" w:color="auto" w:fill="FFFFFF"/>
          <w:lang w:val="en-US"/>
        </w:rPr>
      </w:pPr>
      <w:r>
        <w:rPr>
          <w:rStyle w:val="Refdenotaalpie"/>
        </w:rPr>
        <w:footnoteRef/>
      </w:r>
      <w:r w:rsidRPr="00246DE1">
        <w:rPr>
          <w:szCs w:val="16"/>
          <w:lang w:val="en-US"/>
        </w:rPr>
        <w:t xml:space="preserve"> </w:t>
      </w:r>
      <w:r w:rsidRPr="00246DE1">
        <w:rPr>
          <w:szCs w:val="16"/>
          <w:lang w:val="en-US"/>
        </w:rPr>
        <w:tab/>
      </w:r>
      <w:r w:rsidRPr="00316B86">
        <w:rPr>
          <w:i/>
          <w:szCs w:val="16"/>
          <w:lang w:val="en-US"/>
        </w:rPr>
        <w:t xml:space="preserve">Cf. </w:t>
      </w:r>
      <w:r w:rsidRPr="00316B86">
        <w:rPr>
          <w:rStyle w:val="Textoennegrita"/>
          <w:b w:val="0"/>
          <w:bCs w:val="0"/>
          <w:i/>
          <w:color w:val="000000"/>
          <w:szCs w:val="16"/>
          <w:shd w:val="clear" w:color="auto" w:fill="FFFFFF"/>
          <w:lang w:val="en-US"/>
        </w:rPr>
        <w:t xml:space="preserve">Case of </w:t>
      </w:r>
      <w:proofErr w:type="spellStart"/>
      <w:r w:rsidRPr="00316B86">
        <w:rPr>
          <w:rStyle w:val="Textoennegrita"/>
          <w:b w:val="0"/>
          <w:bCs w:val="0"/>
          <w:i/>
          <w:color w:val="000000"/>
          <w:szCs w:val="16"/>
          <w:shd w:val="clear" w:color="auto" w:fill="FFFFFF"/>
          <w:lang w:val="en-US"/>
        </w:rPr>
        <w:t>Cuscul</w:t>
      </w:r>
      <w:proofErr w:type="spellEnd"/>
      <w:r w:rsidRPr="00316B86">
        <w:rPr>
          <w:rStyle w:val="Textoennegrita"/>
          <w:b w:val="0"/>
          <w:bCs w:val="0"/>
          <w:i/>
          <w:color w:val="000000"/>
          <w:szCs w:val="16"/>
          <w:shd w:val="clear" w:color="auto" w:fill="FFFFFF"/>
          <w:lang w:val="en-US"/>
        </w:rPr>
        <w:t xml:space="preserve"> </w:t>
      </w:r>
      <w:proofErr w:type="spellStart"/>
      <w:r w:rsidRPr="00316B86">
        <w:rPr>
          <w:rStyle w:val="Textoennegrita"/>
          <w:b w:val="0"/>
          <w:bCs w:val="0"/>
          <w:i/>
          <w:color w:val="000000"/>
          <w:szCs w:val="16"/>
          <w:shd w:val="clear" w:color="auto" w:fill="FFFFFF"/>
          <w:lang w:val="en-US"/>
        </w:rPr>
        <w:t>Pivaral</w:t>
      </w:r>
      <w:proofErr w:type="spellEnd"/>
      <w:r w:rsidRPr="00316B86">
        <w:rPr>
          <w:rStyle w:val="Textoennegrita"/>
          <w:b w:val="0"/>
          <w:bCs w:val="0"/>
          <w:i/>
          <w:color w:val="000000"/>
          <w:szCs w:val="16"/>
          <w:shd w:val="clear" w:color="auto" w:fill="FFFFFF"/>
          <w:lang w:val="en-US"/>
        </w:rPr>
        <w:t xml:space="preserve"> et al. v. Guatemala. Preliminary objection, merits, reparations and costs. </w:t>
      </w:r>
      <w:r w:rsidRPr="00316B86">
        <w:rPr>
          <w:rStyle w:val="Textoennegrita"/>
          <w:b w:val="0"/>
          <w:bCs w:val="0"/>
          <w:color w:val="000000"/>
          <w:szCs w:val="16"/>
          <w:shd w:val="clear" w:color="auto" w:fill="FFFFFF"/>
          <w:lang w:val="en-US"/>
        </w:rPr>
        <w:t>Judgment of August 23, 2018. Series C No. 359.</w:t>
      </w:r>
    </w:p>
  </w:footnote>
  <w:footnote w:id="362">
    <w:p w14:paraId="52E90014" w14:textId="77777777" w:rsidR="00AF5CC6" w:rsidRPr="00316B86" w:rsidRDefault="00AF5CC6" w:rsidP="00C36F0E">
      <w:pPr>
        <w:pStyle w:val="Textonotapie"/>
        <w:rPr>
          <w:szCs w:val="16"/>
          <w:lang w:val="en-US"/>
        </w:rPr>
      </w:pPr>
      <w:r w:rsidRPr="00316B86">
        <w:rPr>
          <w:rStyle w:val="Refdenotaalpie"/>
          <w:szCs w:val="16"/>
          <w:lang w:val="en-US"/>
        </w:rPr>
        <w:footnoteRef/>
      </w:r>
      <w:r w:rsidRPr="00316B86">
        <w:rPr>
          <w:szCs w:val="16"/>
          <w:lang w:val="en-US"/>
        </w:rPr>
        <w:t xml:space="preserve"> </w:t>
      </w:r>
      <w:r w:rsidRPr="00316B86">
        <w:rPr>
          <w:szCs w:val="16"/>
          <w:lang w:val="en-US"/>
        </w:rPr>
        <w:tab/>
      </w:r>
      <w:r w:rsidRPr="00316B86">
        <w:rPr>
          <w:i/>
          <w:szCs w:val="16"/>
          <w:lang w:val="en-US"/>
        </w:rPr>
        <w:t xml:space="preserve">Cf. </w:t>
      </w:r>
      <w:r w:rsidRPr="00316B86">
        <w:rPr>
          <w:rStyle w:val="Textoennegrita"/>
          <w:b w:val="0"/>
          <w:bCs w:val="0"/>
          <w:i/>
          <w:color w:val="000000"/>
          <w:szCs w:val="16"/>
          <w:shd w:val="clear" w:color="auto" w:fill="FFFFFF"/>
          <w:lang w:val="en-US"/>
        </w:rPr>
        <w:t xml:space="preserve">Case of Acevedo </w:t>
      </w:r>
      <w:proofErr w:type="spellStart"/>
      <w:r w:rsidRPr="00316B86">
        <w:rPr>
          <w:rStyle w:val="Textoennegrita"/>
          <w:b w:val="0"/>
          <w:bCs w:val="0"/>
          <w:i/>
          <w:color w:val="000000"/>
          <w:szCs w:val="16"/>
          <w:shd w:val="clear" w:color="auto" w:fill="FFFFFF"/>
          <w:lang w:val="en-US"/>
        </w:rPr>
        <w:t>Buendía</w:t>
      </w:r>
      <w:proofErr w:type="spellEnd"/>
      <w:r w:rsidRPr="00316B86">
        <w:rPr>
          <w:rStyle w:val="Textoennegrita"/>
          <w:b w:val="0"/>
          <w:bCs w:val="0"/>
          <w:i/>
          <w:color w:val="000000"/>
          <w:szCs w:val="16"/>
          <w:shd w:val="clear" w:color="auto" w:fill="FFFFFF"/>
          <w:lang w:val="en-US"/>
        </w:rPr>
        <w:t xml:space="preserve"> et al. (Dismissed and Retired Employees of the Comptroller’s Office”) v. Peru. Preliminary objection, merits, reparations and costs</w:t>
      </w:r>
      <w:r w:rsidRPr="00316B86">
        <w:rPr>
          <w:rStyle w:val="Textoennegrita"/>
          <w:b w:val="0"/>
          <w:bCs w:val="0"/>
          <w:color w:val="000000"/>
          <w:szCs w:val="16"/>
          <w:shd w:val="clear" w:color="auto" w:fill="FFFFFF"/>
          <w:lang w:val="en-US"/>
        </w:rPr>
        <w:t>. Judgment of July 1, 2009. Series C No. 198.</w:t>
      </w:r>
    </w:p>
  </w:footnote>
  <w:footnote w:id="363">
    <w:p w14:paraId="4FB4DF8C" w14:textId="77777777" w:rsidR="00AF5CC6" w:rsidRPr="00316B86" w:rsidRDefault="00AF5CC6" w:rsidP="00C36F0E">
      <w:pPr>
        <w:pStyle w:val="Textonotapie"/>
        <w:rPr>
          <w:szCs w:val="16"/>
          <w:lang w:val="en-US"/>
        </w:rPr>
      </w:pPr>
      <w:r w:rsidRPr="00316B86">
        <w:rPr>
          <w:rStyle w:val="Refdenotaalpie"/>
          <w:szCs w:val="16"/>
          <w:lang w:val="en-US"/>
        </w:rPr>
        <w:footnoteRef/>
      </w:r>
      <w:r w:rsidRPr="00316B86">
        <w:rPr>
          <w:szCs w:val="16"/>
          <w:lang w:val="es-CR"/>
        </w:rPr>
        <w:t xml:space="preserve"> </w:t>
      </w:r>
      <w:r w:rsidRPr="00316B86">
        <w:rPr>
          <w:szCs w:val="16"/>
          <w:lang w:val="es-CR"/>
        </w:rPr>
        <w:tab/>
      </w:r>
      <w:r w:rsidRPr="00316B86">
        <w:rPr>
          <w:i/>
          <w:szCs w:val="16"/>
          <w:lang w:val="es-CR"/>
        </w:rPr>
        <w:t xml:space="preserve">Cf. </w:t>
      </w:r>
      <w:r w:rsidRPr="00316B86">
        <w:rPr>
          <w:rStyle w:val="Textoennegrita"/>
          <w:b w:val="0"/>
          <w:bCs w:val="0"/>
          <w:i/>
          <w:color w:val="000000"/>
          <w:szCs w:val="16"/>
          <w:shd w:val="clear" w:color="auto" w:fill="FFFFFF"/>
          <w:lang w:val="es-CR"/>
        </w:rPr>
        <w:t xml:space="preserve">Case </w:t>
      </w:r>
      <w:proofErr w:type="spellStart"/>
      <w:r w:rsidRPr="00316B86">
        <w:rPr>
          <w:rStyle w:val="Textoennegrita"/>
          <w:b w:val="0"/>
          <w:bCs w:val="0"/>
          <w:i/>
          <w:color w:val="000000"/>
          <w:szCs w:val="16"/>
          <w:shd w:val="clear" w:color="auto" w:fill="FFFFFF"/>
          <w:lang w:val="es-CR"/>
        </w:rPr>
        <w:t>of</w:t>
      </w:r>
      <w:proofErr w:type="spellEnd"/>
      <w:r w:rsidRPr="00316B86">
        <w:rPr>
          <w:rStyle w:val="Textoennegrita"/>
          <w:b w:val="0"/>
          <w:bCs w:val="0"/>
          <w:i/>
          <w:color w:val="000000"/>
          <w:szCs w:val="16"/>
          <w:shd w:val="clear" w:color="auto" w:fill="FFFFFF"/>
          <w:lang w:val="es-CR"/>
        </w:rPr>
        <w:t xml:space="preserve"> Lagos del Campo v. </w:t>
      </w:r>
      <w:proofErr w:type="spellStart"/>
      <w:r w:rsidRPr="00316B86">
        <w:rPr>
          <w:rStyle w:val="Textoennegrita"/>
          <w:b w:val="0"/>
          <w:bCs w:val="0"/>
          <w:i/>
          <w:color w:val="000000"/>
          <w:szCs w:val="16"/>
          <w:shd w:val="clear" w:color="auto" w:fill="FFFFFF"/>
          <w:lang w:val="es-CR"/>
        </w:rPr>
        <w:t>Peru</w:t>
      </w:r>
      <w:proofErr w:type="spellEnd"/>
      <w:r w:rsidRPr="00316B86">
        <w:rPr>
          <w:rStyle w:val="Textoennegrita"/>
          <w:b w:val="0"/>
          <w:bCs w:val="0"/>
          <w:i/>
          <w:color w:val="000000"/>
          <w:szCs w:val="16"/>
          <w:shd w:val="clear" w:color="auto" w:fill="FFFFFF"/>
          <w:lang w:val="es-CR"/>
        </w:rPr>
        <w:t xml:space="preserve">. </w:t>
      </w:r>
      <w:r w:rsidRPr="00316B86">
        <w:rPr>
          <w:rStyle w:val="Textoennegrita"/>
          <w:b w:val="0"/>
          <w:bCs w:val="0"/>
          <w:i/>
          <w:color w:val="000000"/>
          <w:szCs w:val="16"/>
          <w:shd w:val="clear" w:color="auto" w:fill="FFFFFF"/>
          <w:lang w:val="en-US"/>
        </w:rPr>
        <w:t>Preliminary objections merits, reparations and costs.</w:t>
      </w:r>
      <w:r w:rsidRPr="00316B86">
        <w:rPr>
          <w:rStyle w:val="Textoennegrita"/>
          <w:b w:val="0"/>
          <w:bCs w:val="0"/>
          <w:color w:val="000000"/>
          <w:szCs w:val="16"/>
          <w:shd w:val="clear" w:color="auto" w:fill="FFFFFF"/>
          <w:lang w:val="en-US"/>
        </w:rPr>
        <w:t xml:space="preserve"> Judgment of August 31, 2017. Series C No. 340.</w:t>
      </w:r>
    </w:p>
  </w:footnote>
  <w:footnote w:id="364">
    <w:p w14:paraId="68F0E75B" w14:textId="77777777" w:rsidR="00AF5CC6" w:rsidRPr="00316B86" w:rsidRDefault="00AF5CC6" w:rsidP="00C36F0E">
      <w:pPr>
        <w:pStyle w:val="Textonotapie"/>
        <w:rPr>
          <w:szCs w:val="16"/>
          <w:lang w:val="en-US"/>
        </w:rPr>
      </w:pPr>
      <w:r w:rsidRPr="00316B86">
        <w:rPr>
          <w:rStyle w:val="Refdenotaalpie"/>
          <w:szCs w:val="16"/>
          <w:lang w:val="en-US"/>
        </w:rPr>
        <w:footnoteRef/>
      </w:r>
      <w:r w:rsidRPr="00316B86">
        <w:rPr>
          <w:szCs w:val="16"/>
          <w:lang w:val="en-US"/>
        </w:rPr>
        <w:t xml:space="preserve"> </w:t>
      </w:r>
      <w:r w:rsidRPr="00316B86">
        <w:rPr>
          <w:szCs w:val="16"/>
          <w:lang w:val="en-US"/>
        </w:rPr>
        <w:tab/>
      </w:r>
      <w:r w:rsidRPr="00316B86">
        <w:rPr>
          <w:i/>
          <w:szCs w:val="16"/>
          <w:lang w:val="en-US"/>
        </w:rPr>
        <w:t xml:space="preserve">Cf. Case of the Dismissed Employees of </w:t>
      </w:r>
      <w:proofErr w:type="spellStart"/>
      <w:r w:rsidRPr="00316B86">
        <w:rPr>
          <w:i/>
          <w:szCs w:val="16"/>
          <w:lang w:val="en-US"/>
        </w:rPr>
        <w:t>Petroperú</w:t>
      </w:r>
      <w:proofErr w:type="spellEnd"/>
      <w:r w:rsidRPr="00316B86">
        <w:rPr>
          <w:i/>
          <w:szCs w:val="16"/>
          <w:lang w:val="en-US"/>
        </w:rPr>
        <w:t xml:space="preserve"> et al. v. Peru. Preliminary objections merits, reparations and costs. </w:t>
      </w:r>
      <w:r w:rsidRPr="00316B86">
        <w:rPr>
          <w:szCs w:val="16"/>
          <w:lang w:val="en-US"/>
        </w:rPr>
        <w:t>Judgment of November 23, 2017. Series C No. 344.</w:t>
      </w:r>
    </w:p>
  </w:footnote>
  <w:footnote w:id="365">
    <w:p w14:paraId="7CE884AB" w14:textId="77777777" w:rsidR="00AF5CC6" w:rsidRPr="00316B86" w:rsidRDefault="00AF5CC6" w:rsidP="00C36F0E">
      <w:pPr>
        <w:pStyle w:val="Textonotapie"/>
        <w:rPr>
          <w:szCs w:val="16"/>
          <w:lang w:val="en-US"/>
        </w:rPr>
      </w:pPr>
      <w:r w:rsidRPr="00316B86">
        <w:rPr>
          <w:rStyle w:val="Refdenotaalpie"/>
          <w:szCs w:val="16"/>
          <w:lang w:val="en-US"/>
        </w:rPr>
        <w:footnoteRef/>
      </w:r>
      <w:r w:rsidRPr="00316B86">
        <w:rPr>
          <w:szCs w:val="16"/>
          <w:lang w:val="en-US"/>
        </w:rPr>
        <w:t xml:space="preserve"> </w:t>
      </w:r>
      <w:r w:rsidRPr="00316B86">
        <w:rPr>
          <w:szCs w:val="16"/>
          <w:lang w:val="en-US"/>
        </w:rPr>
        <w:tab/>
      </w:r>
      <w:r w:rsidRPr="00316B86">
        <w:rPr>
          <w:i/>
          <w:szCs w:val="16"/>
          <w:lang w:val="en-US"/>
        </w:rPr>
        <w:t>Cf.</w:t>
      </w:r>
      <w:r w:rsidRPr="00316B86">
        <w:rPr>
          <w:rStyle w:val="Textoennegrita"/>
          <w:i/>
          <w:color w:val="000000"/>
          <w:szCs w:val="16"/>
          <w:shd w:val="clear" w:color="auto" w:fill="FFFFFF"/>
          <w:lang w:val="en-US"/>
        </w:rPr>
        <w:t xml:space="preserve"> </w:t>
      </w:r>
      <w:r w:rsidRPr="00316B86">
        <w:rPr>
          <w:rStyle w:val="Textoennegrita"/>
          <w:b w:val="0"/>
          <w:bCs w:val="0"/>
          <w:i/>
          <w:color w:val="000000"/>
          <w:szCs w:val="16"/>
          <w:shd w:val="clear" w:color="auto" w:fill="FFFFFF"/>
          <w:lang w:val="en-US"/>
        </w:rPr>
        <w:t>Case of</w:t>
      </w:r>
      <w:r w:rsidRPr="00316B86">
        <w:rPr>
          <w:rStyle w:val="Textoennegrita"/>
          <w:b w:val="0"/>
          <w:bCs w:val="0"/>
          <w:color w:val="000000"/>
          <w:szCs w:val="16"/>
          <w:shd w:val="clear" w:color="auto" w:fill="FFFFFF"/>
          <w:lang w:val="en-US"/>
        </w:rPr>
        <w:t xml:space="preserve"> </w:t>
      </w:r>
      <w:r w:rsidRPr="00316B86">
        <w:rPr>
          <w:rStyle w:val="Textoennegrita"/>
          <w:b w:val="0"/>
          <w:bCs w:val="0"/>
          <w:i/>
          <w:color w:val="000000"/>
          <w:szCs w:val="16"/>
          <w:shd w:val="clear" w:color="auto" w:fill="FFFFFF"/>
          <w:lang w:val="en-US"/>
        </w:rPr>
        <w:t>San Miguel Sosa et al. v. Venezuela. Merits, reparations and costs</w:t>
      </w:r>
      <w:r w:rsidRPr="00316B86">
        <w:rPr>
          <w:rStyle w:val="Textoennegrita"/>
          <w:b w:val="0"/>
          <w:bCs w:val="0"/>
          <w:color w:val="000000"/>
          <w:szCs w:val="16"/>
          <w:shd w:val="clear" w:color="auto" w:fill="FFFFFF"/>
          <w:lang w:val="en-US"/>
        </w:rPr>
        <w:t>. Judgment of February 8, 2018. Series C No. 348.</w:t>
      </w:r>
    </w:p>
  </w:footnote>
  <w:footnote w:id="366">
    <w:p w14:paraId="7F368290" w14:textId="77777777" w:rsidR="00AF5CC6" w:rsidRPr="00316B86" w:rsidRDefault="00AF5CC6" w:rsidP="00C36F0E">
      <w:pPr>
        <w:pStyle w:val="Textonotapie"/>
        <w:rPr>
          <w:szCs w:val="16"/>
          <w:lang w:val="en-US"/>
        </w:rPr>
      </w:pPr>
      <w:r w:rsidRPr="00316B86">
        <w:rPr>
          <w:rStyle w:val="Refdenotaalpie"/>
          <w:szCs w:val="16"/>
          <w:lang w:val="en-US"/>
        </w:rPr>
        <w:footnoteRef/>
      </w:r>
      <w:r w:rsidRPr="00316B86">
        <w:rPr>
          <w:szCs w:val="16"/>
          <w:lang w:val="en-US"/>
        </w:rPr>
        <w:t xml:space="preserve"> </w:t>
      </w:r>
      <w:r w:rsidRPr="00316B86">
        <w:rPr>
          <w:szCs w:val="16"/>
          <w:lang w:val="en-US"/>
        </w:rPr>
        <w:tab/>
      </w:r>
      <w:r w:rsidRPr="00316B86">
        <w:rPr>
          <w:i/>
          <w:szCs w:val="16"/>
          <w:lang w:val="en-US"/>
        </w:rPr>
        <w:t xml:space="preserve">Cf. </w:t>
      </w:r>
      <w:r w:rsidRPr="00316B86">
        <w:rPr>
          <w:rStyle w:val="Textoennegrita"/>
          <w:b w:val="0"/>
          <w:bCs w:val="0"/>
          <w:i/>
          <w:color w:val="000000"/>
          <w:szCs w:val="16"/>
          <w:shd w:val="clear" w:color="auto" w:fill="FFFFFF"/>
          <w:lang w:val="en-US"/>
        </w:rPr>
        <w:t xml:space="preserve">Case of Poblete </w:t>
      </w:r>
      <w:proofErr w:type="spellStart"/>
      <w:r w:rsidRPr="00316B86">
        <w:rPr>
          <w:rStyle w:val="Textoennegrita"/>
          <w:b w:val="0"/>
          <w:bCs w:val="0"/>
          <w:i/>
          <w:color w:val="000000"/>
          <w:szCs w:val="16"/>
          <w:shd w:val="clear" w:color="auto" w:fill="FFFFFF"/>
          <w:lang w:val="en-US"/>
        </w:rPr>
        <w:t>Vilches</w:t>
      </w:r>
      <w:proofErr w:type="spellEnd"/>
      <w:r w:rsidRPr="00316B86">
        <w:rPr>
          <w:rStyle w:val="Textoennegrita"/>
          <w:b w:val="0"/>
          <w:bCs w:val="0"/>
          <w:i/>
          <w:color w:val="000000"/>
          <w:szCs w:val="16"/>
          <w:shd w:val="clear" w:color="auto" w:fill="FFFFFF"/>
          <w:lang w:val="en-US"/>
        </w:rPr>
        <w:t xml:space="preserve"> et al. v. Chile. Merits, reparations and costs.</w:t>
      </w:r>
      <w:r w:rsidRPr="00316B86">
        <w:rPr>
          <w:rStyle w:val="Textoennegrita"/>
          <w:b w:val="0"/>
          <w:bCs w:val="0"/>
          <w:color w:val="000000"/>
          <w:szCs w:val="16"/>
          <w:shd w:val="clear" w:color="auto" w:fill="FFFFFF"/>
          <w:lang w:val="en-US"/>
        </w:rPr>
        <w:t xml:space="preserve"> Judgment of March 8, 2018. Series C No. 349.</w:t>
      </w:r>
    </w:p>
  </w:footnote>
  <w:footnote w:id="367">
    <w:p w14:paraId="693BC49F" w14:textId="77777777" w:rsidR="00AF5CC6" w:rsidRPr="00316B86" w:rsidRDefault="00AF5CC6" w:rsidP="00C36F0E">
      <w:pPr>
        <w:tabs>
          <w:tab w:val="left" w:pos="567"/>
        </w:tabs>
        <w:spacing w:after="120"/>
        <w:rPr>
          <w:b/>
          <w:bCs/>
          <w:caps/>
          <w:sz w:val="16"/>
          <w:szCs w:val="16"/>
          <w:lang w:val="en-US"/>
        </w:rPr>
      </w:pPr>
      <w:r w:rsidRPr="00316B86">
        <w:rPr>
          <w:rStyle w:val="Refdenotaalpie"/>
          <w:sz w:val="16"/>
          <w:szCs w:val="16"/>
          <w:lang w:val="en-US"/>
        </w:rPr>
        <w:footnoteRef/>
      </w:r>
      <w:r w:rsidRPr="00316B86">
        <w:rPr>
          <w:sz w:val="16"/>
          <w:szCs w:val="16"/>
          <w:lang w:val="en-US"/>
        </w:rPr>
        <w:t xml:space="preserve"> </w:t>
      </w:r>
      <w:r w:rsidRPr="00316B86">
        <w:rPr>
          <w:sz w:val="16"/>
          <w:szCs w:val="16"/>
          <w:lang w:val="en-US"/>
        </w:rPr>
        <w:tab/>
      </w:r>
      <w:r w:rsidRPr="00316B86">
        <w:rPr>
          <w:i/>
          <w:sz w:val="16"/>
          <w:szCs w:val="16"/>
          <w:lang w:val="en-US"/>
        </w:rPr>
        <w:t>Cf.</w:t>
      </w:r>
      <w:r w:rsidRPr="00316B86">
        <w:rPr>
          <w:rStyle w:val="Textoennegrita"/>
          <w:i/>
          <w:color w:val="000000"/>
          <w:sz w:val="16"/>
          <w:szCs w:val="16"/>
          <w:shd w:val="clear" w:color="auto" w:fill="FFFFFF"/>
          <w:lang w:val="en-US"/>
        </w:rPr>
        <w:t xml:space="preserve"> </w:t>
      </w:r>
      <w:r w:rsidRPr="00316B86">
        <w:rPr>
          <w:i/>
          <w:sz w:val="16"/>
          <w:szCs w:val="16"/>
          <w:lang w:val="en-US"/>
        </w:rPr>
        <w:t>The Environment and Human Rights</w:t>
      </w:r>
      <w:r w:rsidRPr="00316B86">
        <w:rPr>
          <w:i/>
          <w:caps/>
          <w:sz w:val="16"/>
          <w:szCs w:val="16"/>
          <w:lang w:val="en-US"/>
        </w:rPr>
        <w:t xml:space="preserve"> </w:t>
      </w:r>
      <w:r w:rsidRPr="00316B86">
        <w:rPr>
          <w:i/>
          <w:sz w:val="16"/>
          <w:szCs w:val="16"/>
          <w:lang w:val="en-US"/>
        </w:rPr>
        <w:t xml:space="preserve">(State obligations in relation to the environment in the context of the protection and guarantee of the rights to life and to personal integrity: interpretation and scope of Articles 4(1) and 5(1) in relation to Articles 1(1) and 2 of the American Convention on Human Rights). </w:t>
      </w:r>
      <w:r w:rsidRPr="00316B86">
        <w:rPr>
          <w:rStyle w:val="Textoennegrita"/>
          <w:b w:val="0"/>
          <w:bCs w:val="0"/>
          <w:color w:val="000000"/>
          <w:sz w:val="16"/>
          <w:szCs w:val="16"/>
          <w:shd w:val="clear" w:color="auto" w:fill="FFFFFF"/>
          <w:lang w:val="en-US"/>
        </w:rPr>
        <w:t>Advisory Opinion OC-23/17 of November 15, 2017. Series A No. 23.</w:t>
      </w:r>
    </w:p>
  </w:footnote>
  <w:footnote w:id="368">
    <w:p w14:paraId="34F300C6" w14:textId="77777777" w:rsidR="00AF5CC6" w:rsidRPr="00246DE1" w:rsidRDefault="00AF5CC6" w:rsidP="00C36F0E">
      <w:pPr>
        <w:pStyle w:val="Textonotapie"/>
        <w:rPr>
          <w:szCs w:val="16"/>
          <w:lang w:val="en-US"/>
        </w:rPr>
      </w:pPr>
      <w:r w:rsidRPr="00246DE1">
        <w:rPr>
          <w:rStyle w:val="Refdenotaalpie"/>
          <w:szCs w:val="16"/>
          <w:lang w:val="en-US"/>
        </w:rPr>
        <w:footnoteRef/>
      </w:r>
      <w:r w:rsidRPr="00246DE1">
        <w:rPr>
          <w:szCs w:val="16"/>
          <w:lang w:val="en-US"/>
        </w:rPr>
        <w:t xml:space="preserve"> </w:t>
      </w:r>
      <w:r w:rsidRPr="00246DE1">
        <w:rPr>
          <w:szCs w:val="16"/>
          <w:lang w:val="en-US"/>
        </w:rPr>
        <w:tab/>
        <w:t xml:space="preserve">In the case of </w:t>
      </w:r>
      <w:r w:rsidRPr="00246DE1">
        <w:rPr>
          <w:i/>
          <w:szCs w:val="16"/>
          <w:lang w:val="en-US"/>
        </w:rPr>
        <w:t xml:space="preserve">Poblete </w:t>
      </w:r>
      <w:proofErr w:type="spellStart"/>
      <w:r w:rsidRPr="00246DE1">
        <w:rPr>
          <w:i/>
          <w:szCs w:val="16"/>
          <w:lang w:val="en-US"/>
        </w:rPr>
        <w:t>Vilches</w:t>
      </w:r>
      <w:proofErr w:type="spellEnd"/>
      <w:r w:rsidRPr="00246DE1">
        <w:rPr>
          <w:i/>
          <w:szCs w:val="16"/>
          <w:lang w:val="en-US"/>
        </w:rPr>
        <w:t xml:space="preserve"> et al. v. Chile</w:t>
      </w:r>
      <w:r w:rsidRPr="00246DE1">
        <w:rPr>
          <w:szCs w:val="16"/>
          <w:lang w:val="en-US"/>
        </w:rPr>
        <w:t xml:space="preserve">, the Court ruled for the first time in the sense of establishing that the right to health can be derived – via Article 26 of the American Convention – from the provisions of the OAS Charter. In this regard, the Inter-American Court indicated that: “116. […] the Court considers that various applicable standards may be derived from the consolidation of the right to health […], relating to specific basic health services […]. </w:t>
      </w:r>
      <w:r w:rsidRPr="00246DE1">
        <w:rPr>
          <w:i/>
          <w:szCs w:val="16"/>
          <w:lang w:val="en-US"/>
        </w:rPr>
        <w:t xml:space="preserve">Cf. </w:t>
      </w:r>
      <w:r w:rsidRPr="00316B86">
        <w:rPr>
          <w:rStyle w:val="Textoennegrita"/>
          <w:b w:val="0"/>
          <w:bCs w:val="0"/>
          <w:i/>
          <w:color w:val="000000"/>
          <w:szCs w:val="16"/>
          <w:shd w:val="clear" w:color="auto" w:fill="FFFFFF"/>
          <w:lang w:val="en-US"/>
        </w:rPr>
        <w:t xml:space="preserve">Case of Poblete </w:t>
      </w:r>
      <w:proofErr w:type="spellStart"/>
      <w:r w:rsidRPr="00316B86">
        <w:rPr>
          <w:rStyle w:val="Textoennegrita"/>
          <w:b w:val="0"/>
          <w:bCs w:val="0"/>
          <w:i/>
          <w:color w:val="000000"/>
          <w:szCs w:val="16"/>
          <w:shd w:val="clear" w:color="auto" w:fill="FFFFFF"/>
          <w:lang w:val="en-US"/>
        </w:rPr>
        <w:t>Vilches</w:t>
      </w:r>
      <w:proofErr w:type="spellEnd"/>
      <w:r w:rsidRPr="00316B86">
        <w:rPr>
          <w:rStyle w:val="Textoennegrita"/>
          <w:b w:val="0"/>
          <w:bCs w:val="0"/>
          <w:i/>
          <w:color w:val="000000"/>
          <w:szCs w:val="16"/>
          <w:shd w:val="clear" w:color="auto" w:fill="FFFFFF"/>
          <w:lang w:val="en-US"/>
        </w:rPr>
        <w:t xml:space="preserve"> et al. v. Chile. Merits, reparations and costs.</w:t>
      </w:r>
      <w:r w:rsidRPr="00316B86">
        <w:rPr>
          <w:rStyle w:val="Textoennegrita"/>
          <w:b w:val="0"/>
          <w:bCs w:val="0"/>
          <w:color w:val="000000"/>
          <w:szCs w:val="16"/>
          <w:shd w:val="clear" w:color="auto" w:fill="FFFFFF"/>
          <w:lang w:val="en-US"/>
        </w:rPr>
        <w:t xml:space="preserve"> Judgment of March 8, 2018. Series C No. 349, para. 116. </w:t>
      </w:r>
    </w:p>
  </w:footnote>
  <w:footnote w:id="369">
    <w:p w14:paraId="69716CD1" w14:textId="77777777" w:rsidR="00AF5CC6" w:rsidRPr="00316B86" w:rsidRDefault="00AF5CC6" w:rsidP="00C36F0E">
      <w:pPr>
        <w:pStyle w:val="Textonotapie"/>
        <w:rPr>
          <w:b/>
          <w:bCs/>
          <w:szCs w:val="16"/>
          <w:lang w:val="en-US"/>
        </w:rPr>
      </w:pPr>
      <w:r w:rsidRPr="00246DE1">
        <w:rPr>
          <w:rStyle w:val="Refdenotaalpie"/>
          <w:szCs w:val="16"/>
          <w:lang w:val="en-US"/>
        </w:rPr>
        <w:footnoteRef/>
      </w:r>
      <w:r w:rsidRPr="00246DE1">
        <w:rPr>
          <w:szCs w:val="16"/>
          <w:lang w:val="en-US"/>
        </w:rPr>
        <w:t xml:space="preserve"> </w:t>
      </w:r>
      <w:r w:rsidRPr="00246DE1">
        <w:rPr>
          <w:szCs w:val="16"/>
          <w:lang w:val="en-US"/>
        </w:rPr>
        <w:tab/>
        <w:t xml:space="preserve">It should be noted that, in principle, the justiciability of the right to health </w:t>
      </w:r>
      <w:r w:rsidRPr="00C6215C">
        <w:rPr>
          <w:szCs w:val="16"/>
          <w:lang w:val="en-US"/>
        </w:rPr>
        <w:t>was realized indirectly</w:t>
      </w:r>
      <w:r w:rsidRPr="00246DE1">
        <w:rPr>
          <w:szCs w:val="16"/>
          <w:lang w:val="en-US"/>
        </w:rPr>
        <w:t xml:space="preserve">, by </w:t>
      </w:r>
      <w:r w:rsidRPr="00316B86">
        <w:rPr>
          <w:szCs w:val="16"/>
          <w:lang w:val="en-US"/>
        </w:rPr>
        <w:t>connectivity with civil and political rights, such as the right to life or to personal integrity in particular, see:</w:t>
      </w:r>
      <w:r w:rsidRPr="00316B86">
        <w:rPr>
          <w:rStyle w:val="Textoennegrita"/>
          <w:b w:val="0"/>
          <w:bCs w:val="0"/>
          <w:color w:val="000000"/>
          <w:szCs w:val="16"/>
          <w:shd w:val="clear" w:color="auto" w:fill="FFFFFF"/>
          <w:lang w:val="en-US"/>
        </w:rPr>
        <w:t xml:space="preserve"> </w:t>
      </w:r>
      <w:r w:rsidRPr="00316B86">
        <w:rPr>
          <w:rStyle w:val="Textoennegrita"/>
          <w:b w:val="0"/>
          <w:bCs w:val="0"/>
          <w:i/>
          <w:color w:val="000000"/>
          <w:szCs w:val="16"/>
          <w:shd w:val="clear" w:color="auto" w:fill="FFFFFF"/>
          <w:lang w:val="en-US"/>
        </w:rPr>
        <w:t xml:space="preserve"> Case of I.V. v. Bolivia. Preliminary objections merits, reparations and costs</w:t>
      </w:r>
      <w:r w:rsidRPr="00316B86">
        <w:rPr>
          <w:rStyle w:val="Textoennegrita"/>
          <w:b w:val="0"/>
          <w:bCs w:val="0"/>
          <w:color w:val="000000"/>
          <w:szCs w:val="16"/>
          <w:shd w:val="clear" w:color="auto" w:fill="FFFFFF"/>
          <w:lang w:val="en-US"/>
        </w:rPr>
        <w:t xml:space="preserve">. Judgment of November 30, 2016. Series C No. 329; </w:t>
      </w:r>
      <w:r w:rsidRPr="00316B86">
        <w:rPr>
          <w:rStyle w:val="Textoennegrita"/>
          <w:b w:val="0"/>
          <w:bCs w:val="0"/>
          <w:i/>
          <w:color w:val="000000"/>
          <w:szCs w:val="16"/>
          <w:shd w:val="clear" w:color="auto" w:fill="FFFFFF"/>
          <w:lang w:val="en-US"/>
        </w:rPr>
        <w:t>Case of Chinchilla Sandoval et al. v. Guatemala. Preliminary objection, merits, reparations and costs</w:t>
      </w:r>
      <w:r w:rsidRPr="00316B86">
        <w:rPr>
          <w:rStyle w:val="Textoennegrita"/>
          <w:b w:val="0"/>
          <w:bCs w:val="0"/>
          <w:color w:val="000000"/>
          <w:szCs w:val="16"/>
          <w:shd w:val="clear" w:color="auto" w:fill="FFFFFF"/>
          <w:lang w:val="en-US"/>
        </w:rPr>
        <w:t xml:space="preserve">. Judgment of February 29, 2016. Series C No. 312; </w:t>
      </w:r>
      <w:r w:rsidRPr="00316B86">
        <w:rPr>
          <w:rStyle w:val="Textoennegrita"/>
          <w:b w:val="0"/>
          <w:bCs w:val="0"/>
          <w:i/>
          <w:color w:val="000000"/>
          <w:szCs w:val="16"/>
          <w:shd w:val="clear" w:color="auto" w:fill="FFFFFF"/>
          <w:lang w:val="en-US"/>
        </w:rPr>
        <w:t xml:space="preserve">Case of Gonzales </w:t>
      </w:r>
      <w:proofErr w:type="spellStart"/>
      <w:r w:rsidRPr="00316B86">
        <w:rPr>
          <w:rStyle w:val="Textoennegrita"/>
          <w:b w:val="0"/>
          <w:bCs w:val="0"/>
          <w:i/>
          <w:color w:val="000000"/>
          <w:szCs w:val="16"/>
          <w:shd w:val="clear" w:color="auto" w:fill="FFFFFF"/>
          <w:lang w:val="en-US"/>
        </w:rPr>
        <w:t>Lluy</w:t>
      </w:r>
      <w:proofErr w:type="spellEnd"/>
      <w:r w:rsidRPr="00316B86">
        <w:rPr>
          <w:rStyle w:val="Textoennegrita"/>
          <w:b w:val="0"/>
          <w:bCs w:val="0"/>
          <w:i/>
          <w:color w:val="000000"/>
          <w:szCs w:val="16"/>
          <w:shd w:val="clear" w:color="auto" w:fill="FFFFFF"/>
          <w:lang w:val="en-US"/>
        </w:rPr>
        <w:t xml:space="preserve"> et al. v. Ecuador. Preliminary objections merits, reparations and costs.</w:t>
      </w:r>
      <w:r w:rsidRPr="00316B86">
        <w:rPr>
          <w:rStyle w:val="Textoennegrita"/>
          <w:b w:val="0"/>
          <w:bCs w:val="0"/>
          <w:color w:val="000000"/>
          <w:szCs w:val="16"/>
          <w:shd w:val="clear" w:color="auto" w:fill="FFFFFF"/>
          <w:lang w:val="en-US"/>
        </w:rPr>
        <w:t xml:space="preserve"> Judgment of September 1, 2015. Series C No. 298, and </w:t>
      </w:r>
      <w:r w:rsidRPr="00316B86">
        <w:rPr>
          <w:rStyle w:val="Textoennegrita"/>
          <w:b w:val="0"/>
          <w:bCs w:val="0"/>
          <w:i/>
          <w:color w:val="000000"/>
          <w:szCs w:val="16"/>
          <w:shd w:val="clear" w:color="auto" w:fill="FFFFFF"/>
          <w:lang w:val="en-US"/>
        </w:rPr>
        <w:t>Case of Suárez Peralta v. Ecuador. Preliminary objections merits, reparations and costs</w:t>
      </w:r>
      <w:r w:rsidRPr="00316B86">
        <w:rPr>
          <w:rStyle w:val="Textoennegrita"/>
          <w:b w:val="0"/>
          <w:bCs w:val="0"/>
          <w:color w:val="000000"/>
          <w:szCs w:val="16"/>
          <w:shd w:val="clear" w:color="auto" w:fill="FFFFFF"/>
          <w:lang w:val="en-US"/>
        </w:rPr>
        <w:t>. Judgment of May 21, 2013. Series C No. 261.</w:t>
      </w:r>
    </w:p>
  </w:footnote>
  <w:footnote w:id="370">
    <w:p w14:paraId="3F68734E" w14:textId="77777777" w:rsidR="00AF5CC6" w:rsidRPr="00316B86" w:rsidRDefault="00AF5CC6" w:rsidP="00C36F0E">
      <w:pPr>
        <w:pStyle w:val="Textonotapie"/>
        <w:rPr>
          <w:b/>
          <w:bCs/>
          <w:color w:val="000000"/>
          <w:szCs w:val="16"/>
          <w:shd w:val="clear" w:color="auto" w:fill="FFFFFF"/>
          <w:lang w:val="en-US"/>
        </w:rPr>
      </w:pPr>
      <w:r w:rsidRPr="00316B86">
        <w:rPr>
          <w:rStyle w:val="Refdenotaalpie"/>
          <w:szCs w:val="16"/>
          <w:lang w:val="en-US"/>
        </w:rPr>
        <w:footnoteRef/>
      </w:r>
      <w:r w:rsidRPr="00316B86">
        <w:rPr>
          <w:szCs w:val="16"/>
          <w:lang w:val="en-US"/>
        </w:rPr>
        <w:t xml:space="preserve"> </w:t>
      </w:r>
      <w:r w:rsidRPr="00316B86">
        <w:rPr>
          <w:szCs w:val="16"/>
          <w:lang w:val="en-US"/>
        </w:rPr>
        <w:tab/>
      </w:r>
      <w:r w:rsidRPr="00316B86">
        <w:rPr>
          <w:i/>
          <w:szCs w:val="16"/>
          <w:lang w:val="en-US"/>
        </w:rPr>
        <w:t>Cf.</w:t>
      </w:r>
      <w:r w:rsidRPr="00316B86">
        <w:rPr>
          <w:b/>
          <w:bCs/>
          <w:i/>
          <w:szCs w:val="16"/>
          <w:lang w:val="en-US"/>
        </w:rPr>
        <w:t xml:space="preserve"> </w:t>
      </w:r>
      <w:r w:rsidRPr="00316B86">
        <w:rPr>
          <w:rStyle w:val="Textoennegrita"/>
          <w:b w:val="0"/>
          <w:bCs w:val="0"/>
          <w:i/>
          <w:color w:val="000000"/>
          <w:szCs w:val="16"/>
          <w:shd w:val="clear" w:color="auto" w:fill="FFFFFF"/>
          <w:lang w:val="en-US"/>
        </w:rPr>
        <w:t xml:space="preserve">Case of </w:t>
      </w:r>
      <w:proofErr w:type="spellStart"/>
      <w:r w:rsidRPr="00316B86">
        <w:rPr>
          <w:rStyle w:val="Textoennegrita"/>
          <w:b w:val="0"/>
          <w:bCs w:val="0"/>
          <w:i/>
          <w:color w:val="000000"/>
          <w:szCs w:val="16"/>
          <w:shd w:val="clear" w:color="auto" w:fill="FFFFFF"/>
          <w:lang w:val="en-US"/>
        </w:rPr>
        <w:t>Cuscul</w:t>
      </w:r>
      <w:proofErr w:type="spellEnd"/>
      <w:r w:rsidRPr="00316B86">
        <w:rPr>
          <w:rStyle w:val="Textoennegrita"/>
          <w:b w:val="0"/>
          <w:bCs w:val="0"/>
          <w:i/>
          <w:color w:val="000000"/>
          <w:szCs w:val="16"/>
          <w:shd w:val="clear" w:color="auto" w:fill="FFFFFF"/>
          <w:lang w:val="en-US"/>
        </w:rPr>
        <w:t xml:space="preserve"> </w:t>
      </w:r>
      <w:proofErr w:type="spellStart"/>
      <w:r w:rsidRPr="00316B86">
        <w:rPr>
          <w:rStyle w:val="Textoennegrita"/>
          <w:b w:val="0"/>
          <w:bCs w:val="0"/>
          <w:i/>
          <w:color w:val="000000"/>
          <w:szCs w:val="16"/>
          <w:shd w:val="clear" w:color="auto" w:fill="FFFFFF"/>
          <w:lang w:val="en-US"/>
        </w:rPr>
        <w:t>Pivaral</w:t>
      </w:r>
      <w:proofErr w:type="spellEnd"/>
      <w:r w:rsidRPr="00316B86">
        <w:rPr>
          <w:rStyle w:val="Textoennegrita"/>
          <w:b w:val="0"/>
          <w:bCs w:val="0"/>
          <w:i/>
          <w:color w:val="000000"/>
          <w:szCs w:val="16"/>
          <w:shd w:val="clear" w:color="auto" w:fill="FFFFFF"/>
          <w:lang w:val="en-US"/>
        </w:rPr>
        <w:t xml:space="preserve"> et al. v. Guatemala. Preliminary objection, merits, reparations and costs. </w:t>
      </w:r>
      <w:r w:rsidRPr="00316B86">
        <w:rPr>
          <w:rStyle w:val="Textoennegrita"/>
          <w:b w:val="0"/>
          <w:bCs w:val="0"/>
          <w:color w:val="000000"/>
          <w:szCs w:val="16"/>
          <w:shd w:val="clear" w:color="auto" w:fill="FFFFFF"/>
          <w:lang w:val="en-US"/>
        </w:rPr>
        <w:t>Judgment of August 23, 2018. Series C No. 359, paras. 75 to 97.</w:t>
      </w:r>
    </w:p>
  </w:footnote>
  <w:footnote w:id="371">
    <w:p w14:paraId="251C47F6" w14:textId="77777777" w:rsidR="00AF5CC6" w:rsidRPr="00316B86" w:rsidRDefault="00AF5CC6" w:rsidP="00C36F0E">
      <w:pPr>
        <w:pStyle w:val="Textonotapie"/>
        <w:rPr>
          <w:b/>
          <w:bCs/>
          <w:szCs w:val="16"/>
          <w:lang w:val="en-US"/>
        </w:rPr>
      </w:pPr>
      <w:r w:rsidRPr="00316B86">
        <w:rPr>
          <w:rStyle w:val="Refdenotaalpie"/>
          <w:szCs w:val="16"/>
          <w:lang w:val="en-US"/>
        </w:rPr>
        <w:footnoteRef/>
      </w:r>
      <w:r w:rsidRPr="00316B86">
        <w:rPr>
          <w:szCs w:val="16"/>
          <w:lang w:val="en-US"/>
        </w:rPr>
        <w:t xml:space="preserve"> </w:t>
      </w:r>
      <w:r w:rsidRPr="00316B86">
        <w:rPr>
          <w:szCs w:val="16"/>
          <w:lang w:val="en-US"/>
        </w:rPr>
        <w:tab/>
      </w:r>
      <w:r w:rsidRPr="00316B86">
        <w:rPr>
          <w:i/>
          <w:szCs w:val="16"/>
          <w:lang w:val="en-US"/>
        </w:rPr>
        <w:t>Cf.</w:t>
      </w:r>
      <w:r w:rsidRPr="00316B86">
        <w:rPr>
          <w:b/>
          <w:bCs/>
          <w:i/>
          <w:szCs w:val="16"/>
          <w:lang w:val="en-US"/>
        </w:rPr>
        <w:t xml:space="preserve"> </w:t>
      </w:r>
      <w:r w:rsidRPr="00316B86">
        <w:rPr>
          <w:rStyle w:val="Textoennegrita"/>
          <w:b w:val="0"/>
          <w:bCs w:val="0"/>
          <w:i/>
          <w:color w:val="000000"/>
          <w:szCs w:val="16"/>
          <w:shd w:val="clear" w:color="auto" w:fill="FFFFFF"/>
          <w:lang w:val="en-US"/>
        </w:rPr>
        <w:t xml:space="preserve">Case of </w:t>
      </w:r>
      <w:proofErr w:type="spellStart"/>
      <w:r w:rsidRPr="00316B86">
        <w:rPr>
          <w:rStyle w:val="Textoennegrita"/>
          <w:b w:val="0"/>
          <w:bCs w:val="0"/>
          <w:i/>
          <w:color w:val="000000"/>
          <w:szCs w:val="16"/>
          <w:shd w:val="clear" w:color="auto" w:fill="FFFFFF"/>
          <w:lang w:val="en-US"/>
        </w:rPr>
        <w:t>Cuscul</w:t>
      </w:r>
      <w:proofErr w:type="spellEnd"/>
      <w:r w:rsidRPr="00316B86">
        <w:rPr>
          <w:rStyle w:val="Textoennegrita"/>
          <w:b w:val="0"/>
          <w:bCs w:val="0"/>
          <w:i/>
          <w:color w:val="000000"/>
          <w:szCs w:val="16"/>
          <w:shd w:val="clear" w:color="auto" w:fill="FFFFFF"/>
          <w:lang w:val="en-US"/>
        </w:rPr>
        <w:t xml:space="preserve"> </w:t>
      </w:r>
      <w:proofErr w:type="spellStart"/>
      <w:r w:rsidRPr="00316B86">
        <w:rPr>
          <w:rStyle w:val="Textoennegrita"/>
          <w:b w:val="0"/>
          <w:bCs w:val="0"/>
          <w:i/>
          <w:color w:val="000000"/>
          <w:szCs w:val="16"/>
          <w:shd w:val="clear" w:color="auto" w:fill="FFFFFF"/>
          <w:lang w:val="en-US"/>
        </w:rPr>
        <w:t>Pivaral</w:t>
      </w:r>
      <w:proofErr w:type="spellEnd"/>
      <w:r w:rsidRPr="00316B86">
        <w:rPr>
          <w:rStyle w:val="Textoennegrita"/>
          <w:b w:val="0"/>
          <w:bCs w:val="0"/>
          <w:i/>
          <w:color w:val="000000"/>
          <w:szCs w:val="16"/>
          <w:shd w:val="clear" w:color="auto" w:fill="FFFFFF"/>
          <w:lang w:val="en-US"/>
        </w:rPr>
        <w:t xml:space="preserve"> et al. v. Guatemala. Preliminary objection, merits, reparations and costs. </w:t>
      </w:r>
      <w:r w:rsidRPr="00316B86">
        <w:rPr>
          <w:rStyle w:val="Textoennegrita"/>
          <w:b w:val="0"/>
          <w:bCs w:val="0"/>
          <w:color w:val="000000"/>
          <w:szCs w:val="16"/>
          <w:shd w:val="clear" w:color="auto" w:fill="FFFFFF"/>
          <w:lang w:val="en-US"/>
        </w:rPr>
        <w:t>Judgment of August 23, 2018. Series C No. 359</w:t>
      </w:r>
      <w:r w:rsidRPr="00316B86">
        <w:rPr>
          <w:b/>
          <w:bCs/>
          <w:i/>
          <w:szCs w:val="16"/>
          <w:lang w:val="en-US"/>
        </w:rPr>
        <w:t xml:space="preserve">, </w:t>
      </w:r>
      <w:r w:rsidRPr="00316B86">
        <w:rPr>
          <w:rStyle w:val="Textoennegrita"/>
          <w:b w:val="0"/>
          <w:bCs w:val="0"/>
          <w:color w:val="000000"/>
          <w:szCs w:val="16"/>
          <w:shd w:val="clear" w:color="auto" w:fill="FFFFFF"/>
          <w:lang w:val="en-US"/>
        </w:rPr>
        <w:t>paras. 98 to 107.</w:t>
      </w:r>
    </w:p>
  </w:footnote>
  <w:footnote w:id="372">
    <w:p w14:paraId="49016CED" w14:textId="77777777" w:rsidR="00AF5CC6" w:rsidRPr="00316B86" w:rsidRDefault="00AF5CC6" w:rsidP="00C36F0E">
      <w:pPr>
        <w:pStyle w:val="Textonotapie"/>
        <w:rPr>
          <w:b/>
          <w:bCs/>
          <w:szCs w:val="16"/>
          <w:lang w:val="en-US"/>
        </w:rPr>
      </w:pPr>
      <w:r w:rsidRPr="00316B86">
        <w:rPr>
          <w:rStyle w:val="Refdenotaalpie"/>
          <w:szCs w:val="16"/>
          <w:lang w:val="en-US"/>
        </w:rPr>
        <w:footnoteRef/>
      </w:r>
      <w:r w:rsidRPr="00316B86">
        <w:rPr>
          <w:szCs w:val="16"/>
          <w:lang w:val="en-US"/>
        </w:rPr>
        <w:t xml:space="preserve"> </w:t>
      </w:r>
      <w:r w:rsidRPr="00316B86">
        <w:rPr>
          <w:szCs w:val="16"/>
          <w:lang w:val="en-US"/>
        </w:rPr>
        <w:tab/>
      </w:r>
      <w:r w:rsidRPr="00316B86">
        <w:rPr>
          <w:i/>
          <w:szCs w:val="16"/>
          <w:lang w:val="en-US"/>
        </w:rPr>
        <w:t>Cf.</w:t>
      </w:r>
      <w:r w:rsidRPr="00316B86">
        <w:rPr>
          <w:b/>
          <w:bCs/>
          <w:i/>
          <w:szCs w:val="16"/>
          <w:lang w:val="en-US"/>
        </w:rPr>
        <w:t xml:space="preserve"> </w:t>
      </w:r>
      <w:r w:rsidRPr="00316B86">
        <w:rPr>
          <w:rStyle w:val="Textoennegrita"/>
          <w:b w:val="0"/>
          <w:bCs w:val="0"/>
          <w:i/>
          <w:color w:val="000000"/>
          <w:szCs w:val="16"/>
          <w:shd w:val="clear" w:color="auto" w:fill="FFFFFF"/>
          <w:lang w:val="en-US"/>
        </w:rPr>
        <w:t xml:space="preserve">Case of </w:t>
      </w:r>
      <w:proofErr w:type="spellStart"/>
      <w:r w:rsidRPr="00316B86">
        <w:rPr>
          <w:rStyle w:val="Textoennegrita"/>
          <w:b w:val="0"/>
          <w:bCs w:val="0"/>
          <w:i/>
          <w:color w:val="000000"/>
          <w:szCs w:val="16"/>
          <w:shd w:val="clear" w:color="auto" w:fill="FFFFFF"/>
          <w:lang w:val="en-US"/>
        </w:rPr>
        <w:t>Cuscul</w:t>
      </w:r>
      <w:proofErr w:type="spellEnd"/>
      <w:r w:rsidRPr="00316B86">
        <w:rPr>
          <w:rStyle w:val="Textoennegrita"/>
          <w:b w:val="0"/>
          <w:bCs w:val="0"/>
          <w:i/>
          <w:color w:val="000000"/>
          <w:szCs w:val="16"/>
          <w:shd w:val="clear" w:color="auto" w:fill="FFFFFF"/>
          <w:lang w:val="en-US"/>
        </w:rPr>
        <w:t xml:space="preserve"> </w:t>
      </w:r>
      <w:proofErr w:type="spellStart"/>
      <w:r w:rsidRPr="00316B86">
        <w:rPr>
          <w:rStyle w:val="Textoennegrita"/>
          <w:b w:val="0"/>
          <w:bCs w:val="0"/>
          <w:i/>
          <w:color w:val="000000"/>
          <w:szCs w:val="16"/>
          <w:shd w:val="clear" w:color="auto" w:fill="FFFFFF"/>
          <w:lang w:val="en-US"/>
        </w:rPr>
        <w:t>Pivaral</w:t>
      </w:r>
      <w:proofErr w:type="spellEnd"/>
      <w:r w:rsidRPr="00316B86">
        <w:rPr>
          <w:rStyle w:val="Textoennegrita"/>
          <w:b w:val="0"/>
          <w:bCs w:val="0"/>
          <w:i/>
          <w:color w:val="000000"/>
          <w:szCs w:val="16"/>
          <w:shd w:val="clear" w:color="auto" w:fill="FFFFFF"/>
          <w:lang w:val="en-US"/>
        </w:rPr>
        <w:t xml:space="preserve"> et al. v. Guatemala. Preliminary objection, merits, reparations and costs. </w:t>
      </w:r>
      <w:r w:rsidRPr="00316B86">
        <w:rPr>
          <w:rStyle w:val="Textoennegrita"/>
          <w:b w:val="0"/>
          <w:bCs w:val="0"/>
          <w:color w:val="000000"/>
          <w:szCs w:val="16"/>
          <w:shd w:val="clear" w:color="auto" w:fill="FFFFFF"/>
          <w:lang w:val="en-US"/>
        </w:rPr>
        <w:t>Judgment of August 23, 2018. Series C No. 359,</w:t>
      </w:r>
      <w:r w:rsidRPr="00316B86">
        <w:rPr>
          <w:b/>
          <w:bCs/>
          <w:i/>
          <w:szCs w:val="16"/>
          <w:lang w:val="en-US"/>
        </w:rPr>
        <w:t xml:space="preserve"> </w:t>
      </w:r>
      <w:r w:rsidRPr="00316B86">
        <w:rPr>
          <w:rStyle w:val="Textoennegrita"/>
          <w:b w:val="0"/>
          <w:bCs w:val="0"/>
          <w:color w:val="000000"/>
          <w:szCs w:val="16"/>
          <w:shd w:val="clear" w:color="auto" w:fill="FFFFFF"/>
          <w:lang w:val="en-US"/>
        </w:rPr>
        <w:t>paras. 42 to 45.</w:t>
      </w:r>
    </w:p>
  </w:footnote>
  <w:footnote w:id="373">
    <w:p w14:paraId="56BCA1A7" w14:textId="77777777" w:rsidR="00AF5CC6" w:rsidRPr="00316B86" w:rsidRDefault="00AF5CC6" w:rsidP="00C36F0E">
      <w:pPr>
        <w:pStyle w:val="Textonotapie"/>
        <w:rPr>
          <w:b/>
          <w:bCs/>
          <w:szCs w:val="16"/>
          <w:lang w:val="en-US"/>
        </w:rPr>
      </w:pPr>
      <w:r w:rsidRPr="00316B86">
        <w:rPr>
          <w:rStyle w:val="Refdenotaalpie"/>
          <w:szCs w:val="16"/>
          <w:lang w:val="en-US"/>
        </w:rPr>
        <w:footnoteRef/>
      </w:r>
      <w:r w:rsidRPr="00316B86">
        <w:rPr>
          <w:szCs w:val="16"/>
          <w:lang w:val="en-US"/>
        </w:rPr>
        <w:t xml:space="preserve"> </w:t>
      </w:r>
      <w:r w:rsidRPr="00316B86">
        <w:rPr>
          <w:szCs w:val="16"/>
          <w:lang w:val="en-US"/>
        </w:rPr>
        <w:tab/>
      </w:r>
      <w:r w:rsidRPr="00316B86">
        <w:rPr>
          <w:i/>
          <w:szCs w:val="16"/>
          <w:lang w:val="en-US"/>
        </w:rPr>
        <w:t>Cf.</w:t>
      </w:r>
      <w:r w:rsidRPr="00316B86">
        <w:rPr>
          <w:b/>
          <w:bCs/>
          <w:i/>
          <w:szCs w:val="16"/>
          <w:lang w:val="en-US"/>
        </w:rPr>
        <w:t xml:space="preserve"> </w:t>
      </w:r>
      <w:r w:rsidRPr="00316B86">
        <w:rPr>
          <w:rStyle w:val="Textoennegrita"/>
          <w:b w:val="0"/>
          <w:bCs w:val="0"/>
          <w:i/>
          <w:color w:val="000000"/>
          <w:szCs w:val="16"/>
          <w:shd w:val="clear" w:color="auto" w:fill="FFFFFF"/>
          <w:lang w:val="en-US"/>
        </w:rPr>
        <w:t xml:space="preserve">Case of Gonzales </w:t>
      </w:r>
      <w:proofErr w:type="spellStart"/>
      <w:r w:rsidRPr="00316B86">
        <w:rPr>
          <w:rStyle w:val="Textoennegrita"/>
          <w:b w:val="0"/>
          <w:bCs w:val="0"/>
          <w:i/>
          <w:color w:val="000000"/>
          <w:szCs w:val="16"/>
          <w:shd w:val="clear" w:color="auto" w:fill="FFFFFF"/>
          <w:lang w:val="en-US"/>
        </w:rPr>
        <w:t>Lluy</w:t>
      </w:r>
      <w:proofErr w:type="spellEnd"/>
      <w:r w:rsidRPr="00316B86">
        <w:rPr>
          <w:rStyle w:val="Textoennegrita"/>
          <w:b w:val="0"/>
          <w:bCs w:val="0"/>
          <w:i/>
          <w:color w:val="000000"/>
          <w:szCs w:val="16"/>
          <w:shd w:val="clear" w:color="auto" w:fill="FFFFFF"/>
          <w:lang w:val="en-US"/>
        </w:rPr>
        <w:t xml:space="preserve"> et al. v. Ecuador. Preliminary objections merits, reparations and costs.</w:t>
      </w:r>
      <w:r w:rsidRPr="00316B86">
        <w:rPr>
          <w:rStyle w:val="Textoennegrita"/>
          <w:b w:val="0"/>
          <w:bCs w:val="0"/>
          <w:color w:val="000000"/>
          <w:szCs w:val="16"/>
          <w:shd w:val="clear" w:color="auto" w:fill="FFFFFF"/>
          <w:lang w:val="en-US"/>
        </w:rPr>
        <w:t xml:space="preserve"> Judgment of September 1, 2015. Series C No. 298, paras. 197 to 205.</w:t>
      </w:r>
    </w:p>
  </w:footnote>
  <w:footnote w:id="374">
    <w:p w14:paraId="1D92708B" w14:textId="77777777" w:rsidR="00AF5CC6" w:rsidRPr="00316B86" w:rsidRDefault="00AF5CC6" w:rsidP="00C36F0E">
      <w:pPr>
        <w:pStyle w:val="Textonotapie"/>
        <w:rPr>
          <w:b/>
          <w:bCs/>
          <w:i/>
          <w:szCs w:val="16"/>
          <w:lang w:val="en-US"/>
        </w:rPr>
      </w:pPr>
      <w:r w:rsidRPr="00316B86">
        <w:rPr>
          <w:rStyle w:val="Refdenotaalpie"/>
          <w:szCs w:val="16"/>
          <w:lang w:val="en-US"/>
        </w:rPr>
        <w:footnoteRef/>
      </w:r>
      <w:r w:rsidRPr="00316B86">
        <w:rPr>
          <w:szCs w:val="16"/>
          <w:lang w:val="en-US"/>
        </w:rPr>
        <w:t xml:space="preserve"> </w:t>
      </w:r>
      <w:r w:rsidRPr="00316B86">
        <w:rPr>
          <w:szCs w:val="16"/>
          <w:lang w:val="en-US"/>
        </w:rPr>
        <w:tab/>
      </w:r>
      <w:r w:rsidRPr="00316B86">
        <w:rPr>
          <w:i/>
          <w:szCs w:val="16"/>
          <w:lang w:val="en-US"/>
        </w:rPr>
        <w:t>Cf.</w:t>
      </w:r>
      <w:r w:rsidRPr="00316B86">
        <w:rPr>
          <w:b/>
          <w:bCs/>
          <w:i/>
          <w:szCs w:val="16"/>
          <w:lang w:val="en-US"/>
        </w:rPr>
        <w:t xml:space="preserve"> </w:t>
      </w:r>
      <w:r w:rsidRPr="00316B86">
        <w:rPr>
          <w:rStyle w:val="Textoennegrita"/>
          <w:b w:val="0"/>
          <w:bCs w:val="0"/>
          <w:i/>
          <w:color w:val="000000"/>
          <w:szCs w:val="16"/>
          <w:shd w:val="clear" w:color="auto" w:fill="FFFFFF"/>
          <w:lang w:val="en-US"/>
        </w:rPr>
        <w:t>Case of Duque v. Colombia. Preliminary objections merits, reparations and costs.</w:t>
      </w:r>
      <w:r w:rsidRPr="00316B86">
        <w:rPr>
          <w:rStyle w:val="Textoennegrita"/>
          <w:b w:val="0"/>
          <w:bCs w:val="0"/>
          <w:color w:val="000000"/>
          <w:szCs w:val="16"/>
          <w:shd w:val="clear" w:color="auto" w:fill="FFFFFF"/>
          <w:lang w:val="en-US"/>
        </w:rPr>
        <w:t xml:space="preserve"> Judgment of February 26, 2016. Series C No. 310, paras. 177 to 192</w:t>
      </w:r>
      <w:r w:rsidRPr="00316B86">
        <w:rPr>
          <w:b/>
          <w:bCs/>
          <w:i/>
          <w:szCs w:val="16"/>
          <w:lang w:val="en-US"/>
        </w:rPr>
        <w:t xml:space="preserve">. </w:t>
      </w:r>
    </w:p>
  </w:footnote>
  <w:footnote w:id="375">
    <w:p w14:paraId="15F4350D" w14:textId="77777777" w:rsidR="00AF5CC6" w:rsidRPr="00316B86" w:rsidRDefault="00AF5CC6" w:rsidP="00C36F0E">
      <w:pPr>
        <w:pStyle w:val="Textonotapie"/>
        <w:rPr>
          <w:b/>
          <w:bCs/>
          <w:szCs w:val="16"/>
          <w:lang w:val="en-US"/>
        </w:rPr>
      </w:pPr>
      <w:r w:rsidRPr="00316B86">
        <w:rPr>
          <w:rStyle w:val="Refdenotaalpie"/>
          <w:szCs w:val="16"/>
          <w:lang w:val="en-US"/>
        </w:rPr>
        <w:footnoteRef/>
      </w:r>
      <w:r w:rsidRPr="00316B86">
        <w:rPr>
          <w:szCs w:val="16"/>
          <w:lang w:val="en-US"/>
        </w:rPr>
        <w:t xml:space="preserve"> </w:t>
      </w:r>
      <w:r w:rsidRPr="00316B86">
        <w:rPr>
          <w:szCs w:val="16"/>
          <w:lang w:val="en-US"/>
        </w:rPr>
        <w:tab/>
      </w:r>
      <w:r w:rsidRPr="00316B86">
        <w:rPr>
          <w:i/>
          <w:szCs w:val="16"/>
          <w:lang w:val="en-US"/>
        </w:rPr>
        <w:t>Cf.</w:t>
      </w:r>
      <w:r w:rsidRPr="00316B86">
        <w:rPr>
          <w:b/>
          <w:bCs/>
          <w:i/>
          <w:szCs w:val="16"/>
          <w:lang w:val="en-US"/>
        </w:rPr>
        <w:t xml:space="preserve"> </w:t>
      </w:r>
      <w:r w:rsidRPr="00316B86">
        <w:rPr>
          <w:rStyle w:val="Textoennegrita"/>
          <w:b w:val="0"/>
          <w:bCs w:val="0"/>
          <w:i/>
          <w:color w:val="000000"/>
          <w:szCs w:val="16"/>
          <w:shd w:val="clear" w:color="auto" w:fill="FFFFFF"/>
          <w:lang w:val="en-US"/>
        </w:rPr>
        <w:t xml:space="preserve">Case of </w:t>
      </w:r>
      <w:proofErr w:type="spellStart"/>
      <w:r w:rsidRPr="00316B86">
        <w:rPr>
          <w:rStyle w:val="Textoennegrita"/>
          <w:b w:val="0"/>
          <w:bCs w:val="0"/>
          <w:i/>
          <w:color w:val="000000"/>
          <w:szCs w:val="16"/>
          <w:shd w:val="clear" w:color="auto" w:fill="FFFFFF"/>
          <w:lang w:val="en-US"/>
        </w:rPr>
        <w:t>Cuscul</w:t>
      </w:r>
      <w:proofErr w:type="spellEnd"/>
      <w:r w:rsidRPr="00316B86">
        <w:rPr>
          <w:rStyle w:val="Textoennegrita"/>
          <w:b w:val="0"/>
          <w:bCs w:val="0"/>
          <w:i/>
          <w:color w:val="000000"/>
          <w:szCs w:val="16"/>
          <w:shd w:val="clear" w:color="auto" w:fill="FFFFFF"/>
          <w:lang w:val="en-US"/>
        </w:rPr>
        <w:t xml:space="preserve"> </w:t>
      </w:r>
      <w:proofErr w:type="spellStart"/>
      <w:r w:rsidRPr="00316B86">
        <w:rPr>
          <w:rStyle w:val="Textoennegrita"/>
          <w:b w:val="0"/>
          <w:bCs w:val="0"/>
          <w:i/>
          <w:color w:val="000000"/>
          <w:szCs w:val="16"/>
          <w:shd w:val="clear" w:color="auto" w:fill="FFFFFF"/>
          <w:lang w:val="en-US"/>
        </w:rPr>
        <w:t>Pivaral</w:t>
      </w:r>
      <w:proofErr w:type="spellEnd"/>
      <w:r w:rsidRPr="00316B86">
        <w:rPr>
          <w:rStyle w:val="Textoennegrita"/>
          <w:b w:val="0"/>
          <w:bCs w:val="0"/>
          <w:i/>
          <w:color w:val="000000"/>
          <w:szCs w:val="16"/>
          <w:shd w:val="clear" w:color="auto" w:fill="FFFFFF"/>
          <w:lang w:val="en-US"/>
        </w:rPr>
        <w:t xml:space="preserve"> et al. v. Guatemala. Preliminary objection, merits, reparations and costs. </w:t>
      </w:r>
      <w:r w:rsidRPr="00316B86">
        <w:rPr>
          <w:rStyle w:val="Textoennegrita"/>
          <w:b w:val="0"/>
          <w:bCs w:val="0"/>
          <w:color w:val="000000"/>
          <w:szCs w:val="16"/>
          <w:shd w:val="clear" w:color="auto" w:fill="FFFFFF"/>
          <w:lang w:val="en-US"/>
        </w:rPr>
        <w:t>Judgment of August 23, 2018. Series C No. 359</w:t>
      </w:r>
      <w:r w:rsidRPr="00316B86">
        <w:rPr>
          <w:b/>
          <w:bCs/>
          <w:i/>
          <w:szCs w:val="16"/>
          <w:lang w:val="en-US"/>
        </w:rPr>
        <w:t xml:space="preserve">, </w:t>
      </w:r>
      <w:r w:rsidRPr="00316B86">
        <w:rPr>
          <w:rStyle w:val="Textoennegrita"/>
          <w:b w:val="0"/>
          <w:bCs w:val="0"/>
          <w:color w:val="000000"/>
          <w:szCs w:val="16"/>
          <w:shd w:val="clear" w:color="auto" w:fill="FFFFFF"/>
          <w:lang w:val="en-US"/>
        </w:rPr>
        <w:t>paras. 128 to 139.</w:t>
      </w:r>
    </w:p>
  </w:footnote>
  <w:footnote w:id="376">
    <w:p w14:paraId="54A4022C" w14:textId="77777777" w:rsidR="00AF5CC6" w:rsidRPr="00316B86" w:rsidRDefault="00AF5CC6" w:rsidP="00C36F0E">
      <w:pPr>
        <w:pStyle w:val="Textonotapie"/>
        <w:rPr>
          <w:b/>
          <w:bCs/>
          <w:szCs w:val="16"/>
          <w:lang w:val="en-US"/>
        </w:rPr>
      </w:pPr>
      <w:r w:rsidRPr="00316B86">
        <w:rPr>
          <w:rStyle w:val="Refdenotaalpie"/>
          <w:szCs w:val="16"/>
          <w:lang w:val="en-US"/>
        </w:rPr>
        <w:footnoteRef/>
      </w:r>
      <w:r w:rsidRPr="00316B86">
        <w:rPr>
          <w:szCs w:val="16"/>
          <w:lang w:val="en-US"/>
        </w:rPr>
        <w:t xml:space="preserve"> </w:t>
      </w:r>
      <w:r w:rsidRPr="00316B86">
        <w:rPr>
          <w:szCs w:val="16"/>
          <w:lang w:val="en-US"/>
        </w:rPr>
        <w:tab/>
      </w:r>
      <w:r w:rsidRPr="00316B86">
        <w:rPr>
          <w:i/>
          <w:szCs w:val="16"/>
          <w:lang w:val="en-US"/>
        </w:rPr>
        <w:t>Cf.</w:t>
      </w:r>
      <w:r w:rsidRPr="00316B86">
        <w:rPr>
          <w:b/>
          <w:bCs/>
          <w:i/>
          <w:szCs w:val="16"/>
          <w:lang w:val="en-US"/>
        </w:rPr>
        <w:t xml:space="preserve"> </w:t>
      </w:r>
      <w:r w:rsidRPr="00316B86">
        <w:rPr>
          <w:rStyle w:val="Textoennegrita"/>
          <w:b w:val="0"/>
          <w:bCs w:val="0"/>
          <w:i/>
          <w:color w:val="000000"/>
          <w:szCs w:val="16"/>
          <w:shd w:val="clear" w:color="auto" w:fill="FFFFFF"/>
          <w:lang w:val="en-US"/>
        </w:rPr>
        <w:t xml:space="preserve">Case of </w:t>
      </w:r>
      <w:proofErr w:type="spellStart"/>
      <w:r w:rsidRPr="00316B86">
        <w:rPr>
          <w:rStyle w:val="Textoennegrita"/>
          <w:b w:val="0"/>
          <w:bCs w:val="0"/>
          <w:i/>
          <w:color w:val="000000"/>
          <w:szCs w:val="16"/>
          <w:shd w:val="clear" w:color="auto" w:fill="FFFFFF"/>
          <w:lang w:val="en-US"/>
        </w:rPr>
        <w:t>Cuscul</w:t>
      </w:r>
      <w:proofErr w:type="spellEnd"/>
      <w:r w:rsidRPr="00316B86">
        <w:rPr>
          <w:rStyle w:val="Textoennegrita"/>
          <w:b w:val="0"/>
          <w:bCs w:val="0"/>
          <w:i/>
          <w:color w:val="000000"/>
          <w:szCs w:val="16"/>
          <w:shd w:val="clear" w:color="auto" w:fill="FFFFFF"/>
          <w:lang w:val="en-US"/>
        </w:rPr>
        <w:t xml:space="preserve"> </w:t>
      </w:r>
      <w:proofErr w:type="spellStart"/>
      <w:r w:rsidRPr="00316B86">
        <w:rPr>
          <w:rStyle w:val="Textoennegrita"/>
          <w:b w:val="0"/>
          <w:bCs w:val="0"/>
          <w:i/>
          <w:color w:val="000000"/>
          <w:szCs w:val="16"/>
          <w:shd w:val="clear" w:color="auto" w:fill="FFFFFF"/>
          <w:lang w:val="en-US"/>
        </w:rPr>
        <w:t>Pivaral</w:t>
      </w:r>
      <w:proofErr w:type="spellEnd"/>
      <w:r w:rsidRPr="00316B86">
        <w:rPr>
          <w:rStyle w:val="Textoennegrita"/>
          <w:b w:val="0"/>
          <w:bCs w:val="0"/>
          <w:i/>
          <w:color w:val="000000"/>
          <w:szCs w:val="16"/>
          <w:shd w:val="clear" w:color="auto" w:fill="FFFFFF"/>
          <w:lang w:val="en-US"/>
        </w:rPr>
        <w:t xml:space="preserve"> et al. v. Guatemala. Preliminary objection, merits, reparations and costs. </w:t>
      </w:r>
      <w:r w:rsidRPr="00316B86">
        <w:rPr>
          <w:rStyle w:val="Textoennegrita"/>
          <w:b w:val="0"/>
          <w:bCs w:val="0"/>
          <w:color w:val="000000"/>
          <w:szCs w:val="16"/>
          <w:shd w:val="clear" w:color="auto" w:fill="FFFFFF"/>
          <w:lang w:val="en-US"/>
        </w:rPr>
        <w:t>Judgment of August 23, 2018. Series C No. 359</w:t>
      </w:r>
      <w:r w:rsidRPr="00316B86">
        <w:rPr>
          <w:b/>
          <w:bCs/>
          <w:i/>
          <w:szCs w:val="16"/>
          <w:lang w:val="en-US"/>
        </w:rPr>
        <w:t xml:space="preserve">, </w:t>
      </w:r>
      <w:r w:rsidRPr="00316B86">
        <w:rPr>
          <w:rStyle w:val="Textoennegrita"/>
          <w:b w:val="0"/>
          <w:bCs w:val="0"/>
          <w:color w:val="000000"/>
          <w:szCs w:val="16"/>
          <w:shd w:val="clear" w:color="auto" w:fill="FFFFFF"/>
          <w:lang w:val="en-US"/>
        </w:rPr>
        <w:t>paras. 140 to 148.</w:t>
      </w:r>
    </w:p>
  </w:footnote>
  <w:footnote w:id="377">
    <w:p w14:paraId="32F432A5" w14:textId="77777777" w:rsidR="00AF5CC6" w:rsidRPr="00246DE1" w:rsidRDefault="00AF5CC6" w:rsidP="00C36F0E">
      <w:pPr>
        <w:pStyle w:val="Textonotapie"/>
        <w:rPr>
          <w:szCs w:val="16"/>
          <w:lang w:val="en-US"/>
        </w:rPr>
      </w:pPr>
      <w:r w:rsidRPr="00316B86">
        <w:rPr>
          <w:rStyle w:val="Refdenotaalpie"/>
          <w:szCs w:val="16"/>
          <w:lang w:val="en-US"/>
        </w:rPr>
        <w:footnoteRef/>
      </w:r>
      <w:r w:rsidRPr="00316B86">
        <w:rPr>
          <w:szCs w:val="16"/>
          <w:lang w:val="en-US"/>
        </w:rPr>
        <w:t xml:space="preserve"> </w:t>
      </w:r>
      <w:r w:rsidRPr="00316B86">
        <w:rPr>
          <w:szCs w:val="16"/>
          <w:lang w:val="en-US"/>
        </w:rPr>
        <w:tab/>
      </w:r>
      <w:r w:rsidRPr="00316B86">
        <w:rPr>
          <w:i/>
          <w:szCs w:val="16"/>
          <w:lang w:val="en-US"/>
        </w:rPr>
        <w:t>Cf.</w:t>
      </w:r>
      <w:r w:rsidRPr="00316B86">
        <w:rPr>
          <w:b/>
          <w:bCs/>
          <w:i/>
          <w:szCs w:val="16"/>
          <w:lang w:val="en-US"/>
        </w:rPr>
        <w:t xml:space="preserve"> </w:t>
      </w:r>
      <w:r w:rsidRPr="00316B86">
        <w:rPr>
          <w:rStyle w:val="Textoennegrita"/>
          <w:b w:val="0"/>
          <w:bCs w:val="0"/>
          <w:i/>
          <w:color w:val="000000"/>
          <w:szCs w:val="16"/>
          <w:shd w:val="clear" w:color="auto" w:fill="FFFFFF"/>
          <w:lang w:val="en-US"/>
        </w:rPr>
        <w:t xml:space="preserve">Case of </w:t>
      </w:r>
      <w:proofErr w:type="spellStart"/>
      <w:r w:rsidRPr="00316B86">
        <w:rPr>
          <w:rStyle w:val="Textoennegrita"/>
          <w:b w:val="0"/>
          <w:bCs w:val="0"/>
          <w:i/>
          <w:color w:val="000000"/>
          <w:szCs w:val="16"/>
          <w:shd w:val="clear" w:color="auto" w:fill="FFFFFF"/>
          <w:lang w:val="en-US"/>
        </w:rPr>
        <w:t>Cuscul</w:t>
      </w:r>
      <w:proofErr w:type="spellEnd"/>
      <w:r w:rsidRPr="00316B86">
        <w:rPr>
          <w:rStyle w:val="Textoennegrita"/>
          <w:b w:val="0"/>
          <w:bCs w:val="0"/>
          <w:i/>
          <w:color w:val="000000"/>
          <w:szCs w:val="16"/>
          <w:shd w:val="clear" w:color="auto" w:fill="FFFFFF"/>
          <w:lang w:val="en-US"/>
        </w:rPr>
        <w:t xml:space="preserve"> </w:t>
      </w:r>
      <w:proofErr w:type="spellStart"/>
      <w:r w:rsidRPr="00316B86">
        <w:rPr>
          <w:rStyle w:val="Textoennegrita"/>
          <w:b w:val="0"/>
          <w:bCs w:val="0"/>
          <w:i/>
          <w:color w:val="000000"/>
          <w:szCs w:val="16"/>
          <w:shd w:val="clear" w:color="auto" w:fill="FFFFFF"/>
          <w:lang w:val="en-US"/>
        </w:rPr>
        <w:t>Pivaral</w:t>
      </w:r>
      <w:proofErr w:type="spellEnd"/>
      <w:r w:rsidRPr="00316B86">
        <w:rPr>
          <w:rStyle w:val="Textoennegrita"/>
          <w:b w:val="0"/>
          <w:bCs w:val="0"/>
          <w:i/>
          <w:color w:val="000000"/>
          <w:szCs w:val="16"/>
          <w:shd w:val="clear" w:color="auto" w:fill="FFFFFF"/>
          <w:lang w:val="en-US"/>
        </w:rPr>
        <w:t xml:space="preserve"> et al. v. Guatemala. Preliminary objection, merits, reparations and costs. </w:t>
      </w:r>
      <w:r w:rsidRPr="00316B86">
        <w:rPr>
          <w:rStyle w:val="Textoennegrita"/>
          <w:b w:val="0"/>
          <w:bCs w:val="0"/>
          <w:color w:val="000000"/>
          <w:szCs w:val="16"/>
          <w:shd w:val="clear" w:color="auto" w:fill="FFFFFF"/>
          <w:lang w:val="en-US"/>
        </w:rPr>
        <w:t>Judgment of August 23, 2018. Series C No. 359</w:t>
      </w:r>
      <w:r w:rsidRPr="00316B86">
        <w:rPr>
          <w:b/>
          <w:bCs/>
          <w:i/>
          <w:szCs w:val="16"/>
          <w:lang w:val="en-US"/>
        </w:rPr>
        <w:t xml:space="preserve">, </w:t>
      </w:r>
      <w:r w:rsidRPr="00316B86">
        <w:rPr>
          <w:rStyle w:val="Textoennegrita"/>
          <w:b w:val="0"/>
          <w:bCs w:val="0"/>
          <w:color w:val="000000"/>
          <w:szCs w:val="16"/>
          <w:shd w:val="clear" w:color="auto" w:fill="FFFFFF"/>
          <w:lang w:val="en-US"/>
        </w:rPr>
        <w:t>paras. 198 to 213 and 224 to 230.</w:t>
      </w:r>
    </w:p>
  </w:footnote>
  <w:footnote w:id="378">
    <w:p w14:paraId="5D47A38E" w14:textId="77777777" w:rsidR="00AF5CC6" w:rsidRPr="00316B86" w:rsidRDefault="00AF5CC6" w:rsidP="00C36F0E">
      <w:pPr>
        <w:pStyle w:val="Textonotapie"/>
        <w:rPr>
          <w:b/>
          <w:bCs/>
          <w:color w:val="000000"/>
          <w:szCs w:val="16"/>
          <w:shd w:val="clear" w:color="auto" w:fill="FFFFFF"/>
          <w:lang w:val="en-US"/>
        </w:rPr>
      </w:pPr>
      <w:r w:rsidRPr="00246DE1">
        <w:rPr>
          <w:rStyle w:val="Refdenotaalpie"/>
          <w:szCs w:val="16"/>
          <w:lang w:val="en-US"/>
        </w:rPr>
        <w:footnoteRef/>
      </w:r>
      <w:r w:rsidRPr="00246DE1">
        <w:rPr>
          <w:szCs w:val="16"/>
          <w:lang w:val="en-US"/>
        </w:rPr>
        <w:t xml:space="preserve"> </w:t>
      </w:r>
      <w:r w:rsidRPr="00246DE1">
        <w:rPr>
          <w:b/>
          <w:szCs w:val="16"/>
          <w:lang w:val="en-US"/>
        </w:rPr>
        <w:tab/>
      </w:r>
      <w:r w:rsidRPr="00316B86">
        <w:rPr>
          <w:szCs w:val="16"/>
          <w:lang w:val="en-US"/>
        </w:rPr>
        <w:t xml:space="preserve">See the opinions I have issued on this matter in relation to the following judgments: </w:t>
      </w:r>
      <w:r w:rsidRPr="00316B86">
        <w:rPr>
          <w:rStyle w:val="Textoennegrita"/>
          <w:i/>
          <w:color w:val="000000"/>
          <w:szCs w:val="16"/>
          <w:shd w:val="clear" w:color="auto" w:fill="FFFFFF"/>
          <w:lang w:val="en-US"/>
        </w:rPr>
        <w:t>Case</w:t>
      </w:r>
      <w:r w:rsidRPr="00316B86">
        <w:rPr>
          <w:rStyle w:val="Textoennegrita"/>
          <w:b w:val="0"/>
          <w:bCs w:val="0"/>
          <w:i/>
          <w:color w:val="000000"/>
          <w:szCs w:val="16"/>
          <w:shd w:val="clear" w:color="auto" w:fill="FFFFFF"/>
          <w:lang w:val="en-US"/>
        </w:rPr>
        <w:t xml:space="preserve"> of Suárez Peralta v. Ecuador. Preliminary objections merits, reparations and costs.</w:t>
      </w:r>
      <w:r w:rsidRPr="00316B86">
        <w:rPr>
          <w:rStyle w:val="Textoennegrita"/>
          <w:b w:val="0"/>
          <w:bCs w:val="0"/>
          <w:color w:val="000000"/>
          <w:szCs w:val="16"/>
          <w:shd w:val="clear" w:color="auto" w:fill="FFFFFF"/>
          <w:lang w:val="en-US"/>
        </w:rPr>
        <w:t xml:space="preserve"> Judgment of May 21, 2013. Series C No. 261; </w:t>
      </w:r>
      <w:r w:rsidRPr="00316B86">
        <w:rPr>
          <w:rStyle w:val="Textoennegrita"/>
          <w:b w:val="0"/>
          <w:bCs w:val="0"/>
          <w:i/>
          <w:color w:val="000000"/>
          <w:szCs w:val="16"/>
          <w:shd w:val="clear" w:color="auto" w:fill="FFFFFF"/>
          <w:lang w:val="en-US"/>
        </w:rPr>
        <w:t xml:space="preserve">Case of Canales </w:t>
      </w:r>
      <w:proofErr w:type="spellStart"/>
      <w:r w:rsidRPr="00316B86">
        <w:rPr>
          <w:rStyle w:val="Textoennegrita"/>
          <w:b w:val="0"/>
          <w:bCs w:val="0"/>
          <w:i/>
          <w:color w:val="000000"/>
          <w:szCs w:val="16"/>
          <w:shd w:val="clear" w:color="auto" w:fill="FFFFFF"/>
          <w:lang w:val="en-US"/>
        </w:rPr>
        <w:t>Huapaya</w:t>
      </w:r>
      <w:proofErr w:type="spellEnd"/>
      <w:r w:rsidRPr="00316B86">
        <w:rPr>
          <w:rStyle w:val="Textoennegrita"/>
          <w:b w:val="0"/>
          <w:bCs w:val="0"/>
          <w:i/>
          <w:color w:val="000000"/>
          <w:szCs w:val="16"/>
          <w:shd w:val="clear" w:color="auto" w:fill="FFFFFF"/>
          <w:lang w:val="en-US"/>
        </w:rPr>
        <w:t xml:space="preserve"> et al. v. Peru. Preliminary objections merits, reparations and costs</w:t>
      </w:r>
      <w:r w:rsidRPr="00316B86">
        <w:rPr>
          <w:rStyle w:val="Textoennegrita"/>
          <w:b w:val="0"/>
          <w:bCs w:val="0"/>
          <w:color w:val="000000"/>
          <w:szCs w:val="16"/>
          <w:shd w:val="clear" w:color="auto" w:fill="FFFFFF"/>
          <w:lang w:val="en-US"/>
        </w:rPr>
        <w:t xml:space="preserve">. Judgment of June 24, 2015. Series C No. 296; </w:t>
      </w:r>
      <w:r w:rsidRPr="00316B86">
        <w:rPr>
          <w:rStyle w:val="Textoennegrita"/>
          <w:b w:val="0"/>
          <w:bCs w:val="0"/>
          <w:i/>
          <w:color w:val="000000"/>
          <w:szCs w:val="16"/>
          <w:shd w:val="clear" w:color="auto" w:fill="FFFFFF"/>
          <w:lang w:val="en-US"/>
        </w:rPr>
        <w:t xml:space="preserve">Case of Gonzales </w:t>
      </w:r>
      <w:proofErr w:type="spellStart"/>
      <w:r w:rsidRPr="00316B86">
        <w:rPr>
          <w:rStyle w:val="Textoennegrita"/>
          <w:b w:val="0"/>
          <w:bCs w:val="0"/>
          <w:i/>
          <w:color w:val="000000"/>
          <w:szCs w:val="16"/>
          <w:shd w:val="clear" w:color="auto" w:fill="FFFFFF"/>
          <w:lang w:val="en-US"/>
        </w:rPr>
        <w:t>Lluy</w:t>
      </w:r>
      <w:proofErr w:type="spellEnd"/>
      <w:r w:rsidRPr="00316B86">
        <w:rPr>
          <w:rStyle w:val="Textoennegrita"/>
          <w:b w:val="0"/>
          <w:bCs w:val="0"/>
          <w:i/>
          <w:color w:val="000000"/>
          <w:szCs w:val="16"/>
          <w:shd w:val="clear" w:color="auto" w:fill="FFFFFF"/>
          <w:lang w:val="en-US"/>
        </w:rPr>
        <w:t xml:space="preserve"> et al. v. Ecuador. Preliminary objections merits, reparations and costs</w:t>
      </w:r>
      <w:r w:rsidRPr="00316B86">
        <w:rPr>
          <w:rStyle w:val="Textoennegrita"/>
          <w:b w:val="0"/>
          <w:bCs w:val="0"/>
          <w:color w:val="000000"/>
          <w:szCs w:val="16"/>
          <w:shd w:val="clear" w:color="auto" w:fill="FFFFFF"/>
          <w:lang w:val="en-US"/>
        </w:rPr>
        <w:t xml:space="preserve">. Judgment of September 1, 2015. Series C No. 298; </w:t>
      </w:r>
      <w:r w:rsidRPr="00316B86">
        <w:rPr>
          <w:rStyle w:val="Textoennegrita"/>
          <w:b w:val="0"/>
          <w:bCs w:val="0"/>
          <w:i/>
          <w:color w:val="000000"/>
          <w:szCs w:val="16"/>
          <w:shd w:val="clear" w:color="auto" w:fill="FFFFFF"/>
          <w:lang w:val="en-US"/>
        </w:rPr>
        <w:t>Case of Chinchilla Sandoval et al. v. Guatemala. Preliminary objection, merits, reparations and costs</w:t>
      </w:r>
      <w:r w:rsidRPr="00316B86">
        <w:rPr>
          <w:rStyle w:val="Textoennegrita"/>
          <w:b w:val="0"/>
          <w:bCs w:val="0"/>
          <w:color w:val="000000"/>
          <w:szCs w:val="16"/>
          <w:shd w:val="clear" w:color="auto" w:fill="FFFFFF"/>
          <w:lang w:val="en-US"/>
        </w:rPr>
        <w:t xml:space="preserve">. Judgment of February 29, 2016. Series C No. 312; </w:t>
      </w:r>
      <w:r w:rsidRPr="00316B86">
        <w:rPr>
          <w:rStyle w:val="Textoennegrita"/>
          <w:b w:val="0"/>
          <w:bCs w:val="0"/>
          <w:i/>
          <w:color w:val="000000"/>
          <w:szCs w:val="16"/>
          <w:shd w:val="clear" w:color="auto" w:fill="FFFFFF"/>
          <w:lang w:val="en-US"/>
        </w:rPr>
        <w:t>Case of I.V. v. Bolivia. Preliminary objections merits, reparations and costs</w:t>
      </w:r>
      <w:r w:rsidRPr="00316B86">
        <w:rPr>
          <w:rStyle w:val="Textoennegrita"/>
          <w:b w:val="0"/>
          <w:bCs w:val="0"/>
          <w:color w:val="000000"/>
          <w:szCs w:val="16"/>
          <w:shd w:val="clear" w:color="auto" w:fill="FFFFFF"/>
          <w:lang w:val="en-US"/>
        </w:rPr>
        <w:t xml:space="preserve">. Judgment of November 30, 2016. Series C No. 329; </w:t>
      </w:r>
      <w:r w:rsidRPr="00316B86">
        <w:rPr>
          <w:rStyle w:val="Textoennegrita"/>
          <w:b w:val="0"/>
          <w:bCs w:val="0"/>
          <w:i/>
          <w:color w:val="000000"/>
          <w:szCs w:val="16"/>
          <w:shd w:val="clear" w:color="auto" w:fill="FFFFFF"/>
          <w:lang w:val="en-US"/>
        </w:rPr>
        <w:t xml:space="preserve">Case of </w:t>
      </w:r>
      <w:proofErr w:type="spellStart"/>
      <w:r w:rsidRPr="00316B86">
        <w:rPr>
          <w:rStyle w:val="Textoennegrita"/>
          <w:b w:val="0"/>
          <w:bCs w:val="0"/>
          <w:i/>
          <w:color w:val="000000"/>
          <w:szCs w:val="16"/>
          <w:shd w:val="clear" w:color="auto" w:fill="FFFFFF"/>
          <w:lang w:val="en-US"/>
        </w:rPr>
        <w:t>Yarce</w:t>
      </w:r>
      <w:proofErr w:type="spellEnd"/>
      <w:r w:rsidRPr="00316B86">
        <w:rPr>
          <w:rStyle w:val="Textoennegrita"/>
          <w:b w:val="0"/>
          <w:bCs w:val="0"/>
          <w:i/>
          <w:color w:val="000000"/>
          <w:szCs w:val="16"/>
          <w:shd w:val="clear" w:color="auto" w:fill="FFFFFF"/>
          <w:lang w:val="en-US"/>
        </w:rPr>
        <w:t xml:space="preserve"> et al. v. Colombia. Preliminary objection, merits, reparations and costs.</w:t>
      </w:r>
      <w:r w:rsidRPr="00316B86">
        <w:rPr>
          <w:rStyle w:val="Textoennegrita"/>
          <w:b w:val="0"/>
          <w:bCs w:val="0"/>
          <w:color w:val="000000"/>
          <w:szCs w:val="16"/>
          <w:shd w:val="clear" w:color="auto" w:fill="FFFFFF"/>
          <w:lang w:val="en-US"/>
        </w:rPr>
        <w:t xml:space="preserve"> Judgment of November 22, 2016. Series C No. 325; </w:t>
      </w:r>
      <w:r w:rsidRPr="00316B86">
        <w:rPr>
          <w:rStyle w:val="Textoennegrita"/>
          <w:b w:val="0"/>
          <w:bCs w:val="0"/>
          <w:i/>
          <w:color w:val="000000"/>
          <w:szCs w:val="16"/>
          <w:shd w:val="clear" w:color="auto" w:fill="FFFFFF"/>
          <w:lang w:val="en-US"/>
        </w:rPr>
        <w:t>Case of Lagos del Campo v. Peru. Preliminary objections merits, reparations and costs.</w:t>
      </w:r>
      <w:r w:rsidRPr="00316B86">
        <w:rPr>
          <w:rStyle w:val="Textoennegrita"/>
          <w:b w:val="0"/>
          <w:bCs w:val="0"/>
          <w:color w:val="000000"/>
          <w:szCs w:val="16"/>
          <w:shd w:val="clear" w:color="auto" w:fill="FFFFFF"/>
          <w:lang w:val="en-US"/>
        </w:rPr>
        <w:t xml:space="preserve"> Judgment of August 31, 2017. Series C No. 340; </w:t>
      </w:r>
      <w:r w:rsidRPr="00316B86">
        <w:rPr>
          <w:rStyle w:val="Textoennegrita"/>
          <w:b w:val="0"/>
          <w:bCs w:val="0"/>
          <w:i/>
          <w:color w:val="000000"/>
          <w:szCs w:val="16"/>
          <w:shd w:val="clear" w:color="auto" w:fill="FFFFFF"/>
          <w:lang w:val="en-US"/>
        </w:rPr>
        <w:t xml:space="preserve">Case of </w:t>
      </w:r>
      <w:proofErr w:type="spellStart"/>
      <w:r w:rsidRPr="00316B86">
        <w:rPr>
          <w:rStyle w:val="Textoennegrita"/>
          <w:b w:val="0"/>
          <w:bCs w:val="0"/>
          <w:i/>
          <w:color w:val="000000"/>
          <w:szCs w:val="16"/>
          <w:shd w:val="clear" w:color="auto" w:fill="FFFFFF"/>
          <w:lang w:val="en-US"/>
        </w:rPr>
        <w:t>Vereda</w:t>
      </w:r>
      <w:proofErr w:type="spellEnd"/>
      <w:r w:rsidRPr="00316B86">
        <w:rPr>
          <w:rStyle w:val="Textoennegrita"/>
          <w:b w:val="0"/>
          <w:bCs w:val="0"/>
          <w:i/>
          <w:color w:val="000000"/>
          <w:szCs w:val="16"/>
          <w:shd w:val="clear" w:color="auto" w:fill="FFFFFF"/>
          <w:lang w:val="en-US"/>
        </w:rPr>
        <w:t xml:space="preserve"> La Esperanza v. Colombia. Preliminary objections merits, reparations and costs</w:t>
      </w:r>
      <w:r w:rsidRPr="00316B86">
        <w:rPr>
          <w:rStyle w:val="Textoennegrita"/>
          <w:b w:val="0"/>
          <w:bCs w:val="0"/>
          <w:color w:val="000000"/>
          <w:szCs w:val="16"/>
          <w:shd w:val="clear" w:color="auto" w:fill="FFFFFF"/>
          <w:lang w:val="en-US"/>
        </w:rPr>
        <w:t xml:space="preserve">. Judgment of August 31, 2017. Series C No. 341, and </w:t>
      </w:r>
      <w:r w:rsidRPr="00316B86">
        <w:rPr>
          <w:rStyle w:val="Textoennegrita"/>
          <w:b w:val="0"/>
          <w:bCs w:val="0"/>
          <w:i/>
          <w:color w:val="000000"/>
          <w:szCs w:val="16"/>
          <w:shd w:val="clear" w:color="auto" w:fill="FFFFFF"/>
          <w:lang w:val="en-US"/>
        </w:rPr>
        <w:t>Case of San Miguel Sosa et al. v. Venezuela. Merits, reparations and costs</w:t>
      </w:r>
      <w:r w:rsidRPr="00316B86">
        <w:rPr>
          <w:rStyle w:val="Textoennegrita"/>
          <w:b w:val="0"/>
          <w:bCs w:val="0"/>
          <w:color w:val="000000"/>
          <w:szCs w:val="16"/>
          <w:shd w:val="clear" w:color="auto" w:fill="FFFFFF"/>
          <w:lang w:val="en-US"/>
        </w:rPr>
        <w:t>. Judgment of February 8, 2018. Series C No. 348.</w:t>
      </w:r>
    </w:p>
  </w:footnote>
  <w:footnote w:id="379">
    <w:p w14:paraId="205A6098" w14:textId="77777777" w:rsidR="00AF5CC6" w:rsidRPr="00316B86" w:rsidRDefault="00AF5CC6" w:rsidP="00C36F0E">
      <w:pPr>
        <w:pStyle w:val="Textonotapie"/>
        <w:rPr>
          <w:b/>
          <w:bCs/>
          <w:szCs w:val="16"/>
          <w:lang w:val="en-US"/>
        </w:rPr>
      </w:pPr>
      <w:r w:rsidRPr="00316B86">
        <w:rPr>
          <w:rStyle w:val="Refdenotaalpie"/>
          <w:szCs w:val="16"/>
          <w:lang w:val="en-US"/>
        </w:rPr>
        <w:footnoteRef/>
      </w:r>
      <w:r w:rsidRPr="00316B86">
        <w:rPr>
          <w:szCs w:val="16"/>
          <w:lang w:val="en-US"/>
        </w:rPr>
        <w:t xml:space="preserve"> </w:t>
      </w:r>
      <w:r w:rsidRPr="00316B86">
        <w:rPr>
          <w:szCs w:val="16"/>
          <w:lang w:val="en-US"/>
        </w:rPr>
        <w:tab/>
      </w:r>
      <w:r w:rsidRPr="00316B86">
        <w:rPr>
          <w:i/>
          <w:szCs w:val="16"/>
          <w:lang w:val="en-US"/>
        </w:rPr>
        <w:t>Cf.</w:t>
      </w:r>
      <w:r w:rsidRPr="00316B86">
        <w:rPr>
          <w:b/>
          <w:bCs/>
          <w:i/>
          <w:szCs w:val="16"/>
          <w:lang w:val="en-US"/>
        </w:rPr>
        <w:t xml:space="preserve"> </w:t>
      </w:r>
      <w:r w:rsidRPr="00316B86">
        <w:rPr>
          <w:rStyle w:val="Textoennegrita"/>
          <w:b w:val="0"/>
          <w:bCs w:val="0"/>
          <w:i/>
          <w:color w:val="000000"/>
          <w:szCs w:val="16"/>
          <w:shd w:val="clear" w:color="auto" w:fill="FFFFFF"/>
          <w:lang w:val="en-US"/>
        </w:rPr>
        <w:t xml:space="preserve">Case of Acevedo </w:t>
      </w:r>
      <w:proofErr w:type="spellStart"/>
      <w:r w:rsidRPr="00316B86">
        <w:rPr>
          <w:rStyle w:val="Textoennegrita"/>
          <w:b w:val="0"/>
          <w:bCs w:val="0"/>
          <w:i/>
          <w:color w:val="000000"/>
          <w:szCs w:val="16"/>
          <w:shd w:val="clear" w:color="auto" w:fill="FFFFFF"/>
          <w:lang w:val="en-US"/>
        </w:rPr>
        <w:t>Buendía</w:t>
      </w:r>
      <w:proofErr w:type="spellEnd"/>
      <w:r w:rsidRPr="00316B86">
        <w:rPr>
          <w:rStyle w:val="Textoennegrita"/>
          <w:b w:val="0"/>
          <w:bCs w:val="0"/>
          <w:i/>
          <w:color w:val="000000"/>
          <w:szCs w:val="16"/>
          <w:shd w:val="clear" w:color="auto" w:fill="FFFFFF"/>
          <w:lang w:val="en-US"/>
        </w:rPr>
        <w:t xml:space="preserve"> et al. (Dismissed and Retired Employees of the Comptroller’s Office”) v. Peru. Preliminary objection, merits, reparations and costs</w:t>
      </w:r>
      <w:r w:rsidRPr="00316B86">
        <w:rPr>
          <w:rStyle w:val="Textoennegrita"/>
          <w:b w:val="0"/>
          <w:bCs w:val="0"/>
          <w:color w:val="000000"/>
          <w:szCs w:val="16"/>
          <w:shd w:val="clear" w:color="auto" w:fill="FFFFFF"/>
          <w:lang w:val="en-US"/>
        </w:rPr>
        <w:t>. Judgment of July 1, 2009. Series C No. 198</w:t>
      </w:r>
      <w:r w:rsidRPr="00316B86">
        <w:rPr>
          <w:b/>
          <w:bCs/>
          <w:szCs w:val="16"/>
          <w:lang w:val="en-US"/>
        </w:rPr>
        <w:t xml:space="preserve">, </w:t>
      </w:r>
      <w:r w:rsidRPr="00316B86">
        <w:rPr>
          <w:szCs w:val="16"/>
          <w:lang w:val="en-US"/>
        </w:rPr>
        <w:t xml:space="preserve">para. 102. In addition to the case of </w:t>
      </w:r>
      <w:r w:rsidRPr="00316B86">
        <w:rPr>
          <w:i/>
          <w:szCs w:val="16"/>
          <w:lang w:val="en-US"/>
        </w:rPr>
        <w:t xml:space="preserve">Acevedo </w:t>
      </w:r>
      <w:proofErr w:type="spellStart"/>
      <w:r w:rsidRPr="00316B86">
        <w:rPr>
          <w:i/>
          <w:szCs w:val="16"/>
          <w:lang w:val="en-US"/>
        </w:rPr>
        <w:t>Buendía</w:t>
      </w:r>
      <w:proofErr w:type="spellEnd"/>
      <w:r w:rsidRPr="00316B86">
        <w:rPr>
          <w:i/>
          <w:szCs w:val="16"/>
          <w:lang w:val="en-US"/>
        </w:rPr>
        <w:t xml:space="preserve"> et al.</w:t>
      </w:r>
      <w:r w:rsidRPr="00316B86">
        <w:rPr>
          <w:szCs w:val="16"/>
          <w:lang w:val="en-US"/>
        </w:rPr>
        <w:t xml:space="preserve">, the case law of the Inter-American Court has addressed the content of the obligation of progressivity in the cases of </w:t>
      </w:r>
      <w:r w:rsidRPr="00316B86">
        <w:rPr>
          <w:i/>
          <w:szCs w:val="16"/>
          <w:lang w:val="en-US"/>
        </w:rPr>
        <w:t xml:space="preserve">Poblete </w:t>
      </w:r>
      <w:proofErr w:type="spellStart"/>
      <w:r w:rsidRPr="00316B86">
        <w:rPr>
          <w:i/>
          <w:szCs w:val="16"/>
          <w:lang w:val="en-US"/>
        </w:rPr>
        <w:t>Vilches</w:t>
      </w:r>
      <w:proofErr w:type="spellEnd"/>
      <w:r w:rsidRPr="00316B86">
        <w:rPr>
          <w:i/>
          <w:szCs w:val="16"/>
          <w:lang w:val="en-US"/>
        </w:rPr>
        <w:t xml:space="preserve"> et al. v. Chile</w:t>
      </w:r>
      <w:r w:rsidRPr="00316B86">
        <w:rPr>
          <w:szCs w:val="16"/>
          <w:lang w:val="en-US"/>
        </w:rPr>
        <w:t xml:space="preserve"> and in the present case. See:</w:t>
      </w:r>
      <w:r w:rsidRPr="00316B86">
        <w:rPr>
          <w:b/>
          <w:bCs/>
          <w:szCs w:val="16"/>
          <w:lang w:val="en-US"/>
        </w:rPr>
        <w:t xml:space="preserve"> </w:t>
      </w:r>
      <w:r w:rsidRPr="00316B86">
        <w:rPr>
          <w:rStyle w:val="Textoennegrita"/>
          <w:b w:val="0"/>
          <w:bCs w:val="0"/>
          <w:i/>
          <w:color w:val="000000"/>
          <w:szCs w:val="16"/>
          <w:shd w:val="clear" w:color="auto" w:fill="FFFFFF"/>
          <w:lang w:val="en-US"/>
        </w:rPr>
        <w:t xml:space="preserve">Case of Poblete </w:t>
      </w:r>
      <w:proofErr w:type="spellStart"/>
      <w:r w:rsidRPr="00316B86">
        <w:rPr>
          <w:rStyle w:val="Textoennegrita"/>
          <w:b w:val="0"/>
          <w:bCs w:val="0"/>
          <w:i/>
          <w:color w:val="000000"/>
          <w:szCs w:val="16"/>
          <w:shd w:val="clear" w:color="auto" w:fill="FFFFFF"/>
          <w:lang w:val="en-US"/>
        </w:rPr>
        <w:t>Vilches</w:t>
      </w:r>
      <w:proofErr w:type="spellEnd"/>
      <w:r w:rsidRPr="00316B86">
        <w:rPr>
          <w:rStyle w:val="Textoennegrita"/>
          <w:b w:val="0"/>
          <w:bCs w:val="0"/>
          <w:i/>
          <w:color w:val="000000"/>
          <w:szCs w:val="16"/>
          <w:shd w:val="clear" w:color="auto" w:fill="FFFFFF"/>
          <w:lang w:val="en-US"/>
        </w:rPr>
        <w:t xml:space="preserve"> et al. v. Chile. Merits, reparations and costs</w:t>
      </w:r>
      <w:r w:rsidRPr="00316B86">
        <w:rPr>
          <w:rStyle w:val="Textoennegrita"/>
          <w:b w:val="0"/>
          <w:bCs w:val="0"/>
          <w:color w:val="000000"/>
          <w:szCs w:val="16"/>
          <w:shd w:val="clear" w:color="auto" w:fill="FFFFFF"/>
          <w:lang w:val="en-US"/>
        </w:rPr>
        <w:t>. Judgment of March 8, 2018. Series C No. 349, para. 103.</w:t>
      </w:r>
    </w:p>
  </w:footnote>
  <w:footnote w:id="380">
    <w:p w14:paraId="4638712C" w14:textId="77777777" w:rsidR="00AF5CC6" w:rsidRPr="00316B86" w:rsidRDefault="00AF5CC6" w:rsidP="00C36F0E">
      <w:pPr>
        <w:pStyle w:val="Textonotapie"/>
        <w:rPr>
          <w:b/>
          <w:bCs/>
          <w:szCs w:val="16"/>
          <w:lang w:val="en-US"/>
        </w:rPr>
      </w:pPr>
      <w:r w:rsidRPr="00316B86">
        <w:rPr>
          <w:rStyle w:val="Refdenotaalpie"/>
          <w:szCs w:val="16"/>
          <w:lang w:val="en-US"/>
        </w:rPr>
        <w:footnoteRef/>
      </w:r>
      <w:r w:rsidRPr="00316B86">
        <w:rPr>
          <w:szCs w:val="16"/>
          <w:lang w:val="en-US"/>
        </w:rPr>
        <w:t xml:space="preserve"> </w:t>
      </w:r>
      <w:r w:rsidRPr="00316B86">
        <w:rPr>
          <w:szCs w:val="16"/>
          <w:lang w:val="en-US"/>
        </w:rPr>
        <w:tab/>
      </w:r>
      <w:r w:rsidRPr="00316B86">
        <w:rPr>
          <w:i/>
          <w:szCs w:val="16"/>
          <w:lang w:val="en-US"/>
        </w:rPr>
        <w:t>Cf.</w:t>
      </w:r>
      <w:r w:rsidRPr="00316B86">
        <w:rPr>
          <w:b/>
          <w:bCs/>
          <w:i/>
          <w:szCs w:val="16"/>
          <w:lang w:val="en-US"/>
        </w:rPr>
        <w:t xml:space="preserve"> </w:t>
      </w:r>
      <w:r w:rsidRPr="00316B86">
        <w:rPr>
          <w:rStyle w:val="Textoennegrita"/>
          <w:b w:val="0"/>
          <w:bCs w:val="0"/>
          <w:i/>
          <w:color w:val="000000"/>
          <w:szCs w:val="16"/>
          <w:shd w:val="clear" w:color="auto" w:fill="FFFFFF"/>
          <w:lang w:val="en-US"/>
        </w:rPr>
        <w:t xml:space="preserve">Case of Acevedo </w:t>
      </w:r>
      <w:proofErr w:type="spellStart"/>
      <w:r w:rsidRPr="00316B86">
        <w:rPr>
          <w:rStyle w:val="Textoennegrita"/>
          <w:b w:val="0"/>
          <w:bCs w:val="0"/>
          <w:i/>
          <w:color w:val="000000"/>
          <w:szCs w:val="16"/>
          <w:shd w:val="clear" w:color="auto" w:fill="FFFFFF"/>
          <w:lang w:val="en-US"/>
        </w:rPr>
        <w:t>Buendía</w:t>
      </w:r>
      <w:proofErr w:type="spellEnd"/>
      <w:r w:rsidRPr="00316B86">
        <w:rPr>
          <w:rStyle w:val="Textoennegrita"/>
          <w:b w:val="0"/>
          <w:bCs w:val="0"/>
          <w:i/>
          <w:color w:val="000000"/>
          <w:szCs w:val="16"/>
          <w:shd w:val="clear" w:color="auto" w:fill="FFFFFF"/>
          <w:lang w:val="en-US"/>
        </w:rPr>
        <w:t xml:space="preserve"> et al. (Dismissed and Retired Employees of the Comptroller’s Office”) v. Peru. Preliminary objection, merits, reparations and costs</w:t>
      </w:r>
      <w:r w:rsidRPr="00316B86">
        <w:rPr>
          <w:rStyle w:val="Textoennegrita"/>
          <w:b w:val="0"/>
          <w:bCs w:val="0"/>
          <w:color w:val="000000"/>
          <w:szCs w:val="16"/>
          <w:shd w:val="clear" w:color="auto" w:fill="FFFFFF"/>
          <w:lang w:val="en-US"/>
        </w:rPr>
        <w:t>. Judgment of July 1, 2009. Series C No. 198</w:t>
      </w:r>
      <w:r w:rsidRPr="00316B86">
        <w:rPr>
          <w:b/>
          <w:bCs/>
          <w:szCs w:val="16"/>
          <w:lang w:val="en-US"/>
        </w:rPr>
        <w:t xml:space="preserve">, </w:t>
      </w:r>
      <w:r w:rsidRPr="00316B86">
        <w:rPr>
          <w:szCs w:val="16"/>
          <w:lang w:val="en-US"/>
        </w:rPr>
        <w:t>para. 102.</w:t>
      </w:r>
    </w:p>
  </w:footnote>
  <w:footnote w:id="381">
    <w:p w14:paraId="7E7FE2E7" w14:textId="77777777" w:rsidR="00AF5CC6" w:rsidRDefault="00AF5CC6" w:rsidP="00C36F0E">
      <w:pPr>
        <w:spacing w:after="120"/>
        <w:outlineLvl w:val="1"/>
        <w:rPr>
          <w:sz w:val="16"/>
          <w:szCs w:val="16"/>
          <w:lang w:val="en-US"/>
        </w:rPr>
      </w:pPr>
      <w:r w:rsidRPr="00316B86">
        <w:rPr>
          <w:rStyle w:val="Refdenotaalpie"/>
          <w:sz w:val="16"/>
          <w:szCs w:val="16"/>
          <w:lang w:val="en-US"/>
        </w:rPr>
        <w:footnoteRef/>
      </w:r>
      <w:r w:rsidRPr="00316B86">
        <w:rPr>
          <w:sz w:val="16"/>
          <w:szCs w:val="16"/>
          <w:lang w:val="en-US"/>
        </w:rPr>
        <w:t xml:space="preserve"> </w:t>
      </w:r>
      <w:r w:rsidRPr="00316B86">
        <w:rPr>
          <w:sz w:val="16"/>
          <w:szCs w:val="16"/>
          <w:lang w:val="en-US"/>
        </w:rPr>
        <w:tab/>
      </w:r>
      <w:r w:rsidRPr="00316B86">
        <w:rPr>
          <w:i/>
          <w:sz w:val="16"/>
          <w:szCs w:val="16"/>
          <w:lang w:val="en-US"/>
        </w:rPr>
        <w:t>Cf.</w:t>
      </w:r>
      <w:r w:rsidRPr="00316B86">
        <w:rPr>
          <w:b/>
          <w:bCs/>
          <w:i/>
          <w:sz w:val="16"/>
          <w:szCs w:val="16"/>
          <w:lang w:val="en-US"/>
        </w:rPr>
        <w:t xml:space="preserve"> </w:t>
      </w:r>
      <w:r w:rsidRPr="00316B86">
        <w:rPr>
          <w:rStyle w:val="Textoennegrita"/>
          <w:b w:val="0"/>
          <w:bCs w:val="0"/>
          <w:i/>
          <w:color w:val="000000"/>
          <w:sz w:val="16"/>
          <w:szCs w:val="16"/>
          <w:shd w:val="clear" w:color="auto" w:fill="FFFFFF"/>
          <w:lang w:val="en-US"/>
        </w:rPr>
        <w:t>Case of Acevedo Buendía et al. (Dismissed and Retired Employees of the Comptroller’s Office”) v. Peru. Preliminary objection, merits, reparations and costs</w:t>
      </w:r>
      <w:r w:rsidRPr="00316B86">
        <w:rPr>
          <w:rStyle w:val="Textoennegrita"/>
          <w:b w:val="0"/>
          <w:bCs w:val="0"/>
          <w:color w:val="000000"/>
          <w:sz w:val="16"/>
          <w:szCs w:val="16"/>
          <w:shd w:val="clear" w:color="auto" w:fill="FFFFFF"/>
          <w:lang w:val="en-US"/>
        </w:rPr>
        <w:t>. Judgment of July 1, 2009. Series C No. 198</w:t>
      </w:r>
      <w:r w:rsidRPr="00316B86">
        <w:rPr>
          <w:sz w:val="16"/>
          <w:szCs w:val="16"/>
          <w:lang w:val="en-US"/>
        </w:rPr>
        <w:t xml:space="preserve">, para. 103. In </w:t>
      </w:r>
      <w:r w:rsidRPr="00316B86">
        <w:rPr>
          <w:i/>
          <w:sz w:val="16"/>
          <w:szCs w:val="16"/>
          <w:lang w:val="en-US"/>
        </w:rPr>
        <w:t>Acevedo</w:t>
      </w:r>
      <w:r w:rsidRPr="00316B86">
        <w:rPr>
          <w:sz w:val="16"/>
          <w:szCs w:val="16"/>
          <w:lang w:val="en-US"/>
        </w:rPr>
        <w:t xml:space="preserve"> </w:t>
      </w:r>
      <w:r w:rsidRPr="00316B86">
        <w:rPr>
          <w:i/>
          <w:sz w:val="16"/>
          <w:szCs w:val="16"/>
          <w:lang w:val="en-US"/>
        </w:rPr>
        <w:t xml:space="preserve">Buendía, </w:t>
      </w:r>
      <w:r w:rsidRPr="00316B86">
        <w:rPr>
          <w:sz w:val="16"/>
          <w:szCs w:val="16"/>
          <w:lang w:val="en-US"/>
        </w:rPr>
        <w:t>the Court referred to General Comment No. 3 to indicate that “any deliberately retrogressive measures in</w:t>
      </w:r>
      <w:r w:rsidRPr="00C6215C">
        <w:rPr>
          <w:sz w:val="16"/>
          <w:szCs w:val="16"/>
          <w:lang w:val="en-US"/>
        </w:rPr>
        <w:t xml:space="preserve"> that regard would require the most careful consideration and would need to be fully justified by reference to the totality of the rights provided for in the [International] Covenant [on Economic, Social and Cultural Rights] and in the context of the full use of the maximum available resources.” In this regard, it should be noted that United Nations Committee on Economic, Social and Cultural Rights (hereinafter, “the CESCR”) has modified the standard for the evaluation of retrogressive measures</w:t>
      </w:r>
      <w:r w:rsidRPr="00246DE1">
        <w:rPr>
          <w:sz w:val="16"/>
          <w:szCs w:val="16"/>
          <w:lang w:val="en-US"/>
        </w:rPr>
        <w:t xml:space="preserve">, so that States must demonstrate, among other matters, that the measures are: (a) provisional; (b) necessary; (c) non-discriminatory or that they do not disproportionately </w:t>
      </w:r>
    </w:p>
    <w:p w14:paraId="7E5A8989" w14:textId="646B2BE5" w:rsidR="00AF5CC6" w:rsidRPr="00246DE1" w:rsidRDefault="00AF5CC6" w:rsidP="00C36F0E">
      <w:pPr>
        <w:spacing w:after="120"/>
        <w:outlineLvl w:val="1"/>
        <w:rPr>
          <w:rFonts w:eastAsia="Times New Roman"/>
          <w:bCs/>
          <w:sz w:val="16"/>
          <w:szCs w:val="16"/>
          <w:lang w:val="en-US"/>
        </w:rPr>
      </w:pPr>
      <w:r w:rsidRPr="00246DE1">
        <w:rPr>
          <w:sz w:val="16"/>
          <w:szCs w:val="16"/>
          <w:lang w:val="en-US"/>
        </w:rPr>
        <w:t xml:space="preserve">affect disadvantaged or marginalized people or groups, and (d) that they respect at least the basic obligations of the social right in question and that they are applicable to the specific group of people concerned. </w:t>
      </w:r>
      <w:r w:rsidRPr="00246DE1">
        <w:rPr>
          <w:i/>
          <w:sz w:val="16"/>
          <w:szCs w:val="16"/>
          <w:lang w:val="en-US"/>
        </w:rPr>
        <w:t>Mutatis mutandis</w:t>
      </w:r>
      <w:r w:rsidRPr="00246DE1">
        <w:rPr>
          <w:sz w:val="16"/>
          <w:szCs w:val="16"/>
          <w:lang w:val="en-US"/>
        </w:rPr>
        <w:t xml:space="preserve">, CESCR, General Comment No. 22 </w:t>
      </w:r>
      <w:r w:rsidRPr="00246DE1">
        <w:rPr>
          <w:rFonts w:eastAsia="Times New Roman"/>
          <w:bCs/>
          <w:i/>
          <w:sz w:val="16"/>
          <w:szCs w:val="16"/>
          <w:lang w:val="en-US"/>
        </w:rPr>
        <w:t xml:space="preserve">on the right to sexual and reproductive health (article 12 of the International Covenant on Economic, Social and Cultural Rights). </w:t>
      </w:r>
      <w:r w:rsidRPr="00246DE1">
        <w:rPr>
          <w:sz w:val="16"/>
          <w:szCs w:val="16"/>
          <w:lang w:val="en-US"/>
        </w:rPr>
        <w:t>E/C.12/GC/22, May 2, 2016, para. 38 and General Comment No. 23</w:t>
      </w:r>
      <w:r w:rsidRPr="00246DE1">
        <w:rPr>
          <w:i/>
          <w:sz w:val="16"/>
          <w:szCs w:val="16"/>
          <w:lang w:val="en-US"/>
        </w:rPr>
        <w:t xml:space="preserve"> </w:t>
      </w:r>
      <w:r w:rsidRPr="00246DE1">
        <w:rPr>
          <w:bCs/>
          <w:i/>
          <w:sz w:val="16"/>
          <w:szCs w:val="16"/>
          <w:lang w:val="en-US"/>
        </w:rPr>
        <w:t xml:space="preserve">on the right to just and favourable conditions of work (article 7 of the International Covenant on Economic, Social and Cultural Rights). </w:t>
      </w:r>
      <w:r w:rsidRPr="00246DE1">
        <w:rPr>
          <w:sz w:val="16"/>
          <w:szCs w:val="16"/>
          <w:lang w:val="en-US"/>
        </w:rPr>
        <w:t>E/C.12/GC/23, April 27, 2016, para. 53.</w:t>
      </w:r>
    </w:p>
  </w:footnote>
  <w:footnote w:id="382">
    <w:p w14:paraId="725B43D4" w14:textId="77777777" w:rsidR="00AF5CC6" w:rsidRPr="00316B86" w:rsidRDefault="00AF5CC6" w:rsidP="00C36F0E">
      <w:pPr>
        <w:pStyle w:val="Textonotapie"/>
        <w:rPr>
          <w:i/>
          <w:szCs w:val="16"/>
          <w:lang w:val="en-US"/>
        </w:rPr>
      </w:pPr>
      <w:r w:rsidRPr="00246DE1">
        <w:rPr>
          <w:rStyle w:val="Refdenotaalpie"/>
          <w:szCs w:val="16"/>
          <w:lang w:val="en-US"/>
        </w:rPr>
        <w:footnoteRef/>
      </w:r>
      <w:r w:rsidRPr="00246DE1">
        <w:rPr>
          <w:szCs w:val="16"/>
          <w:lang w:val="en-US"/>
        </w:rPr>
        <w:t xml:space="preserve"> </w:t>
      </w:r>
      <w:r w:rsidRPr="00246DE1">
        <w:rPr>
          <w:szCs w:val="16"/>
          <w:lang w:val="en-US"/>
        </w:rPr>
        <w:tab/>
      </w:r>
      <w:r w:rsidRPr="00246DE1">
        <w:rPr>
          <w:i/>
          <w:szCs w:val="16"/>
          <w:lang w:val="en-US"/>
        </w:rPr>
        <w:t xml:space="preserve">Cf. </w:t>
      </w:r>
      <w:r w:rsidRPr="00316B86">
        <w:rPr>
          <w:rStyle w:val="Textoennegrita"/>
          <w:b w:val="0"/>
          <w:bCs w:val="0"/>
          <w:i/>
          <w:color w:val="000000"/>
          <w:szCs w:val="16"/>
          <w:shd w:val="clear" w:color="auto" w:fill="FFFFFF"/>
          <w:lang w:val="en-US"/>
        </w:rPr>
        <w:t xml:space="preserve">Case of </w:t>
      </w:r>
      <w:proofErr w:type="spellStart"/>
      <w:r w:rsidRPr="00316B86">
        <w:rPr>
          <w:rStyle w:val="Textoennegrita"/>
          <w:b w:val="0"/>
          <w:bCs w:val="0"/>
          <w:i/>
          <w:color w:val="000000"/>
          <w:szCs w:val="16"/>
          <w:shd w:val="clear" w:color="auto" w:fill="FFFFFF"/>
          <w:lang w:val="en-US"/>
        </w:rPr>
        <w:t>Cuscul</w:t>
      </w:r>
      <w:proofErr w:type="spellEnd"/>
      <w:r w:rsidRPr="00316B86">
        <w:rPr>
          <w:rStyle w:val="Textoennegrita"/>
          <w:b w:val="0"/>
          <w:bCs w:val="0"/>
          <w:i/>
          <w:color w:val="000000"/>
          <w:szCs w:val="16"/>
          <w:shd w:val="clear" w:color="auto" w:fill="FFFFFF"/>
          <w:lang w:val="en-US"/>
        </w:rPr>
        <w:t xml:space="preserve"> </w:t>
      </w:r>
      <w:proofErr w:type="spellStart"/>
      <w:r w:rsidRPr="00316B86">
        <w:rPr>
          <w:rStyle w:val="Textoennegrita"/>
          <w:b w:val="0"/>
          <w:bCs w:val="0"/>
          <w:i/>
          <w:color w:val="000000"/>
          <w:szCs w:val="16"/>
          <w:shd w:val="clear" w:color="auto" w:fill="FFFFFF"/>
          <w:lang w:val="en-US"/>
        </w:rPr>
        <w:t>Pivaral</w:t>
      </w:r>
      <w:proofErr w:type="spellEnd"/>
      <w:r w:rsidRPr="00316B86">
        <w:rPr>
          <w:rStyle w:val="Textoennegrita"/>
          <w:b w:val="0"/>
          <w:bCs w:val="0"/>
          <w:i/>
          <w:color w:val="000000"/>
          <w:szCs w:val="16"/>
          <w:shd w:val="clear" w:color="auto" w:fill="FFFFFF"/>
          <w:lang w:val="en-US"/>
        </w:rPr>
        <w:t xml:space="preserve"> et al. v. Guatemala. Preliminary objection, merits, reparations and costs. </w:t>
      </w:r>
      <w:r w:rsidRPr="00316B86">
        <w:rPr>
          <w:rStyle w:val="Textoennegrita"/>
          <w:b w:val="0"/>
          <w:bCs w:val="0"/>
          <w:color w:val="000000"/>
          <w:szCs w:val="16"/>
          <w:shd w:val="clear" w:color="auto" w:fill="FFFFFF"/>
          <w:lang w:val="en-US"/>
        </w:rPr>
        <w:t>Judgment of August 23, 2018. Series C No. 359, para. 148.</w:t>
      </w:r>
    </w:p>
  </w:footnote>
  <w:footnote w:id="383">
    <w:p w14:paraId="32460DFC" w14:textId="77777777" w:rsidR="00AF5CC6" w:rsidRPr="00316B86" w:rsidRDefault="00AF5CC6" w:rsidP="00C36F0E">
      <w:pPr>
        <w:pStyle w:val="Textonotapie"/>
        <w:rPr>
          <w:i/>
          <w:szCs w:val="16"/>
          <w:lang w:val="en-US"/>
        </w:rPr>
      </w:pPr>
      <w:r w:rsidRPr="00316B86">
        <w:rPr>
          <w:rStyle w:val="Refdenotaalpie"/>
          <w:szCs w:val="16"/>
          <w:lang w:val="en-US"/>
        </w:rPr>
        <w:footnoteRef/>
      </w:r>
      <w:r w:rsidRPr="00316B86">
        <w:rPr>
          <w:szCs w:val="16"/>
          <w:lang w:val="en-US"/>
        </w:rPr>
        <w:t xml:space="preserve"> </w:t>
      </w:r>
      <w:r w:rsidRPr="00316B86">
        <w:rPr>
          <w:szCs w:val="16"/>
          <w:lang w:val="en-US"/>
        </w:rPr>
        <w:tab/>
      </w:r>
      <w:r w:rsidRPr="00316B86">
        <w:rPr>
          <w:i/>
          <w:szCs w:val="16"/>
          <w:lang w:val="en-US"/>
        </w:rPr>
        <w:t xml:space="preserve">Cf. </w:t>
      </w:r>
      <w:r w:rsidRPr="00316B86">
        <w:rPr>
          <w:rStyle w:val="Textoennegrita"/>
          <w:b w:val="0"/>
          <w:bCs w:val="0"/>
          <w:i/>
          <w:color w:val="000000"/>
          <w:szCs w:val="16"/>
          <w:shd w:val="clear" w:color="auto" w:fill="FFFFFF"/>
          <w:lang w:val="en-US"/>
        </w:rPr>
        <w:t xml:space="preserve">Case of </w:t>
      </w:r>
      <w:proofErr w:type="spellStart"/>
      <w:r w:rsidRPr="00316B86">
        <w:rPr>
          <w:rStyle w:val="Textoennegrita"/>
          <w:b w:val="0"/>
          <w:bCs w:val="0"/>
          <w:i/>
          <w:color w:val="000000"/>
          <w:szCs w:val="16"/>
          <w:shd w:val="clear" w:color="auto" w:fill="FFFFFF"/>
          <w:lang w:val="en-US"/>
        </w:rPr>
        <w:t>Cuscul</w:t>
      </w:r>
      <w:proofErr w:type="spellEnd"/>
      <w:r w:rsidRPr="00316B86">
        <w:rPr>
          <w:rStyle w:val="Textoennegrita"/>
          <w:b w:val="0"/>
          <w:bCs w:val="0"/>
          <w:i/>
          <w:color w:val="000000"/>
          <w:szCs w:val="16"/>
          <w:shd w:val="clear" w:color="auto" w:fill="FFFFFF"/>
          <w:lang w:val="en-US"/>
        </w:rPr>
        <w:t xml:space="preserve"> </w:t>
      </w:r>
      <w:proofErr w:type="spellStart"/>
      <w:r w:rsidRPr="00316B86">
        <w:rPr>
          <w:rStyle w:val="Textoennegrita"/>
          <w:b w:val="0"/>
          <w:bCs w:val="0"/>
          <w:i/>
          <w:color w:val="000000"/>
          <w:szCs w:val="16"/>
          <w:shd w:val="clear" w:color="auto" w:fill="FFFFFF"/>
          <w:lang w:val="en-US"/>
        </w:rPr>
        <w:t>Pivaral</w:t>
      </w:r>
      <w:proofErr w:type="spellEnd"/>
      <w:r w:rsidRPr="00316B86">
        <w:rPr>
          <w:rStyle w:val="Textoennegrita"/>
          <w:b w:val="0"/>
          <w:bCs w:val="0"/>
          <w:i/>
          <w:color w:val="000000"/>
          <w:szCs w:val="16"/>
          <w:shd w:val="clear" w:color="auto" w:fill="FFFFFF"/>
          <w:lang w:val="en-US"/>
        </w:rPr>
        <w:t xml:space="preserve"> et al. v. Guatemala. Preliminary objection, merits, reparations and costs. </w:t>
      </w:r>
      <w:r w:rsidRPr="00316B86">
        <w:rPr>
          <w:rStyle w:val="Textoennegrita"/>
          <w:b w:val="0"/>
          <w:bCs w:val="0"/>
          <w:color w:val="000000"/>
          <w:szCs w:val="16"/>
          <w:shd w:val="clear" w:color="auto" w:fill="FFFFFF"/>
          <w:lang w:val="en-US"/>
        </w:rPr>
        <w:t>Judgment of August 23, 2018. Series C No. 359, para. 146</w:t>
      </w:r>
      <w:r w:rsidRPr="00316B86">
        <w:rPr>
          <w:szCs w:val="16"/>
          <w:lang w:val="en-US"/>
        </w:rPr>
        <w:t>.</w:t>
      </w:r>
    </w:p>
  </w:footnote>
  <w:footnote w:id="384">
    <w:p w14:paraId="44933AAA" w14:textId="77777777" w:rsidR="00AF5CC6" w:rsidRPr="00316B86" w:rsidRDefault="00AF5CC6" w:rsidP="00C36F0E">
      <w:pPr>
        <w:pStyle w:val="Textonotapie"/>
        <w:rPr>
          <w:i/>
          <w:szCs w:val="16"/>
          <w:lang w:val="en-US"/>
        </w:rPr>
      </w:pPr>
      <w:r w:rsidRPr="00316B86">
        <w:rPr>
          <w:rStyle w:val="Refdenotaalpie"/>
          <w:szCs w:val="16"/>
          <w:lang w:val="en-US"/>
        </w:rPr>
        <w:footnoteRef/>
      </w:r>
      <w:r w:rsidRPr="00316B86">
        <w:rPr>
          <w:szCs w:val="16"/>
          <w:lang w:val="en-US"/>
        </w:rPr>
        <w:t xml:space="preserve"> </w:t>
      </w:r>
      <w:r w:rsidRPr="00316B86">
        <w:rPr>
          <w:szCs w:val="16"/>
          <w:lang w:val="en-US"/>
        </w:rPr>
        <w:tab/>
      </w:r>
      <w:r w:rsidRPr="00316B86">
        <w:rPr>
          <w:i/>
          <w:szCs w:val="16"/>
          <w:lang w:val="en-US"/>
        </w:rPr>
        <w:t xml:space="preserve">Cf. </w:t>
      </w:r>
      <w:r w:rsidRPr="00316B86">
        <w:rPr>
          <w:rStyle w:val="Textoennegrita"/>
          <w:b w:val="0"/>
          <w:bCs w:val="0"/>
          <w:i/>
          <w:color w:val="000000"/>
          <w:szCs w:val="16"/>
          <w:shd w:val="clear" w:color="auto" w:fill="FFFFFF"/>
          <w:lang w:val="en-US"/>
        </w:rPr>
        <w:t xml:space="preserve">Case of </w:t>
      </w:r>
      <w:proofErr w:type="spellStart"/>
      <w:r w:rsidRPr="00316B86">
        <w:rPr>
          <w:rStyle w:val="Textoennegrita"/>
          <w:b w:val="0"/>
          <w:bCs w:val="0"/>
          <w:i/>
          <w:color w:val="000000"/>
          <w:szCs w:val="16"/>
          <w:shd w:val="clear" w:color="auto" w:fill="FFFFFF"/>
          <w:lang w:val="en-US"/>
        </w:rPr>
        <w:t>Cuscul</w:t>
      </w:r>
      <w:proofErr w:type="spellEnd"/>
      <w:r w:rsidRPr="00316B86">
        <w:rPr>
          <w:rStyle w:val="Textoennegrita"/>
          <w:b w:val="0"/>
          <w:bCs w:val="0"/>
          <w:i/>
          <w:color w:val="000000"/>
          <w:szCs w:val="16"/>
          <w:shd w:val="clear" w:color="auto" w:fill="FFFFFF"/>
          <w:lang w:val="en-US"/>
        </w:rPr>
        <w:t xml:space="preserve"> </w:t>
      </w:r>
      <w:proofErr w:type="spellStart"/>
      <w:r w:rsidRPr="00316B86">
        <w:rPr>
          <w:rStyle w:val="Textoennegrita"/>
          <w:b w:val="0"/>
          <w:bCs w:val="0"/>
          <w:i/>
          <w:color w:val="000000"/>
          <w:szCs w:val="16"/>
          <w:shd w:val="clear" w:color="auto" w:fill="FFFFFF"/>
          <w:lang w:val="en-US"/>
        </w:rPr>
        <w:t>Pivaral</w:t>
      </w:r>
      <w:proofErr w:type="spellEnd"/>
      <w:r w:rsidRPr="00316B86">
        <w:rPr>
          <w:rStyle w:val="Textoennegrita"/>
          <w:b w:val="0"/>
          <w:bCs w:val="0"/>
          <w:i/>
          <w:color w:val="000000"/>
          <w:szCs w:val="16"/>
          <w:shd w:val="clear" w:color="auto" w:fill="FFFFFF"/>
          <w:lang w:val="en-US"/>
        </w:rPr>
        <w:t xml:space="preserve"> et al. v. Guatemala. Preliminary objection, merits, reparations and costs. </w:t>
      </w:r>
      <w:r w:rsidRPr="00316B86">
        <w:rPr>
          <w:rStyle w:val="Textoennegrita"/>
          <w:b w:val="0"/>
          <w:bCs w:val="0"/>
          <w:color w:val="000000"/>
          <w:szCs w:val="16"/>
          <w:shd w:val="clear" w:color="auto" w:fill="FFFFFF"/>
          <w:lang w:val="en-US"/>
        </w:rPr>
        <w:t>Judgment of August 23, 2018. Series C No. 359, para. 119.</w:t>
      </w:r>
    </w:p>
  </w:footnote>
  <w:footnote w:id="385">
    <w:p w14:paraId="5F3E557C" w14:textId="77777777" w:rsidR="00AF5CC6" w:rsidRPr="00246DE1" w:rsidRDefault="00AF5CC6" w:rsidP="00C36F0E">
      <w:pPr>
        <w:pStyle w:val="Textonotapie"/>
        <w:rPr>
          <w:szCs w:val="16"/>
          <w:lang w:val="en-US"/>
        </w:rPr>
      </w:pPr>
      <w:r w:rsidRPr="00316B86">
        <w:rPr>
          <w:rStyle w:val="Refdenotaalpie"/>
          <w:szCs w:val="16"/>
          <w:lang w:val="en-US"/>
        </w:rPr>
        <w:footnoteRef/>
      </w:r>
      <w:r w:rsidRPr="00316B86">
        <w:rPr>
          <w:szCs w:val="16"/>
          <w:lang w:val="en-US"/>
        </w:rPr>
        <w:t xml:space="preserve"> </w:t>
      </w:r>
      <w:r w:rsidRPr="00316B86">
        <w:rPr>
          <w:szCs w:val="16"/>
          <w:lang w:val="en-US"/>
        </w:rPr>
        <w:tab/>
      </w:r>
      <w:r w:rsidRPr="00316B86">
        <w:rPr>
          <w:i/>
          <w:szCs w:val="16"/>
          <w:lang w:val="en-US"/>
        </w:rPr>
        <w:t xml:space="preserve">Cf. </w:t>
      </w:r>
      <w:r w:rsidRPr="00316B86">
        <w:rPr>
          <w:rStyle w:val="Textoennegrita"/>
          <w:b w:val="0"/>
          <w:bCs w:val="0"/>
          <w:i/>
          <w:color w:val="000000"/>
          <w:szCs w:val="16"/>
          <w:shd w:val="clear" w:color="auto" w:fill="FFFFFF"/>
          <w:lang w:val="en-US"/>
        </w:rPr>
        <w:t xml:space="preserve">Case of </w:t>
      </w:r>
      <w:proofErr w:type="spellStart"/>
      <w:r w:rsidRPr="00316B86">
        <w:rPr>
          <w:rStyle w:val="Textoennegrita"/>
          <w:b w:val="0"/>
          <w:bCs w:val="0"/>
          <w:i/>
          <w:color w:val="000000"/>
          <w:szCs w:val="16"/>
          <w:shd w:val="clear" w:color="auto" w:fill="FFFFFF"/>
          <w:lang w:val="en-US"/>
        </w:rPr>
        <w:t>Cuscul</w:t>
      </w:r>
      <w:proofErr w:type="spellEnd"/>
      <w:r w:rsidRPr="00316B86">
        <w:rPr>
          <w:rStyle w:val="Textoennegrita"/>
          <w:b w:val="0"/>
          <w:bCs w:val="0"/>
          <w:i/>
          <w:color w:val="000000"/>
          <w:szCs w:val="16"/>
          <w:shd w:val="clear" w:color="auto" w:fill="FFFFFF"/>
          <w:lang w:val="en-US"/>
        </w:rPr>
        <w:t xml:space="preserve"> </w:t>
      </w:r>
      <w:proofErr w:type="spellStart"/>
      <w:r w:rsidRPr="00316B86">
        <w:rPr>
          <w:rStyle w:val="Textoennegrita"/>
          <w:b w:val="0"/>
          <w:bCs w:val="0"/>
          <w:i/>
          <w:color w:val="000000"/>
          <w:szCs w:val="16"/>
          <w:shd w:val="clear" w:color="auto" w:fill="FFFFFF"/>
          <w:lang w:val="en-US"/>
        </w:rPr>
        <w:t>Pivaral</w:t>
      </w:r>
      <w:proofErr w:type="spellEnd"/>
      <w:r w:rsidRPr="00316B86">
        <w:rPr>
          <w:rStyle w:val="Textoennegrita"/>
          <w:b w:val="0"/>
          <w:bCs w:val="0"/>
          <w:i/>
          <w:color w:val="000000"/>
          <w:szCs w:val="16"/>
          <w:shd w:val="clear" w:color="auto" w:fill="FFFFFF"/>
          <w:lang w:val="en-US"/>
        </w:rPr>
        <w:t xml:space="preserve"> et al. v. Guatemala. Preliminary objection, merits, reparations and costs. </w:t>
      </w:r>
      <w:r w:rsidRPr="00316B86">
        <w:rPr>
          <w:rStyle w:val="Textoennegrita"/>
          <w:b w:val="0"/>
          <w:bCs w:val="0"/>
          <w:color w:val="000000"/>
          <w:szCs w:val="16"/>
          <w:shd w:val="clear" w:color="auto" w:fill="FFFFFF"/>
          <w:lang w:val="en-US"/>
        </w:rPr>
        <w:t>Judgment of August 23, 2018. Series C No. 359, paras. 41 to 54.</w:t>
      </w:r>
    </w:p>
  </w:footnote>
  <w:footnote w:id="386">
    <w:p w14:paraId="75626C0E" w14:textId="77777777" w:rsidR="00AF5CC6" w:rsidRPr="00316B86" w:rsidRDefault="00AF5CC6" w:rsidP="00C36F0E">
      <w:pPr>
        <w:pStyle w:val="Textonotapie"/>
        <w:rPr>
          <w:b/>
          <w:bCs/>
          <w:szCs w:val="16"/>
          <w:lang w:val="en-US"/>
        </w:rPr>
      </w:pPr>
      <w:r w:rsidRPr="00246DE1">
        <w:rPr>
          <w:rStyle w:val="Refdenotaalpie"/>
          <w:szCs w:val="16"/>
          <w:lang w:val="en-US"/>
        </w:rPr>
        <w:footnoteRef/>
      </w:r>
      <w:r w:rsidRPr="00246DE1">
        <w:rPr>
          <w:szCs w:val="16"/>
          <w:lang w:val="en-US"/>
        </w:rPr>
        <w:t xml:space="preserve"> </w:t>
      </w:r>
      <w:r w:rsidRPr="00246DE1">
        <w:rPr>
          <w:szCs w:val="16"/>
          <w:lang w:val="en-US"/>
        </w:rPr>
        <w:tab/>
      </w:r>
      <w:r w:rsidRPr="00246DE1">
        <w:rPr>
          <w:i/>
          <w:szCs w:val="16"/>
          <w:lang w:val="en-US"/>
        </w:rPr>
        <w:t xml:space="preserve">Cf. </w:t>
      </w:r>
      <w:r w:rsidRPr="00246DE1">
        <w:rPr>
          <w:szCs w:val="16"/>
          <w:lang w:val="en-US"/>
        </w:rPr>
        <w:t>OAS, “Adoption of Progress Indicators for Measuring Rights under the Protocol of San Salvador”, Resolution AG</w:t>
      </w:r>
      <w:r w:rsidRPr="00DD68A8">
        <w:rPr>
          <w:szCs w:val="16"/>
          <w:lang w:val="en-US"/>
        </w:rPr>
        <w:t xml:space="preserve">/RES. 2713 (XLII-O/12) adopted at the second plenary session on June 4, 2012, Point 1 of the resolution is available at: </w:t>
      </w:r>
      <w:hyperlink r:id="rId6" w:history="1">
        <w:r w:rsidRPr="00DD68A8">
          <w:rPr>
            <w:rStyle w:val="Hipervnculo"/>
            <w:szCs w:val="16"/>
            <w:lang w:val="en-US"/>
          </w:rPr>
          <w:t>http</w:t>
        </w:r>
        <w:r>
          <w:rPr>
            <w:rStyle w:val="Hipervnculo"/>
            <w:szCs w:val="16"/>
            <w:lang w:val="en-US"/>
          </w:rPr>
          <w:t>//</w:t>
        </w:r>
        <w:r w:rsidRPr="00DD68A8">
          <w:rPr>
            <w:rStyle w:val="CitaHTML"/>
            <w:color w:val="0000FF"/>
            <w:szCs w:val="16"/>
            <w:u w:val="single"/>
            <w:lang w:val="en-US"/>
          </w:rPr>
          <w:t>www.oas.org/en/sare/social-inclusion/protocol-ssv/docs/pss-res-2713-en.doc</w:t>
        </w:r>
      </w:hyperlink>
      <w:r w:rsidRPr="00DD68A8">
        <w:rPr>
          <w:szCs w:val="16"/>
          <w:lang w:val="en-US"/>
        </w:rPr>
        <w:t>. GTPSS, “Progress Indicators for Measuring Rights under the Protocol of San Salvador,” December 12, 2011, OEA/</w:t>
      </w:r>
      <w:proofErr w:type="spellStart"/>
      <w:r w:rsidRPr="00DD68A8">
        <w:rPr>
          <w:szCs w:val="16"/>
          <w:lang w:val="en-US"/>
        </w:rPr>
        <w:t>Ser.L</w:t>
      </w:r>
      <w:proofErr w:type="spellEnd"/>
      <w:r w:rsidRPr="00DD68A8">
        <w:rPr>
          <w:szCs w:val="16"/>
          <w:lang w:val="en-US"/>
        </w:rPr>
        <w:t xml:space="preserve">/XXV.2.1, paras. 15, 67 and 68. In the case of </w:t>
      </w:r>
      <w:r w:rsidRPr="00DD68A8">
        <w:rPr>
          <w:i/>
          <w:szCs w:val="16"/>
          <w:lang w:val="en-US"/>
        </w:rPr>
        <w:t xml:space="preserve">Gonzales </w:t>
      </w:r>
      <w:proofErr w:type="spellStart"/>
      <w:r w:rsidRPr="00DD68A8">
        <w:rPr>
          <w:i/>
          <w:szCs w:val="16"/>
          <w:lang w:val="en-US"/>
        </w:rPr>
        <w:t>Lluy</w:t>
      </w:r>
      <w:proofErr w:type="spellEnd"/>
      <w:r w:rsidRPr="00DD68A8">
        <w:rPr>
          <w:szCs w:val="16"/>
          <w:lang w:val="en-US"/>
        </w:rPr>
        <w:t>, the Court considered that the Protocol of San Salvador refer</w:t>
      </w:r>
      <w:r>
        <w:rPr>
          <w:szCs w:val="16"/>
          <w:lang w:val="en-US"/>
        </w:rPr>
        <w:t>red</w:t>
      </w:r>
      <w:r w:rsidRPr="00246DE1">
        <w:rPr>
          <w:szCs w:val="16"/>
          <w:lang w:val="en-US"/>
        </w:rPr>
        <w:t xml:space="preserve"> to the realization of the rights in a context of the development of the health system</w:t>
      </w:r>
      <w:r w:rsidRPr="00316B86">
        <w:rPr>
          <w:b/>
          <w:bCs/>
          <w:szCs w:val="16"/>
          <w:lang w:val="en-US"/>
        </w:rPr>
        <w:t xml:space="preserve">, </w:t>
      </w:r>
      <w:r w:rsidRPr="00316B86">
        <w:rPr>
          <w:szCs w:val="16"/>
          <w:lang w:val="en-US"/>
        </w:rPr>
        <w:t xml:space="preserve">and also that health goods and services should be appropriate from a medical and scientific perspective. </w:t>
      </w:r>
      <w:r w:rsidRPr="00316B86">
        <w:rPr>
          <w:i/>
          <w:szCs w:val="16"/>
          <w:lang w:val="en-US"/>
        </w:rPr>
        <w:t>Cf.</w:t>
      </w:r>
      <w:r w:rsidRPr="00316B86">
        <w:rPr>
          <w:b/>
          <w:bCs/>
          <w:szCs w:val="16"/>
          <w:lang w:val="en-US"/>
        </w:rPr>
        <w:t xml:space="preserve"> </w:t>
      </w:r>
      <w:r w:rsidRPr="00316B86">
        <w:rPr>
          <w:rStyle w:val="Textoennegrita"/>
          <w:b w:val="0"/>
          <w:bCs w:val="0"/>
          <w:i/>
          <w:color w:val="000000"/>
          <w:szCs w:val="16"/>
          <w:shd w:val="clear" w:color="auto" w:fill="FFFFFF"/>
          <w:lang w:val="en-US"/>
        </w:rPr>
        <w:t xml:space="preserve">Case of Gonzales </w:t>
      </w:r>
      <w:proofErr w:type="spellStart"/>
      <w:r w:rsidRPr="00316B86">
        <w:rPr>
          <w:rStyle w:val="Textoennegrita"/>
          <w:b w:val="0"/>
          <w:bCs w:val="0"/>
          <w:i/>
          <w:color w:val="000000"/>
          <w:szCs w:val="16"/>
          <w:shd w:val="clear" w:color="auto" w:fill="FFFFFF"/>
          <w:lang w:val="en-US"/>
        </w:rPr>
        <w:t>Lluy</w:t>
      </w:r>
      <w:proofErr w:type="spellEnd"/>
      <w:r w:rsidRPr="00316B86">
        <w:rPr>
          <w:rStyle w:val="Textoennegrita"/>
          <w:b w:val="0"/>
          <w:bCs w:val="0"/>
          <w:i/>
          <w:color w:val="000000"/>
          <w:szCs w:val="16"/>
          <w:shd w:val="clear" w:color="auto" w:fill="FFFFFF"/>
          <w:lang w:val="en-US"/>
        </w:rPr>
        <w:t xml:space="preserve"> et al. v. Ecuador. Preliminary objections merits, reparations and costs</w:t>
      </w:r>
      <w:r w:rsidRPr="00316B86">
        <w:rPr>
          <w:rStyle w:val="Textoennegrita"/>
          <w:b w:val="0"/>
          <w:bCs w:val="0"/>
          <w:color w:val="000000"/>
          <w:szCs w:val="16"/>
          <w:shd w:val="clear" w:color="auto" w:fill="FFFFFF"/>
          <w:lang w:val="en-US"/>
        </w:rPr>
        <w:t>. Judgment of September 1, 2015. Series C No. 298, para. 172 and footnote 202.</w:t>
      </w:r>
      <w:r w:rsidRPr="00316B86">
        <w:rPr>
          <w:rStyle w:val="Textoennegrita"/>
          <w:b w:val="0"/>
          <w:bCs w:val="0"/>
          <w:color w:val="000000"/>
          <w:shd w:val="clear" w:color="auto" w:fill="FFFFFF"/>
          <w:lang w:val="en-US"/>
        </w:rPr>
        <w:t xml:space="preserve"> </w:t>
      </w:r>
      <w:r w:rsidRPr="00316B86">
        <w:rPr>
          <w:rStyle w:val="Textoennegrita"/>
          <w:b w:val="0"/>
          <w:bCs w:val="0"/>
          <w:color w:val="000000"/>
          <w:szCs w:val="16"/>
          <w:shd w:val="clear" w:color="auto" w:fill="FFFFFF"/>
          <w:lang w:val="en-US"/>
        </w:rPr>
        <w:t xml:space="preserve">In </w:t>
      </w:r>
      <w:r w:rsidRPr="00316B86">
        <w:rPr>
          <w:rStyle w:val="Textoennegrita"/>
          <w:b w:val="0"/>
          <w:bCs w:val="0"/>
          <w:i/>
          <w:color w:val="000000"/>
          <w:szCs w:val="16"/>
          <w:shd w:val="clear" w:color="auto" w:fill="FFFFFF"/>
          <w:lang w:val="en-US"/>
        </w:rPr>
        <w:t xml:space="preserve">Poblete </w:t>
      </w:r>
      <w:proofErr w:type="spellStart"/>
      <w:r w:rsidRPr="00316B86">
        <w:rPr>
          <w:rStyle w:val="Textoennegrita"/>
          <w:b w:val="0"/>
          <w:bCs w:val="0"/>
          <w:i/>
          <w:color w:val="000000"/>
          <w:szCs w:val="16"/>
          <w:shd w:val="clear" w:color="auto" w:fill="FFFFFF"/>
          <w:lang w:val="en-US"/>
        </w:rPr>
        <w:t>Vilches</w:t>
      </w:r>
      <w:proofErr w:type="spellEnd"/>
      <w:r w:rsidRPr="00316B86">
        <w:rPr>
          <w:rStyle w:val="Textoennegrita"/>
          <w:b w:val="0"/>
          <w:bCs w:val="0"/>
          <w:color w:val="000000"/>
          <w:szCs w:val="16"/>
          <w:shd w:val="clear" w:color="auto" w:fill="FFFFFF"/>
          <w:lang w:val="en-US"/>
        </w:rPr>
        <w:t xml:space="preserve">, the Court used these indicators in light of Article 26 of the American Convention and to establish the existence of a prohibition of </w:t>
      </w:r>
      <w:proofErr w:type="spellStart"/>
      <w:r w:rsidRPr="00316B86">
        <w:rPr>
          <w:rStyle w:val="Textoennegrita"/>
          <w:b w:val="0"/>
          <w:bCs w:val="0"/>
          <w:color w:val="000000"/>
          <w:szCs w:val="16"/>
          <w:shd w:val="clear" w:color="auto" w:fill="FFFFFF"/>
          <w:lang w:val="en-US"/>
        </w:rPr>
        <w:t>retrogressivity</w:t>
      </w:r>
      <w:proofErr w:type="spellEnd"/>
      <w:r w:rsidRPr="00316B86">
        <w:rPr>
          <w:rStyle w:val="Textoennegrita"/>
          <w:b w:val="0"/>
          <w:bCs w:val="0"/>
          <w:color w:val="000000"/>
          <w:szCs w:val="16"/>
          <w:shd w:val="clear" w:color="auto" w:fill="FFFFFF"/>
          <w:lang w:val="en-US"/>
        </w:rPr>
        <w:t xml:space="preserve"> in relation to the realization achieved in these rights. </w:t>
      </w:r>
      <w:r w:rsidRPr="00316B86">
        <w:rPr>
          <w:rStyle w:val="Textoennegrita"/>
          <w:b w:val="0"/>
          <w:bCs w:val="0"/>
          <w:i/>
          <w:color w:val="000000"/>
          <w:szCs w:val="16"/>
          <w:shd w:val="clear" w:color="auto" w:fill="FFFFFF"/>
          <w:lang w:val="en-US"/>
        </w:rPr>
        <w:t xml:space="preserve">Cf. Case of Poblete </w:t>
      </w:r>
      <w:proofErr w:type="spellStart"/>
      <w:r w:rsidRPr="00316B86">
        <w:rPr>
          <w:rStyle w:val="Textoennegrita"/>
          <w:b w:val="0"/>
          <w:bCs w:val="0"/>
          <w:i/>
          <w:color w:val="000000"/>
          <w:szCs w:val="16"/>
          <w:shd w:val="clear" w:color="auto" w:fill="FFFFFF"/>
          <w:lang w:val="en-US"/>
        </w:rPr>
        <w:t>Vilches</w:t>
      </w:r>
      <w:proofErr w:type="spellEnd"/>
      <w:r w:rsidRPr="00316B86">
        <w:rPr>
          <w:rStyle w:val="Textoennegrita"/>
          <w:b w:val="0"/>
          <w:bCs w:val="0"/>
          <w:i/>
          <w:color w:val="000000"/>
          <w:szCs w:val="16"/>
          <w:shd w:val="clear" w:color="auto" w:fill="FFFFFF"/>
          <w:lang w:val="en-US"/>
        </w:rPr>
        <w:t xml:space="preserve"> et al. v. Chile. Merits, reparations and costs</w:t>
      </w:r>
      <w:r w:rsidRPr="00316B86">
        <w:rPr>
          <w:rStyle w:val="Textoennegrita"/>
          <w:b w:val="0"/>
          <w:bCs w:val="0"/>
          <w:color w:val="000000"/>
          <w:szCs w:val="16"/>
          <w:shd w:val="clear" w:color="auto" w:fill="FFFFFF"/>
          <w:lang w:val="en-US"/>
        </w:rPr>
        <w:t>. Judgment of March 8, 2018. Series C No. 349, paras. 104 and footnote 133.</w:t>
      </w:r>
    </w:p>
  </w:footnote>
  <w:footnote w:id="387">
    <w:p w14:paraId="5BD85882" w14:textId="77777777" w:rsidR="00AF5CC6" w:rsidRPr="00316B86" w:rsidRDefault="00AF5CC6" w:rsidP="00C36F0E">
      <w:pPr>
        <w:pStyle w:val="Textonotapie"/>
        <w:rPr>
          <w:szCs w:val="16"/>
          <w:lang w:val="en-US"/>
        </w:rPr>
      </w:pPr>
      <w:r w:rsidRPr="00316B86">
        <w:rPr>
          <w:rStyle w:val="Refdenotaalpie"/>
          <w:szCs w:val="16"/>
          <w:lang w:val="en-US"/>
        </w:rPr>
        <w:footnoteRef/>
      </w:r>
      <w:r w:rsidRPr="00316B86">
        <w:rPr>
          <w:szCs w:val="16"/>
          <w:lang w:val="en-US"/>
        </w:rPr>
        <w:t xml:space="preserve"> </w:t>
      </w:r>
      <w:r w:rsidRPr="00316B86">
        <w:rPr>
          <w:szCs w:val="16"/>
          <w:lang w:val="en-US"/>
        </w:rPr>
        <w:tab/>
      </w:r>
      <w:r w:rsidRPr="00316B86">
        <w:rPr>
          <w:i/>
          <w:szCs w:val="16"/>
          <w:lang w:val="en-US"/>
        </w:rPr>
        <w:t xml:space="preserve">Op. cit. </w:t>
      </w:r>
      <w:r w:rsidRPr="00316B86">
        <w:rPr>
          <w:szCs w:val="16"/>
          <w:lang w:val="en-US"/>
        </w:rPr>
        <w:t>AG/RES. 2713 (XLII-O/12), point 5.</w:t>
      </w:r>
    </w:p>
  </w:footnote>
  <w:footnote w:id="388">
    <w:p w14:paraId="15C86425" w14:textId="77777777" w:rsidR="00AF5CC6" w:rsidRPr="00246DE1" w:rsidRDefault="00AF5CC6" w:rsidP="00C36F0E">
      <w:pPr>
        <w:pStyle w:val="Textonotapie"/>
        <w:rPr>
          <w:bCs/>
          <w:i/>
          <w:color w:val="000000"/>
          <w:szCs w:val="16"/>
          <w:shd w:val="clear" w:color="auto" w:fill="FFFFFF"/>
          <w:lang w:val="en-US"/>
        </w:rPr>
      </w:pPr>
      <w:r w:rsidRPr="00316B86">
        <w:rPr>
          <w:rStyle w:val="Refdenotaalpie"/>
          <w:szCs w:val="16"/>
          <w:lang w:val="en-US"/>
        </w:rPr>
        <w:footnoteRef/>
      </w:r>
      <w:r w:rsidRPr="00316B86">
        <w:rPr>
          <w:szCs w:val="16"/>
          <w:lang w:val="en-US"/>
        </w:rPr>
        <w:t xml:space="preserve"> </w:t>
      </w:r>
      <w:r w:rsidRPr="00316B86">
        <w:rPr>
          <w:szCs w:val="16"/>
          <w:lang w:val="en-US"/>
        </w:rPr>
        <w:tab/>
      </w:r>
      <w:r w:rsidRPr="00316B86">
        <w:rPr>
          <w:i/>
          <w:szCs w:val="16"/>
          <w:lang w:val="en-US"/>
        </w:rPr>
        <w:t>Cf.</w:t>
      </w:r>
      <w:r w:rsidRPr="00316B86">
        <w:rPr>
          <w:b/>
          <w:bCs/>
          <w:i/>
          <w:szCs w:val="16"/>
          <w:lang w:val="en-US"/>
        </w:rPr>
        <w:t xml:space="preserve"> </w:t>
      </w:r>
      <w:r w:rsidRPr="00316B86">
        <w:rPr>
          <w:rStyle w:val="Textoennegrita"/>
          <w:b w:val="0"/>
          <w:bCs w:val="0"/>
          <w:i/>
          <w:color w:val="000000"/>
          <w:szCs w:val="16"/>
          <w:shd w:val="clear" w:color="auto" w:fill="FFFFFF"/>
          <w:lang w:val="en-US"/>
        </w:rPr>
        <w:t xml:space="preserve">Case of </w:t>
      </w:r>
      <w:proofErr w:type="spellStart"/>
      <w:r w:rsidRPr="00316B86">
        <w:rPr>
          <w:rStyle w:val="Textoennegrita"/>
          <w:b w:val="0"/>
          <w:bCs w:val="0"/>
          <w:i/>
          <w:color w:val="000000"/>
          <w:szCs w:val="16"/>
          <w:shd w:val="clear" w:color="auto" w:fill="FFFFFF"/>
          <w:lang w:val="en-US"/>
        </w:rPr>
        <w:t>Cuscul</w:t>
      </w:r>
      <w:proofErr w:type="spellEnd"/>
      <w:r w:rsidRPr="00316B86">
        <w:rPr>
          <w:rStyle w:val="Textoennegrita"/>
          <w:b w:val="0"/>
          <w:bCs w:val="0"/>
          <w:i/>
          <w:color w:val="000000"/>
          <w:szCs w:val="16"/>
          <w:shd w:val="clear" w:color="auto" w:fill="FFFFFF"/>
          <w:lang w:val="en-US"/>
        </w:rPr>
        <w:t xml:space="preserve"> </w:t>
      </w:r>
      <w:proofErr w:type="spellStart"/>
      <w:r w:rsidRPr="00316B86">
        <w:rPr>
          <w:rStyle w:val="Textoennegrita"/>
          <w:b w:val="0"/>
          <w:bCs w:val="0"/>
          <w:i/>
          <w:color w:val="000000"/>
          <w:szCs w:val="16"/>
          <w:shd w:val="clear" w:color="auto" w:fill="FFFFFF"/>
          <w:lang w:val="en-US"/>
        </w:rPr>
        <w:t>Pivaral</w:t>
      </w:r>
      <w:proofErr w:type="spellEnd"/>
      <w:r w:rsidRPr="00316B86">
        <w:rPr>
          <w:rStyle w:val="Textoennegrita"/>
          <w:b w:val="0"/>
          <w:bCs w:val="0"/>
          <w:i/>
          <w:color w:val="000000"/>
          <w:szCs w:val="16"/>
          <w:shd w:val="clear" w:color="auto" w:fill="FFFFFF"/>
          <w:lang w:val="en-US"/>
        </w:rPr>
        <w:t xml:space="preserve"> et al. v. Guatemala. Preliminary objection, merits, reparations and costs. </w:t>
      </w:r>
      <w:r w:rsidRPr="00316B86">
        <w:rPr>
          <w:rStyle w:val="Textoennegrita"/>
          <w:b w:val="0"/>
          <w:bCs w:val="0"/>
          <w:color w:val="000000"/>
          <w:szCs w:val="16"/>
          <w:shd w:val="clear" w:color="auto" w:fill="FFFFFF"/>
          <w:lang w:val="en-US"/>
        </w:rPr>
        <w:t>Judgment of August 23, 2018. Series C No. 359, para. 89.</w:t>
      </w:r>
    </w:p>
  </w:footnote>
  <w:footnote w:id="389">
    <w:p w14:paraId="43B6AF04" w14:textId="77777777" w:rsidR="00AF5CC6" w:rsidRPr="00246DE1" w:rsidRDefault="00AF5CC6" w:rsidP="00C36F0E">
      <w:pPr>
        <w:tabs>
          <w:tab w:val="left" w:pos="720"/>
          <w:tab w:val="center" w:pos="4680"/>
        </w:tabs>
        <w:suppressAutoHyphens/>
        <w:spacing w:after="120"/>
        <w:rPr>
          <w:sz w:val="16"/>
          <w:szCs w:val="16"/>
          <w:lang w:val="en-US"/>
        </w:rPr>
      </w:pPr>
      <w:r w:rsidRPr="00246DE1">
        <w:rPr>
          <w:rStyle w:val="Refdenotaalpie"/>
          <w:sz w:val="16"/>
          <w:szCs w:val="16"/>
          <w:lang w:val="en-US"/>
        </w:rPr>
        <w:footnoteRef/>
      </w:r>
      <w:r w:rsidRPr="00246DE1">
        <w:rPr>
          <w:sz w:val="16"/>
          <w:szCs w:val="16"/>
          <w:lang w:val="en-US"/>
        </w:rPr>
        <w:t xml:space="preserve"> </w:t>
      </w:r>
      <w:r w:rsidRPr="00246DE1">
        <w:rPr>
          <w:sz w:val="16"/>
          <w:szCs w:val="16"/>
          <w:lang w:val="en-US"/>
        </w:rPr>
        <w:tab/>
      </w:r>
      <w:r w:rsidRPr="00246DE1">
        <w:rPr>
          <w:sz w:val="16"/>
          <w:szCs w:val="16"/>
          <w:lang w:val="en-US"/>
        </w:rPr>
        <w:tab/>
      </w:r>
      <w:r w:rsidRPr="00246DE1">
        <w:rPr>
          <w:rFonts w:cs="Times New Roman"/>
          <w:sz w:val="16"/>
          <w:szCs w:val="16"/>
          <w:lang w:val="en-US"/>
        </w:rPr>
        <w:t xml:space="preserve">In this regard, when examining the general obligation of progressivity in its General Comment No. 3 (1991), the CESCR indicated that: </w:t>
      </w:r>
      <w:bookmarkStart w:id="151" w:name="_Hlk6043863"/>
      <w:r w:rsidRPr="00246DE1">
        <w:rPr>
          <w:rFonts w:cs="Times New Roman"/>
          <w:sz w:val="16"/>
          <w:szCs w:val="16"/>
          <w:lang w:val="en-US"/>
        </w:rPr>
        <w:t>“</w:t>
      </w:r>
      <w:r w:rsidRPr="00246DE1">
        <w:rPr>
          <w:sz w:val="16"/>
          <w:szCs w:val="16"/>
          <w:shd w:val="clear" w:color="auto" w:fill="FFFFFF"/>
          <w:lang w:val="en-US"/>
        </w:rPr>
        <w:t xml:space="preserve">[…] </w:t>
      </w:r>
      <w:r w:rsidRPr="00246DE1">
        <w:rPr>
          <w:sz w:val="16"/>
          <w:szCs w:val="16"/>
          <w:lang w:val="en-US"/>
        </w:rPr>
        <w:t xml:space="preserve">any </w:t>
      </w:r>
      <w:r w:rsidRPr="00246DE1">
        <w:rPr>
          <w:i/>
          <w:sz w:val="16"/>
          <w:szCs w:val="16"/>
          <w:lang w:val="en-US"/>
        </w:rPr>
        <w:t>deliberately retrogressive measures</w:t>
      </w:r>
      <w:r w:rsidRPr="00246DE1">
        <w:rPr>
          <w:sz w:val="16"/>
          <w:szCs w:val="16"/>
          <w:lang w:val="en-US"/>
        </w:rPr>
        <w:t xml:space="preserve"> […] would require the most careful consideration and would need to be fully justified by reference to the totality of the rights provided for in the Covenant and in the context of the full use of the maximum available resources.” This interpretation by the CESCR has been reiterated in recent comments, such as General Comment </w:t>
      </w:r>
      <w:r w:rsidRPr="00246DE1">
        <w:rPr>
          <w:sz w:val="16"/>
          <w:szCs w:val="16"/>
          <w:shd w:val="clear" w:color="auto" w:fill="FFFFFF"/>
          <w:lang w:val="en-US"/>
        </w:rPr>
        <w:t>No. 23 (2016) when it indicate</w:t>
      </w:r>
      <w:r>
        <w:rPr>
          <w:sz w:val="16"/>
          <w:szCs w:val="16"/>
          <w:shd w:val="clear" w:color="auto" w:fill="FFFFFF"/>
          <w:lang w:val="en-US"/>
        </w:rPr>
        <w:t>d</w:t>
      </w:r>
      <w:r w:rsidRPr="00246DE1">
        <w:rPr>
          <w:sz w:val="16"/>
          <w:szCs w:val="16"/>
          <w:shd w:val="clear" w:color="auto" w:fill="FFFFFF"/>
          <w:lang w:val="en-US"/>
        </w:rPr>
        <w:t xml:space="preserve"> that: ”</w:t>
      </w:r>
      <w:r w:rsidRPr="00246DE1">
        <w:rPr>
          <w:rFonts w:cs="Arial"/>
          <w:sz w:val="16"/>
          <w:szCs w:val="16"/>
          <w:lang w:val="en-US"/>
        </w:rPr>
        <w:t xml:space="preserve">State parties should avoid taking any </w:t>
      </w:r>
      <w:r w:rsidRPr="00246DE1">
        <w:rPr>
          <w:rStyle w:val="highlight"/>
          <w:rFonts w:cs="Arial"/>
          <w:sz w:val="16"/>
          <w:szCs w:val="16"/>
          <w:lang w:val="en-US"/>
        </w:rPr>
        <w:t>deliber</w:t>
      </w:r>
      <w:r w:rsidRPr="00246DE1">
        <w:rPr>
          <w:rFonts w:cs="Arial"/>
          <w:sz w:val="16"/>
          <w:szCs w:val="16"/>
          <w:lang w:val="en-US"/>
        </w:rPr>
        <w:t>ately retrogressive measure without careful consideration and justification</w:t>
      </w:r>
      <w:r w:rsidRPr="00246DE1">
        <w:rPr>
          <w:sz w:val="16"/>
          <w:szCs w:val="16"/>
          <w:lang w:val="en-US"/>
        </w:rPr>
        <w:t>.</w:t>
      </w:r>
      <w:r w:rsidRPr="00246DE1">
        <w:rPr>
          <w:sz w:val="16"/>
          <w:szCs w:val="16"/>
          <w:shd w:val="clear" w:color="auto" w:fill="FFFFFF"/>
          <w:lang w:val="en-US"/>
        </w:rPr>
        <w:t>”  See</w:t>
      </w:r>
      <w:r w:rsidRPr="00246DE1">
        <w:rPr>
          <w:i/>
          <w:sz w:val="16"/>
          <w:szCs w:val="16"/>
          <w:shd w:val="clear" w:color="auto" w:fill="FFFFFF"/>
          <w:lang w:val="en-US"/>
        </w:rPr>
        <w:t xml:space="preserve">, </w:t>
      </w:r>
      <w:r w:rsidRPr="00246DE1">
        <w:rPr>
          <w:sz w:val="16"/>
          <w:szCs w:val="16"/>
          <w:shd w:val="clear" w:color="auto" w:fill="FFFFFF"/>
          <w:lang w:val="en-US"/>
        </w:rPr>
        <w:t xml:space="preserve">CESCR, General Comment No. 3, </w:t>
      </w:r>
      <w:r w:rsidRPr="00246DE1">
        <w:rPr>
          <w:i/>
          <w:sz w:val="16"/>
          <w:szCs w:val="16"/>
          <w:lang w:val="en-US"/>
        </w:rPr>
        <w:t xml:space="preserve">The Nature of States Parties’ Obligations (Art. 2, Para. 1, of the </w:t>
      </w:r>
      <w:r w:rsidRPr="00246DE1">
        <w:rPr>
          <w:bCs/>
          <w:i/>
          <w:sz w:val="16"/>
          <w:szCs w:val="16"/>
          <w:lang w:val="en-US"/>
        </w:rPr>
        <w:t>Covenant)</w:t>
      </w:r>
      <w:r w:rsidRPr="00246DE1">
        <w:rPr>
          <w:bCs/>
          <w:sz w:val="16"/>
          <w:szCs w:val="16"/>
          <w:lang w:val="en-US"/>
        </w:rPr>
        <w:t>, January 1, 1990, para. 9, and</w:t>
      </w:r>
      <w:r w:rsidRPr="00246DE1">
        <w:rPr>
          <w:sz w:val="16"/>
          <w:szCs w:val="16"/>
          <w:shd w:val="clear" w:color="auto" w:fill="FFFFFF"/>
          <w:lang w:val="en-US"/>
        </w:rPr>
        <w:t xml:space="preserve"> CESCR,</w:t>
      </w:r>
      <w:r w:rsidRPr="00246DE1">
        <w:rPr>
          <w:sz w:val="16"/>
          <w:szCs w:val="16"/>
          <w:lang w:val="en-US"/>
        </w:rPr>
        <w:t xml:space="preserve"> General Comment No. 23</w:t>
      </w:r>
      <w:r w:rsidRPr="00246DE1">
        <w:rPr>
          <w:i/>
          <w:sz w:val="16"/>
          <w:szCs w:val="16"/>
          <w:lang w:val="en-US"/>
        </w:rPr>
        <w:t xml:space="preserve"> </w:t>
      </w:r>
      <w:r w:rsidRPr="00246DE1">
        <w:rPr>
          <w:rFonts w:cs="Arial"/>
          <w:i/>
          <w:sz w:val="16"/>
          <w:szCs w:val="16"/>
          <w:lang w:val="en-US"/>
        </w:rPr>
        <w:t>on the right to just and favourable conditions of work (article</w:t>
      </w:r>
      <w:r>
        <w:rPr>
          <w:rFonts w:cs="Arial"/>
          <w:i/>
          <w:sz w:val="16"/>
          <w:szCs w:val="16"/>
          <w:lang w:val="en-US"/>
        </w:rPr>
        <w:t xml:space="preserve"> </w:t>
      </w:r>
      <w:r w:rsidRPr="00246DE1">
        <w:rPr>
          <w:rFonts w:cs="Arial"/>
          <w:i/>
          <w:sz w:val="16"/>
          <w:szCs w:val="16"/>
          <w:lang w:val="en-US"/>
        </w:rPr>
        <w:t>7 of the International Covenant on Economic, Social and Cultural Rights</w:t>
      </w:r>
      <w:r w:rsidRPr="00246DE1">
        <w:rPr>
          <w:sz w:val="16"/>
          <w:szCs w:val="16"/>
          <w:lang w:val="en-US"/>
        </w:rPr>
        <w:t>), E/C.12/GC/23,  April 26, 2016</w:t>
      </w:r>
      <w:bookmarkEnd w:id="151"/>
      <w:r w:rsidRPr="00246DE1">
        <w:rPr>
          <w:sz w:val="16"/>
          <w:szCs w:val="16"/>
          <w:lang w:val="en-US"/>
        </w:rPr>
        <w:t>, para. 52.</w:t>
      </w:r>
    </w:p>
  </w:footnote>
  <w:footnote w:id="390">
    <w:p w14:paraId="5265028C" w14:textId="77777777" w:rsidR="00AF5CC6" w:rsidRPr="00246DE1" w:rsidRDefault="00AF5CC6" w:rsidP="00C36F0E">
      <w:pPr>
        <w:pStyle w:val="Textonotapie"/>
        <w:rPr>
          <w:szCs w:val="16"/>
          <w:lang w:val="en-US"/>
        </w:rPr>
      </w:pPr>
      <w:r w:rsidRPr="00246DE1">
        <w:rPr>
          <w:rStyle w:val="Refdenotaalpie"/>
          <w:szCs w:val="16"/>
          <w:lang w:val="en-US"/>
        </w:rPr>
        <w:footnoteRef/>
      </w:r>
      <w:r w:rsidRPr="00246DE1">
        <w:rPr>
          <w:szCs w:val="16"/>
          <w:lang w:val="en-US"/>
        </w:rPr>
        <w:t xml:space="preserve"> </w:t>
      </w:r>
      <w:r w:rsidRPr="00246DE1">
        <w:rPr>
          <w:szCs w:val="16"/>
          <w:lang w:val="en-US"/>
        </w:rPr>
        <w:tab/>
        <w:t>“Article 13. I. The rights recognized by the Constitution are inviolable, universal, interdependent, indivisible and progressive. The State has the obligation to promote them, protect them and respect them. […].”  Constitution of the State</w:t>
      </w:r>
      <w:r>
        <w:rPr>
          <w:szCs w:val="16"/>
          <w:lang w:val="en-US"/>
        </w:rPr>
        <w:t>, p</w:t>
      </w:r>
      <w:r w:rsidRPr="00246DE1">
        <w:rPr>
          <w:szCs w:val="16"/>
          <w:lang w:val="en-US"/>
        </w:rPr>
        <w:t xml:space="preserve">romulgated on February 7, 2009. Constituent Assembly of Bolivia. </w:t>
      </w:r>
    </w:p>
  </w:footnote>
  <w:footnote w:id="391">
    <w:p w14:paraId="081F8363" w14:textId="77777777" w:rsidR="00AF5CC6" w:rsidRPr="00246DE1" w:rsidRDefault="00AF5CC6" w:rsidP="00C36F0E">
      <w:pPr>
        <w:pStyle w:val="Textonotapie"/>
        <w:rPr>
          <w:szCs w:val="16"/>
          <w:lang w:val="en-US"/>
        </w:rPr>
      </w:pPr>
      <w:r w:rsidRPr="00246DE1">
        <w:rPr>
          <w:rStyle w:val="Refdenotaalpie"/>
          <w:szCs w:val="16"/>
          <w:lang w:val="en-US"/>
        </w:rPr>
        <w:footnoteRef/>
      </w:r>
      <w:r w:rsidRPr="00246DE1">
        <w:rPr>
          <w:szCs w:val="16"/>
          <w:lang w:val="en-US"/>
        </w:rPr>
        <w:t xml:space="preserve"> </w:t>
      </w:r>
      <w:r w:rsidRPr="00246DE1">
        <w:rPr>
          <w:szCs w:val="16"/>
          <w:lang w:val="en-US"/>
        </w:rPr>
        <w:tab/>
        <w:t>“Article 11. The exercise of the rights shall be governed by the following principles: […] 8. The content of the rights shall be developed progressively through laws, jurisprudence and public policies. The State shall create and guarantee the necessary conditions for their full recognition and exercise. Any act or omission of a retrogressive nature that unjustifiably reduces, impairs or annuls the exercise of the rights shall be unconstitutional […].” Constitution of the Republic of Ecuador, published</w:t>
      </w:r>
      <w:r>
        <w:rPr>
          <w:szCs w:val="16"/>
          <w:lang w:val="en-US"/>
        </w:rPr>
        <w:t xml:space="preserve"> </w:t>
      </w:r>
      <w:r w:rsidRPr="00246DE1">
        <w:rPr>
          <w:szCs w:val="16"/>
          <w:lang w:val="en-US"/>
        </w:rPr>
        <w:t>in the official gazette on October 20, 2008</w:t>
      </w:r>
      <w:r>
        <w:rPr>
          <w:szCs w:val="16"/>
          <w:lang w:val="en-US"/>
        </w:rPr>
        <w:t>.</w:t>
      </w:r>
    </w:p>
  </w:footnote>
  <w:footnote w:id="392">
    <w:p w14:paraId="3C002E3A" w14:textId="77777777" w:rsidR="00AF5CC6" w:rsidRPr="00246DE1" w:rsidRDefault="00AF5CC6" w:rsidP="00C36F0E">
      <w:pPr>
        <w:pStyle w:val="Textonotapie"/>
        <w:rPr>
          <w:szCs w:val="16"/>
          <w:lang w:val="en-US"/>
        </w:rPr>
      </w:pPr>
      <w:r w:rsidRPr="00246DE1">
        <w:rPr>
          <w:rStyle w:val="Refdenotaalpie"/>
          <w:szCs w:val="16"/>
          <w:lang w:val="en-US"/>
        </w:rPr>
        <w:footnoteRef/>
      </w:r>
      <w:r w:rsidRPr="00246DE1">
        <w:rPr>
          <w:szCs w:val="16"/>
          <w:lang w:val="en-US"/>
        </w:rPr>
        <w:t xml:space="preserve"> </w:t>
      </w:r>
      <w:r w:rsidRPr="00246DE1">
        <w:rPr>
          <w:szCs w:val="16"/>
          <w:lang w:val="en-US"/>
        </w:rPr>
        <w:tab/>
        <w:t xml:space="preserve">“Article 1. […] All the authorities, within their area of competence, have the obligation to promote, respect, protect and guarantee the human rights in accordance with the principles of universality, interdependence, indivisibility and progressivity. Consequently, the State shall prevent, investigate, punish and repair human rights violations as established by law. […].” Constitution of the United Mexican States. Published in the federal official gazette on September 15, 2017. </w:t>
      </w:r>
    </w:p>
  </w:footnote>
  <w:footnote w:id="393">
    <w:p w14:paraId="6DFA48ED" w14:textId="77777777" w:rsidR="00AF5CC6" w:rsidRPr="00246DE1" w:rsidRDefault="00AF5CC6" w:rsidP="00C36F0E">
      <w:pPr>
        <w:pStyle w:val="Textonotapie"/>
        <w:rPr>
          <w:szCs w:val="16"/>
          <w:lang w:val="en-US"/>
        </w:rPr>
      </w:pPr>
      <w:r w:rsidRPr="00246DE1">
        <w:rPr>
          <w:rStyle w:val="Refdenotaalpie"/>
          <w:szCs w:val="16"/>
          <w:lang w:val="en-US"/>
        </w:rPr>
        <w:footnoteRef/>
      </w:r>
      <w:r w:rsidRPr="00246DE1">
        <w:rPr>
          <w:szCs w:val="16"/>
          <w:lang w:val="en-US"/>
        </w:rPr>
        <w:t xml:space="preserve"> </w:t>
      </w:r>
      <w:r w:rsidRPr="00246DE1">
        <w:rPr>
          <w:szCs w:val="16"/>
          <w:lang w:val="en-US"/>
        </w:rPr>
        <w:tab/>
        <w:t xml:space="preserve">“Article 8. Essential function of the State. An essential function of the State is: the effective protection of the rights of the individual, respect for </w:t>
      </w:r>
      <w:r>
        <w:rPr>
          <w:szCs w:val="16"/>
          <w:lang w:val="en-US"/>
        </w:rPr>
        <w:t>his or her</w:t>
      </w:r>
      <w:r w:rsidRPr="00246DE1">
        <w:rPr>
          <w:szCs w:val="16"/>
          <w:lang w:val="en-US"/>
        </w:rPr>
        <w:t xml:space="preserve"> dignity and creation of means that allow the</w:t>
      </w:r>
      <w:r>
        <w:rPr>
          <w:szCs w:val="16"/>
          <w:lang w:val="en-US"/>
        </w:rPr>
        <w:t xml:space="preserve"> rights</w:t>
      </w:r>
      <w:r w:rsidRPr="00246DE1">
        <w:rPr>
          <w:szCs w:val="16"/>
          <w:lang w:val="en-US"/>
        </w:rPr>
        <w:t xml:space="preserve"> to be realized in an egalitarian, equitable and progressive manner, within a framework of individual liberty and social justice, compatible with public order, general well-being and the rights of </w:t>
      </w:r>
      <w:r>
        <w:rPr>
          <w:szCs w:val="16"/>
          <w:lang w:val="en-US"/>
        </w:rPr>
        <w:t>everyone</w:t>
      </w:r>
      <w:r w:rsidRPr="00246DE1">
        <w:rPr>
          <w:szCs w:val="16"/>
          <w:lang w:val="en-US"/>
        </w:rPr>
        <w:t xml:space="preserve">.” Constitution of the Dominican Republic. Published in the official </w:t>
      </w:r>
      <w:r>
        <w:rPr>
          <w:szCs w:val="16"/>
          <w:lang w:val="en-US"/>
        </w:rPr>
        <w:t>g</w:t>
      </w:r>
      <w:r w:rsidRPr="00246DE1">
        <w:rPr>
          <w:szCs w:val="16"/>
          <w:lang w:val="en-US"/>
        </w:rPr>
        <w:t>azette on July 10, 2015.</w:t>
      </w:r>
    </w:p>
  </w:footnote>
  <w:footnote w:id="394">
    <w:p w14:paraId="35CC8E7B" w14:textId="77777777" w:rsidR="00AF5CC6" w:rsidRPr="00246DE1" w:rsidRDefault="00AF5CC6" w:rsidP="00C36F0E">
      <w:pPr>
        <w:pStyle w:val="Textonotapie"/>
        <w:rPr>
          <w:szCs w:val="16"/>
          <w:lang w:val="en-US"/>
        </w:rPr>
      </w:pPr>
      <w:r w:rsidRPr="00246DE1">
        <w:rPr>
          <w:rStyle w:val="Refdenotaalpie"/>
          <w:szCs w:val="16"/>
          <w:lang w:val="en-US"/>
        </w:rPr>
        <w:footnoteRef/>
      </w:r>
      <w:r w:rsidRPr="00246DE1">
        <w:rPr>
          <w:szCs w:val="16"/>
          <w:lang w:val="en-US"/>
        </w:rPr>
        <w:t xml:space="preserve"> </w:t>
      </w:r>
      <w:r w:rsidRPr="00246DE1">
        <w:rPr>
          <w:szCs w:val="16"/>
          <w:lang w:val="en-US"/>
        </w:rPr>
        <w:tab/>
        <w:t>“Article 19. The State shall guarantee to everyone, pursuant to the principle of progressivity and with no discrimination, the irrevocable, indivisible and interdepend</w:t>
      </w:r>
      <w:r>
        <w:rPr>
          <w:szCs w:val="16"/>
          <w:lang w:val="en-US"/>
        </w:rPr>
        <w:t>ent</w:t>
      </w:r>
      <w:r w:rsidRPr="00246DE1">
        <w:rPr>
          <w:szCs w:val="16"/>
          <w:lang w:val="en-US"/>
        </w:rPr>
        <w:t xml:space="preserve"> enjoyment and exercise of human rights. Their respect and guarantee are obligatory for all the organs of Government pursuant to this Constitution, the human rights treaties signed and ratified by the Republic and the laws that develop them.”  Constitution of the Bolivarian Republic of Venezuela</w:t>
      </w:r>
      <w:r>
        <w:rPr>
          <w:szCs w:val="16"/>
          <w:lang w:val="en-US"/>
        </w:rPr>
        <w:t>, a</w:t>
      </w:r>
      <w:r w:rsidRPr="00246DE1">
        <w:rPr>
          <w:szCs w:val="16"/>
          <w:lang w:val="en-US"/>
        </w:rPr>
        <w:t>mended on February 15, 2009.</w:t>
      </w:r>
    </w:p>
  </w:footnote>
  <w:footnote w:id="395">
    <w:p w14:paraId="0382CB32" w14:textId="49A66C6A" w:rsidR="00AF5CC6" w:rsidRDefault="00AF5CC6" w:rsidP="00C36F0E">
      <w:pPr>
        <w:pStyle w:val="Textonotapie"/>
        <w:rPr>
          <w:szCs w:val="16"/>
          <w:lang w:val="en-US"/>
        </w:rPr>
      </w:pPr>
      <w:r w:rsidRPr="00246DE1">
        <w:rPr>
          <w:rStyle w:val="Refdenotaalpie"/>
          <w:szCs w:val="16"/>
          <w:lang w:val="en-US"/>
        </w:rPr>
        <w:footnoteRef/>
      </w:r>
      <w:r w:rsidRPr="00246DE1">
        <w:rPr>
          <w:szCs w:val="16"/>
          <w:lang w:val="en-US"/>
        </w:rPr>
        <w:t xml:space="preserve"> </w:t>
      </w:r>
      <w:r w:rsidRPr="00246DE1">
        <w:rPr>
          <w:szCs w:val="16"/>
          <w:lang w:val="en-US"/>
        </w:rPr>
        <w:tab/>
        <w:t>The principle of progressivity is established in articles 48, 64, 262, 334 and 363 of the Constitution of Colombia, especially the right to social security (article 48) and to land ownership (article 64). See, Constitution of Colombia</w:t>
      </w:r>
      <w:r>
        <w:rPr>
          <w:szCs w:val="16"/>
          <w:lang w:val="en-US"/>
        </w:rPr>
        <w:t>, u</w:t>
      </w:r>
      <w:r w:rsidRPr="00246DE1">
        <w:rPr>
          <w:szCs w:val="16"/>
          <w:lang w:val="en-US"/>
        </w:rPr>
        <w:t>pdated by Legislative Act 2 of 2017.</w:t>
      </w:r>
    </w:p>
    <w:p w14:paraId="1099F1AE" w14:textId="77777777" w:rsidR="00AF5CC6" w:rsidRPr="00246DE1" w:rsidRDefault="00AF5CC6" w:rsidP="00C36F0E">
      <w:pPr>
        <w:pStyle w:val="Textonotapie"/>
        <w:rPr>
          <w:szCs w:val="16"/>
          <w:lang w:val="en-US"/>
        </w:rPr>
      </w:pPr>
    </w:p>
  </w:footnote>
  <w:footnote w:id="396">
    <w:p w14:paraId="4BB9EDB8" w14:textId="77777777" w:rsidR="00AF5CC6" w:rsidRPr="00246DE1" w:rsidRDefault="00AF5CC6" w:rsidP="00C36F0E">
      <w:pPr>
        <w:pStyle w:val="Textonotapie"/>
        <w:rPr>
          <w:szCs w:val="16"/>
          <w:lang w:val="en-US"/>
        </w:rPr>
      </w:pPr>
      <w:r w:rsidRPr="00246DE1">
        <w:rPr>
          <w:rStyle w:val="Refdenotaalpie"/>
          <w:szCs w:val="16"/>
          <w:lang w:val="en-US"/>
        </w:rPr>
        <w:footnoteRef/>
      </w:r>
      <w:r w:rsidRPr="00246DE1">
        <w:rPr>
          <w:szCs w:val="16"/>
          <w:lang w:val="en-US"/>
        </w:rPr>
        <w:t xml:space="preserve"> </w:t>
      </w:r>
      <w:r w:rsidRPr="00246DE1">
        <w:rPr>
          <w:szCs w:val="16"/>
          <w:lang w:val="en-US"/>
        </w:rPr>
        <w:tab/>
        <w:t xml:space="preserve">Article 100 of the Constitution of the Republic of Guatemala establishes the principle of progressivity in relation to the right to social security. “Article 100. Social security. The State recognizes and guarantees the right to social security for the </w:t>
      </w:r>
      <w:r>
        <w:rPr>
          <w:szCs w:val="16"/>
          <w:lang w:val="en-US"/>
        </w:rPr>
        <w:t>b</w:t>
      </w:r>
      <w:r w:rsidRPr="00246DE1">
        <w:rPr>
          <w:szCs w:val="16"/>
          <w:lang w:val="en-US"/>
        </w:rPr>
        <w:t>enefit of the inhabitants of the Nation. Its regime is established as a public function of a national, unitary and obligatory nature. The State, the employers</w:t>
      </w:r>
      <w:r>
        <w:rPr>
          <w:szCs w:val="16"/>
          <w:lang w:val="en-US"/>
        </w:rPr>
        <w:t>,</w:t>
      </w:r>
      <w:r w:rsidRPr="00246DE1">
        <w:rPr>
          <w:szCs w:val="16"/>
          <w:lang w:val="en-US"/>
        </w:rPr>
        <w:t xml:space="preserve"> and the workers covered </w:t>
      </w:r>
      <w:r>
        <w:rPr>
          <w:szCs w:val="16"/>
          <w:lang w:val="en-US"/>
        </w:rPr>
        <w:t>b</w:t>
      </w:r>
      <w:r w:rsidRPr="00246DE1">
        <w:rPr>
          <w:szCs w:val="16"/>
          <w:lang w:val="en-US"/>
        </w:rPr>
        <w:t xml:space="preserve">y the system, with the sole exception of the provisions of article 88 of this Constitution, are obliged to contribute to funding this system and </w:t>
      </w:r>
      <w:r>
        <w:rPr>
          <w:szCs w:val="16"/>
          <w:lang w:val="en-US"/>
        </w:rPr>
        <w:t xml:space="preserve">have </w:t>
      </w:r>
      <w:r w:rsidRPr="00246DE1">
        <w:rPr>
          <w:szCs w:val="16"/>
          <w:lang w:val="en-US"/>
        </w:rPr>
        <w:t>the right to participate in its management, seeking its progressive improvement. […]”. Constitution of the Republic of Guatemala. Amended by legislative act No. 18-93 of November 17, 1993.</w:t>
      </w:r>
    </w:p>
  </w:footnote>
  <w:footnote w:id="397">
    <w:p w14:paraId="36E17A4B" w14:textId="77777777" w:rsidR="00AF5CC6" w:rsidRPr="00246DE1" w:rsidRDefault="00AF5CC6" w:rsidP="00C36F0E">
      <w:pPr>
        <w:pStyle w:val="Textonotapie"/>
        <w:rPr>
          <w:szCs w:val="16"/>
          <w:lang w:val="en-US"/>
        </w:rPr>
      </w:pPr>
      <w:r w:rsidRPr="00246DE1">
        <w:rPr>
          <w:rStyle w:val="Refdenotaalpie"/>
          <w:szCs w:val="16"/>
          <w:lang w:val="en-US"/>
        </w:rPr>
        <w:footnoteRef/>
      </w:r>
      <w:r w:rsidRPr="00246DE1">
        <w:rPr>
          <w:szCs w:val="16"/>
          <w:lang w:val="en-US"/>
        </w:rPr>
        <w:t xml:space="preserve"> </w:t>
      </w:r>
      <w:r w:rsidRPr="00246DE1">
        <w:rPr>
          <w:szCs w:val="16"/>
          <w:lang w:val="en-US"/>
        </w:rPr>
        <w:tab/>
        <w:t>Article 143 of the Constitution of the Republic of Honduras recognizes the progressive implementation of the social security regime. Indirectly, article 179 establishes that the State will promote, support and regulate the creation of systems and mechanisms “for the use of internal and external resources to be channeled towards the solution of the housing problem.” Meanwhile, article 260 establishes as one of the purposes of the decentralized institutions, “social progress and general well-being.” Constitution of Honduras. Updated to Decree 36 of May 4, 2005.</w:t>
      </w:r>
    </w:p>
  </w:footnote>
  <w:footnote w:id="398">
    <w:p w14:paraId="031D6FE8" w14:textId="77777777" w:rsidR="00AF5CC6" w:rsidRPr="00246DE1" w:rsidRDefault="00AF5CC6" w:rsidP="00C36F0E">
      <w:pPr>
        <w:pStyle w:val="Textonotapie"/>
        <w:rPr>
          <w:szCs w:val="16"/>
          <w:lang w:val="en-US"/>
        </w:rPr>
      </w:pPr>
      <w:r w:rsidRPr="00246DE1">
        <w:rPr>
          <w:rStyle w:val="Refdenotaalpie"/>
          <w:szCs w:val="16"/>
          <w:lang w:val="en-US"/>
        </w:rPr>
        <w:footnoteRef/>
      </w:r>
      <w:r w:rsidRPr="00246DE1">
        <w:rPr>
          <w:szCs w:val="16"/>
          <w:lang w:val="en-US"/>
        </w:rPr>
        <w:t xml:space="preserve"> </w:t>
      </w:r>
      <w:r w:rsidRPr="00246DE1">
        <w:rPr>
          <w:szCs w:val="16"/>
          <w:lang w:val="en-US"/>
        </w:rPr>
        <w:tab/>
        <w:t xml:space="preserve">“Article 10. The State recognizes the universal and progressive right of everyone to social security for their protection in the face of the contingencies established by law and to improve their quality of life.” “Article 23. […] The State shall promote conditions for social and economic progress, especially by policies that </w:t>
      </w:r>
      <w:proofErr w:type="gramStart"/>
      <w:r w:rsidRPr="00246DE1">
        <w:rPr>
          <w:szCs w:val="16"/>
          <w:lang w:val="en-US"/>
        </w:rPr>
        <w:t>stimulate  productive</w:t>
      </w:r>
      <w:proofErr w:type="gramEnd"/>
      <w:r w:rsidRPr="00246DE1">
        <w:rPr>
          <w:szCs w:val="16"/>
          <w:lang w:val="en-US"/>
        </w:rPr>
        <w:t xml:space="preserve"> employment and work-oriented education for the workplace.” Constitution of Peru.</w:t>
      </w:r>
    </w:p>
  </w:footnote>
  <w:footnote w:id="399">
    <w:p w14:paraId="1B5AD6E6" w14:textId="77777777" w:rsidR="00AF5CC6" w:rsidRPr="00246DE1" w:rsidRDefault="00AF5CC6" w:rsidP="00C36F0E">
      <w:pPr>
        <w:pStyle w:val="Textonotapie"/>
        <w:rPr>
          <w:szCs w:val="16"/>
          <w:lang w:val="en-US"/>
        </w:rPr>
      </w:pPr>
      <w:r w:rsidRPr="00246DE1">
        <w:rPr>
          <w:rStyle w:val="Refdenotaalpie"/>
          <w:szCs w:val="16"/>
          <w:lang w:val="en-US"/>
        </w:rPr>
        <w:footnoteRef/>
      </w:r>
      <w:r w:rsidRPr="00246DE1">
        <w:rPr>
          <w:szCs w:val="16"/>
          <w:lang w:val="en-US"/>
        </w:rPr>
        <w:t xml:space="preserve"> </w:t>
      </w:r>
      <w:r w:rsidRPr="00246DE1">
        <w:rPr>
          <w:szCs w:val="16"/>
          <w:lang w:val="en-US"/>
        </w:rPr>
        <w:tab/>
        <w:t xml:space="preserve">“Article 75. It is the function of Congress: […] 19. To provide conditions conducive to human development economic progress with social justice, the productivity of the national economy, employment generation, professional training for workers, defense of the </w:t>
      </w:r>
      <w:r>
        <w:rPr>
          <w:szCs w:val="16"/>
          <w:lang w:val="en-US"/>
        </w:rPr>
        <w:t xml:space="preserve">value of the </w:t>
      </w:r>
      <w:r w:rsidRPr="00246DE1">
        <w:rPr>
          <w:szCs w:val="16"/>
          <w:lang w:val="en-US"/>
        </w:rPr>
        <w:t xml:space="preserve">currency, and technological and scientific research and development, its dissemination and use. To provide conditions for the harmonious growth of the Nation and the settlement of its territory; to promote differentiated policies aimed at balancing unequal development between provinces and regions.” Constitution of the Argentine Nation. Law No. 24,430, adopted on December 15, 1994, and promulgated on January 3, 1995. </w:t>
      </w:r>
    </w:p>
  </w:footnote>
  <w:footnote w:id="400">
    <w:p w14:paraId="06F2F134" w14:textId="77777777" w:rsidR="00AF5CC6" w:rsidRPr="00246DE1" w:rsidRDefault="00AF5CC6" w:rsidP="00C36F0E">
      <w:pPr>
        <w:pStyle w:val="Textonotapie"/>
        <w:rPr>
          <w:szCs w:val="16"/>
          <w:lang w:val="en-US"/>
        </w:rPr>
      </w:pPr>
      <w:r w:rsidRPr="00246DE1">
        <w:rPr>
          <w:rStyle w:val="Refdenotaalpie"/>
          <w:szCs w:val="16"/>
          <w:lang w:val="en-US"/>
        </w:rPr>
        <w:footnoteRef/>
      </w:r>
      <w:r w:rsidRPr="00246DE1">
        <w:rPr>
          <w:szCs w:val="16"/>
          <w:lang w:val="en-US"/>
        </w:rPr>
        <w:t xml:space="preserve"> </w:t>
      </w:r>
      <w:r w:rsidRPr="00246DE1">
        <w:rPr>
          <w:szCs w:val="16"/>
          <w:lang w:val="en-US"/>
        </w:rPr>
        <w:tab/>
        <w:t xml:space="preserve">“Article 3. The following constitute fundamental goals of the Federative Republic of Brazil: 1. to build a free, fair and caring society; 2. To ensure national development; 3. To eradicate poverty and marginalization and reduce social and regional inequalities; 4. To promote the well-being of all, without discrimination on the basis of origin, </w:t>
      </w:r>
      <w:r>
        <w:rPr>
          <w:szCs w:val="16"/>
          <w:lang w:val="en-US"/>
        </w:rPr>
        <w:t>r</w:t>
      </w:r>
      <w:r w:rsidRPr="00246DE1">
        <w:rPr>
          <w:szCs w:val="16"/>
          <w:lang w:val="en-US"/>
        </w:rPr>
        <w:t>ace, sex, color, age or any other condition.” Constitution of the Federative Republic of Brazil.</w:t>
      </w:r>
    </w:p>
  </w:footnote>
  <w:footnote w:id="401">
    <w:p w14:paraId="311C127C" w14:textId="77777777" w:rsidR="00AF5CC6" w:rsidRPr="00246DE1" w:rsidRDefault="00AF5CC6" w:rsidP="00C36F0E">
      <w:pPr>
        <w:pStyle w:val="Textonotapie"/>
        <w:rPr>
          <w:szCs w:val="16"/>
          <w:lang w:val="en-US"/>
        </w:rPr>
      </w:pPr>
      <w:r w:rsidRPr="00246DE1">
        <w:rPr>
          <w:rStyle w:val="Refdenotaalpie"/>
          <w:szCs w:val="16"/>
          <w:lang w:val="en-US"/>
        </w:rPr>
        <w:footnoteRef/>
      </w:r>
      <w:r w:rsidRPr="00246DE1">
        <w:rPr>
          <w:szCs w:val="16"/>
          <w:lang w:val="en-US"/>
        </w:rPr>
        <w:t xml:space="preserve"> </w:t>
      </w:r>
      <w:r w:rsidRPr="00246DE1">
        <w:rPr>
          <w:szCs w:val="16"/>
          <w:lang w:val="en-US"/>
        </w:rPr>
        <w:tab/>
        <w:t>“Article 65. The State shall promote the construction of low-cost housing and shall create family property for workers.”  “Article 83. The State shall sponsor and shall organize adult education to combat illiteracy and to provide cultural opportunities to those who wish to improve their intellectual, social and economic situation.” Constitution of the Republic of Costa Rica</w:t>
      </w:r>
      <w:r>
        <w:rPr>
          <w:szCs w:val="16"/>
          <w:lang w:val="en-US"/>
        </w:rPr>
        <w:t>, p</w:t>
      </w:r>
      <w:r w:rsidRPr="00246DE1">
        <w:rPr>
          <w:szCs w:val="16"/>
          <w:lang w:val="en-US"/>
        </w:rPr>
        <w:t>ublished on November 7, 1949.</w:t>
      </w:r>
    </w:p>
  </w:footnote>
  <w:footnote w:id="402">
    <w:p w14:paraId="1CFDFA89" w14:textId="77777777" w:rsidR="00AF5CC6" w:rsidRPr="00246DE1" w:rsidRDefault="00AF5CC6" w:rsidP="00C36F0E">
      <w:pPr>
        <w:pStyle w:val="Textonotapie"/>
        <w:rPr>
          <w:szCs w:val="16"/>
          <w:lang w:val="en-US"/>
        </w:rPr>
      </w:pPr>
      <w:r w:rsidRPr="00246DE1">
        <w:rPr>
          <w:rStyle w:val="Refdenotaalpie"/>
          <w:szCs w:val="16"/>
          <w:lang w:val="en-US"/>
        </w:rPr>
        <w:footnoteRef/>
      </w:r>
      <w:r w:rsidRPr="00246DE1">
        <w:rPr>
          <w:szCs w:val="16"/>
          <w:lang w:val="en-US"/>
        </w:rPr>
        <w:t xml:space="preserve"> </w:t>
      </w:r>
      <w:r w:rsidRPr="00246DE1">
        <w:rPr>
          <w:szCs w:val="16"/>
          <w:lang w:val="en-US"/>
        </w:rPr>
        <w:tab/>
        <w:t xml:space="preserve">“Article 176. Economic Policy and Development Promotion. The essential objective of the economic policy shall be the promotion of economic, social and cultural development. The State shall promote economic development by the rational use of available resources in order to promote </w:t>
      </w:r>
      <w:r>
        <w:rPr>
          <w:szCs w:val="16"/>
          <w:lang w:val="en-US"/>
        </w:rPr>
        <w:t>the</w:t>
      </w:r>
      <w:r w:rsidRPr="00246DE1">
        <w:rPr>
          <w:szCs w:val="16"/>
          <w:lang w:val="en-US"/>
        </w:rPr>
        <w:t xml:space="preserve"> orderly and sustained growth of the economy, create new sources of employment and wealth, increase the national wealth, and ensure the well-being of the population. Development will be promoted by global programs that coordinate and guide national economic activities.” Constitution of the Republic of Paraguay</w:t>
      </w:r>
      <w:r>
        <w:rPr>
          <w:szCs w:val="16"/>
          <w:lang w:val="en-US"/>
        </w:rPr>
        <w:t>, p</w:t>
      </w:r>
      <w:r w:rsidRPr="00246DE1">
        <w:rPr>
          <w:szCs w:val="16"/>
          <w:lang w:val="en-US"/>
        </w:rPr>
        <w:t>romulgated on June 20, 1992.</w:t>
      </w:r>
    </w:p>
  </w:footnote>
  <w:footnote w:id="403">
    <w:p w14:paraId="56812B4A" w14:textId="77777777" w:rsidR="00AF5CC6" w:rsidRPr="00544C3D" w:rsidRDefault="00AF5CC6" w:rsidP="00C36F0E">
      <w:pPr>
        <w:pStyle w:val="Textonotapie"/>
        <w:rPr>
          <w:szCs w:val="16"/>
          <w:lang w:val="fr-FR"/>
        </w:rPr>
      </w:pPr>
      <w:r w:rsidRPr="00246DE1">
        <w:rPr>
          <w:rStyle w:val="Refdenotaalpie"/>
          <w:szCs w:val="16"/>
          <w:lang w:val="en-US"/>
        </w:rPr>
        <w:footnoteRef/>
      </w:r>
      <w:r w:rsidRPr="00246DE1">
        <w:rPr>
          <w:szCs w:val="16"/>
          <w:lang w:val="en-US"/>
        </w:rPr>
        <w:t xml:space="preserve"> </w:t>
      </w:r>
      <w:r w:rsidRPr="00246DE1">
        <w:rPr>
          <w:szCs w:val="16"/>
          <w:lang w:val="en-US"/>
        </w:rPr>
        <w:tab/>
      </w:r>
      <w:r w:rsidRPr="00246DE1">
        <w:rPr>
          <w:rFonts w:cs="Times New Roman"/>
          <w:i/>
          <w:szCs w:val="16"/>
          <w:lang w:val="en-US"/>
        </w:rPr>
        <w:t xml:space="preserve">Cf. </w:t>
      </w:r>
      <w:r w:rsidRPr="00246DE1">
        <w:rPr>
          <w:szCs w:val="16"/>
          <w:lang w:val="en-US"/>
        </w:rPr>
        <w:t xml:space="preserve">Constitutional Court </w:t>
      </w:r>
      <w:r w:rsidRPr="00640459">
        <w:rPr>
          <w:szCs w:val="16"/>
          <w:lang w:val="en-US"/>
        </w:rPr>
        <w:t xml:space="preserve">of Colombia. </w:t>
      </w:r>
      <w:proofErr w:type="spellStart"/>
      <w:r w:rsidRPr="006F0E39">
        <w:rPr>
          <w:szCs w:val="16"/>
          <w:lang w:val="fr-FR"/>
        </w:rPr>
        <w:t>Judgment</w:t>
      </w:r>
      <w:proofErr w:type="spellEnd"/>
      <w:r w:rsidRPr="006F0E39">
        <w:rPr>
          <w:szCs w:val="16"/>
          <w:lang w:val="fr-FR"/>
        </w:rPr>
        <w:t xml:space="preserve"> T-302/2017, </w:t>
      </w:r>
      <w:proofErr w:type="gramStart"/>
      <w:r w:rsidRPr="006F0E39">
        <w:rPr>
          <w:szCs w:val="16"/>
          <w:lang w:val="fr-FR"/>
        </w:rPr>
        <w:t>Rapporteur:</w:t>
      </w:r>
      <w:proofErr w:type="gramEnd"/>
      <w:r w:rsidRPr="006F0E39">
        <w:rPr>
          <w:szCs w:val="16"/>
          <w:lang w:val="fr-FR"/>
        </w:rPr>
        <w:t xml:space="preserve"> Justice </w:t>
      </w:r>
      <w:proofErr w:type="spellStart"/>
      <w:r w:rsidRPr="006F0E39">
        <w:rPr>
          <w:szCs w:val="16"/>
          <w:lang w:val="fr-FR"/>
        </w:rPr>
        <w:t>Aquiles</w:t>
      </w:r>
      <w:proofErr w:type="spellEnd"/>
      <w:r w:rsidRPr="006F0E39">
        <w:rPr>
          <w:szCs w:val="16"/>
          <w:lang w:val="fr-FR"/>
        </w:rPr>
        <w:t xml:space="preserve"> </w:t>
      </w:r>
      <w:proofErr w:type="spellStart"/>
      <w:r w:rsidRPr="006F0E39">
        <w:rPr>
          <w:szCs w:val="16"/>
          <w:lang w:val="fr-FR"/>
        </w:rPr>
        <w:t>Arrieta</w:t>
      </w:r>
      <w:proofErr w:type="spellEnd"/>
      <w:r w:rsidRPr="006F0E39">
        <w:rPr>
          <w:szCs w:val="16"/>
          <w:lang w:val="fr-FR"/>
        </w:rPr>
        <w:t xml:space="preserve"> Gómez, May 8, 2017, </w:t>
      </w:r>
      <w:proofErr w:type="spellStart"/>
      <w:r w:rsidRPr="006F0E39">
        <w:rPr>
          <w:szCs w:val="16"/>
          <w:lang w:val="fr-FR"/>
        </w:rPr>
        <w:t>paragraph</w:t>
      </w:r>
      <w:proofErr w:type="spellEnd"/>
      <w:r w:rsidRPr="006F0E39">
        <w:rPr>
          <w:szCs w:val="16"/>
          <w:lang w:val="fr-FR"/>
        </w:rPr>
        <w:t xml:space="preserve"> </w:t>
      </w:r>
      <w:r w:rsidRPr="006F0E39">
        <w:rPr>
          <w:rFonts w:eastAsia="Times New Roman" w:cs="Times New Roman"/>
          <w:szCs w:val="16"/>
          <w:bdr w:val="none" w:sz="0" w:space="0" w:color="auto" w:frame="1"/>
          <w:lang w:val="fr-FR" w:eastAsia="es-MX"/>
        </w:rPr>
        <w:t>8.1.5.</w:t>
      </w:r>
    </w:p>
  </w:footnote>
  <w:footnote w:id="404">
    <w:p w14:paraId="3466A7B3" w14:textId="77777777" w:rsidR="00AF5CC6" w:rsidRPr="00246DE1" w:rsidRDefault="00AF5CC6" w:rsidP="00C36F0E">
      <w:pPr>
        <w:pStyle w:val="Textonotapie"/>
        <w:rPr>
          <w:szCs w:val="16"/>
          <w:lang w:val="en-US"/>
        </w:rPr>
      </w:pPr>
      <w:r w:rsidRPr="00246DE1">
        <w:rPr>
          <w:rStyle w:val="Refdenotaalpie"/>
          <w:szCs w:val="16"/>
          <w:lang w:val="en-US"/>
        </w:rPr>
        <w:footnoteRef/>
      </w:r>
      <w:r w:rsidRPr="00246DE1">
        <w:rPr>
          <w:szCs w:val="16"/>
          <w:lang w:val="en-US"/>
        </w:rPr>
        <w:t xml:space="preserve"> </w:t>
      </w:r>
      <w:r w:rsidRPr="00246DE1">
        <w:rPr>
          <w:szCs w:val="16"/>
          <w:lang w:val="en-US"/>
        </w:rPr>
        <w:tab/>
      </w:r>
      <w:r w:rsidRPr="00246DE1">
        <w:rPr>
          <w:i/>
          <w:szCs w:val="16"/>
          <w:lang w:val="en-US"/>
        </w:rPr>
        <w:t>Cf.</w:t>
      </w:r>
      <w:r w:rsidRPr="00246DE1">
        <w:rPr>
          <w:szCs w:val="16"/>
          <w:lang w:val="en-US"/>
        </w:rPr>
        <w:t xml:space="preserve"> Constitutional Court of Colombia. Judgment T-302/2017, Rapporteur: Justice </w:t>
      </w:r>
      <w:proofErr w:type="spellStart"/>
      <w:r w:rsidRPr="00246DE1">
        <w:rPr>
          <w:szCs w:val="16"/>
          <w:lang w:val="en-US"/>
        </w:rPr>
        <w:t>Aquiles</w:t>
      </w:r>
      <w:proofErr w:type="spellEnd"/>
      <w:r w:rsidRPr="00246DE1">
        <w:rPr>
          <w:szCs w:val="16"/>
          <w:lang w:val="en-US"/>
        </w:rPr>
        <w:t xml:space="preserve"> Arrieta Gómez, May 8, 2017, paragraphs </w:t>
      </w:r>
      <w:r w:rsidRPr="00246DE1">
        <w:rPr>
          <w:rFonts w:eastAsia="Times New Roman" w:cs="Times New Roman"/>
          <w:szCs w:val="16"/>
          <w:bdr w:val="none" w:sz="0" w:space="0" w:color="auto" w:frame="1"/>
          <w:lang w:val="en-US" w:eastAsia="es-MX"/>
        </w:rPr>
        <w:t xml:space="preserve">8.1.6., 8.1.7. and 8.1.8. </w:t>
      </w:r>
    </w:p>
  </w:footnote>
  <w:footnote w:id="405">
    <w:p w14:paraId="613C547E" w14:textId="77777777" w:rsidR="00AF5CC6" w:rsidRPr="00246DE1" w:rsidRDefault="00AF5CC6" w:rsidP="00C36F0E">
      <w:pPr>
        <w:pStyle w:val="Textonotapie"/>
        <w:rPr>
          <w:szCs w:val="16"/>
          <w:lang w:val="en-US"/>
        </w:rPr>
      </w:pPr>
      <w:r w:rsidRPr="00246DE1">
        <w:rPr>
          <w:rStyle w:val="Refdenotaalpie"/>
          <w:szCs w:val="16"/>
          <w:lang w:val="en-US"/>
        </w:rPr>
        <w:footnoteRef/>
      </w:r>
      <w:r w:rsidRPr="00246DE1">
        <w:rPr>
          <w:szCs w:val="16"/>
          <w:lang w:val="en-US"/>
        </w:rPr>
        <w:t xml:space="preserve"> </w:t>
      </w:r>
      <w:r w:rsidRPr="00246DE1">
        <w:rPr>
          <w:szCs w:val="16"/>
          <w:lang w:val="en-US"/>
        </w:rPr>
        <w:tab/>
      </w:r>
      <w:r w:rsidRPr="00246DE1">
        <w:rPr>
          <w:i/>
          <w:szCs w:val="16"/>
          <w:lang w:val="en-US"/>
        </w:rPr>
        <w:t xml:space="preserve">Cf. </w:t>
      </w:r>
      <w:r w:rsidRPr="00246DE1">
        <w:rPr>
          <w:szCs w:val="16"/>
          <w:lang w:val="en-US"/>
        </w:rPr>
        <w:t xml:space="preserve">Constitutional Court of Colombia, Judgment C-313/14, Rapporteur: Justice Gabriel Eduardo Mendoza </w:t>
      </w:r>
      <w:proofErr w:type="spellStart"/>
      <w:r w:rsidRPr="00246DE1">
        <w:rPr>
          <w:szCs w:val="16"/>
          <w:lang w:val="en-US"/>
        </w:rPr>
        <w:t>Martelo</w:t>
      </w:r>
      <w:proofErr w:type="spellEnd"/>
      <w:r w:rsidRPr="00246DE1">
        <w:rPr>
          <w:szCs w:val="16"/>
          <w:lang w:val="en-US"/>
        </w:rPr>
        <w:t xml:space="preserve">. Judgment of May 29, 2014, pp. 7 and 8, and </w:t>
      </w:r>
      <w:r w:rsidRPr="00246DE1">
        <w:rPr>
          <w:i/>
          <w:szCs w:val="16"/>
          <w:lang w:val="en-US"/>
        </w:rPr>
        <w:t xml:space="preserve">Cf. </w:t>
      </w:r>
      <w:r w:rsidRPr="00246DE1">
        <w:rPr>
          <w:szCs w:val="16"/>
          <w:lang w:val="en-US"/>
        </w:rPr>
        <w:t xml:space="preserve">Constitutional Court of Colombia, Judgment C-556/09, Rapporteur: Justice </w:t>
      </w:r>
      <w:proofErr w:type="spellStart"/>
      <w:r w:rsidRPr="00246DE1">
        <w:rPr>
          <w:szCs w:val="16"/>
          <w:lang w:val="en-US"/>
        </w:rPr>
        <w:t>Nilson</w:t>
      </w:r>
      <w:proofErr w:type="spellEnd"/>
      <w:r w:rsidRPr="00246DE1">
        <w:rPr>
          <w:szCs w:val="16"/>
          <w:lang w:val="en-US"/>
        </w:rPr>
        <w:t xml:space="preserve"> Pinilla</w:t>
      </w:r>
      <w:r>
        <w:rPr>
          <w:szCs w:val="16"/>
          <w:lang w:val="en-US"/>
        </w:rPr>
        <w:t xml:space="preserve"> </w:t>
      </w:r>
      <w:proofErr w:type="spellStart"/>
      <w:r>
        <w:rPr>
          <w:szCs w:val="16"/>
          <w:lang w:val="en-US"/>
        </w:rPr>
        <w:t>Pinilla</w:t>
      </w:r>
      <w:proofErr w:type="spellEnd"/>
      <w:r w:rsidRPr="00246DE1">
        <w:rPr>
          <w:szCs w:val="16"/>
          <w:lang w:val="en-US"/>
        </w:rPr>
        <w:t xml:space="preserve">. Judgment of August 20, 2009. </w:t>
      </w:r>
    </w:p>
  </w:footnote>
  <w:footnote w:id="406">
    <w:p w14:paraId="62825723" w14:textId="77777777" w:rsidR="00AF5CC6" w:rsidRPr="00246DE1" w:rsidRDefault="00AF5CC6" w:rsidP="00C36F0E">
      <w:pPr>
        <w:pStyle w:val="Textonotapie"/>
        <w:rPr>
          <w:szCs w:val="16"/>
          <w:lang w:val="en-US"/>
        </w:rPr>
      </w:pPr>
      <w:r w:rsidRPr="00246DE1">
        <w:rPr>
          <w:rStyle w:val="Refdenotaalpie"/>
          <w:szCs w:val="16"/>
          <w:lang w:val="en-US"/>
        </w:rPr>
        <w:footnoteRef/>
      </w:r>
      <w:r w:rsidRPr="00246DE1">
        <w:rPr>
          <w:szCs w:val="16"/>
          <w:lang w:val="en-US"/>
        </w:rPr>
        <w:t xml:space="preserve"> </w:t>
      </w:r>
      <w:r w:rsidRPr="00246DE1">
        <w:rPr>
          <w:szCs w:val="16"/>
          <w:lang w:val="en-US"/>
        </w:rPr>
        <w:tab/>
      </w:r>
      <w:r w:rsidRPr="00246DE1">
        <w:rPr>
          <w:i/>
          <w:szCs w:val="16"/>
          <w:lang w:val="en-US"/>
        </w:rPr>
        <w:t xml:space="preserve">Cf. </w:t>
      </w:r>
      <w:r w:rsidRPr="00246DE1">
        <w:rPr>
          <w:szCs w:val="16"/>
          <w:lang w:val="en-US"/>
        </w:rPr>
        <w:t xml:space="preserve">Constitutional Court of Colombia, Judgment C-991 of 2004. Rapporteur: Justice Marco Gerardo Monroy </w:t>
      </w:r>
      <w:proofErr w:type="spellStart"/>
      <w:r w:rsidRPr="00246DE1">
        <w:rPr>
          <w:szCs w:val="16"/>
          <w:lang w:val="en-US"/>
        </w:rPr>
        <w:t>Cabra</w:t>
      </w:r>
      <w:proofErr w:type="spellEnd"/>
      <w:r w:rsidRPr="00246DE1">
        <w:rPr>
          <w:szCs w:val="16"/>
          <w:lang w:val="en-US"/>
        </w:rPr>
        <w:t xml:space="preserve">. Judgment of October 12, 2004. </w:t>
      </w:r>
    </w:p>
  </w:footnote>
  <w:footnote w:id="407">
    <w:p w14:paraId="3D55D319" w14:textId="77777777" w:rsidR="00AF5CC6" w:rsidRPr="00246DE1" w:rsidRDefault="00AF5CC6" w:rsidP="00C36F0E">
      <w:pPr>
        <w:pStyle w:val="Textonotapie"/>
        <w:rPr>
          <w:szCs w:val="16"/>
          <w:lang w:val="en-US"/>
        </w:rPr>
      </w:pPr>
      <w:r w:rsidRPr="00246DE1">
        <w:rPr>
          <w:rStyle w:val="Refdenotaalpie"/>
          <w:szCs w:val="16"/>
          <w:lang w:val="en-US"/>
        </w:rPr>
        <w:footnoteRef/>
      </w:r>
      <w:r w:rsidRPr="00246DE1">
        <w:rPr>
          <w:szCs w:val="16"/>
          <w:lang w:val="en-US"/>
        </w:rPr>
        <w:t xml:space="preserve"> </w:t>
      </w:r>
      <w:r w:rsidRPr="00246DE1">
        <w:rPr>
          <w:szCs w:val="16"/>
          <w:lang w:val="en-US"/>
        </w:rPr>
        <w:tab/>
      </w:r>
      <w:r w:rsidRPr="00246DE1">
        <w:rPr>
          <w:i/>
          <w:szCs w:val="16"/>
          <w:lang w:val="en-US"/>
        </w:rPr>
        <w:t>Cf.</w:t>
      </w:r>
      <w:r w:rsidRPr="00246DE1">
        <w:rPr>
          <w:szCs w:val="16"/>
          <w:lang w:val="en-US"/>
        </w:rPr>
        <w:t xml:space="preserve"> Constitutional Court of Colombia, Judgment C -313/14, Rapporteur: Justice Gabriel Eduardo Mendoza </w:t>
      </w:r>
      <w:proofErr w:type="spellStart"/>
      <w:r w:rsidRPr="00246DE1">
        <w:rPr>
          <w:szCs w:val="16"/>
          <w:lang w:val="en-US"/>
        </w:rPr>
        <w:t>Martelo</w:t>
      </w:r>
      <w:proofErr w:type="spellEnd"/>
      <w:r w:rsidRPr="00246DE1">
        <w:rPr>
          <w:szCs w:val="16"/>
          <w:lang w:val="en-US"/>
        </w:rPr>
        <w:t xml:space="preserve">, May 29, 2014. </w:t>
      </w:r>
      <w:r w:rsidRPr="00246DE1">
        <w:rPr>
          <w:iCs/>
          <w:szCs w:val="16"/>
          <w:lang w:val="en-US"/>
        </w:rPr>
        <w:t>See, similarly</w:t>
      </w:r>
      <w:r w:rsidRPr="00246DE1">
        <w:rPr>
          <w:szCs w:val="16"/>
          <w:lang w:val="en-US"/>
        </w:rPr>
        <w:t xml:space="preserve">: </w:t>
      </w:r>
      <w:r w:rsidRPr="00246DE1">
        <w:rPr>
          <w:i/>
          <w:szCs w:val="16"/>
          <w:lang w:val="en-US"/>
        </w:rPr>
        <w:t xml:space="preserve">Cf. </w:t>
      </w:r>
      <w:r w:rsidRPr="00246DE1">
        <w:rPr>
          <w:szCs w:val="16"/>
          <w:lang w:val="en-US"/>
        </w:rPr>
        <w:t xml:space="preserve">Judgment C-1064/01, Rapporteurs: Justices Manuel José Cepeda </w:t>
      </w:r>
      <w:proofErr w:type="spellStart"/>
      <w:r w:rsidRPr="00246DE1">
        <w:rPr>
          <w:szCs w:val="16"/>
          <w:lang w:val="en-US"/>
        </w:rPr>
        <w:t>Esponisa</w:t>
      </w:r>
      <w:proofErr w:type="spellEnd"/>
      <w:r w:rsidRPr="00246DE1">
        <w:rPr>
          <w:szCs w:val="16"/>
          <w:lang w:val="en-US"/>
        </w:rPr>
        <w:t xml:space="preserve"> and Jaime Cordova </w:t>
      </w:r>
      <w:proofErr w:type="spellStart"/>
      <w:r w:rsidRPr="00246DE1">
        <w:rPr>
          <w:szCs w:val="16"/>
          <w:lang w:val="en-US"/>
        </w:rPr>
        <w:t>Triviño</w:t>
      </w:r>
      <w:proofErr w:type="spellEnd"/>
      <w:r w:rsidRPr="00246DE1">
        <w:rPr>
          <w:szCs w:val="16"/>
          <w:lang w:val="en-US"/>
        </w:rPr>
        <w:t xml:space="preserve">, October 10, 2001; </w:t>
      </w:r>
      <w:r w:rsidRPr="00246DE1">
        <w:rPr>
          <w:i/>
          <w:szCs w:val="16"/>
          <w:lang w:val="en-US"/>
        </w:rPr>
        <w:t xml:space="preserve">Cf. </w:t>
      </w:r>
      <w:r w:rsidRPr="00246DE1">
        <w:rPr>
          <w:szCs w:val="16"/>
          <w:lang w:val="en-US"/>
        </w:rPr>
        <w:t xml:space="preserve">Judgment C-671/02, Rapporteur: Justice Eduardo </w:t>
      </w:r>
      <w:proofErr w:type="spellStart"/>
      <w:r w:rsidRPr="00246DE1">
        <w:rPr>
          <w:szCs w:val="16"/>
          <w:lang w:val="en-US"/>
        </w:rPr>
        <w:t>Montealegre</w:t>
      </w:r>
      <w:proofErr w:type="spellEnd"/>
      <w:r w:rsidRPr="00246DE1">
        <w:rPr>
          <w:szCs w:val="16"/>
          <w:lang w:val="en-US"/>
        </w:rPr>
        <w:t xml:space="preserve"> </w:t>
      </w:r>
      <w:proofErr w:type="spellStart"/>
      <w:r w:rsidRPr="00246DE1">
        <w:rPr>
          <w:szCs w:val="16"/>
          <w:lang w:val="en-US"/>
        </w:rPr>
        <w:t>Lynett</w:t>
      </w:r>
      <w:proofErr w:type="spellEnd"/>
      <w:r w:rsidRPr="00246DE1">
        <w:rPr>
          <w:szCs w:val="16"/>
          <w:lang w:val="en-US"/>
        </w:rPr>
        <w:t xml:space="preserve">, August 20, 2002 and </w:t>
      </w:r>
      <w:r w:rsidRPr="00246DE1">
        <w:rPr>
          <w:i/>
          <w:szCs w:val="16"/>
          <w:lang w:val="en-US"/>
        </w:rPr>
        <w:t xml:space="preserve">Cf. </w:t>
      </w:r>
      <w:r w:rsidRPr="00246DE1">
        <w:rPr>
          <w:szCs w:val="16"/>
          <w:lang w:val="en-US"/>
        </w:rPr>
        <w:t xml:space="preserve">Judgment C-931/04, Rapporteur: Justice Marco Gerardo Monroy </w:t>
      </w:r>
      <w:proofErr w:type="spellStart"/>
      <w:r w:rsidRPr="00246DE1">
        <w:rPr>
          <w:szCs w:val="16"/>
          <w:lang w:val="en-US"/>
        </w:rPr>
        <w:t>Cabra</w:t>
      </w:r>
      <w:proofErr w:type="spellEnd"/>
      <w:r w:rsidRPr="00246DE1">
        <w:rPr>
          <w:szCs w:val="16"/>
          <w:lang w:val="en-US"/>
        </w:rPr>
        <w:t xml:space="preserve">, September 29, 2004. </w:t>
      </w:r>
    </w:p>
  </w:footnote>
  <w:footnote w:id="408">
    <w:p w14:paraId="209049D0" w14:textId="77777777" w:rsidR="00AF5CC6" w:rsidRPr="00246DE1" w:rsidRDefault="00AF5CC6" w:rsidP="00C36F0E">
      <w:pPr>
        <w:pStyle w:val="Textonotapie"/>
        <w:rPr>
          <w:szCs w:val="16"/>
          <w:lang w:val="en-US"/>
        </w:rPr>
      </w:pPr>
      <w:r w:rsidRPr="00246DE1">
        <w:rPr>
          <w:rStyle w:val="Refdenotaalpie"/>
          <w:szCs w:val="16"/>
          <w:lang w:val="en-US"/>
        </w:rPr>
        <w:footnoteRef/>
      </w:r>
      <w:r w:rsidRPr="00246DE1">
        <w:rPr>
          <w:szCs w:val="16"/>
          <w:lang w:val="en-US"/>
        </w:rPr>
        <w:t xml:space="preserve"> </w:t>
      </w:r>
      <w:r w:rsidRPr="00246DE1">
        <w:rPr>
          <w:szCs w:val="16"/>
          <w:lang w:val="en-US"/>
        </w:rPr>
        <w:tab/>
      </w:r>
      <w:r w:rsidRPr="00246DE1">
        <w:rPr>
          <w:i/>
          <w:szCs w:val="16"/>
          <w:lang w:val="en-US"/>
        </w:rPr>
        <w:t xml:space="preserve">Cf. </w:t>
      </w:r>
      <w:r w:rsidRPr="00246DE1">
        <w:rPr>
          <w:szCs w:val="16"/>
          <w:lang w:val="en-US"/>
        </w:rPr>
        <w:t xml:space="preserve">Constitutional Court of Colombia. Judgment T-302/2017, Rapporteur: Justice </w:t>
      </w:r>
      <w:proofErr w:type="spellStart"/>
      <w:r w:rsidRPr="00246DE1">
        <w:rPr>
          <w:szCs w:val="16"/>
          <w:lang w:val="en-US"/>
        </w:rPr>
        <w:t>Aquiles</w:t>
      </w:r>
      <w:proofErr w:type="spellEnd"/>
      <w:r w:rsidRPr="00246DE1">
        <w:rPr>
          <w:szCs w:val="16"/>
          <w:lang w:val="en-US"/>
        </w:rPr>
        <w:t xml:space="preserve"> Arrieta Gómez, May 8, 2017, paragraphs 8.1.9., 8.1.10., 8.1.11. and 8.1.12.</w:t>
      </w:r>
    </w:p>
  </w:footnote>
  <w:footnote w:id="409">
    <w:p w14:paraId="5A6C8155" w14:textId="77777777" w:rsidR="00AF5CC6" w:rsidRPr="00246DE1" w:rsidRDefault="00AF5CC6" w:rsidP="00C36F0E">
      <w:pPr>
        <w:pStyle w:val="Default"/>
        <w:spacing w:after="120"/>
        <w:jc w:val="both"/>
        <w:rPr>
          <w:rFonts w:ascii="Verdana" w:hAnsi="Verdana"/>
          <w:color w:val="auto"/>
          <w:sz w:val="16"/>
          <w:szCs w:val="16"/>
        </w:rPr>
      </w:pPr>
      <w:r w:rsidRPr="00246DE1">
        <w:rPr>
          <w:rStyle w:val="Refdenotaalpie"/>
          <w:rFonts w:ascii="Verdana" w:hAnsi="Verdana"/>
          <w:color w:val="auto"/>
          <w:sz w:val="16"/>
          <w:szCs w:val="16"/>
        </w:rPr>
        <w:footnoteRef/>
      </w:r>
      <w:r w:rsidRPr="00246DE1">
        <w:rPr>
          <w:rFonts w:ascii="Verdana" w:hAnsi="Verdana"/>
          <w:color w:val="auto"/>
          <w:sz w:val="16"/>
          <w:szCs w:val="16"/>
        </w:rPr>
        <w:t xml:space="preserve"> </w:t>
      </w:r>
      <w:r w:rsidRPr="00246DE1">
        <w:rPr>
          <w:rFonts w:ascii="Verdana" w:hAnsi="Verdana"/>
          <w:color w:val="auto"/>
          <w:sz w:val="16"/>
          <w:szCs w:val="16"/>
        </w:rPr>
        <w:tab/>
      </w:r>
      <w:r w:rsidRPr="00246DE1">
        <w:rPr>
          <w:rFonts w:ascii="Verdana" w:hAnsi="Verdana"/>
          <w:i/>
          <w:sz w:val="16"/>
          <w:szCs w:val="16"/>
        </w:rPr>
        <w:t xml:space="preserve">Cf. </w:t>
      </w:r>
      <w:r w:rsidRPr="00246DE1">
        <w:rPr>
          <w:rFonts w:ascii="Verdana" w:hAnsi="Verdana"/>
          <w:sz w:val="16"/>
          <w:szCs w:val="16"/>
        </w:rPr>
        <w:t>Argentine Supreme Court of Justice of the Nation</w:t>
      </w:r>
      <w:r w:rsidRPr="00246DE1">
        <w:rPr>
          <w:rFonts w:ascii="Verdana" w:hAnsi="Verdana"/>
          <w:color w:val="auto"/>
          <w:sz w:val="16"/>
          <w:szCs w:val="16"/>
        </w:rPr>
        <w:t xml:space="preserve">, </w:t>
      </w:r>
      <w:r w:rsidRPr="00246DE1">
        <w:rPr>
          <w:rFonts w:ascii="Verdana" w:hAnsi="Verdana"/>
          <w:i/>
          <w:color w:val="auto"/>
          <w:sz w:val="16"/>
          <w:szCs w:val="16"/>
        </w:rPr>
        <w:t xml:space="preserve">García </w:t>
      </w:r>
      <w:proofErr w:type="spellStart"/>
      <w:r w:rsidRPr="00246DE1">
        <w:rPr>
          <w:rFonts w:ascii="Verdana" w:hAnsi="Verdana"/>
          <w:i/>
          <w:color w:val="auto"/>
          <w:sz w:val="16"/>
          <w:szCs w:val="16"/>
        </w:rPr>
        <w:t>Cancino</w:t>
      </w:r>
      <w:proofErr w:type="spellEnd"/>
      <w:r w:rsidRPr="00246DE1">
        <w:rPr>
          <w:rFonts w:ascii="Verdana" w:hAnsi="Verdana"/>
          <w:i/>
          <w:color w:val="auto"/>
          <w:sz w:val="16"/>
          <w:szCs w:val="16"/>
        </w:rPr>
        <w:t xml:space="preserve">, María </w:t>
      </w:r>
      <w:proofErr w:type="spellStart"/>
      <w:r w:rsidRPr="00246DE1">
        <w:rPr>
          <w:rFonts w:ascii="Verdana" w:hAnsi="Verdana"/>
          <w:i/>
          <w:color w:val="auto"/>
          <w:sz w:val="16"/>
          <w:szCs w:val="16"/>
        </w:rPr>
        <w:t>Angélica</w:t>
      </w:r>
      <w:proofErr w:type="spellEnd"/>
      <w:r w:rsidRPr="00246DE1">
        <w:rPr>
          <w:rFonts w:ascii="Verdana" w:hAnsi="Verdana"/>
          <w:i/>
          <w:color w:val="auto"/>
          <w:sz w:val="16"/>
          <w:szCs w:val="16"/>
        </w:rPr>
        <w:t xml:space="preserve"> v. </w:t>
      </w:r>
      <w:proofErr w:type="spellStart"/>
      <w:r w:rsidRPr="00246DE1">
        <w:rPr>
          <w:rFonts w:ascii="Verdana" w:hAnsi="Verdana"/>
          <w:i/>
          <w:color w:val="auto"/>
          <w:sz w:val="16"/>
          <w:szCs w:val="16"/>
        </w:rPr>
        <w:t>Máxima</w:t>
      </w:r>
      <w:proofErr w:type="spellEnd"/>
      <w:r w:rsidRPr="00246DE1">
        <w:rPr>
          <w:rFonts w:ascii="Verdana" w:hAnsi="Verdana"/>
          <w:i/>
          <w:color w:val="auto"/>
          <w:sz w:val="16"/>
          <w:szCs w:val="16"/>
        </w:rPr>
        <w:t xml:space="preserve"> A.F.J.P. S.A. ref. various submissions</w:t>
      </w:r>
      <w:r w:rsidRPr="00246DE1">
        <w:rPr>
          <w:rFonts w:ascii="Verdana" w:hAnsi="Verdana"/>
          <w:color w:val="auto"/>
          <w:sz w:val="16"/>
          <w:szCs w:val="16"/>
        </w:rPr>
        <w:t xml:space="preserve">, S.C.G. 2.033 L. XXXIX. Judgment of February 16, 2010, and </w:t>
      </w:r>
      <w:r w:rsidRPr="00246DE1">
        <w:rPr>
          <w:rFonts w:ascii="Verdana" w:hAnsi="Verdana"/>
          <w:i/>
          <w:sz w:val="16"/>
          <w:szCs w:val="16"/>
        </w:rPr>
        <w:t xml:space="preserve">Cf. </w:t>
      </w:r>
      <w:r w:rsidRPr="00246DE1">
        <w:rPr>
          <w:rFonts w:ascii="Verdana" w:hAnsi="Verdana"/>
          <w:sz w:val="16"/>
          <w:szCs w:val="16"/>
        </w:rPr>
        <w:t>Argentine Supreme Court of Justice of the Nation</w:t>
      </w:r>
      <w:r w:rsidRPr="00246DE1">
        <w:rPr>
          <w:rFonts w:ascii="Verdana" w:hAnsi="Verdana"/>
          <w:color w:val="auto"/>
          <w:sz w:val="16"/>
          <w:szCs w:val="16"/>
        </w:rPr>
        <w:t xml:space="preserve">, </w:t>
      </w:r>
      <w:r w:rsidRPr="00246DE1">
        <w:rPr>
          <w:rFonts w:ascii="Verdana" w:hAnsi="Verdana"/>
          <w:i/>
          <w:color w:val="auto"/>
          <w:sz w:val="16"/>
          <w:szCs w:val="16"/>
        </w:rPr>
        <w:t>National Register of Rural Workers and Employers v. National Executive and Others/application for amparo.</w:t>
      </w:r>
      <w:r w:rsidRPr="00246DE1">
        <w:rPr>
          <w:rFonts w:ascii="Verdana" w:hAnsi="Verdana"/>
          <w:color w:val="auto"/>
          <w:sz w:val="16"/>
          <w:szCs w:val="16"/>
        </w:rPr>
        <w:t xml:space="preserve"> CSJ 906/2012 (48-R) /CS1. Appeal. Judgment of November 24, 2015, paragraph 6.</w:t>
      </w:r>
    </w:p>
  </w:footnote>
  <w:footnote w:id="410">
    <w:p w14:paraId="0FAA92BE" w14:textId="77777777" w:rsidR="00AF5CC6" w:rsidRPr="00246DE1" w:rsidRDefault="00AF5CC6" w:rsidP="00C36F0E">
      <w:pPr>
        <w:pStyle w:val="Default"/>
        <w:spacing w:after="120"/>
        <w:jc w:val="both"/>
        <w:rPr>
          <w:rFonts w:ascii="Verdana" w:hAnsi="Verdana"/>
          <w:color w:val="auto"/>
          <w:sz w:val="16"/>
          <w:szCs w:val="16"/>
        </w:rPr>
      </w:pPr>
      <w:r w:rsidRPr="00246DE1">
        <w:rPr>
          <w:rStyle w:val="Refdenotaalpie"/>
          <w:rFonts w:ascii="Verdana" w:hAnsi="Verdana"/>
          <w:sz w:val="16"/>
          <w:szCs w:val="16"/>
        </w:rPr>
        <w:footnoteRef/>
      </w:r>
      <w:r w:rsidRPr="00246DE1">
        <w:t xml:space="preserve"> </w:t>
      </w:r>
      <w:r w:rsidRPr="00246DE1">
        <w:tab/>
      </w:r>
      <w:r w:rsidRPr="00246DE1">
        <w:rPr>
          <w:rFonts w:ascii="Verdana" w:hAnsi="Verdana"/>
          <w:i/>
          <w:sz w:val="16"/>
          <w:szCs w:val="16"/>
        </w:rPr>
        <w:t xml:space="preserve">Cf. </w:t>
      </w:r>
      <w:r w:rsidRPr="00246DE1">
        <w:rPr>
          <w:rFonts w:ascii="Verdana" w:hAnsi="Verdana"/>
          <w:sz w:val="16"/>
          <w:szCs w:val="16"/>
        </w:rPr>
        <w:t>Argentine Supreme Court of Justice of the Nation</w:t>
      </w:r>
      <w:r w:rsidRPr="00246DE1">
        <w:rPr>
          <w:rFonts w:ascii="Verdana" w:hAnsi="Verdana"/>
          <w:color w:val="auto"/>
          <w:sz w:val="16"/>
          <w:szCs w:val="16"/>
        </w:rPr>
        <w:t xml:space="preserve">, </w:t>
      </w:r>
      <w:r w:rsidRPr="00246DE1">
        <w:rPr>
          <w:rFonts w:ascii="Verdana" w:hAnsi="Verdana"/>
          <w:i/>
          <w:color w:val="auto"/>
          <w:sz w:val="16"/>
          <w:szCs w:val="16"/>
        </w:rPr>
        <w:t xml:space="preserve">State Workers Association ref. action on unconstitutionality. </w:t>
      </w:r>
      <w:r w:rsidRPr="00246DE1">
        <w:rPr>
          <w:rFonts w:ascii="Verdana" w:hAnsi="Verdana"/>
          <w:color w:val="auto"/>
          <w:sz w:val="16"/>
          <w:szCs w:val="16"/>
        </w:rPr>
        <w:t>A. 59B. XLIII. Appeal. Judgment of June 18, 2013, paragraph 11.</w:t>
      </w:r>
    </w:p>
  </w:footnote>
  <w:footnote w:id="411">
    <w:p w14:paraId="1DCC35FA" w14:textId="77777777" w:rsidR="00AF5CC6" w:rsidRPr="00246DE1" w:rsidRDefault="00AF5CC6" w:rsidP="00C36F0E">
      <w:pPr>
        <w:pStyle w:val="Textonotapie"/>
        <w:rPr>
          <w:szCs w:val="16"/>
          <w:lang w:val="en-US"/>
        </w:rPr>
      </w:pPr>
      <w:r w:rsidRPr="00246DE1">
        <w:rPr>
          <w:rStyle w:val="Refdenotaalpie"/>
          <w:szCs w:val="16"/>
          <w:lang w:val="en-US"/>
        </w:rPr>
        <w:footnoteRef/>
      </w:r>
      <w:r w:rsidRPr="00246DE1">
        <w:rPr>
          <w:szCs w:val="16"/>
          <w:lang w:val="en-US"/>
        </w:rPr>
        <w:t xml:space="preserve"> </w:t>
      </w:r>
      <w:r w:rsidRPr="00246DE1">
        <w:rPr>
          <w:szCs w:val="16"/>
          <w:lang w:val="en-US"/>
        </w:rPr>
        <w:tab/>
      </w:r>
      <w:r w:rsidRPr="00246DE1">
        <w:rPr>
          <w:i/>
          <w:szCs w:val="16"/>
          <w:lang w:val="en-US"/>
        </w:rPr>
        <w:t>Cf.</w:t>
      </w:r>
      <w:r w:rsidRPr="00246DE1">
        <w:rPr>
          <w:szCs w:val="16"/>
          <w:lang w:val="en-US"/>
        </w:rPr>
        <w:t xml:space="preserve"> Constitutional Court of Ecuador, </w:t>
      </w:r>
      <w:r w:rsidRPr="00246DE1">
        <w:rPr>
          <w:iCs/>
          <w:szCs w:val="16"/>
          <w:lang w:val="en-US"/>
        </w:rPr>
        <w:t>Judgment No. 002-18-SIN-CC, Cases No. 0035-15-IN</w:t>
      </w:r>
      <w:r w:rsidRPr="00246DE1">
        <w:rPr>
          <w:szCs w:val="16"/>
          <w:lang w:val="en-US"/>
        </w:rPr>
        <w:t xml:space="preserve"> and accumulated, June 7, 2017, pp. 78 and 79, March 21, 2018.</w:t>
      </w:r>
    </w:p>
  </w:footnote>
  <w:footnote w:id="412">
    <w:p w14:paraId="3E3F7F14" w14:textId="77777777" w:rsidR="00AF5CC6" w:rsidRPr="00246DE1" w:rsidRDefault="00AF5CC6" w:rsidP="00C36F0E">
      <w:pPr>
        <w:pStyle w:val="Textonotapie"/>
        <w:rPr>
          <w:szCs w:val="16"/>
          <w:lang w:val="en-US"/>
        </w:rPr>
      </w:pPr>
      <w:r w:rsidRPr="00246DE1">
        <w:rPr>
          <w:rStyle w:val="Refdenotaalpie"/>
          <w:szCs w:val="16"/>
          <w:lang w:val="en-US"/>
        </w:rPr>
        <w:footnoteRef/>
      </w:r>
      <w:r w:rsidRPr="00246DE1">
        <w:rPr>
          <w:szCs w:val="16"/>
          <w:lang w:val="en-US"/>
        </w:rPr>
        <w:t xml:space="preserve"> </w:t>
      </w:r>
      <w:r w:rsidRPr="00246DE1">
        <w:rPr>
          <w:szCs w:val="16"/>
          <w:lang w:val="en-US"/>
        </w:rPr>
        <w:tab/>
      </w:r>
      <w:r w:rsidRPr="00246DE1">
        <w:rPr>
          <w:i/>
          <w:szCs w:val="16"/>
          <w:lang w:val="en-US"/>
        </w:rPr>
        <w:t xml:space="preserve">Cf. </w:t>
      </w:r>
      <w:r w:rsidRPr="00246DE1">
        <w:rPr>
          <w:szCs w:val="16"/>
          <w:lang w:val="en-US"/>
        </w:rPr>
        <w:t xml:space="preserve">Constitutional Court of Ecuador, </w:t>
      </w:r>
      <w:r w:rsidRPr="00246DE1">
        <w:rPr>
          <w:iCs/>
          <w:szCs w:val="16"/>
          <w:lang w:val="en-US"/>
        </w:rPr>
        <w:t>Judgment No. 017-17-SIN-CC, Case No. 0071-15-IN</w:t>
      </w:r>
      <w:r w:rsidRPr="00246DE1">
        <w:rPr>
          <w:szCs w:val="16"/>
          <w:lang w:val="en-US"/>
        </w:rPr>
        <w:t xml:space="preserve">, June 7, 2017, pp. 15 and 16; </w:t>
      </w:r>
      <w:r w:rsidRPr="00246DE1">
        <w:rPr>
          <w:iCs/>
          <w:szCs w:val="16"/>
          <w:lang w:val="en-US"/>
        </w:rPr>
        <w:t>Judgment No. 0006-15-SCN-CC, Case No. 0005-13-CN</w:t>
      </w:r>
      <w:r w:rsidRPr="00246DE1">
        <w:rPr>
          <w:szCs w:val="16"/>
          <w:lang w:val="en-US"/>
        </w:rPr>
        <w:t>, May 27, 2015, pp. 15 and 16.</w:t>
      </w:r>
    </w:p>
  </w:footnote>
  <w:footnote w:id="413">
    <w:p w14:paraId="24FAF224" w14:textId="77777777" w:rsidR="00AF5CC6" w:rsidRPr="00246DE1" w:rsidRDefault="00AF5CC6" w:rsidP="00C36F0E">
      <w:pPr>
        <w:pStyle w:val="Default"/>
        <w:spacing w:after="120"/>
        <w:jc w:val="both"/>
        <w:rPr>
          <w:rFonts w:ascii="Verdana" w:hAnsi="Verdana"/>
          <w:color w:val="auto"/>
          <w:sz w:val="16"/>
          <w:szCs w:val="16"/>
        </w:rPr>
      </w:pPr>
      <w:r w:rsidRPr="00246DE1">
        <w:rPr>
          <w:rStyle w:val="Refdenotaalpie"/>
          <w:rFonts w:ascii="Verdana" w:hAnsi="Verdana"/>
          <w:color w:val="auto"/>
          <w:sz w:val="16"/>
          <w:szCs w:val="16"/>
        </w:rPr>
        <w:footnoteRef/>
      </w:r>
      <w:r w:rsidRPr="00246DE1">
        <w:rPr>
          <w:rFonts w:ascii="Verdana" w:hAnsi="Verdana"/>
          <w:color w:val="auto"/>
          <w:sz w:val="16"/>
          <w:szCs w:val="16"/>
        </w:rPr>
        <w:t xml:space="preserve"> </w:t>
      </w:r>
      <w:r w:rsidRPr="00246DE1">
        <w:rPr>
          <w:rFonts w:ascii="Verdana" w:hAnsi="Verdana"/>
          <w:color w:val="auto"/>
          <w:sz w:val="16"/>
          <w:szCs w:val="16"/>
        </w:rPr>
        <w:tab/>
      </w:r>
      <w:r w:rsidRPr="00246DE1">
        <w:rPr>
          <w:rFonts w:ascii="Verdana" w:hAnsi="Verdana"/>
          <w:i/>
          <w:sz w:val="16"/>
          <w:szCs w:val="16"/>
        </w:rPr>
        <w:t xml:space="preserve">Cf. </w:t>
      </w:r>
      <w:r w:rsidRPr="00246DE1">
        <w:rPr>
          <w:rFonts w:ascii="Verdana" w:hAnsi="Verdana"/>
          <w:color w:val="auto"/>
          <w:sz w:val="16"/>
          <w:szCs w:val="16"/>
        </w:rPr>
        <w:t xml:space="preserve">Constitutional Court of Peru, </w:t>
      </w:r>
      <w:r w:rsidRPr="00246DE1">
        <w:rPr>
          <w:rFonts w:ascii="Verdana" w:hAnsi="Verdana"/>
          <w:i/>
          <w:iCs/>
          <w:color w:val="auto"/>
          <w:sz w:val="16"/>
          <w:szCs w:val="16"/>
        </w:rPr>
        <w:t xml:space="preserve">Lawyers’ Professional Associations of Cusco and </w:t>
      </w:r>
      <w:r w:rsidRPr="00246DE1">
        <w:rPr>
          <w:rFonts w:ascii="Verdana" w:hAnsi="Verdana"/>
          <w:i/>
          <w:iCs/>
          <w:sz w:val="16"/>
          <w:szCs w:val="16"/>
        </w:rPr>
        <w:t>Callao and more than five thousand citizens v. Congress of the Republic</w:t>
      </w:r>
      <w:r w:rsidRPr="00246DE1">
        <w:rPr>
          <w:rFonts w:ascii="Verdana" w:hAnsi="Verdana"/>
          <w:sz w:val="16"/>
          <w:szCs w:val="16"/>
        </w:rPr>
        <w:t>. Unconstitutionality proceedings. File No. 00050-2004-AI/TC, June 3, 2005, p. 60.</w:t>
      </w:r>
    </w:p>
  </w:footnote>
  <w:footnote w:id="414">
    <w:p w14:paraId="4A281AAE" w14:textId="77777777" w:rsidR="00AF5CC6" w:rsidRPr="00246DE1" w:rsidRDefault="00AF5CC6" w:rsidP="00C36F0E">
      <w:pPr>
        <w:pStyle w:val="Textonotapie"/>
        <w:rPr>
          <w:szCs w:val="16"/>
          <w:lang w:val="en-US"/>
        </w:rPr>
      </w:pPr>
      <w:r w:rsidRPr="00246DE1">
        <w:rPr>
          <w:rStyle w:val="Refdenotaalpie"/>
          <w:szCs w:val="16"/>
          <w:lang w:val="en-US"/>
        </w:rPr>
        <w:footnoteRef/>
      </w:r>
      <w:r w:rsidRPr="00246DE1">
        <w:rPr>
          <w:szCs w:val="16"/>
          <w:lang w:val="en-US"/>
        </w:rPr>
        <w:t xml:space="preserve"> </w:t>
      </w:r>
      <w:r w:rsidRPr="00246DE1">
        <w:rPr>
          <w:szCs w:val="16"/>
          <w:lang w:val="en-US"/>
        </w:rPr>
        <w:tab/>
      </w:r>
      <w:r w:rsidRPr="00246DE1">
        <w:rPr>
          <w:i/>
          <w:szCs w:val="16"/>
          <w:lang w:val="en-US"/>
        </w:rPr>
        <w:t xml:space="preserve">Cf. </w:t>
      </w:r>
      <w:r w:rsidRPr="00246DE1">
        <w:rPr>
          <w:szCs w:val="16"/>
          <w:lang w:val="en-US"/>
        </w:rPr>
        <w:t xml:space="preserve">Constitutional Court of Peru, </w:t>
      </w:r>
      <w:r w:rsidRPr="00246DE1">
        <w:rPr>
          <w:i/>
          <w:iCs/>
          <w:szCs w:val="16"/>
          <w:lang w:val="en-US"/>
        </w:rPr>
        <w:t>Case of Educational Reform Law 2</w:t>
      </w:r>
      <w:r w:rsidRPr="00246DE1">
        <w:rPr>
          <w:i/>
          <w:szCs w:val="16"/>
          <w:lang w:val="en-US"/>
        </w:rPr>
        <w:t>, SCT–01.014–PI</w:t>
      </w:r>
      <w:r w:rsidRPr="00246DE1">
        <w:rPr>
          <w:szCs w:val="16"/>
          <w:lang w:val="en-US"/>
        </w:rPr>
        <w:t xml:space="preserve">, File </w:t>
      </w:r>
      <w:r w:rsidRPr="00246DE1">
        <w:rPr>
          <w:szCs w:val="16"/>
          <w:lang w:val="en-US"/>
        </w:rPr>
        <w:br/>
        <w:t>0020–2012–PI/TC, April 16, 2014, p. 20.</w:t>
      </w:r>
    </w:p>
  </w:footnote>
  <w:footnote w:id="415">
    <w:p w14:paraId="7F94699C" w14:textId="77777777" w:rsidR="00AF5CC6" w:rsidRPr="00246DE1" w:rsidRDefault="00AF5CC6" w:rsidP="00C36F0E">
      <w:pPr>
        <w:pStyle w:val="Textonotapie"/>
        <w:rPr>
          <w:szCs w:val="16"/>
          <w:lang w:val="en-US"/>
        </w:rPr>
      </w:pPr>
      <w:r w:rsidRPr="00246DE1">
        <w:rPr>
          <w:rStyle w:val="Refdenotaalpie"/>
          <w:szCs w:val="16"/>
          <w:lang w:val="en-US"/>
        </w:rPr>
        <w:footnoteRef/>
      </w:r>
      <w:r w:rsidRPr="00246DE1">
        <w:rPr>
          <w:szCs w:val="16"/>
          <w:lang w:val="en-US"/>
        </w:rPr>
        <w:t xml:space="preserve"> </w:t>
      </w:r>
      <w:r w:rsidRPr="00246DE1">
        <w:rPr>
          <w:szCs w:val="16"/>
          <w:lang w:val="en-US"/>
        </w:rPr>
        <w:tab/>
      </w:r>
      <w:r w:rsidRPr="00246DE1">
        <w:rPr>
          <w:i/>
          <w:szCs w:val="16"/>
          <w:lang w:val="en-US"/>
        </w:rPr>
        <w:t xml:space="preserve">Cf. </w:t>
      </w:r>
      <w:r w:rsidRPr="00246DE1">
        <w:rPr>
          <w:szCs w:val="16"/>
          <w:lang w:val="en-US"/>
        </w:rPr>
        <w:t xml:space="preserve">Constitutional Court of Guatemala, General and partial unconstitutionality. Accumulated files 3-2011, 4-2011 and 52-2011, p. 25 and </w:t>
      </w:r>
      <w:r w:rsidRPr="00246DE1">
        <w:rPr>
          <w:i/>
          <w:szCs w:val="16"/>
          <w:lang w:val="en-US"/>
        </w:rPr>
        <w:t>ff</w:t>
      </w:r>
      <w:r w:rsidRPr="00246DE1">
        <w:rPr>
          <w:szCs w:val="16"/>
          <w:lang w:val="en-US"/>
        </w:rPr>
        <w:t xml:space="preserve">.  </w:t>
      </w:r>
    </w:p>
  </w:footnote>
  <w:footnote w:id="416">
    <w:p w14:paraId="7BA49528" w14:textId="77777777" w:rsidR="00AF5CC6" w:rsidRPr="00246DE1" w:rsidRDefault="00AF5CC6" w:rsidP="00C36F0E">
      <w:pPr>
        <w:pStyle w:val="Textonotapie"/>
        <w:rPr>
          <w:szCs w:val="16"/>
          <w:lang w:val="en-US"/>
        </w:rPr>
      </w:pPr>
      <w:r w:rsidRPr="00246DE1">
        <w:rPr>
          <w:rStyle w:val="Refdenotaalpie"/>
          <w:szCs w:val="16"/>
          <w:lang w:val="en-US"/>
        </w:rPr>
        <w:footnoteRef/>
      </w:r>
      <w:r w:rsidRPr="00246DE1">
        <w:rPr>
          <w:szCs w:val="16"/>
          <w:lang w:val="en-US"/>
        </w:rPr>
        <w:t xml:space="preserve"> </w:t>
      </w:r>
      <w:r w:rsidRPr="00246DE1">
        <w:rPr>
          <w:szCs w:val="16"/>
          <w:lang w:val="en-US"/>
        </w:rPr>
        <w:tab/>
        <w:t xml:space="preserve">Thus, the examination of </w:t>
      </w:r>
      <w:proofErr w:type="spellStart"/>
      <w:r w:rsidRPr="00246DE1">
        <w:rPr>
          <w:szCs w:val="16"/>
          <w:lang w:val="en-US"/>
        </w:rPr>
        <w:t>retrogressivity</w:t>
      </w:r>
      <w:proofErr w:type="spellEnd"/>
      <w:r w:rsidRPr="00246DE1">
        <w:rPr>
          <w:szCs w:val="16"/>
          <w:lang w:val="en-US"/>
        </w:rPr>
        <w:t xml:space="preserve"> by the Constitutional Court of Guatemala consists in determining whether: (</w:t>
      </w:r>
      <w:proofErr w:type="spellStart"/>
      <w:r w:rsidRPr="00246DE1">
        <w:rPr>
          <w:szCs w:val="16"/>
          <w:lang w:val="en-US"/>
        </w:rPr>
        <w:t>i</w:t>
      </w:r>
      <w:proofErr w:type="spellEnd"/>
      <w:r w:rsidRPr="00246DE1">
        <w:rPr>
          <w:szCs w:val="16"/>
          <w:lang w:val="en-US"/>
        </w:rPr>
        <w:t>) the measure adopted seeks to satisfy a constitutional purpose; (ii) is valid to achieve the objective sought; (iii) the different alternative</w:t>
      </w:r>
      <w:r>
        <w:rPr>
          <w:szCs w:val="16"/>
          <w:lang w:val="en-US"/>
        </w:rPr>
        <w:t>s</w:t>
      </w:r>
      <w:r w:rsidRPr="00246DE1">
        <w:rPr>
          <w:szCs w:val="16"/>
          <w:lang w:val="en-US"/>
        </w:rPr>
        <w:t xml:space="preserve"> have been assessed and the measure is necessary to achieve the proposed objective; (iv) </w:t>
      </w:r>
      <w:r>
        <w:rPr>
          <w:szCs w:val="16"/>
          <w:lang w:val="en-US"/>
        </w:rPr>
        <w:t xml:space="preserve">it </w:t>
      </w:r>
      <w:r w:rsidRPr="00246DE1">
        <w:rPr>
          <w:szCs w:val="16"/>
          <w:lang w:val="en-US"/>
        </w:rPr>
        <w:t xml:space="preserve">does not affect the essential content of the fundamental right involved, and (v) the benefit achieved is proportionate to the cost. </w:t>
      </w:r>
      <w:r w:rsidRPr="00246DE1">
        <w:rPr>
          <w:i/>
          <w:szCs w:val="16"/>
          <w:lang w:val="en-US"/>
        </w:rPr>
        <w:t>Ibidem</w:t>
      </w:r>
      <w:r w:rsidRPr="00246DE1">
        <w:rPr>
          <w:szCs w:val="16"/>
          <w:lang w:val="en-US"/>
        </w:rPr>
        <w:t xml:space="preserve">, pp. 32 and 33. </w:t>
      </w:r>
    </w:p>
  </w:footnote>
  <w:footnote w:id="417">
    <w:p w14:paraId="73FB19BD" w14:textId="77777777" w:rsidR="00AF5CC6" w:rsidRPr="00246DE1" w:rsidRDefault="00AF5CC6" w:rsidP="00C36F0E">
      <w:pPr>
        <w:widowControl w:val="0"/>
        <w:autoSpaceDE w:val="0"/>
        <w:autoSpaceDN w:val="0"/>
        <w:adjustRightInd w:val="0"/>
        <w:spacing w:after="120"/>
        <w:rPr>
          <w:sz w:val="16"/>
          <w:szCs w:val="16"/>
          <w:lang w:val="en-US"/>
        </w:rPr>
      </w:pPr>
      <w:r w:rsidRPr="00246DE1">
        <w:rPr>
          <w:rStyle w:val="Refdenotaalpie"/>
          <w:sz w:val="16"/>
          <w:szCs w:val="16"/>
          <w:lang w:val="en-US"/>
        </w:rPr>
        <w:footnoteRef/>
      </w:r>
      <w:r w:rsidRPr="00246DE1">
        <w:rPr>
          <w:sz w:val="16"/>
          <w:szCs w:val="16"/>
          <w:lang w:val="en-US"/>
        </w:rPr>
        <w:t xml:space="preserve"> </w:t>
      </w:r>
      <w:r w:rsidRPr="00246DE1">
        <w:rPr>
          <w:sz w:val="16"/>
          <w:szCs w:val="16"/>
          <w:lang w:val="en-US"/>
        </w:rPr>
        <w:tab/>
        <w:t>For example, the</w:t>
      </w:r>
      <w:r w:rsidRPr="00246DE1">
        <w:rPr>
          <w:rFonts w:cs="Times New Roman"/>
          <w:sz w:val="16"/>
          <w:szCs w:val="16"/>
          <w:lang w:val="en-US"/>
        </w:rPr>
        <w:t xml:space="preserve"> SCJN has used a </w:t>
      </w:r>
      <w:r w:rsidRPr="00246DE1">
        <w:rPr>
          <w:rFonts w:cs="Times New Roman"/>
          <w:i/>
          <w:sz w:val="16"/>
          <w:szCs w:val="16"/>
          <w:lang w:val="en-US"/>
        </w:rPr>
        <w:t>generic analysis</w:t>
      </w:r>
      <w:r w:rsidRPr="00246DE1">
        <w:rPr>
          <w:rFonts w:cs="Times New Roman"/>
          <w:sz w:val="16"/>
          <w:szCs w:val="16"/>
          <w:lang w:val="en-US"/>
        </w:rPr>
        <w:t xml:space="preserve"> with regard to the validity of a measure that is supposedly retrogressive, in function of its social purpose (</w:t>
      </w:r>
      <w:r>
        <w:rPr>
          <w:i/>
          <w:sz w:val="16"/>
          <w:szCs w:val="16"/>
          <w:lang w:val="en-US"/>
        </w:rPr>
        <w:t>c</w:t>
      </w:r>
      <w:r w:rsidRPr="00246DE1">
        <w:rPr>
          <w:i/>
          <w:sz w:val="16"/>
          <w:szCs w:val="16"/>
          <w:lang w:val="en-US"/>
        </w:rPr>
        <w:t xml:space="preserve">f. </w:t>
      </w:r>
      <w:r w:rsidRPr="00246DE1">
        <w:rPr>
          <w:rFonts w:cs="Times New Roman"/>
          <w:sz w:val="16"/>
          <w:szCs w:val="16"/>
          <w:lang w:val="en-US"/>
        </w:rPr>
        <w:t xml:space="preserve">SCJN, First Chamber, Amparo in review 304/2015, Judgment of May 31, 2017, pp. 25 to 28), as well as a test consisting in proving the existence of a </w:t>
      </w:r>
      <w:r w:rsidRPr="00246DE1">
        <w:rPr>
          <w:rFonts w:cs="Times New Roman"/>
          <w:i/>
          <w:sz w:val="16"/>
          <w:szCs w:val="16"/>
          <w:lang w:val="en-US"/>
        </w:rPr>
        <w:t>general restriction</w:t>
      </w:r>
      <w:r w:rsidRPr="00246DE1">
        <w:rPr>
          <w:rFonts w:cs="Times New Roman"/>
          <w:sz w:val="16"/>
          <w:szCs w:val="16"/>
          <w:lang w:val="en-US"/>
        </w:rPr>
        <w:t xml:space="preserve"> and a </w:t>
      </w:r>
      <w:r w:rsidRPr="00246DE1">
        <w:rPr>
          <w:rFonts w:cs="Times New Roman"/>
          <w:i/>
          <w:sz w:val="16"/>
          <w:szCs w:val="16"/>
          <w:lang w:val="en-US"/>
        </w:rPr>
        <w:t>causal relationship</w:t>
      </w:r>
      <w:r w:rsidRPr="00246DE1">
        <w:rPr>
          <w:rFonts w:cs="Times New Roman"/>
          <w:sz w:val="16"/>
          <w:szCs w:val="16"/>
          <w:lang w:val="en-US"/>
        </w:rPr>
        <w:t xml:space="preserve"> between the measure and adverse effects on the applicants for amparo (</w:t>
      </w:r>
      <w:r>
        <w:rPr>
          <w:i/>
          <w:sz w:val="16"/>
          <w:szCs w:val="16"/>
          <w:lang w:val="en-US"/>
        </w:rPr>
        <w:t>c</w:t>
      </w:r>
      <w:r w:rsidRPr="00246DE1">
        <w:rPr>
          <w:i/>
          <w:sz w:val="16"/>
          <w:szCs w:val="16"/>
          <w:lang w:val="en-US"/>
        </w:rPr>
        <w:t xml:space="preserve">f. </w:t>
      </w:r>
      <w:r w:rsidRPr="00246DE1">
        <w:rPr>
          <w:rFonts w:cs="Times New Roman"/>
          <w:sz w:val="16"/>
          <w:szCs w:val="16"/>
          <w:lang w:val="en-US"/>
        </w:rPr>
        <w:t>SCJN. Amparo in review 566/2015. Judgment of February 15, 2017, pp. 32 and 33).</w:t>
      </w:r>
    </w:p>
  </w:footnote>
  <w:footnote w:id="418">
    <w:p w14:paraId="03174B65" w14:textId="77777777" w:rsidR="00AF5CC6" w:rsidRPr="00246DE1" w:rsidRDefault="00AF5CC6" w:rsidP="00C36F0E">
      <w:pPr>
        <w:widowControl w:val="0"/>
        <w:autoSpaceDE w:val="0"/>
        <w:autoSpaceDN w:val="0"/>
        <w:adjustRightInd w:val="0"/>
        <w:spacing w:after="120"/>
        <w:rPr>
          <w:sz w:val="16"/>
          <w:szCs w:val="16"/>
          <w:lang w:val="en-US"/>
        </w:rPr>
      </w:pPr>
      <w:r w:rsidRPr="00246DE1">
        <w:rPr>
          <w:rStyle w:val="Refdenotaalpie"/>
          <w:sz w:val="16"/>
          <w:szCs w:val="16"/>
          <w:lang w:val="en-US"/>
        </w:rPr>
        <w:footnoteRef/>
      </w:r>
      <w:r w:rsidRPr="00246DE1">
        <w:rPr>
          <w:sz w:val="16"/>
          <w:szCs w:val="16"/>
          <w:lang w:val="en-US"/>
        </w:rPr>
        <w:t xml:space="preserve"> </w:t>
      </w:r>
      <w:r w:rsidRPr="00246DE1">
        <w:rPr>
          <w:sz w:val="16"/>
          <w:szCs w:val="16"/>
          <w:lang w:val="en-US"/>
        </w:rPr>
        <w:tab/>
      </w:r>
      <w:r w:rsidRPr="00246DE1">
        <w:rPr>
          <w:i/>
          <w:sz w:val="16"/>
          <w:szCs w:val="16"/>
          <w:lang w:val="en-US"/>
        </w:rPr>
        <w:t xml:space="preserve">Cf. </w:t>
      </w:r>
      <w:r w:rsidRPr="00246DE1">
        <w:rPr>
          <w:rFonts w:cs="Times New Roman"/>
          <w:sz w:val="16"/>
          <w:szCs w:val="16"/>
          <w:lang w:val="en-US"/>
        </w:rPr>
        <w:t xml:space="preserve">SCJN. </w:t>
      </w:r>
      <w:r w:rsidRPr="00B85AF9">
        <w:rPr>
          <w:rFonts w:cs="Times New Roman"/>
          <w:sz w:val="16"/>
          <w:szCs w:val="16"/>
          <w:lang w:val="en-US"/>
        </w:rPr>
        <w:t xml:space="preserve">First Chamber, Amparo in review 750/2015, </w:t>
      </w:r>
      <w:r w:rsidRPr="00B85AF9">
        <w:rPr>
          <w:rFonts w:cs="Times New Roman"/>
          <w:i/>
          <w:sz w:val="16"/>
          <w:szCs w:val="16"/>
          <w:lang w:val="en-US"/>
        </w:rPr>
        <w:t>The Board and</w:t>
      </w:r>
      <w:r>
        <w:rPr>
          <w:rFonts w:cs="Times New Roman"/>
          <w:i/>
          <w:sz w:val="16"/>
          <w:szCs w:val="16"/>
          <w:lang w:val="en-US"/>
        </w:rPr>
        <w:t xml:space="preserve"> </w:t>
      </w:r>
      <w:r w:rsidRPr="00B85AF9">
        <w:rPr>
          <w:rFonts w:cs="Times New Roman"/>
          <w:i/>
          <w:sz w:val="16"/>
          <w:szCs w:val="16"/>
          <w:lang w:val="en-US"/>
        </w:rPr>
        <w:t>treasur</w:t>
      </w:r>
      <w:r>
        <w:rPr>
          <w:rFonts w:cs="Times New Roman"/>
          <w:i/>
          <w:sz w:val="16"/>
          <w:szCs w:val="16"/>
          <w:lang w:val="en-US"/>
        </w:rPr>
        <w:t>er of the</w:t>
      </w:r>
      <w:r w:rsidRPr="00B85AF9">
        <w:rPr>
          <w:rFonts w:cs="Times New Roman"/>
          <w:i/>
          <w:sz w:val="16"/>
          <w:szCs w:val="16"/>
          <w:lang w:val="en-US"/>
        </w:rPr>
        <w:t xml:space="preserve"> Universidad Michoacana de San Nicolás de Hidalgo</w:t>
      </w:r>
      <w:r w:rsidRPr="00B85AF9">
        <w:rPr>
          <w:rFonts w:cs="Times New Roman"/>
          <w:sz w:val="16"/>
          <w:szCs w:val="16"/>
          <w:lang w:val="en-US"/>
        </w:rPr>
        <w:t>.</w:t>
      </w:r>
      <w:r w:rsidRPr="00B85AF9">
        <w:rPr>
          <w:rFonts w:cs="Times New Roman"/>
          <w:i/>
          <w:sz w:val="16"/>
          <w:szCs w:val="16"/>
          <w:lang w:val="en-US"/>
        </w:rPr>
        <w:t xml:space="preserve"> </w:t>
      </w:r>
      <w:r w:rsidRPr="00246DE1">
        <w:rPr>
          <w:rFonts w:cs="Times New Roman"/>
          <w:sz w:val="16"/>
          <w:szCs w:val="16"/>
          <w:lang w:val="en-US"/>
        </w:rPr>
        <w:t xml:space="preserve">Judgment of April 20, 2016, pp. 84 and 85; </w:t>
      </w:r>
      <w:r w:rsidRPr="00246DE1">
        <w:rPr>
          <w:i/>
          <w:sz w:val="16"/>
          <w:szCs w:val="16"/>
          <w:lang w:val="en-US"/>
        </w:rPr>
        <w:t xml:space="preserve">Cf. </w:t>
      </w:r>
      <w:r w:rsidRPr="00246DE1">
        <w:rPr>
          <w:rFonts w:cs="Times New Roman"/>
          <w:sz w:val="16"/>
          <w:szCs w:val="16"/>
          <w:lang w:val="en-US"/>
        </w:rPr>
        <w:t xml:space="preserve">SCJN, First Chamber, Amparo in review 1374/2015, Judgment of May 18, 2016, pp. 84 and 85; </w:t>
      </w:r>
      <w:r w:rsidRPr="00246DE1">
        <w:rPr>
          <w:i/>
          <w:sz w:val="16"/>
          <w:szCs w:val="16"/>
          <w:lang w:val="en-US"/>
        </w:rPr>
        <w:t xml:space="preserve">Cf. </w:t>
      </w:r>
      <w:r w:rsidRPr="00246DE1">
        <w:rPr>
          <w:rFonts w:cs="Times New Roman"/>
          <w:sz w:val="16"/>
          <w:szCs w:val="16"/>
          <w:lang w:val="en-US"/>
        </w:rPr>
        <w:t xml:space="preserve">SCJN, First Chamber, Amparo in review 1356/2015, Judgment of July 6, 2016, pp. 30 and 31; </w:t>
      </w:r>
      <w:r w:rsidRPr="00246DE1">
        <w:rPr>
          <w:i/>
          <w:sz w:val="16"/>
          <w:szCs w:val="16"/>
          <w:lang w:val="en-US"/>
        </w:rPr>
        <w:t>Cf.</w:t>
      </w:r>
      <w:r w:rsidRPr="00246DE1">
        <w:rPr>
          <w:rFonts w:cs="Times New Roman"/>
          <w:sz w:val="16"/>
          <w:szCs w:val="16"/>
          <w:lang w:val="en-US"/>
        </w:rPr>
        <w:t xml:space="preserve"> SCJN, First Chamber, Amparo in review 100/2016, Judgment of August 10, 2016; </w:t>
      </w:r>
      <w:r w:rsidRPr="00246DE1">
        <w:rPr>
          <w:i/>
          <w:sz w:val="16"/>
          <w:szCs w:val="16"/>
          <w:lang w:val="en-US"/>
        </w:rPr>
        <w:t xml:space="preserve">Cf. </w:t>
      </w:r>
      <w:r w:rsidRPr="00246DE1">
        <w:rPr>
          <w:rFonts w:cs="Times New Roman"/>
          <w:sz w:val="16"/>
          <w:szCs w:val="16"/>
          <w:lang w:val="en-US"/>
        </w:rPr>
        <w:t>SCJN. First Chamber, Amparo in review 306/2016, Judgment of March 8, 2017, pp. 67 and 68.</w:t>
      </w:r>
    </w:p>
  </w:footnote>
  <w:footnote w:id="419">
    <w:p w14:paraId="2FB40C2D" w14:textId="77777777" w:rsidR="00AF5CC6" w:rsidRPr="00246DE1" w:rsidRDefault="00AF5CC6" w:rsidP="00C36F0E">
      <w:pPr>
        <w:widowControl w:val="0"/>
        <w:autoSpaceDE w:val="0"/>
        <w:autoSpaceDN w:val="0"/>
        <w:adjustRightInd w:val="0"/>
        <w:spacing w:after="120"/>
        <w:rPr>
          <w:sz w:val="16"/>
          <w:szCs w:val="16"/>
          <w:lang w:val="en-US"/>
        </w:rPr>
      </w:pPr>
      <w:r w:rsidRPr="00246DE1">
        <w:rPr>
          <w:rStyle w:val="Refdenotaalpie"/>
          <w:sz w:val="16"/>
          <w:szCs w:val="16"/>
          <w:lang w:val="en-US"/>
        </w:rPr>
        <w:footnoteRef/>
      </w:r>
      <w:r w:rsidRPr="00246DE1">
        <w:rPr>
          <w:sz w:val="16"/>
          <w:szCs w:val="16"/>
          <w:lang w:val="en-US"/>
        </w:rPr>
        <w:t xml:space="preserve"> </w:t>
      </w:r>
      <w:r w:rsidRPr="00246DE1">
        <w:rPr>
          <w:sz w:val="16"/>
          <w:szCs w:val="16"/>
          <w:lang w:val="en-US"/>
        </w:rPr>
        <w:tab/>
      </w:r>
      <w:r w:rsidRPr="00246DE1">
        <w:rPr>
          <w:i/>
          <w:sz w:val="16"/>
          <w:szCs w:val="16"/>
          <w:lang w:val="en-US"/>
        </w:rPr>
        <w:t xml:space="preserve">Cf. </w:t>
      </w:r>
      <w:r w:rsidRPr="00246DE1">
        <w:rPr>
          <w:rFonts w:cs="Times New Roman"/>
          <w:sz w:val="16"/>
          <w:szCs w:val="16"/>
          <w:lang w:val="en-US"/>
        </w:rPr>
        <w:t xml:space="preserve">SCJN. Second Chamber, Amparo in review 2425/2015, August 12, 2015, p. 16; </w:t>
      </w:r>
      <w:r w:rsidRPr="00246DE1">
        <w:rPr>
          <w:rFonts w:cs="Times New Roman"/>
          <w:i/>
          <w:sz w:val="16"/>
          <w:szCs w:val="16"/>
          <w:lang w:val="en-US"/>
        </w:rPr>
        <w:t xml:space="preserve">Cf. </w:t>
      </w:r>
      <w:r w:rsidRPr="00246DE1">
        <w:rPr>
          <w:rFonts w:cs="Times New Roman"/>
          <w:sz w:val="16"/>
          <w:szCs w:val="16"/>
          <w:lang w:val="en-US"/>
        </w:rPr>
        <w:t xml:space="preserve">SCJN, Second Chamber, Contestation of ruling 291/2015, January 20, 2016, pp. 61 and 62; </w:t>
      </w:r>
      <w:r w:rsidRPr="00246DE1">
        <w:rPr>
          <w:i/>
          <w:sz w:val="16"/>
          <w:szCs w:val="16"/>
          <w:lang w:val="en-US"/>
        </w:rPr>
        <w:t xml:space="preserve">Cf. </w:t>
      </w:r>
      <w:r w:rsidRPr="00246DE1">
        <w:rPr>
          <w:rFonts w:cs="Times New Roman"/>
          <w:sz w:val="16"/>
          <w:szCs w:val="16"/>
          <w:lang w:val="en-US"/>
        </w:rPr>
        <w:t xml:space="preserve">SCJN, Second Chamber, Amparo in review 559/2015, February 17, 2016, pp. 21 and 22; </w:t>
      </w:r>
      <w:r w:rsidRPr="00246DE1">
        <w:rPr>
          <w:i/>
          <w:sz w:val="16"/>
          <w:szCs w:val="16"/>
          <w:lang w:val="en-US"/>
        </w:rPr>
        <w:t xml:space="preserve">Cf. </w:t>
      </w:r>
      <w:r w:rsidRPr="00246DE1">
        <w:rPr>
          <w:rFonts w:cs="Times New Roman"/>
          <w:sz w:val="16"/>
          <w:szCs w:val="16"/>
          <w:lang w:val="en-US"/>
        </w:rPr>
        <w:t xml:space="preserve">SCJN, Second Chamber, Amparo in review 11/2016, May 18, 2016, p. 25; </w:t>
      </w:r>
      <w:r w:rsidRPr="00246DE1">
        <w:rPr>
          <w:i/>
          <w:sz w:val="16"/>
          <w:szCs w:val="16"/>
          <w:lang w:val="en-US"/>
        </w:rPr>
        <w:t xml:space="preserve">Cf. </w:t>
      </w:r>
      <w:r w:rsidRPr="00246DE1">
        <w:rPr>
          <w:rFonts w:cs="Times New Roman"/>
          <w:sz w:val="16"/>
          <w:szCs w:val="16"/>
          <w:lang w:val="en-US"/>
        </w:rPr>
        <w:t xml:space="preserve">SCJN, Second Chamber, Amparo in review 7153/2016, April 5, 2017, pp. 32 and 33. </w:t>
      </w:r>
    </w:p>
  </w:footnote>
  <w:footnote w:id="420">
    <w:p w14:paraId="2943F3D1" w14:textId="77777777" w:rsidR="00AF5CC6" w:rsidRPr="00246DE1" w:rsidRDefault="00AF5CC6" w:rsidP="00C36F0E">
      <w:pPr>
        <w:spacing w:after="120"/>
        <w:rPr>
          <w:sz w:val="16"/>
          <w:szCs w:val="16"/>
          <w:lang w:val="en-US"/>
        </w:rPr>
      </w:pPr>
      <w:r w:rsidRPr="00246DE1">
        <w:rPr>
          <w:rStyle w:val="Refdenotaalpie"/>
          <w:sz w:val="16"/>
          <w:szCs w:val="16"/>
          <w:lang w:val="en-US"/>
        </w:rPr>
        <w:footnoteRef/>
      </w:r>
      <w:r w:rsidRPr="00246DE1">
        <w:rPr>
          <w:sz w:val="16"/>
          <w:szCs w:val="16"/>
          <w:lang w:val="en-US"/>
        </w:rPr>
        <w:t xml:space="preserve"> </w:t>
      </w:r>
      <w:r w:rsidRPr="00246DE1">
        <w:rPr>
          <w:rFonts w:cs="Times New Roman"/>
          <w:sz w:val="16"/>
          <w:szCs w:val="16"/>
          <w:lang w:val="en-US"/>
        </w:rPr>
        <w:tab/>
        <w:t xml:space="preserve"> In this regard, in its General Comment No. 3 (1991), the CESCR stated, when analyzing the general obligation of progressivity, that: “[…] </w:t>
      </w:r>
      <w:r w:rsidRPr="00246DE1">
        <w:rPr>
          <w:sz w:val="16"/>
          <w:szCs w:val="16"/>
          <w:lang w:val="en-US"/>
        </w:rPr>
        <w:t xml:space="preserve">any </w:t>
      </w:r>
      <w:r w:rsidRPr="00246DE1">
        <w:rPr>
          <w:i/>
          <w:sz w:val="16"/>
          <w:szCs w:val="16"/>
          <w:lang w:val="en-US"/>
        </w:rPr>
        <w:t>deliberately retrogressive</w:t>
      </w:r>
      <w:r w:rsidRPr="00246DE1">
        <w:rPr>
          <w:sz w:val="16"/>
          <w:szCs w:val="16"/>
          <w:lang w:val="en-US"/>
        </w:rPr>
        <w:t xml:space="preserve"> measures […] would require the most careful consideration and would need to be fully justified by reference to the totality of the rights provided for in the Covenant and in the context of the full use of the maximum available resources.</w:t>
      </w:r>
      <w:r w:rsidRPr="00246DE1">
        <w:rPr>
          <w:sz w:val="16"/>
          <w:szCs w:val="16"/>
          <w:shd w:val="clear" w:color="auto" w:fill="FFFFFF"/>
          <w:lang w:val="en-US"/>
        </w:rPr>
        <w:t>” This line of interpretation by the  Committee on Economic, Social and Cultural Rights has been reiterated in recent Comments, such as General Comment No. 23 (2016) which indicate</w:t>
      </w:r>
      <w:r>
        <w:rPr>
          <w:sz w:val="16"/>
          <w:szCs w:val="16"/>
          <w:shd w:val="clear" w:color="auto" w:fill="FFFFFF"/>
          <w:lang w:val="en-US"/>
        </w:rPr>
        <w:t>d</w:t>
      </w:r>
      <w:r w:rsidRPr="00246DE1">
        <w:rPr>
          <w:sz w:val="16"/>
          <w:szCs w:val="16"/>
          <w:shd w:val="clear" w:color="auto" w:fill="FFFFFF"/>
          <w:lang w:val="en-US"/>
        </w:rPr>
        <w:t xml:space="preserve"> that: ”</w:t>
      </w:r>
      <w:r w:rsidRPr="00246DE1">
        <w:rPr>
          <w:rFonts w:cs="Arial"/>
          <w:sz w:val="16"/>
          <w:szCs w:val="16"/>
          <w:lang w:val="en-US"/>
        </w:rPr>
        <w:t xml:space="preserve">State parties should avoid taking any </w:t>
      </w:r>
      <w:r w:rsidRPr="00246DE1">
        <w:rPr>
          <w:rStyle w:val="highlight"/>
          <w:rFonts w:cs="Arial"/>
          <w:sz w:val="16"/>
          <w:szCs w:val="16"/>
          <w:lang w:val="en-US"/>
        </w:rPr>
        <w:t>deliber</w:t>
      </w:r>
      <w:r w:rsidRPr="00246DE1">
        <w:rPr>
          <w:rFonts w:cs="Arial"/>
          <w:sz w:val="16"/>
          <w:szCs w:val="16"/>
          <w:lang w:val="en-US"/>
        </w:rPr>
        <w:t>ately retrogressive measure without careful consideration and justification</w:t>
      </w:r>
      <w:r w:rsidRPr="00246DE1">
        <w:rPr>
          <w:sz w:val="16"/>
          <w:szCs w:val="16"/>
          <w:lang w:val="en-US"/>
        </w:rPr>
        <w:t xml:space="preserve">. […] </w:t>
      </w:r>
      <w:r w:rsidRPr="00246DE1">
        <w:rPr>
          <w:rFonts w:cs="Arial"/>
          <w:sz w:val="16"/>
          <w:szCs w:val="16"/>
          <w:lang w:val="en-US"/>
        </w:rPr>
        <w:t>States parties facing considerable difficulties in achieving progressive realization of that right due to a lack of national resources have an obligation to seek international cooperation and assistance.”</w:t>
      </w:r>
      <w:r w:rsidRPr="00246DE1">
        <w:rPr>
          <w:sz w:val="16"/>
          <w:szCs w:val="16"/>
          <w:lang w:val="en-US"/>
        </w:rPr>
        <w:t xml:space="preserve"> </w:t>
      </w:r>
      <w:r w:rsidRPr="00246DE1">
        <w:rPr>
          <w:sz w:val="16"/>
          <w:szCs w:val="16"/>
          <w:shd w:val="clear" w:color="auto" w:fill="FFFFFF"/>
          <w:lang w:val="en-US"/>
        </w:rPr>
        <w:t xml:space="preserve">CESCR, General Comment No. 3, </w:t>
      </w:r>
      <w:r w:rsidRPr="00246DE1">
        <w:rPr>
          <w:i/>
          <w:sz w:val="16"/>
          <w:szCs w:val="16"/>
          <w:lang w:val="en-US"/>
        </w:rPr>
        <w:t xml:space="preserve">The Nature of States Parties’ Obligations (Art. 2, Para. 1, of the </w:t>
      </w:r>
      <w:r w:rsidRPr="00246DE1">
        <w:rPr>
          <w:bCs/>
          <w:i/>
          <w:sz w:val="16"/>
          <w:szCs w:val="16"/>
          <w:lang w:val="en-US"/>
        </w:rPr>
        <w:t>Covenant)</w:t>
      </w:r>
      <w:r w:rsidRPr="00246DE1">
        <w:rPr>
          <w:bCs/>
          <w:sz w:val="16"/>
          <w:szCs w:val="16"/>
          <w:lang w:val="en-US"/>
        </w:rPr>
        <w:t>, January 1, 1990, para. 9, and</w:t>
      </w:r>
      <w:r w:rsidRPr="00246DE1">
        <w:rPr>
          <w:sz w:val="16"/>
          <w:szCs w:val="16"/>
          <w:shd w:val="clear" w:color="auto" w:fill="FFFFFF"/>
          <w:lang w:val="en-US"/>
        </w:rPr>
        <w:t xml:space="preserve"> </w:t>
      </w:r>
      <w:r w:rsidRPr="00246DE1">
        <w:rPr>
          <w:sz w:val="16"/>
          <w:szCs w:val="16"/>
          <w:lang w:val="en-US"/>
        </w:rPr>
        <w:t>General Comment No. 23</w:t>
      </w:r>
      <w:r w:rsidRPr="00246DE1">
        <w:rPr>
          <w:i/>
          <w:sz w:val="16"/>
          <w:szCs w:val="16"/>
          <w:lang w:val="en-US"/>
        </w:rPr>
        <w:t xml:space="preserve"> </w:t>
      </w:r>
      <w:r w:rsidRPr="00246DE1">
        <w:rPr>
          <w:rFonts w:cs="Arial"/>
          <w:i/>
          <w:sz w:val="16"/>
          <w:szCs w:val="16"/>
          <w:lang w:val="en-US"/>
        </w:rPr>
        <w:t>on the right to just and favourable conditions of work (article 7 of the International Covenant on Economic, Social and Cultural Rights</w:t>
      </w:r>
      <w:r w:rsidRPr="00246DE1">
        <w:rPr>
          <w:sz w:val="16"/>
          <w:szCs w:val="16"/>
          <w:lang w:val="en-US"/>
        </w:rPr>
        <w:t>), E/C.12/GC/23, April 26, 2016, para. 52.</w:t>
      </w:r>
    </w:p>
  </w:footnote>
  <w:footnote w:id="421">
    <w:p w14:paraId="2EED5EC3" w14:textId="77777777" w:rsidR="00AF5CC6" w:rsidRPr="00246DE1" w:rsidRDefault="00AF5CC6" w:rsidP="00C36F0E">
      <w:pPr>
        <w:pStyle w:val="Textonotapie"/>
        <w:rPr>
          <w:szCs w:val="16"/>
          <w:lang w:val="en-US"/>
        </w:rPr>
      </w:pPr>
      <w:r w:rsidRPr="00246DE1">
        <w:rPr>
          <w:rStyle w:val="Refdenotaalpie"/>
          <w:szCs w:val="16"/>
          <w:lang w:val="en-US"/>
        </w:rPr>
        <w:footnoteRef/>
      </w:r>
      <w:r w:rsidRPr="00246DE1">
        <w:rPr>
          <w:szCs w:val="16"/>
          <w:lang w:val="en-US"/>
        </w:rPr>
        <w:t xml:space="preserve"> </w:t>
      </w:r>
      <w:r w:rsidRPr="00246DE1">
        <w:rPr>
          <w:szCs w:val="16"/>
          <w:lang w:val="en-US"/>
        </w:rPr>
        <w:tab/>
      </w:r>
      <w:r w:rsidRPr="00246DE1">
        <w:rPr>
          <w:i/>
          <w:szCs w:val="16"/>
          <w:lang w:val="en-US"/>
        </w:rPr>
        <w:t xml:space="preserve">Cf. </w:t>
      </w:r>
      <w:r w:rsidRPr="00246DE1">
        <w:rPr>
          <w:szCs w:val="16"/>
          <w:lang w:val="en-US"/>
        </w:rPr>
        <w:t xml:space="preserve">Argentine Supreme Court of Justice of the Nation, </w:t>
      </w:r>
      <w:proofErr w:type="spellStart"/>
      <w:r w:rsidRPr="00246DE1">
        <w:rPr>
          <w:i/>
          <w:szCs w:val="16"/>
          <w:lang w:val="en-US"/>
        </w:rPr>
        <w:t>Asociación</w:t>
      </w:r>
      <w:proofErr w:type="spellEnd"/>
      <w:r w:rsidRPr="00246DE1">
        <w:rPr>
          <w:i/>
          <w:szCs w:val="16"/>
          <w:lang w:val="en-US"/>
        </w:rPr>
        <w:t xml:space="preserve"> </w:t>
      </w:r>
      <w:proofErr w:type="spellStart"/>
      <w:r w:rsidRPr="00246DE1">
        <w:rPr>
          <w:i/>
          <w:szCs w:val="16"/>
          <w:lang w:val="en-US"/>
        </w:rPr>
        <w:t>Benghalensis</w:t>
      </w:r>
      <w:proofErr w:type="spellEnd"/>
      <w:r w:rsidRPr="00246DE1">
        <w:rPr>
          <w:i/>
          <w:szCs w:val="16"/>
          <w:lang w:val="en-US"/>
        </w:rPr>
        <w:t xml:space="preserve"> et al. c/ Estado Nacional</w:t>
      </w:r>
      <w:r w:rsidRPr="00246DE1">
        <w:rPr>
          <w:szCs w:val="16"/>
          <w:lang w:val="en-US"/>
        </w:rPr>
        <w:t xml:space="preserve">, ref. Amparo Law 16,986, A. 186. XXXIV, June 1, 2000, </w:t>
      </w:r>
      <w:proofErr w:type="spellStart"/>
      <w:r w:rsidRPr="00246DE1">
        <w:rPr>
          <w:i/>
          <w:szCs w:val="16"/>
          <w:lang w:val="en-US"/>
        </w:rPr>
        <w:t>consideranda</w:t>
      </w:r>
      <w:proofErr w:type="spellEnd"/>
      <w:r w:rsidRPr="00246DE1">
        <w:rPr>
          <w:i/>
          <w:szCs w:val="16"/>
          <w:lang w:val="en-US"/>
        </w:rPr>
        <w:t xml:space="preserve"> </w:t>
      </w:r>
      <w:r w:rsidRPr="00246DE1">
        <w:rPr>
          <w:szCs w:val="16"/>
          <w:lang w:val="en-US"/>
        </w:rPr>
        <w:t>9, 13 and 14.</w:t>
      </w:r>
    </w:p>
  </w:footnote>
  <w:footnote w:id="422">
    <w:p w14:paraId="63591D67" w14:textId="77777777" w:rsidR="00AF5CC6" w:rsidRPr="00246DE1" w:rsidRDefault="00AF5CC6" w:rsidP="00C36F0E">
      <w:pPr>
        <w:pStyle w:val="Textonotapie"/>
        <w:rPr>
          <w:szCs w:val="16"/>
          <w:lang w:val="en-US"/>
        </w:rPr>
      </w:pPr>
      <w:r w:rsidRPr="00246DE1">
        <w:rPr>
          <w:rStyle w:val="Refdenotaalpie"/>
          <w:szCs w:val="16"/>
          <w:lang w:val="en-US"/>
        </w:rPr>
        <w:footnoteRef/>
      </w:r>
      <w:r w:rsidRPr="00246DE1">
        <w:rPr>
          <w:szCs w:val="16"/>
          <w:lang w:val="en-US"/>
        </w:rPr>
        <w:t xml:space="preserve"> </w:t>
      </w:r>
      <w:r w:rsidRPr="00246DE1">
        <w:rPr>
          <w:szCs w:val="16"/>
          <w:lang w:val="en-US"/>
        </w:rPr>
        <w:tab/>
      </w:r>
      <w:r w:rsidRPr="00246DE1">
        <w:rPr>
          <w:i/>
          <w:szCs w:val="16"/>
          <w:lang w:val="en-US"/>
        </w:rPr>
        <w:t xml:space="preserve">Cf. </w:t>
      </w:r>
      <w:proofErr w:type="spellStart"/>
      <w:r w:rsidRPr="00246DE1">
        <w:rPr>
          <w:szCs w:val="16"/>
          <w:lang w:val="en-US"/>
        </w:rPr>
        <w:t>Plurinational</w:t>
      </w:r>
      <w:proofErr w:type="spellEnd"/>
      <w:r w:rsidRPr="00246DE1">
        <w:rPr>
          <w:szCs w:val="16"/>
          <w:lang w:val="en-US"/>
        </w:rPr>
        <w:t xml:space="preserve"> Constitutional Court of Bolivia, Constitutional judgment 0108/2010-R, File No. 2006-14391-29-RAC. Judgment of May 10, 2010. Rapporteur: Justice Dr. Ernesto Félix Mur, p. 10.</w:t>
      </w:r>
    </w:p>
  </w:footnote>
  <w:footnote w:id="423">
    <w:p w14:paraId="6CC9EBF4" w14:textId="77777777" w:rsidR="00AF5CC6" w:rsidRPr="00246DE1" w:rsidRDefault="00AF5CC6" w:rsidP="00C36F0E">
      <w:pPr>
        <w:pStyle w:val="Textonotapie"/>
        <w:rPr>
          <w:szCs w:val="16"/>
          <w:lang w:val="en-US"/>
        </w:rPr>
      </w:pPr>
      <w:r w:rsidRPr="00246DE1">
        <w:rPr>
          <w:rStyle w:val="Refdenotaalpie"/>
          <w:szCs w:val="16"/>
          <w:lang w:val="en-US"/>
        </w:rPr>
        <w:footnoteRef/>
      </w:r>
      <w:r w:rsidRPr="00246DE1">
        <w:rPr>
          <w:szCs w:val="16"/>
          <w:lang w:val="en-US"/>
        </w:rPr>
        <w:t xml:space="preserve"> </w:t>
      </w:r>
      <w:r w:rsidRPr="00246DE1">
        <w:rPr>
          <w:szCs w:val="16"/>
          <w:lang w:val="en-US"/>
        </w:rPr>
        <w:tab/>
      </w:r>
      <w:r w:rsidRPr="00246DE1">
        <w:rPr>
          <w:i/>
          <w:szCs w:val="16"/>
          <w:lang w:val="en-US"/>
        </w:rPr>
        <w:t xml:space="preserve">Cf. </w:t>
      </w:r>
      <w:proofErr w:type="spellStart"/>
      <w:r w:rsidRPr="00246DE1">
        <w:rPr>
          <w:szCs w:val="16"/>
          <w:lang w:val="en-US"/>
        </w:rPr>
        <w:t>Plurinational</w:t>
      </w:r>
      <w:proofErr w:type="spellEnd"/>
      <w:r w:rsidRPr="00246DE1">
        <w:rPr>
          <w:szCs w:val="16"/>
          <w:lang w:val="en-US"/>
        </w:rPr>
        <w:t xml:space="preserve"> Constitutional Court of Bolivia, Judgment SC 0026/2003-R, File No. 2002-05354-10-RAC, Rapporteur: Justice Elizabeth </w:t>
      </w:r>
      <w:proofErr w:type="spellStart"/>
      <w:r w:rsidRPr="00246DE1">
        <w:rPr>
          <w:szCs w:val="16"/>
          <w:lang w:val="en-US"/>
        </w:rPr>
        <w:t>Iñiguez</w:t>
      </w:r>
      <w:proofErr w:type="spellEnd"/>
      <w:r w:rsidRPr="00246DE1">
        <w:rPr>
          <w:szCs w:val="16"/>
          <w:lang w:val="en-US"/>
        </w:rPr>
        <w:t xml:space="preserve"> de Salinas. Judgment of January 8, 2003, pp. 6 and 7.</w:t>
      </w:r>
    </w:p>
  </w:footnote>
  <w:footnote w:id="424">
    <w:p w14:paraId="196DF34B" w14:textId="77777777" w:rsidR="00AF5CC6" w:rsidRPr="00246DE1" w:rsidRDefault="00AF5CC6" w:rsidP="00C36F0E">
      <w:pPr>
        <w:pStyle w:val="Textonotapie"/>
        <w:rPr>
          <w:szCs w:val="16"/>
          <w:lang w:val="en-US"/>
        </w:rPr>
      </w:pPr>
      <w:r w:rsidRPr="00246DE1">
        <w:rPr>
          <w:rStyle w:val="Refdenotaalpie"/>
          <w:szCs w:val="16"/>
          <w:lang w:val="en-US"/>
        </w:rPr>
        <w:footnoteRef/>
      </w:r>
      <w:r w:rsidRPr="00246DE1">
        <w:rPr>
          <w:szCs w:val="16"/>
          <w:lang w:val="en-US"/>
        </w:rPr>
        <w:t xml:space="preserve"> </w:t>
      </w:r>
      <w:r w:rsidRPr="00246DE1">
        <w:rPr>
          <w:szCs w:val="16"/>
          <w:lang w:val="en-US"/>
        </w:rPr>
        <w:tab/>
      </w:r>
      <w:r w:rsidRPr="00246DE1">
        <w:rPr>
          <w:i/>
          <w:szCs w:val="16"/>
          <w:lang w:val="en-US"/>
        </w:rPr>
        <w:t xml:space="preserve">Cf. </w:t>
      </w:r>
      <w:proofErr w:type="spellStart"/>
      <w:r w:rsidRPr="00246DE1">
        <w:rPr>
          <w:szCs w:val="16"/>
          <w:lang w:val="en-US"/>
        </w:rPr>
        <w:t>Plurinational</w:t>
      </w:r>
      <w:proofErr w:type="spellEnd"/>
      <w:r w:rsidRPr="00246DE1">
        <w:rPr>
          <w:szCs w:val="16"/>
          <w:lang w:val="en-US"/>
        </w:rPr>
        <w:t xml:space="preserve"> Constitutional Court of Bolivia, Constitutional judgment 0108/2010-R, File No. 2006-14391-29-RAC. Judgment of May 10, 2010. Rapporteur: Justice Dr. Ernesto Félix Mur, p. 8.</w:t>
      </w:r>
    </w:p>
  </w:footnote>
  <w:footnote w:id="425">
    <w:p w14:paraId="2A1B3D45" w14:textId="77777777" w:rsidR="00AF5CC6" w:rsidRPr="00246DE1" w:rsidRDefault="00AF5CC6" w:rsidP="00C36F0E">
      <w:pPr>
        <w:pStyle w:val="Textonotapie"/>
        <w:rPr>
          <w:szCs w:val="16"/>
          <w:lang w:val="en-US"/>
        </w:rPr>
      </w:pPr>
      <w:r w:rsidRPr="00246DE1">
        <w:rPr>
          <w:rStyle w:val="Refdenotaalpie"/>
          <w:szCs w:val="16"/>
          <w:lang w:val="en-US"/>
        </w:rPr>
        <w:footnoteRef/>
      </w:r>
      <w:r w:rsidRPr="00246DE1">
        <w:rPr>
          <w:szCs w:val="16"/>
          <w:lang w:val="en-US"/>
        </w:rPr>
        <w:t xml:space="preserve"> </w:t>
      </w:r>
      <w:r w:rsidRPr="00246DE1">
        <w:rPr>
          <w:szCs w:val="16"/>
          <w:lang w:val="en-US"/>
        </w:rPr>
        <w:tab/>
      </w:r>
      <w:r w:rsidRPr="00246DE1">
        <w:rPr>
          <w:i/>
          <w:szCs w:val="16"/>
          <w:lang w:val="en-US"/>
        </w:rPr>
        <w:t xml:space="preserve">Cf. </w:t>
      </w:r>
      <w:r w:rsidRPr="00246DE1">
        <w:rPr>
          <w:szCs w:val="16"/>
          <w:lang w:val="en-US"/>
        </w:rPr>
        <w:t xml:space="preserve">Constitutional Court of Colombia, Judgment T-599/15, </w:t>
      </w:r>
      <w:r w:rsidRPr="00246DE1">
        <w:rPr>
          <w:i/>
          <w:szCs w:val="16"/>
          <w:lang w:val="en-US"/>
        </w:rPr>
        <w:t xml:space="preserve">AA </w:t>
      </w:r>
      <w:r>
        <w:rPr>
          <w:i/>
          <w:szCs w:val="16"/>
          <w:lang w:val="en-US"/>
        </w:rPr>
        <w:t>v.</w:t>
      </w:r>
      <w:r w:rsidRPr="00246DE1">
        <w:rPr>
          <w:i/>
          <w:szCs w:val="16"/>
          <w:lang w:val="en-US"/>
        </w:rPr>
        <w:t xml:space="preserve"> COMFAMILIAR E.P.S-S (…)</w:t>
      </w:r>
      <w:r w:rsidRPr="00246DE1">
        <w:rPr>
          <w:szCs w:val="16"/>
          <w:lang w:val="en-US"/>
        </w:rPr>
        <w:t>, September 15, 2015, File T-4.936.041, Rapporteur: Justice Alberto Rojas Ríos, pp. 21, 24 and 27.</w:t>
      </w:r>
    </w:p>
  </w:footnote>
  <w:footnote w:id="426">
    <w:p w14:paraId="720A3C4E" w14:textId="77777777" w:rsidR="00AF5CC6" w:rsidRPr="00246DE1" w:rsidRDefault="00AF5CC6" w:rsidP="00C36F0E">
      <w:pPr>
        <w:pStyle w:val="Textonotapie"/>
        <w:rPr>
          <w:szCs w:val="16"/>
          <w:lang w:val="en-US"/>
        </w:rPr>
      </w:pPr>
      <w:r w:rsidRPr="00246DE1">
        <w:rPr>
          <w:rStyle w:val="Refdenotaalpie"/>
          <w:lang w:val="en-US"/>
        </w:rPr>
        <w:footnoteRef/>
      </w:r>
      <w:r w:rsidRPr="00246DE1">
        <w:rPr>
          <w:lang w:val="en-US"/>
        </w:rPr>
        <w:t xml:space="preserve"> </w:t>
      </w:r>
      <w:r w:rsidRPr="00246DE1">
        <w:rPr>
          <w:lang w:val="en-US"/>
        </w:rPr>
        <w:tab/>
      </w:r>
      <w:r w:rsidRPr="00246DE1">
        <w:rPr>
          <w:szCs w:val="16"/>
          <w:lang w:val="en-US"/>
        </w:rPr>
        <w:t>Constitutional Court of Ecuador, Judgment N. 068-18-SEP-CC, Case 1529-16-EP. Judgment of February 21, 2018, p. 50. Judgment No. 016-16-SEP-CC, Case 2014-12-EP. Judgment of January 13, 2016, p. 35. Judgment No. 080-13-SEP-CC, Case of 0445-11-EP. Judgment of October 9, 2013, p. 19.</w:t>
      </w:r>
    </w:p>
  </w:footnote>
  <w:footnote w:id="427">
    <w:p w14:paraId="0DB87E0A" w14:textId="77777777" w:rsidR="00AF5CC6" w:rsidRPr="00246DE1" w:rsidRDefault="00AF5CC6" w:rsidP="00C36F0E">
      <w:pPr>
        <w:pStyle w:val="Textonotapie"/>
        <w:rPr>
          <w:szCs w:val="16"/>
          <w:lang w:val="en-US"/>
        </w:rPr>
      </w:pPr>
      <w:r w:rsidRPr="00246DE1">
        <w:rPr>
          <w:rStyle w:val="Refdenotaalpie"/>
          <w:szCs w:val="16"/>
          <w:lang w:val="en-US"/>
        </w:rPr>
        <w:footnoteRef/>
      </w:r>
      <w:r w:rsidRPr="00246DE1">
        <w:rPr>
          <w:szCs w:val="16"/>
          <w:lang w:val="en-US"/>
        </w:rPr>
        <w:t xml:space="preserve"> </w:t>
      </w:r>
      <w:r w:rsidRPr="00246DE1">
        <w:rPr>
          <w:szCs w:val="16"/>
          <w:lang w:val="en-US"/>
        </w:rPr>
        <w:tab/>
        <w:t xml:space="preserve">Constitutional Court of Ecuador, Judgment No. 364-16-SEP-CC, Case 1470-14-EP. Judgment of November 15, 2016, p. 35. </w:t>
      </w:r>
    </w:p>
  </w:footnote>
  <w:footnote w:id="428">
    <w:p w14:paraId="79C8094A" w14:textId="77777777" w:rsidR="00AF5CC6" w:rsidRPr="00246DE1" w:rsidRDefault="00AF5CC6" w:rsidP="00C36F0E">
      <w:pPr>
        <w:pStyle w:val="Textonotapie"/>
        <w:rPr>
          <w:szCs w:val="16"/>
          <w:lang w:val="en-US"/>
        </w:rPr>
      </w:pPr>
      <w:r w:rsidRPr="00246DE1">
        <w:rPr>
          <w:rStyle w:val="Refdenotaalpie"/>
          <w:szCs w:val="16"/>
          <w:lang w:val="en-US"/>
        </w:rPr>
        <w:footnoteRef/>
      </w:r>
      <w:r w:rsidRPr="00246DE1">
        <w:rPr>
          <w:szCs w:val="16"/>
          <w:lang w:val="en-US"/>
        </w:rPr>
        <w:t xml:space="preserve"> </w:t>
      </w:r>
      <w:r w:rsidRPr="00246DE1">
        <w:rPr>
          <w:szCs w:val="16"/>
          <w:lang w:val="en-US"/>
        </w:rPr>
        <w:tab/>
      </w:r>
      <w:r w:rsidRPr="00246DE1">
        <w:rPr>
          <w:i/>
          <w:szCs w:val="16"/>
          <w:lang w:val="en-US"/>
        </w:rPr>
        <w:t xml:space="preserve">Cf. </w:t>
      </w:r>
      <w:r w:rsidRPr="00246DE1">
        <w:rPr>
          <w:szCs w:val="16"/>
          <w:lang w:val="en-US"/>
        </w:rPr>
        <w:t xml:space="preserve">Constitutional Court of Peru, File No. 2016-2004-AA/TC, Justice José Luis Correa </w:t>
      </w:r>
      <w:proofErr w:type="spellStart"/>
      <w:r w:rsidRPr="00246DE1">
        <w:rPr>
          <w:szCs w:val="16"/>
          <w:lang w:val="en-US"/>
        </w:rPr>
        <w:t>Condori</w:t>
      </w:r>
      <w:proofErr w:type="spellEnd"/>
      <w:r w:rsidRPr="00246DE1">
        <w:rPr>
          <w:szCs w:val="16"/>
          <w:lang w:val="en-US"/>
        </w:rPr>
        <w:t xml:space="preserve">. Judgment of October 5, 2004, paras. 44 and 47.  </w:t>
      </w:r>
    </w:p>
  </w:footnote>
  <w:footnote w:id="429">
    <w:p w14:paraId="0A195CEA" w14:textId="77777777" w:rsidR="00AF5CC6" w:rsidRPr="00246DE1" w:rsidRDefault="00AF5CC6" w:rsidP="00C36F0E">
      <w:pPr>
        <w:spacing w:after="120"/>
        <w:rPr>
          <w:rFonts w:eastAsia="Times New Roman" w:cs="Times New Roman"/>
          <w:sz w:val="16"/>
          <w:szCs w:val="16"/>
          <w:lang w:val="en-US" w:eastAsia="es-MX"/>
        </w:rPr>
      </w:pPr>
      <w:r w:rsidRPr="00246DE1">
        <w:rPr>
          <w:rStyle w:val="Refdenotaalpie"/>
          <w:sz w:val="16"/>
          <w:szCs w:val="16"/>
          <w:lang w:val="en-US"/>
        </w:rPr>
        <w:footnoteRef/>
      </w:r>
      <w:r w:rsidRPr="00246DE1">
        <w:rPr>
          <w:sz w:val="16"/>
          <w:szCs w:val="16"/>
          <w:lang w:val="en-US"/>
        </w:rPr>
        <w:t xml:space="preserve"> </w:t>
      </w:r>
      <w:r w:rsidRPr="00246DE1">
        <w:rPr>
          <w:sz w:val="16"/>
          <w:szCs w:val="16"/>
          <w:lang w:val="en-US"/>
        </w:rPr>
        <w:tab/>
      </w:r>
      <w:r w:rsidRPr="00246DE1">
        <w:rPr>
          <w:i/>
          <w:sz w:val="16"/>
          <w:szCs w:val="16"/>
          <w:lang w:val="en-US"/>
        </w:rPr>
        <w:t xml:space="preserve">Cf. </w:t>
      </w:r>
      <w:r w:rsidRPr="00246DE1">
        <w:rPr>
          <w:sz w:val="16"/>
          <w:szCs w:val="16"/>
          <w:lang w:val="en-US"/>
        </w:rPr>
        <w:t xml:space="preserve">Constitutional Court of Peru, File No. 2945-2003-AA/TC. Judgment of April 20, 2004, para. 48, and </w:t>
      </w:r>
      <w:r w:rsidRPr="00246DE1">
        <w:rPr>
          <w:i/>
          <w:sz w:val="16"/>
          <w:szCs w:val="16"/>
          <w:lang w:val="en-US"/>
        </w:rPr>
        <w:t xml:space="preserve">Cf. </w:t>
      </w:r>
      <w:r w:rsidRPr="00246DE1">
        <w:rPr>
          <w:sz w:val="16"/>
          <w:szCs w:val="16"/>
          <w:lang w:val="en-US"/>
        </w:rPr>
        <w:t>Constitutional Court of Peru, File No. 2016-2004-AA/TC, Justice José Luis Correa Condori. Judgment of October 5, 2004, para. 47.</w:t>
      </w:r>
    </w:p>
  </w:footnote>
  <w:footnote w:id="430">
    <w:p w14:paraId="0A0E2865" w14:textId="77777777" w:rsidR="00AF5CC6" w:rsidRPr="00246DE1" w:rsidRDefault="00AF5CC6" w:rsidP="00C36F0E">
      <w:pPr>
        <w:pStyle w:val="Textonotapie"/>
        <w:rPr>
          <w:szCs w:val="16"/>
          <w:lang w:val="en-US"/>
        </w:rPr>
      </w:pPr>
      <w:r w:rsidRPr="00246DE1">
        <w:rPr>
          <w:rStyle w:val="Refdenotaalpie"/>
          <w:szCs w:val="16"/>
          <w:lang w:val="en-US"/>
        </w:rPr>
        <w:footnoteRef/>
      </w:r>
      <w:r w:rsidRPr="00246DE1">
        <w:rPr>
          <w:szCs w:val="16"/>
          <w:lang w:val="en-US"/>
        </w:rPr>
        <w:t xml:space="preserve"> </w:t>
      </w:r>
      <w:r w:rsidRPr="00246DE1">
        <w:rPr>
          <w:szCs w:val="16"/>
          <w:lang w:val="en-US"/>
        </w:rPr>
        <w:tab/>
      </w:r>
      <w:r w:rsidRPr="00246DE1">
        <w:rPr>
          <w:i/>
          <w:szCs w:val="16"/>
          <w:lang w:val="en-US"/>
        </w:rPr>
        <w:t xml:space="preserve">Cf. </w:t>
      </w:r>
      <w:r w:rsidRPr="00246DE1">
        <w:rPr>
          <w:szCs w:val="16"/>
          <w:lang w:val="en-US"/>
        </w:rPr>
        <w:t xml:space="preserve">SCJN, Second Chamber, Amparo in review 378/2014, Rapporteur: Justice Alberto Pérez </w:t>
      </w:r>
      <w:proofErr w:type="spellStart"/>
      <w:r w:rsidRPr="00246DE1">
        <w:rPr>
          <w:szCs w:val="16"/>
          <w:lang w:val="en-US"/>
        </w:rPr>
        <w:t>Dayán</w:t>
      </w:r>
      <w:proofErr w:type="spellEnd"/>
      <w:r w:rsidRPr="00246DE1">
        <w:rPr>
          <w:szCs w:val="16"/>
          <w:lang w:val="en-US"/>
        </w:rPr>
        <w:t>, Mexico, 2014, pp. 61 and 63.</w:t>
      </w:r>
    </w:p>
  </w:footnote>
  <w:footnote w:id="431">
    <w:p w14:paraId="5C3064AF" w14:textId="77777777" w:rsidR="00AF5CC6" w:rsidRPr="00316B86" w:rsidRDefault="00AF5CC6" w:rsidP="00C36F0E">
      <w:pPr>
        <w:pStyle w:val="Textonotapie"/>
        <w:rPr>
          <w:b/>
          <w:bCs/>
          <w:color w:val="000000"/>
          <w:szCs w:val="16"/>
          <w:shd w:val="clear" w:color="auto" w:fill="FFFFFF"/>
          <w:lang w:val="en-US"/>
        </w:rPr>
      </w:pPr>
      <w:r w:rsidRPr="00246DE1">
        <w:rPr>
          <w:rStyle w:val="Refdenotaalpie"/>
          <w:szCs w:val="16"/>
          <w:lang w:val="en-US"/>
        </w:rPr>
        <w:footnoteRef/>
      </w:r>
      <w:r w:rsidRPr="00246DE1">
        <w:rPr>
          <w:szCs w:val="16"/>
          <w:lang w:val="en-US"/>
        </w:rPr>
        <w:t xml:space="preserve"> </w:t>
      </w:r>
      <w:r w:rsidRPr="00246DE1">
        <w:rPr>
          <w:szCs w:val="16"/>
          <w:lang w:val="en-US"/>
        </w:rPr>
        <w:tab/>
      </w:r>
      <w:r w:rsidRPr="00316B86">
        <w:rPr>
          <w:i/>
          <w:szCs w:val="16"/>
          <w:lang w:val="en-US"/>
        </w:rPr>
        <w:t>Cf.</w:t>
      </w:r>
      <w:r w:rsidRPr="00316B86">
        <w:rPr>
          <w:b/>
          <w:bCs/>
          <w:i/>
          <w:szCs w:val="16"/>
          <w:lang w:val="en-US"/>
        </w:rPr>
        <w:t xml:space="preserve"> </w:t>
      </w:r>
      <w:r w:rsidRPr="00316B86">
        <w:rPr>
          <w:rStyle w:val="Textoennegrita"/>
          <w:b w:val="0"/>
          <w:bCs w:val="0"/>
          <w:i/>
          <w:color w:val="000000"/>
          <w:szCs w:val="16"/>
          <w:shd w:val="clear" w:color="auto" w:fill="FFFFFF"/>
          <w:lang w:val="en-US"/>
        </w:rPr>
        <w:t xml:space="preserve">Case of </w:t>
      </w:r>
      <w:proofErr w:type="spellStart"/>
      <w:r w:rsidRPr="00316B86">
        <w:rPr>
          <w:rStyle w:val="Textoennegrita"/>
          <w:b w:val="0"/>
          <w:bCs w:val="0"/>
          <w:i/>
          <w:color w:val="000000"/>
          <w:szCs w:val="16"/>
          <w:shd w:val="clear" w:color="auto" w:fill="FFFFFF"/>
          <w:lang w:val="en-US"/>
        </w:rPr>
        <w:t>Cuscul</w:t>
      </w:r>
      <w:proofErr w:type="spellEnd"/>
      <w:r w:rsidRPr="00316B86">
        <w:rPr>
          <w:rStyle w:val="Textoennegrita"/>
          <w:b w:val="0"/>
          <w:bCs w:val="0"/>
          <w:i/>
          <w:color w:val="000000"/>
          <w:szCs w:val="16"/>
          <w:shd w:val="clear" w:color="auto" w:fill="FFFFFF"/>
          <w:lang w:val="en-US"/>
        </w:rPr>
        <w:t xml:space="preserve"> </w:t>
      </w:r>
      <w:proofErr w:type="spellStart"/>
      <w:r w:rsidRPr="00316B86">
        <w:rPr>
          <w:rStyle w:val="Textoennegrita"/>
          <w:b w:val="0"/>
          <w:bCs w:val="0"/>
          <w:i/>
          <w:color w:val="000000"/>
          <w:szCs w:val="16"/>
          <w:shd w:val="clear" w:color="auto" w:fill="FFFFFF"/>
          <w:lang w:val="en-US"/>
        </w:rPr>
        <w:t>Pivaral</w:t>
      </w:r>
      <w:proofErr w:type="spellEnd"/>
      <w:r w:rsidRPr="00316B86">
        <w:rPr>
          <w:rStyle w:val="Textoennegrita"/>
          <w:b w:val="0"/>
          <w:bCs w:val="0"/>
          <w:i/>
          <w:color w:val="000000"/>
          <w:szCs w:val="16"/>
          <w:shd w:val="clear" w:color="auto" w:fill="FFFFFF"/>
          <w:lang w:val="en-US"/>
        </w:rPr>
        <w:t xml:space="preserve"> et al. v. Guatemala. Preliminary objection, merits, reparations and costs. </w:t>
      </w:r>
      <w:r w:rsidRPr="00316B86">
        <w:rPr>
          <w:rStyle w:val="Textoennegrita"/>
          <w:b w:val="0"/>
          <w:bCs w:val="0"/>
          <w:color w:val="000000"/>
          <w:szCs w:val="16"/>
          <w:shd w:val="clear" w:color="auto" w:fill="FFFFFF"/>
          <w:lang w:val="en-US"/>
        </w:rPr>
        <w:t xml:space="preserve">Judgment of August 23, 2018. Series C No. 359, paras. 108 to 117. </w:t>
      </w:r>
    </w:p>
  </w:footnote>
  <w:footnote w:id="432">
    <w:p w14:paraId="47937E0B" w14:textId="77777777" w:rsidR="00AF5CC6" w:rsidRPr="00246DE1" w:rsidRDefault="00AF5CC6" w:rsidP="00C36F0E">
      <w:pPr>
        <w:pStyle w:val="Textonotapie"/>
        <w:rPr>
          <w:szCs w:val="16"/>
          <w:lang w:val="en-US"/>
        </w:rPr>
      </w:pPr>
      <w:r w:rsidRPr="00316B86">
        <w:rPr>
          <w:rStyle w:val="Refdenotaalpie"/>
          <w:szCs w:val="16"/>
          <w:lang w:val="en-US"/>
        </w:rPr>
        <w:footnoteRef/>
      </w:r>
      <w:r w:rsidRPr="00316B86">
        <w:rPr>
          <w:szCs w:val="16"/>
          <w:lang w:val="en-US"/>
        </w:rPr>
        <w:t xml:space="preserve"> </w:t>
      </w:r>
      <w:r w:rsidRPr="00316B86">
        <w:rPr>
          <w:szCs w:val="16"/>
          <w:lang w:val="en-US"/>
        </w:rPr>
        <w:tab/>
      </w:r>
      <w:r w:rsidRPr="00316B86">
        <w:rPr>
          <w:i/>
          <w:szCs w:val="16"/>
          <w:lang w:val="en-US"/>
        </w:rPr>
        <w:t>Cf.</w:t>
      </w:r>
      <w:r w:rsidRPr="00316B86">
        <w:rPr>
          <w:b/>
          <w:bCs/>
          <w:i/>
          <w:szCs w:val="16"/>
          <w:lang w:val="en-US"/>
        </w:rPr>
        <w:t xml:space="preserve"> </w:t>
      </w:r>
      <w:r w:rsidRPr="00316B86">
        <w:rPr>
          <w:rStyle w:val="Textoennegrita"/>
          <w:b w:val="0"/>
          <w:bCs w:val="0"/>
          <w:i/>
          <w:color w:val="000000"/>
          <w:szCs w:val="16"/>
          <w:shd w:val="clear" w:color="auto" w:fill="FFFFFF"/>
          <w:lang w:val="en-US"/>
        </w:rPr>
        <w:t xml:space="preserve">Case of Acevedo </w:t>
      </w:r>
      <w:proofErr w:type="spellStart"/>
      <w:r w:rsidRPr="00316B86">
        <w:rPr>
          <w:rStyle w:val="Textoennegrita"/>
          <w:b w:val="0"/>
          <w:bCs w:val="0"/>
          <w:i/>
          <w:color w:val="000000"/>
          <w:szCs w:val="16"/>
          <w:shd w:val="clear" w:color="auto" w:fill="FFFFFF"/>
          <w:lang w:val="en-US"/>
        </w:rPr>
        <w:t>Buendía</w:t>
      </w:r>
      <w:proofErr w:type="spellEnd"/>
      <w:r w:rsidRPr="00316B86">
        <w:rPr>
          <w:rStyle w:val="Textoennegrita"/>
          <w:b w:val="0"/>
          <w:bCs w:val="0"/>
          <w:i/>
          <w:color w:val="000000"/>
          <w:szCs w:val="16"/>
          <w:shd w:val="clear" w:color="auto" w:fill="FFFFFF"/>
          <w:lang w:val="en-US"/>
        </w:rPr>
        <w:t xml:space="preserve"> et al. (Dismissed and Retired Employees of the Comptroller’s Office”) v. Peru. Preliminary objection, merits, reparations and costs</w:t>
      </w:r>
      <w:r w:rsidRPr="00316B86">
        <w:rPr>
          <w:rStyle w:val="Textoennegrita"/>
          <w:b w:val="0"/>
          <w:bCs w:val="0"/>
          <w:color w:val="000000"/>
          <w:szCs w:val="16"/>
          <w:shd w:val="clear" w:color="auto" w:fill="FFFFFF"/>
          <w:lang w:val="en-US"/>
        </w:rPr>
        <w:t>. Judgment of July 1, 2009. Series C No. 198</w:t>
      </w:r>
      <w:r w:rsidRPr="00316B86">
        <w:rPr>
          <w:szCs w:val="16"/>
          <w:lang w:val="en-US"/>
        </w:rPr>
        <w:t>, para. 102, and</w:t>
      </w:r>
      <w:r w:rsidRPr="00316B86">
        <w:rPr>
          <w:b/>
          <w:bCs/>
          <w:szCs w:val="16"/>
          <w:lang w:val="en-US"/>
        </w:rPr>
        <w:t xml:space="preserve"> </w:t>
      </w:r>
      <w:r w:rsidRPr="00316B86">
        <w:rPr>
          <w:rStyle w:val="Textoennegrita"/>
          <w:b w:val="0"/>
          <w:bCs w:val="0"/>
          <w:i/>
          <w:color w:val="000000"/>
          <w:szCs w:val="16"/>
          <w:shd w:val="clear" w:color="auto" w:fill="FFFFFF"/>
          <w:lang w:val="en-US"/>
        </w:rPr>
        <w:t xml:space="preserve">Case of </w:t>
      </w:r>
      <w:proofErr w:type="spellStart"/>
      <w:r w:rsidRPr="00316B86">
        <w:rPr>
          <w:rStyle w:val="Textoennegrita"/>
          <w:b w:val="0"/>
          <w:bCs w:val="0"/>
          <w:i/>
          <w:color w:val="000000"/>
          <w:szCs w:val="16"/>
          <w:shd w:val="clear" w:color="auto" w:fill="FFFFFF"/>
          <w:lang w:val="en-US"/>
        </w:rPr>
        <w:t>Cuscul</w:t>
      </w:r>
      <w:proofErr w:type="spellEnd"/>
      <w:r w:rsidRPr="00316B86">
        <w:rPr>
          <w:rStyle w:val="Textoennegrita"/>
          <w:b w:val="0"/>
          <w:bCs w:val="0"/>
          <w:i/>
          <w:color w:val="000000"/>
          <w:szCs w:val="16"/>
          <w:shd w:val="clear" w:color="auto" w:fill="FFFFFF"/>
          <w:lang w:val="en-US"/>
        </w:rPr>
        <w:t xml:space="preserve"> </w:t>
      </w:r>
      <w:proofErr w:type="spellStart"/>
      <w:r w:rsidRPr="00316B86">
        <w:rPr>
          <w:rStyle w:val="Textoennegrita"/>
          <w:b w:val="0"/>
          <w:bCs w:val="0"/>
          <w:i/>
          <w:color w:val="000000"/>
          <w:szCs w:val="16"/>
          <w:shd w:val="clear" w:color="auto" w:fill="FFFFFF"/>
          <w:lang w:val="en-US"/>
        </w:rPr>
        <w:t>Pivaral</w:t>
      </w:r>
      <w:proofErr w:type="spellEnd"/>
      <w:r w:rsidRPr="00316B86">
        <w:rPr>
          <w:rStyle w:val="Textoennegrita"/>
          <w:b w:val="0"/>
          <w:bCs w:val="0"/>
          <w:i/>
          <w:color w:val="000000"/>
          <w:szCs w:val="16"/>
          <w:shd w:val="clear" w:color="auto" w:fill="FFFFFF"/>
          <w:lang w:val="en-US"/>
        </w:rPr>
        <w:t xml:space="preserve"> et al. v. Guatemala. Preliminary objection, merits, reparations and costs. </w:t>
      </w:r>
      <w:r w:rsidRPr="00316B86">
        <w:rPr>
          <w:rStyle w:val="Textoennegrita"/>
          <w:b w:val="0"/>
          <w:bCs w:val="0"/>
          <w:color w:val="000000"/>
          <w:szCs w:val="16"/>
          <w:shd w:val="clear" w:color="auto" w:fill="FFFFFF"/>
          <w:lang w:val="en-US"/>
        </w:rPr>
        <w:t>Judgment of August 23, 2018. Series C No. 359, para. 139.</w:t>
      </w:r>
      <w:r w:rsidRPr="00246DE1">
        <w:rPr>
          <w:rStyle w:val="Textoennegrita"/>
          <w:i/>
          <w:color w:val="000000"/>
          <w:szCs w:val="16"/>
          <w:shd w:val="clear" w:color="auto" w:fill="FFFFFF"/>
          <w:lang w:val="en-US"/>
        </w:rPr>
        <w:t xml:space="preserve"> </w:t>
      </w:r>
    </w:p>
  </w:footnote>
  <w:footnote w:id="433">
    <w:p w14:paraId="00573821" w14:textId="77777777" w:rsidR="00AF5CC6" w:rsidRPr="00316B86" w:rsidRDefault="00AF5CC6" w:rsidP="00C36F0E">
      <w:pPr>
        <w:pStyle w:val="Textonotapie"/>
        <w:rPr>
          <w:b/>
          <w:bCs/>
          <w:i/>
          <w:color w:val="000000"/>
          <w:szCs w:val="16"/>
          <w:shd w:val="clear" w:color="auto" w:fill="FFFFFF"/>
          <w:lang w:val="en-US"/>
        </w:rPr>
      </w:pPr>
      <w:r w:rsidRPr="00316B86">
        <w:rPr>
          <w:rStyle w:val="Refdenotaalpie"/>
          <w:szCs w:val="16"/>
          <w:lang w:val="en-US"/>
        </w:rPr>
        <w:footnoteRef/>
      </w:r>
      <w:r w:rsidRPr="00316B86">
        <w:rPr>
          <w:szCs w:val="16"/>
          <w:lang w:val="en-US"/>
        </w:rPr>
        <w:t xml:space="preserve"> </w:t>
      </w:r>
      <w:r w:rsidRPr="00316B86">
        <w:rPr>
          <w:szCs w:val="16"/>
          <w:lang w:val="en-US"/>
        </w:rPr>
        <w:tab/>
      </w:r>
      <w:r w:rsidRPr="00316B86">
        <w:rPr>
          <w:i/>
          <w:szCs w:val="16"/>
          <w:lang w:val="en-US"/>
        </w:rPr>
        <w:t>Cf.</w:t>
      </w:r>
      <w:r w:rsidRPr="00316B86">
        <w:rPr>
          <w:b/>
          <w:bCs/>
          <w:i/>
          <w:szCs w:val="16"/>
          <w:lang w:val="en-US"/>
        </w:rPr>
        <w:t xml:space="preserve"> </w:t>
      </w:r>
      <w:r w:rsidRPr="00316B86">
        <w:rPr>
          <w:rStyle w:val="Textoennegrita"/>
          <w:b w:val="0"/>
          <w:bCs w:val="0"/>
          <w:i/>
          <w:color w:val="000000"/>
          <w:szCs w:val="16"/>
          <w:shd w:val="clear" w:color="auto" w:fill="FFFFFF"/>
          <w:lang w:val="en-US"/>
        </w:rPr>
        <w:t xml:space="preserve">Case of </w:t>
      </w:r>
      <w:proofErr w:type="spellStart"/>
      <w:r w:rsidRPr="00316B86">
        <w:rPr>
          <w:rStyle w:val="Textoennegrita"/>
          <w:b w:val="0"/>
          <w:bCs w:val="0"/>
          <w:i/>
          <w:color w:val="000000"/>
          <w:szCs w:val="16"/>
          <w:shd w:val="clear" w:color="auto" w:fill="FFFFFF"/>
          <w:lang w:val="en-US"/>
        </w:rPr>
        <w:t>Cuscul</w:t>
      </w:r>
      <w:proofErr w:type="spellEnd"/>
      <w:r w:rsidRPr="00316B86">
        <w:rPr>
          <w:rStyle w:val="Textoennegrita"/>
          <w:b w:val="0"/>
          <w:bCs w:val="0"/>
          <w:i/>
          <w:color w:val="000000"/>
          <w:szCs w:val="16"/>
          <w:shd w:val="clear" w:color="auto" w:fill="FFFFFF"/>
          <w:lang w:val="en-US"/>
        </w:rPr>
        <w:t xml:space="preserve"> </w:t>
      </w:r>
      <w:proofErr w:type="spellStart"/>
      <w:r w:rsidRPr="00316B86">
        <w:rPr>
          <w:rStyle w:val="Textoennegrita"/>
          <w:b w:val="0"/>
          <w:bCs w:val="0"/>
          <w:i/>
          <w:color w:val="000000"/>
          <w:szCs w:val="16"/>
          <w:shd w:val="clear" w:color="auto" w:fill="FFFFFF"/>
          <w:lang w:val="en-US"/>
        </w:rPr>
        <w:t>Pivaral</w:t>
      </w:r>
      <w:proofErr w:type="spellEnd"/>
      <w:r w:rsidRPr="00316B86">
        <w:rPr>
          <w:rStyle w:val="Textoennegrita"/>
          <w:b w:val="0"/>
          <w:bCs w:val="0"/>
          <w:i/>
          <w:color w:val="000000"/>
          <w:szCs w:val="16"/>
          <w:shd w:val="clear" w:color="auto" w:fill="FFFFFF"/>
          <w:lang w:val="en-US"/>
        </w:rPr>
        <w:t xml:space="preserve"> et al. v. Guatemala. Preliminary objection, merits, reparations and costs. </w:t>
      </w:r>
      <w:r w:rsidRPr="00316B86">
        <w:rPr>
          <w:rStyle w:val="Textoennegrita"/>
          <w:b w:val="0"/>
          <w:bCs w:val="0"/>
          <w:color w:val="000000"/>
          <w:szCs w:val="16"/>
          <w:shd w:val="clear" w:color="auto" w:fill="FFFFFF"/>
          <w:lang w:val="en-US"/>
        </w:rPr>
        <w:t>Judgment of August 23, 2018. Series C No. 359, para. 137.</w:t>
      </w:r>
    </w:p>
  </w:footnote>
  <w:footnote w:id="434">
    <w:p w14:paraId="2D10EC15" w14:textId="77777777" w:rsidR="00AF5CC6" w:rsidRPr="00316B86" w:rsidRDefault="00AF5CC6" w:rsidP="00C36F0E">
      <w:pPr>
        <w:pStyle w:val="Textonotapie"/>
        <w:rPr>
          <w:b/>
          <w:bCs/>
          <w:i/>
          <w:szCs w:val="16"/>
          <w:lang w:val="en-US"/>
        </w:rPr>
      </w:pPr>
      <w:r w:rsidRPr="00316B86">
        <w:rPr>
          <w:rStyle w:val="Refdenotaalpie"/>
          <w:szCs w:val="16"/>
          <w:lang w:val="en-US"/>
        </w:rPr>
        <w:footnoteRef/>
      </w:r>
      <w:r w:rsidRPr="00316B86">
        <w:rPr>
          <w:szCs w:val="16"/>
          <w:lang w:val="en-US"/>
        </w:rPr>
        <w:t xml:space="preserve"> </w:t>
      </w:r>
      <w:r w:rsidRPr="00316B86">
        <w:rPr>
          <w:szCs w:val="16"/>
          <w:lang w:val="en-US"/>
        </w:rPr>
        <w:tab/>
      </w:r>
      <w:r w:rsidRPr="00316B86">
        <w:rPr>
          <w:i/>
          <w:szCs w:val="16"/>
          <w:lang w:val="en-US"/>
        </w:rPr>
        <w:t>Cf.</w:t>
      </w:r>
      <w:r w:rsidRPr="00316B86">
        <w:rPr>
          <w:b/>
          <w:bCs/>
          <w:i/>
          <w:szCs w:val="16"/>
          <w:lang w:val="en-US"/>
        </w:rPr>
        <w:t xml:space="preserve"> </w:t>
      </w:r>
      <w:r w:rsidRPr="00316B86">
        <w:rPr>
          <w:rStyle w:val="Textoennegrita"/>
          <w:b w:val="0"/>
          <w:bCs w:val="0"/>
          <w:i/>
          <w:color w:val="000000"/>
          <w:szCs w:val="16"/>
          <w:shd w:val="clear" w:color="auto" w:fill="FFFFFF"/>
          <w:lang w:val="en-US"/>
        </w:rPr>
        <w:t xml:space="preserve">Case of </w:t>
      </w:r>
      <w:proofErr w:type="spellStart"/>
      <w:r w:rsidRPr="00316B86">
        <w:rPr>
          <w:rStyle w:val="Textoennegrita"/>
          <w:b w:val="0"/>
          <w:bCs w:val="0"/>
          <w:i/>
          <w:color w:val="000000"/>
          <w:szCs w:val="16"/>
          <w:shd w:val="clear" w:color="auto" w:fill="FFFFFF"/>
          <w:lang w:val="en-US"/>
        </w:rPr>
        <w:t>Cuscul</w:t>
      </w:r>
      <w:proofErr w:type="spellEnd"/>
      <w:r w:rsidRPr="00316B86">
        <w:rPr>
          <w:rStyle w:val="Textoennegrita"/>
          <w:b w:val="0"/>
          <w:bCs w:val="0"/>
          <w:i/>
          <w:color w:val="000000"/>
          <w:szCs w:val="16"/>
          <w:shd w:val="clear" w:color="auto" w:fill="FFFFFF"/>
          <w:lang w:val="en-US"/>
        </w:rPr>
        <w:t xml:space="preserve"> </w:t>
      </w:r>
      <w:proofErr w:type="spellStart"/>
      <w:r w:rsidRPr="00316B86">
        <w:rPr>
          <w:rStyle w:val="Textoennegrita"/>
          <w:b w:val="0"/>
          <w:bCs w:val="0"/>
          <w:i/>
          <w:color w:val="000000"/>
          <w:szCs w:val="16"/>
          <w:shd w:val="clear" w:color="auto" w:fill="FFFFFF"/>
          <w:lang w:val="en-US"/>
        </w:rPr>
        <w:t>Pivaral</w:t>
      </w:r>
      <w:proofErr w:type="spellEnd"/>
      <w:r w:rsidRPr="00316B86">
        <w:rPr>
          <w:rStyle w:val="Textoennegrita"/>
          <w:b w:val="0"/>
          <w:bCs w:val="0"/>
          <w:i/>
          <w:color w:val="000000"/>
          <w:szCs w:val="16"/>
          <w:shd w:val="clear" w:color="auto" w:fill="FFFFFF"/>
          <w:lang w:val="en-US"/>
        </w:rPr>
        <w:t xml:space="preserve"> et al. v. Guatemala. Preliminary objection, merits, reparations and costs. </w:t>
      </w:r>
      <w:r w:rsidRPr="00316B86">
        <w:rPr>
          <w:rStyle w:val="Textoennegrita"/>
          <w:b w:val="0"/>
          <w:bCs w:val="0"/>
          <w:color w:val="000000"/>
          <w:szCs w:val="16"/>
          <w:shd w:val="clear" w:color="auto" w:fill="FFFFFF"/>
          <w:lang w:val="en-US"/>
        </w:rPr>
        <w:t>Judgment of August 23, 2018. Series C No. 359, para. 138.</w:t>
      </w:r>
    </w:p>
  </w:footnote>
  <w:footnote w:id="435">
    <w:p w14:paraId="7D3DADE7" w14:textId="77777777" w:rsidR="00AF5CC6" w:rsidRPr="00316B86" w:rsidRDefault="00AF5CC6" w:rsidP="00C36F0E">
      <w:pPr>
        <w:pStyle w:val="Textonotapie"/>
        <w:rPr>
          <w:b/>
          <w:bCs/>
          <w:szCs w:val="16"/>
          <w:lang w:val="en-US"/>
        </w:rPr>
      </w:pPr>
      <w:r w:rsidRPr="00316B86">
        <w:rPr>
          <w:rStyle w:val="Refdenotaalpie"/>
          <w:szCs w:val="16"/>
          <w:lang w:val="en-US"/>
        </w:rPr>
        <w:footnoteRef/>
      </w:r>
      <w:r w:rsidRPr="00316B86">
        <w:rPr>
          <w:szCs w:val="16"/>
          <w:lang w:val="en-US"/>
        </w:rPr>
        <w:t xml:space="preserve"> </w:t>
      </w:r>
      <w:r w:rsidRPr="00316B86">
        <w:rPr>
          <w:szCs w:val="16"/>
          <w:lang w:val="en-US"/>
        </w:rPr>
        <w:tab/>
      </w:r>
      <w:r w:rsidRPr="00316B86">
        <w:rPr>
          <w:i/>
          <w:szCs w:val="16"/>
          <w:lang w:val="en-US"/>
        </w:rPr>
        <w:t>Cf.</w:t>
      </w:r>
      <w:r w:rsidRPr="00316B86">
        <w:rPr>
          <w:b/>
          <w:bCs/>
          <w:i/>
          <w:szCs w:val="16"/>
          <w:lang w:val="en-US"/>
        </w:rPr>
        <w:t xml:space="preserve"> </w:t>
      </w:r>
      <w:r w:rsidRPr="00316B86">
        <w:rPr>
          <w:rStyle w:val="Textoennegrita"/>
          <w:b w:val="0"/>
          <w:bCs w:val="0"/>
          <w:i/>
          <w:color w:val="000000"/>
          <w:szCs w:val="16"/>
          <w:shd w:val="clear" w:color="auto" w:fill="FFFFFF"/>
          <w:lang w:val="en-US"/>
        </w:rPr>
        <w:t xml:space="preserve">Case of Gonzales </w:t>
      </w:r>
      <w:proofErr w:type="spellStart"/>
      <w:r w:rsidRPr="00316B86">
        <w:rPr>
          <w:rStyle w:val="Textoennegrita"/>
          <w:b w:val="0"/>
          <w:bCs w:val="0"/>
          <w:i/>
          <w:color w:val="000000"/>
          <w:szCs w:val="16"/>
          <w:shd w:val="clear" w:color="auto" w:fill="FFFFFF"/>
          <w:lang w:val="en-US"/>
        </w:rPr>
        <w:t>Lluy</w:t>
      </w:r>
      <w:proofErr w:type="spellEnd"/>
      <w:r w:rsidRPr="00316B86">
        <w:rPr>
          <w:rStyle w:val="Textoennegrita"/>
          <w:b w:val="0"/>
          <w:bCs w:val="0"/>
          <w:i/>
          <w:color w:val="000000"/>
          <w:szCs w:val="16"/>
          <w:shd w:val="clear" w:color="auto" w:fill="FFFFFF"/>
          <w:lang w:val="en-US"/>
        </w:rPr>
        <w:t xml:space="preserve"> et al. v. Ecuador. Preliminary objections merits, reparations and costs.</w:t>
      </w:r>
      <w:r w:rsidRPr="00316B86">
        <w:rPr>
          <w:rStyle w:val="Textoennegrita"/>
          <w:b w:val="0"/>
          <w:bCs w:val="0"/>
          <w:color w:val="000000"/>
          <w:szCs w:val="16"/>
          <w:shd w:val="clear" w:color="auto" w:fill="FFFFFF"/>
          <w:lang w:val="en-US"/>
        </w:rPr>
        <w:t xml:space="preserve"> Judgment of September 1, 2015. Series C No. 298, para.</w:t>
      </w:r>
      <w:r w:rsidRPr="00316B86">
        <w:rPr>
          <w:b/>
          <w:bCs/>
          <w:szCs w:val="16"/>
          <w:lang w:val="en-US"/>
        </w:rPr>
        <w:t xml:space="preserve"> </w:t>
      </w:r>
      <w:r w:rsidRPr="00316B86">
        <w:rPr>
          <w:szCs w:val="16"/>
          <w:lang w:val="en-US"/>
        </w:rPr>
        <w:t>291.</w:t>
      </w:r>
    </w:p>
  </w:footnote>
  <w:footnote w:id="436">
    <w:p w14:paraId="4245820F" w14:textId="77777777" w:rsidR="00AF5CC6" w:rsidRPr="00316B86" w:rsidRDefault="00AF5CC6" w:rsidP="00C36F0E">
      <w:pPr>
        <w:pStyle w:val="Textonotapie"/>
        <w:rPr>
          <w:b/>
          <w:bCs/>
          <w:szCs w:val="16"/>
          <w:lang w:val="en-US"/>
        </w:rPr>
      </w:pPr>
      <w:r w:rsidRPr="00316B86">
        <w:rPr>
          <w:rStyle w:val="Refdenotaalpie"/>
          <w:szCs w:val="16"/>
          <w:lang w:val="en-US"/>
        </w:rPr>
        <w:footnoteRef/>
      </w:r>
      <w:r w:rsidRPr="00316B86">
        <w:rPr>
          <w:szCs w:val="16"/>
          <w:lang w:val="en-US"/>
        </w:rPr>
        <w:t xml:space="preserve"> </w:t>
      </w:r>
      <w:r w:rsidRPr="00316B86">
        <w:rPr>
          <w:szCs w:val="16"/>
          <w:lang w:val="en-US"/>
        </w:rPr>
        <w:tab/>
      </w:r>
      <w:r w:rsidRPr="00316B86">
        <w:rPr>
          <w:i/>
          <w:szCs w:val="16"/>
          <w:lang w:val="en-US"/>
        </w:rPr>
        <w:t>Cf.</w:t>
      </w:r>
      <w:r w:rsidRPr="00316B86">
        <w:rPr>
          <w:b/>
          <w:bCs/>
          <w:i/>
          <w:szCs w:val="16"/>
          <w:lang w:val="en-US"/>
        </w:rPr>
        <w:t xml:space="preserve"> </w:t>
      </w:r>
      <w:r w:rsidRPr="00316B86">
        <w:rPr>
          <w:rStyle w:val="Textoennegrita"/>
          <w:b w:val="0"/>
          <w:bCs w:val="0"/>
          <w:i/>
          <w:color w:val="000000"/>
          <w:szCs w:val="16"/>
          <w:shd w:val="clear" w:color="auto" w:fill="FFFFFF"/>
          <w:lang w:val="en-US"/>
        </w:rPr>
        <w:t xml:space="preserve">Case of Gonzales </w:t>
      </w:r>
      <w:proofErr w:type="spellStart"/>
      <w:r w:rsidRPr="00316B86">
        <w:rPr>
          <w:rStyle w:val="Textoennegrita"/>
          <w:b w:val="0"/>
          <w:bCs w:val="0"/>
          <w:i/>
          <w:color w:val="000000"/>
          <w:szCs w:val="16"/>
          <w:shd w:val="clear" w:color="auto" w:fill="FFFFFF"/>
          <w:lang w:val="en-US"/>
        </w:rPr>
        <w:t>Lluy</w:t>
      </w:r>
      <w:proofErr w:type="spellEnd"/>
      <w:r w:rsidRPr="00316B86">
        <w:rPr>
          <w:rStyle w:val="Textoennegrita"/>
          <w:b w:val="0"/>
          <w:bCs w:val="0"/>
          <w:i/>
          <w:color w:val="000000"/>
          <w:szCs w:val="16"/>
          <w:shd w:val="clear" w:color="auto" w:fill="FFFFFF"/>
          <w:lang w:val="en-US"/>
        </w:rPr>
        <w:t xml:space="preserve"> et al. v. Ecuador. Preliminary objections merits, reparations and costs.</w:t>
      </w:r>
      <w:r w:rsidRPr="00316B86">
        <w:rPr>
          <w:rStyle w:val="Textoennegrita"/>
          <w:b w:val="0"/>
          <w:bCs w:val="0"/>
          <w:color w:val="000000"/>
          <w:szCs w:val="16"/>
          <w:shd w:val="clear" w:color="auto" w:fill="FFFFFF"/>
          <w:lang w:val="en-US"/>
        </w:rPr>
        <w:t xml:space="preserve"> Judgment of September 1, 2015. Series C No. 298, </w:t>
      </w:r>
      <w:r w:rsidRPr="00316B86">
        <w:rPr>
          <w:szCs w:val="16"/>
          <w:lang w:val="en-US"/>
        </w:rPr>
        <w:t>para. 285.</w:t>
      </w:r>
    </w:p>
  </w:footnote>
  <w:footnote w:id="437">
    <w:p w14:paraId="7F9B5F20" w14:textId="77777777" w:rsidR="00AF5CC6" w:rsidRPr="00316B86" w:rsidRDefault="00AF5CC6" w:rsidP="00C36F0E">
      <w:pPr>
        <w:pStyle w:val="Textonotapie"/>
        <w:rPr>
          <w:b/>
          <w:bCs/>
          <w:szCs w:val="16"/>
          <w:lang w:val="en-US"/>
        </w:rPr>
      </w:pPr>
      <w:r w:rsidRPr="00316B86">
        <w:rPr>
          <w:rStyle w:val="Refdenotaalpie"/>
          <w:szCs w:val="16"/>
          <w:lang w:val="en-US"/>
        </w:rPr>
        <w:footnoteRef/>
      </w:r>
      <w:r w:rsidRPr="00316B86">
        <w:rPr>
          <w:szCs w:val="16"/>
          <w:lang w:val="en-US"/>
        </w:rPr>
        <w:t xml:space="preserve"> </w:t>
      </w:r>
      <w:r w:rsidRPr="00316B86">
        <w:rPr>
          <w:szCs w:val="16"/>
          <w:lang w:val="en-US"/>
        </w:rPr>
        <w:tab/>
      </w:r>
      <w:r w:rsidRPr="00316B86">
        <w:rPr>
          <w:i/>
          <w:szCs w:val="16"/>
          <w:lang w:val="en-US"/>
        </w:rPr>
        <w:t>Cf.</w:t>
      </w:r>
      <w:r w:rsidRPr="00316B86">
        <w:rPr>
          <w:b/>
          <w:bCs/>
          <w:i/>
          <w:szCs w:val="16"/>
          <w:lang w:val="en-US"/>
        </w:rPr>
        <w:t xml:space="preserve"> </w:t>
      </w:r>
      <w:r w:rsidRPr="00316B86">
        <w:rPr>
          <w:rStyle w:val="Textoennegrita"/>
          <w:b w:val="0"/>
          <w:bCs w:val="0"/>
          <w:i/>
          <w:color w:val="000000"/>
          <w:szCs w:val="16"/>
          <w:shd w:val="clear" w:color="auto" w:fill="FFFFFF"/>
          <w:lang w:val="en-US"/>
        </w:rPr>
        <w:t xml:space="preserve">Case of Gonzales </w:t>
      </w:r>
      <w:proofErr w:type="spellStart"/>
      <w:r w:rsidRPr="00316B86">
        <w:rPr>
          <w:rStyle w:val="Textoennegrita"/>
          <w:b w:val="0"/>
          <w:bCs w:val="0"/>
          <w:i/>
          <w:color w:val="000000"/>
          <w:szCs w:val="16"/>
          <w:shd w:val="clear" w:color="auto" w:fill="FFFFFF"/>
          <w:lang w:val="en-US"/>
        </w:rPr>
        <w:t>Lluy</w:t>
      </w:r>
      <w:proofErr w:type="spellEnd"/>
      <w:r w:rsidRPr="00316B86">
        <w:rPr>
          <w:rStyle w:val="Textoennegrita"/>
          <w:b w:val="0"/>
          <w:bCs w:val="0"/>
          <w:i/>
          <w:color w:val="000000"/>
          <w:szCs w:val="16"/>
          <w:shd w:val="clear" w:color="auto" w:fill="FFFFFF"/>
          <w:lang w:val="en-US"/>
        </w:rPr>
        <w:t xml:space="preserve"> et al. v. Ecuador. Preliminary objections merits, reparations and costs.</w:t>
      </w:r>
      <w:r w:rsidRPr="00316B86">
        <w:rPr>
          <w:rStyle w:val="Textoennegrita"/>
          <w:b w:val="0"/>
          <w:bCs w:val="0"/>
          <w:color w:val="000000"/>
          <w:szCs w:val="16"/>
          <w:shd w:val="clear" w:color="auto" w:fill="FFFFFF"/>
          <w:lang w:val="en-US"/>
        </w:rPr>
        <w:t xml:space="preserve"> Judgment of September 1, 2015. Series C No. 298, </w:t>
      </w:r>
      <w:r w:rsidRPr="00316B86">
        <w:rPr>
          <w:szCs w:val="16"/>
          <w:lang w:val="en-US"/>
        </w:rPr>
        <w:t>para. 288.</w:t>
      </w:r>
    </w:p>
  </w:footnote>
  <w:footnote w:id="438">
    <w:p w14:paraId="069D3B20" w14:textId="77777777" w:rsidR="00AF5CC6" w:rsidRPr="00316B86" w:rsidRDefault="00AF5CC6" w:rsidP="00C36F0E">
      <w:pPr>
        <w:pStyle w:val="Textonotapie"/>
        <w:rPr>
          <w:b/>
          <w:bCs/>
          <w:szCs w:val="16"/>
          <w:lang w:val="en-US"/>
        </w:rPr>
      </w:pPr>
      <w:r w:rsidRPr="00316B86">
        <w:rPr>
          <w:rStyle w:val="Refdenotaalpie"/>
          <w:szCs w:val="16"/>
          <w:lang w:val="en-US"/>
        </w:rPr>
        <w:footnoteRef/>
      </w:r>
      <w:r w:rsidRPr="00316B86">
        <w:rPr>
          <w:szCs w:val="16"/>
          <w:lang w:val="en-US"/>
        </w:rPr>
        <w:t xml:space="preserve"> </w:t>
      </w:r>
      <w:r w:rsidRPr="00316B86">
        <w:rPr>
          <w:szCs w:val="16"/>
          <w:lang w:val="en-US"/>
        </w:rPr>
        <w:tab/>
      </w:r>
      <w:r w:rsidRPr="00316B86">
        <w:rPr>
          <w:i/>
          <w:szCs w:val="16"/>
          <w:lang w:val="en-US"/>
        </w:rPr>
        <w:t>Cf.</w:t>
      </w:r>
      <w:r w:rsidRPr="00316B86">
        <w:rPr>
          <w:b/>
          <w:bCs/>
          <w:i/>
          <w:szCs w:val="16"/>
          <w:lang w:val="en-US"/>
        </w:rPr>
        <w:t xml:space="preserve"> </w:t>
      </w:r>
      <w:r w:rsidRPr="00316B86">
        <w:rPr>
          <w:rStyle w:val="Textoennegrita"/>
          <w:b w:val="0"/>
          <w:bCs w:val="0"/>
          <w:i/>
          <w:color w:val="000000"/>
          <w:szCs w:val="16"/>
          <w:shd w:val="clear" w:color="auto" w:fill="FFFFFF"/>
          <w:lang w:val="en-US"/>
        </w:rPr>
        <w:t xml:space="preserve">Case of Gonzales </w:t>
      </w:r>
      <w:proofErr w:type="spellStart"/>
      <w:r w:rsidRPr="00316B86">
        <w:rPr>
          <w:rStyle w:val="Textoennegrita"/>
          <w:b w:val="0"/>
          <w:bCs w:val="0"/>
          <w:i/>
          <w:color w:val="000000"/>
          <w:szCs w:val="16"/>
          <w:shd w:val="clear" w:color="auto" w:fill="FFFFFF"/>
          <w:lang w:val="en-US"/>
        </w:rPr>
        <w:t>Lluy</w:t>
      </w:r>
      <w:proofErr w:type="spellEnd"/>
      <w:r w:rsidRPr="00316B86">
        <w:rPr>
          <w:rStyle w:val="Textoennegrita"/>
          <w:b w:val="0"/>
          <w:bCs w:val="0"/>
          <w:i/>
          <w:color w:val="000000"/>
          <w:szCs w:val="16"/>
          <w:shd w:val="clear" w:color="auto" w:fill="FFFFFF"/>
          <w:lang w:val="en-US"/>
        </w:rPr>
        <w:t xml:space="preserve"> et al. v. Ecuador. Preliminary objections merits, reparations and costs.</w:t>
      </w:r>
      <w:r w:rsidRPr="00316B86">
        <w:rPr>
          <w:rStyle w:val="Textoennegrita"/>
          <w:b w:val="0"/>
          <w:bCs w:val="0"/>
          <w:color w:val="000000"/>
          <w:szCs w:val="16"/>
          <w:shd w:val="clear" w:color="auto" w:fill="FFFFFF"/>
          <w:lang w:val="en-US"/>
        </w:rPr>
        <w:t xml:space="preserve"> Judgment of September 1, 2015. Series C No. 298, </w:t>
      </w:r>
      <w:r w:rsidRPr="00316B86">
        <w:rPr>
          <w:szCs w:val="16"/>
          <w:lang w:val="en-US"/>
        </w:rPr>
        <w:t>para. 290.</w:t>
      </w:r>
    </w:p>
  </w:footnote>
  <w:footnote w:id="439">
    <w:p w14:paraId="58F1EEB3" w14:textId="77777777" w:rsidR="00AF5CC6" w:rsidRPr="00316B86" w:rsidRDefault="00AF5CC6" w:rsidP="00C36F0E">
      <w:pPr>
        <w:pStyle w:val="Textonotapie"/>
        <w:rPr>
          <w:b/>
          <w:bCs/>
          <w:szCs w:val="16"/>
          <w:lang w:val="en-US"/>
        </w:rPr>
      </w:pPr>
      <w:r w:rsidRPr="00316B86">
        <w:rPr>
          <w:rStyle w:val="Refdenotaalpie"/>
          <w:szCs w:val="16"/>
          <w:lang w:val="en-US"/>
        </w:rPr>
        <w:footnoteRef/>
      </w:r>
      <w:r w:rsidRPr="00316B86">
        <w:rPr>
          <w:szCs w:val="16"/>
          <w:lang w:val="en-US"/>
        </w:rPr>
        <w:t xml:space="preserve"> </w:t>
      </w:r>
      <w:r w:rsidRPr="00316B86">
        <w:rPr>
          <w:szCs w:val="16"/>
          <w:lang w:val="en-US"/>
        </w:rPr>
        <w:tab/>
      </w:r>
      <w:r w:rsidRPr="00316B86">
        <w:rPr>
          <w:i/>
          <w:szCs w:val="16"/>
          <w:lang w:val="en-US"/>
        </w:rPr>
        <w:t>Cf.</w:t>
      </w:r>
      <w:r w:rsidRPr="00316B86">
        <w:rPr>
          <w:b/>
          <w:bCs/>
          <w:szCs w:val="16"/>
          <w:lang w:val="en-US"/>
        </w:rPr>
        <w:t xml:space="preserve"> </w:t>
      </w:r>
      <w:r w:rsidRPr="00316B86">
        <w:rPr>
          <w:rStyle w:val="Textoennegrita"/>
          <w:b w:val="0"/>
          <w:bCs w:val="0"/>
          <w:i/>
          <w:color w:val="000000"/>
          <w:szCs w:val="16"/>
          <w:shd w:val="clear" w:color="auto" w:fill="FFFFFF"/>
          <w:lang w:val="en-US"/>
        </w:rPr>
        <w:t>Case of I.V. v. Bolivia. Preliminary objections merits, reparations and costs</w:t>
      </w:r>
      <w:r w:rsidRPr="00316B86">
        <w:rPr>
          <w:rStyle w:val="Textoennegrita"/>
          <w:b w:val="0"/>
          <w:bCs w:val="0"/>
          <w:color w:val="000000"/>
          <w:szCs w:val="16"/>
          <w:shd w:val="clear" w:color="auto" w:fill="FFFFFF"/>
          <w:lang w:val="en-US"/>
        </w:rPr>
        <w:t xml:space="preserve">. Judgment of November 30, 2016. Series C No. 329, para. 318. </w:t>
      </w:r>
    </w:p>
  </w:footnote>
  <w:footnote w:id="440">
    <w:p w14:paraId="545F2C15" w14:textId="77777777" w:rsidR="00AF5CC6" w:rsidRPr="00316B86" w:rsidRDefault="00AF5CC6" w:rsidP="00C36F0E">
      <w:pPr>
        <w:pStyle w:val="Textonotapie"/>
        <w:rPr>
          <w:b/>
          <w:bCs/>
          <w:szCs w:val="16"/>
          <w:lang w:val="es-CR"/>
        </w:rPr>
      </w:pPr>
      <w:r w:rsidRPr="00316B86">
        <w:rPr>
          <w:rStyle w:val="Refdenotaalpie"/>
          <w:szCs w:val="16"/>
          <w:lang w:val="en-US"/>
        </w:rPr>
        <w:footnoteRef/>
      </w:r>
      <w:r w:rsidRPr="00316B86">
        <w:rPr>
          <w:szCs w:val="16"/>
          <w:lang w:val="en-US"/>
        </w:rPr>
        <w:t xml:space="preserve"> </w:t>
      </w:r>
      <w:r w:rsidRPr="00316B86">
        <w:rPr>
          <w:szCs w:val="16"/>
          <w:lang w:val="en-US"/>
        </w:rPr>
        <w:tab/>
      </w:r>
      <w:r w:rsidRPr="00316B86">
        <w:rPr>
          <w:i/>
          <w:szCs w:val="16"/>
          <w:lang w:val="en-US"/>
        </w:rPr>
        <w:t>Cf.</w:t>
      </w:r>
      <w:r w:rsidRPr="00316B86">
        <w:rPr>
          <w:b/>
          <w:bCs/>
          <w:i/>
          <w:szCs w:val="16"/>
          <w:lang w:val="en-US"/>
        </w:rPr>
        <w:t xml:space="preserve"> </w:t>
      </w:r>
      <w:r w:rsidRPr="00316B86">
        <w:rPr>
          <w:rStyle w:val="Textoennegrita"/>
          <w:b w:val="0"/>
          <w:bCs w:val="0"/>
          <w:i/>
          <w:color w:val="000000"/>
          <w:szCs w:val="16"/>
          <w:shd w:val="clear" w:color="auto" w:fill="FFFFFF"/>
          <w:lang w:val="en-US"/>
        </w:rPr>
        <w:t>Case of Ramírez Escobar et al. v. Guatemala. Merits, reparations and costs.</w:t>
      </w:r>
      <w:r w:rsidRPr="00316B86">
        <w:rPr>
          <w:rStyle w:val="Textoennegrita"/>
          <w:b w:val="0"/>
          <w:bCs w:val="0"/>
          <w:color w:val="000000"/>
          <w:szCs w:val="16"/>
          <w:shd w:val="clear" w:color="auto" w:fill="FFFFFF"/>
          <w:lang w:val="en-US"/>
        </w:rPr>
        <w:t xml:space="preserve"> Judgment of March 9, 2018. </w:t>
      </w:r>
      <w:r w:rsidRPr="00316B86">
        <w:rPr>
          <w:rStyle w:val="Textoennegrita"/>
          <w:b w:val="0"/>
          <w:bCs w:val="0"/>
          <w:color w:val="000000"/>
          <w:szCs w:val="16"/>
          <w:shd w:val="clear" w:color="auto" w:fill="FFFFFF"/>
          <w:lang w:val="es-CR"/>
        </w:rPr>
        <w:t xml:space="preserve">Series C No. 351, </w:t>
      </w:r>
      <w:r w:rsidRPr="00316B86">
        <w:rPr>
          <w:szCs w:val="16"/>
          <w:lang w:val="es-CR"/>
        </w:rPr>
        <w:t>para. 276.</w:t>
      </w:r>
    </w:p>
  </w:footnote>
  <w:footnote w:id="441">
    <w:p w14:paraId="622B0069" w14:textId="77777777" w:rsidR="00AF5CC6" w:rsidRPr="00316B86" w:rsidRDefault="00AF5CC6" w:rsidP="00C36F0E">
      <w:pPr>
        <w:pStyle w:val="Textonotapie"/>
        <w:rPr>
          <w:b/>
          <w:bCs/>
          <w:szCs w:val="16"/>
          <w:lang w:val="en-US"/>
        </w:rPr>
      </w:pPr>
      <w:r w:rsidRPr="00316B86">
        <w:rPr>
          <w:rStyle w:val="Refdenotaalpie"/>
          <w:szCs w:val="16"/>
          <w:lang w:val="en-US"/>
        </w:rPr>
        <w:footnoteRef/>
      </w:r>
      <w:r w:rsidRPr="00316B86">
        <w:rPr>
          <w:szCs w:val="16"/>
          <w:lang w:val="es-CR"/>
        </w:rPr>
        <w:t xml:space="preserve"> </w:t>
      </w:r>
      <w:r w:rsidRPr="00316B86">
        <w:rPr>
          <w:szCs w:val="16"/>
          <w:lang w:val="es-CR"/>
        </w:rPr>
        <w:tab/>
      </w:r>
      <w:r w:rsidRPr="00316B86">
        <w:rPr>
          <w:i/>
          <w:szCs w:val="16"/>
          <w:lang w:val="es-CR"/>
        </w:rPr>
        <w:t>Cf.</w:t>
      </w:r>
      <w:r w:rsidRPr="00316B86">
        <w:rPr>
          <w:b/>
          <w:bCs/>
          <w:i/>
          <w:szCs w:val="16"/>
          <w:lang w:val="es-CR"/>
        </w:rPr>
        <w:t xml:space="preserve"> </w:t>
      </w:r>
      <w:r w:rsidRPr="00316B86">
        <w:rPr>
          <w:rStyle w:val="Textoennegrita"/>
          <w:b w:val="0"/>
          <w:bCs w:val="0"/>
          <w:i/>
          <w:color w:val="000000"/>
          <w:szCs w:val="16"/>
          <w:shd w:val="clear" w:color="auto" w:fill="FFFFFF"/>
          <w:lang w:val="es-CR"/>
        </w:rPr>
        <w:t xml:space="preserve">Case </w:t>
      </w:r>
      <w:proofErr w:type="spellStart"/>
      <w:r w:rsidRPr="00316B86">
        <w:rPr>
          <w:rStyle w:val="Textoennegrita"/>
          <w:b w:val="0"/>
          <w:bCs w:val="0"/>
          <w:i/>
          <w:color w:val="000000"/>
          <w:szCs w:val="16"/>
          <w:shd w:val="clear" w:color="auto" w:fill="FFFFFF"/>
          <w:lang w:val="es-CR"/>
        </w:rPr>
        <w:t>of</w:t>
      </w:r>
      <w:proofErr w:type="spellEnd"/>
      <w:r w:rsidRPr="00316B86">
        <w:rPr>
          <w:rStyle w:val="Textoennegrita"/>
          <w:b w:val="0"/>
          <w:bCs w:val="0"/>
          <w:i/>
          <w:color w:val="000000"/>
          <w:szCs w:val="16"/>
          <w:shd w:val="clear" w:color="auto" w:fill="FFFFFF"/>
          <w:lang w:val="es-CR"/>
        </w:rPr>
        <w:t xml:space="preserve"> V.R.P., V.P.C. et al. v. Nicaragua. </w:t>
      </w:r>
      <w:r w:rsidRPr="00316B86">
        <w:rPr>
          <w:rStyle w:val="Textoennegrita"/>
          <w:b w:val="0"/>
          <w:bCs w:val="0"/>
          <w:i/>
          <w:color w:val="000000"/>
          <w:szCs w:val="16"/>
          <w:shd w:val="clear" w:color="auto" w:fill="FFFFFF"/>
          <w:lang w:val="en-US"/>
        </w:rPr>
        <w:t>Preliminary objections merits, reparations and costs</w:t>
      </w:r>
      <w:r w:rsidRPr="00316B86">
        <w:rPr>
          <w:rStyle w:val="Textoennegrita"/>
          <w:b w:val="0"/>
          <w:bCs w:val="0"/>
          <w:color w:val="000000"/>
          <w:szCs w:val="16"/>
          <w:shd w:val="clear" w:color="auto" w:fill="FFFFFF"/>
          <w:lang w:val="en-US"/>
        </w:rPr>
        <w:t>. Judgment of March 8, 2018. Series C No. 350, para. 154. In this regard, in this judgment the Inter-American Court chose to make its analysis with “an intersectional approach”; in this case, between gender and the age of the victim (who was a girl child).</w:t>
      </w:r>
    </w:p>
  </w:footnote>
  <w:footnote w:id="442">
    <w:p w14:paraId="26BBB3BB" w14:textId="77777777" w:rsidR="00AF5CC6" w:rsidRPr="00246DE1" w:rsidRDefault="00AF5CC6" w:rsidP="00C36F0E">
      <w:pPr>
        <w:pStyle w:val="Textonotapie"/>
        <w:rPr>
          <w:szCs w:val="16"/>
          <w:highlight w:val="yellow"/>
          <w:lang w:val="en-US"/>
        </w:rPr>
      </w:pPr>
      <w:r w:rsidRPr="00316B86">
        <w:rPr>
          <w:rStyle w:val="Refdenotaalpie"/>
          <w:szCs w:val="16"/>
          <w:lang w:val="en-US"/>
        </w:rPr>
        <w:footnoteRef/>
      </w:r>
      <w:r w:rsidRPr="00316B86">
        <w:rPr>
          <w:szCs w:val="16"/>
          <w:lang w:val="en-US"/>
        </w:rPr>
        <w:t xml:space="preserve"> </w:t>
      </w:r>
      <w:r w:rsidRPr="00316B86">
        <w:rPr>
          <w:szCs w:val="16"/>
          <w:lang w:val="en-US"/>
        </w:rPr>
        <w:tab/>
        <w:t xml:space="preserve"> </w:t>
      </w:r>
      <w:r w:rsidRPr="00316B86">
        <w:rPr>
          <w:i/>
          <w:szCs w:val="16"/>
          <w:lang w:val="en-US"/>
        </w:rPr>
        <w:t>Cf.</w:t>
      </w:r>
      <w:r w:rsidRPr="00316B86">
        <w:rPr>
          <w:b/>
          <w:bCs/>
          <w:i/>
          <w:szCs w:val="16"/>
          <w:lang w:val="en-US"/>
        </w:rPr>
        <w:t xml:space="preserve"> </w:t>
      </w:r>
      <w:r w:rsidRPr="00316B86">
        <w:rPr>
          <w:rStyle w:val="Textoennegrita"/>
          <w:b w:val="0"/>
          <w:bCs w:val="0"/>
          <w:i/>
          <w:color w:val="000000"/>
          <w:szCs w:val="16"/>
          <w:shd w:val="clear" w:color="auto" w:fill="FFFFFF"/>
          <w:lang w:val="en-US"/>
        </w:rPr>
        <w:t xml:space="preserve">Case of </w:t>
      </w:r>
      <w:proofErr w:type="spellStart"/>
      <w:r w:rsidRPr="00316B86">
        <w:rPr>
          <w:rStyle w:val="Textoennegrita"/>
          <w:b w:val="0"/>
          <w:bCs w:val="0"/>
          <w:i/>
          <w:color w:val="000000"/>
          <w:szCs w:val="16"/>
          <w:shd w:val="clear" w:color="auto" w:fill="FFFFFF"/>
          <w:lang w:val="en-US"/>
        </w:rPr>
        <w:t>Cuscul</w:t>
      </w:r>
      <w:proofErr w:type="spellEnd"/>
      <w:r w:rsidRPr="00316B86">
        <w:rPr>
          <w:rStyle w:val="Textoennegrita"/>
          <w:b w:val="0"/>
          <w:bCs w:val="0"/>
          <w:i/>
          <w:color w:val="000000"/>
          <w:szCs w:val="16"/>
          <w:shd w:val="clear" w:color="auto" w:fill="FFFFFF"/>
          <w:lang w:val="en-US"/>
        </w:rPr>
        <w:t xml:space="preserve"> </w:t>
      </w:r>
      <w:proofErr w:type="spellStart"/>
      <w:r w:rsidRPr="00316B86">
        <w:rPr>
          <w:rStyle w:val="Textoennegrita"/>
          <w:b w:val="0"/>
          <w:bCs w:val="0"/>
          <w:i/>
          <w:color w:val="000000"/>
          <w:szCs w:val="16"/>
          <w:shd w:val="clear" w:color="auto" w:fill="FFFFFF"/>
          <w:lang w:val="en-US"/>
        </w:rPr>
        <w:t>Pivaral</w:t>
      </w:r>
      <w:proofErr w:type="spellEnd"/>
      <w:r w:rsidRPr="00316B86">
        <w:rPr>
          <w:rStyle w:val="Textoennegrita"/>
          <w:b w:val="0"/>
          <w:bCs w:val="0"/>
          <w:i/>
          <w:color w:val="000000"/>
          <w:szCs w:val="16"/>
          <w:shd w:val="clear" w:color="auto" w:fill="FFFFFF"/>
          <w:lang w:val="en-US"/>
        </w:rPr>
        <w:t xml:space="preserve"> et al. v. Guatemala. Preliminary objection, merits, reparations and costs. </w:t>
      </w:r>
      <w:r w:rsidRPr="00316B86">
        <w:rPr>
          <w:rStyle w:val="Textoennegrita"/>
          <w:b w:val="0"/>
          <w:bCs w:val="0"/>
          <w:color w:val="000000"/>
          <w:szCs w:val="16"/>
          <w:shd w:val="clear" w:color="auto" w:fill="FFFFFF"/>
          <w:lang w:val="en-US"/>
        </w:rPr>
        <w:t>Judgment of August 23, 2018. Series C No. 359, para. 138.</w:t>
      </w:r>
    </w:p>
  </w:footnote>
  <w:footnote w:id="443">
    <w:p w14:paraId="09EAE2E1" w14:textId="77777777" w:rsidR="00AF5CC6" w:rsidRPr="00246DE1" w:rsidRDefault="00AF5CC6" w:rsidP="00C36F0E">
      <w:pPr>
        <w:pStyle w:val="Textonotapie"/>
        <w:rPr>
          <w:szCs w:val="16"/>
          <w:lang w:val="en-US"/>
        </w:rPr>
      </w:pPr>
      <w:r w:rsidRPr="00246DE1">
        <w:rPr>
          <w:rStyle w:val="Refdenotaalpie"/>
          <w:szCs w:val="16"/>
          <w:lang w:val="en-US"/>
        </w:rPr>
        <w:footnoteRef/>
      </w:r>
      <w:r w:rsidRPr="00246DE1">
        <w:rPr>
          <w:szCs w:val="16"/>
          <w:lang w:val="en-US"/>
        </w:rPr>
        <w:t xml:space="preserve"> </w:t>
      </w:r>
      <w:r w:rsidRPr="00246DE1">
        <w:rPr>
          <w:szCs w:val="16"/>
          <w:lang w:val="en-US"/>
        </w:rPr>
        <w:tab/>
        <w:t xml:space="preserve">For example, in Colombia, this approach has been understood as: “[The one that] expresses the State’s recognition and actions to counteract or minimize the different </w:t>
      </w:r>
      <w:r>
        <w:rPr>
          <w:szCs w:val="16"/>
          <w:lang w:val="en-US"/>
        </w:rPr>
        <w:t>way</w:t>
      </w:r>
      <w:r w:rsidRPr="00246DE1">
        <w:rPr>
          <w:szCs w:val="16"/>
          <w:lang w:val="en-US"/>
        </w:rPr>
        <w:t xml:space="preserve">, which is even disproportionate at times, in which violence and threats affect certain social groups in relation to their specific characteristics of age, gender, ethnicity, health, disabilities or sexual orientation. These differences, determined culturally, socially and historically, are decisive in the application of all </w:t>
      </w:r>
      <w:r>
        <w:rPr>
          <w:szCs w:val="16"/>
          <w:lang w:val="en-US"/>
        </w:rPr>
        <w:t xml:space="preserve">the </w:t>
      </w:r>
      <w:r w:rsidRPr="00246DE1">
        <w:rPr>
          <w:szCs w:val="16"/>
          <w:lang w:val="en-US"/>
        </w:rPr>
        <w:t xml:space="preserve">prevention and protection mechanisms […] and in the way in which the entities must establish their treatment of the said sectors in order to avoid increasing the discrimination and the harm caused.” Ministry of the Interior and Justice, Decree 1737 of May 19, 2010, amending the Victims’ and Witnesses’ Protection Program of Law 975 of 2005, created by Decree 3570 of 2007, art. 4. Similarly, Guideline for comprehensive care for the displaced population with a differentiated gender perspective, </w:t>
      </w:r>
      <w:r w:rsidRPr="00246DE1">
        <w:rPr>
          <w:bCs/>
          <w:szCs w:val="16"/>
          <w:lang w:val="en-US"/>
        </w:rPr>
        <w:t>Office of the Presidential Adviser on Equality for</w:t>
      </w:r>
      <w:r w:rsidRPr="00246DE1">
        <w:rPr>
          <w:b/>
          <w:bCs/>
          <w:szCs w:val="16"/>
          <w:lang w:val="en-US"/>
        </w:rPr>
        <w:t xml:space="preserve"> </w:t>
      </w:r>
      <w:r w:rsidRPr="00246DE1">
        <w:rPr>
          <w:szCs w:val="16"/>
          <w:lang w:val="en-US"/>
        </w:rPr>
        <w:t xml:space="preserve">Women/UNHCR, Colombia. Available at: </w:t>
      </w:r>
      <w:hyperlink r:id="rId7" w:history="1">
        <w:r w:rsidRPr="00246DE1">
          <w:rPr>
            <w:rStyle w:val="Hipervnculo"/>
            <w:szCs w:val="16"/>
            <w:lang w:val="en-US"/>
          </w:rPr>
          <w:t>http://www.acnur.org/fileadmin/Documentos/BDL/ 2010/7394.pdf</w:t>
        </w:r>
      </w:hyperlink>
      <w:r w:rsidRPr="00246DE1">
        <w:rPr>
          <w:szCs w:val="16"/>
          <w:lang w:val="en-US"/>
        </w:rPr>
        <w:t xml:space="preserve">. </w:t>
      </w:r>
    </w:p>
  </w:footnote>
  <w:footnote w:id="444">
    <w:p w14:paraId="130E9254" w14:textId="77777777" w:rsidR="00AF5CC6" w:rsidRPr="00316B86" w:rsidRDefault="00AF5CC6" w:rsidP="00C36F0E">
      <w:pPr>
        <w:pStyle w:val="Textonotapie"/>
        <w:rPr>
          <w:szCs w:val="16"/>
          <w:lang w:val="en-US"/>
        </w:rPr>
      </w:pPr>
      <w:r w:rsidRPr="00246DE1">
        <w:rPr>
          <w:rStyle w:val="Refdenotaalpie"/>
          <w:szCs w:val="16"/>
          <w:lang w:val="en-US"/>
        </w:rPr>
        <w:footnoteRef/>
      </w:r>
      <w:r w:rsidRPr="00246DE1">
        <w:rPr>
          <w:szCs w:val="16"/>
          <w:lang w:val="en-US"/>
        </w:rPr>
        <w:t xml:space="preserve"> </w:t>
      </w:r>
      <w:r w:rsidRPr="00246DE1">
        <w:rPr>
          <w:szCs w:val="16"/>
          <w:lang w:val="en-US"/>
        </w:rPr>
        <w:tab/>
      </w:r>
      <w:r w:rsidRPr="00246DE1">
        <w:rPr>
          <w:i/>
          <w:szCs w:val="16"/>
          <w:lang w:val="en-US"/>
        </w:rPr>
        <w:t>Cf.</w:t>
      </w:r>
      <w:r w:rsidRPr="00246DE1">
        <w:rPr>
          <w:szCs w:val="16"/>
          <w:lang w:val="en-US"/>
        </w:rPr>
        <w:t xml:space="preserve"> Office of the United Nations High Commissioner for Human Rights (OHCHR) and the Joint United Nations Program on HIV and AIDS (UNAIDS), International Guidelines on </w:t>
      </w:r>
      <w:r w:rsidRPr="00246DE1">
        <w:rPr>
          <w:iCs/>
          <w:szCs w:val="16"/>
          <w:lang w:val="en-US"/>
        </w:rPr>
        <w:t>HIV/AIDS and Human Rights</w:t>
      </w:r>
      <w:r w:rsidRPr="00246DE1">
        <w:rPr>
          <w:i/>
          <w:iCs/>
          <w:szCs w:val="16"/>
          <w:lang w:val="en-US"/>
        </w:rPr>
        <w:t xml:space="preserve">. </w:t>
      </w:r>
      <w:r w:rsidRPr="00246DE1">
        <w:rPr>
          <w:iCs/>
          <w:szCs w:val="16"/>
          <w:lang w:val="en-US"/>
        </w:rPr>
        <w:t>Consolidated version, 2006, eighth guideline</w:t>
      </w:r>
      <w:r w:rsidRPr="00246DE1">
        <w:rPr>
          <w:szCs w:val="16"/>
          <w:lang w:val="en-US"/>
        </w:rPr>
        <w:t>,</w:t>
      </w:r>
      <w:r w:rsidRPr="00246DE1">
        <w:rPr>
          <w:b/>
          <w:szCs w:val="16"/>
          <w:lang w:val="en-US"/>
        </w:rPr>
        <w:t xml:space="preserve"> </w:t>
      </w:r>
      <w:r w:rsidRPr="00246DE1">
        <w:rPr>
          <w:szCs w:val="16"/>
          <w:lang w:val="en-US"/>
        </w:rPr>
        <w:t xml:space="preserve">pp. 52 to 54, cited in </w:t>
      </w:r>
      <w:r w:rsidRPr="00316B86">
        <w:rPr>
          <w:rStyle w:val="Textoennegrita"/>
          <w:b w:val="0"/>
          <w:bCs w:val="0"/>
          <w:i/>
          <w:color w:val="000000"/>
          <w:szCs w:val="16"/>
          <w:shd w:val="clear" w:color="auto" w:fill="FFFFFF"/>
          <w:lang w:val="en-US"/>
        </w:rPr>
        <w:t xml:space="preserve">Case of </w:t>
      </w:r>
      <w:proofErr w:type="spellStart"/>
      <w:r w:rsidRPr="00316B86">
        <w:rPr>
          <w:rStyle w:val="Textoennegrita"/>
          <w:b w:val="0"/>
          <w:bCs w:val="0"/>
          <w:i/>
          <w:color w:val="000000"/>
          <w:szCs w:val="16"/>
          <w:shd w:val="clear" w:color="auto" w:fill="FFFFFF"/>
          <w:lang w:val="en-US"/>
        </w:rPr>
        <w:t>Cuscul</w:t>
      </w:r>
      <w:proofErr w:type="spellEnd"/>
      <w:r w:rsidRPr="00316B86">
        <w:rPr>
          <w:rStyle w:val="Textoennegrita"/>
          <w:b w:val="0"/>
          <w:bCs w:val="0"/>
          <w:i/>
          <w:color w:val="000000"/>
          <w:szCs w:val="16"/>
          <w:shd w:val="clear" w:color="auto" w:fill="FFFFFF"/>
          <w:lang w:val="en-US"/>
        </w:rPr>
        <w:t xml:space="preserve"> </w:t>
      </w:r>
      <w:proofErr w:type="spellStart"/>
      <w:r w:rsidRPr="00316B86">
        <w:rPr>
          <w:rStyle w:val="Textoennegrita"/>
          <w:b w:val="0"/>
          <w:bCs w:val="0"/>
          <w:i/>
          <w:color w:val="000000"/>
          <w:szCs w:val="16"/>
          <w:shd w:val="clear" w:color="auto" w:fill="FFFFFF"/>
          <w:lang w:val="en-US"/>
        </w:rPr>
        <w:t>Pivaral</w:t>
      </w:r>
      <w:proofErr w:type="spellEnd"/>
      <w:r w:rsidRPr="00316B86">
        <w:rPr>
          <w:rStyle w:val="Textoennegrita"/>
          <w:b w:val="0"/>
          <w:bCs w:val="0"/>
          <w:i/>
          <w:color w:val="000000"/>
          <w:szCs w:val="16"/>
          <w:shd w:val="clear" w:color="auto" w:fill="FFFFFF"/>
          <w:lang w:val="en-US"/>
        </w:rPr>
        <w:t xml:space="preserve"> et al. v. Guatemala. Preliminary objection, merits, reparations and costs. </w:t>
      </w:r>
      <w:r w:rsidRPr="00316B86">
        <w:rPr>
          <w:rStyle w:val="Textoennegrita"/>
          <w:b w:val="0"/>
          <w:bCs w:val="0"/>
          <w:color w:val="000000"/>
          <w:szCs w:val="16"/>
          <w:shd w:val="clear" w:color="auto" w:fill="FFFFFF"/>
          <w:lang w:val="en-US"/>
        </w:rPr>
        <w:t>Judgment of August 23, 2018. Series C No. 359, para. 134.</w:t>
      </w:r>
    </w:p>
  </w:footnote>
  <w:footnote w:id="445">
    <w:p w14:paraId="31106A06" w14:textId="77777777" w:rsidR="00AF5CC6" w:rsidRPr="00246DE1" w:rsidRDefault="00AF5CC6" w:rsidP="00C36F0E">
      <w:pPr>
        <w:pStyle w:val="Textonotapie"/>
        <w:rPr>
          <w:i/>
          <w:szCs w:val="16"/>
          <w:lang w:val="en-US"/>
        </w:rPr>
      </w:pPr>
      <w:r w:rsidRPr="00316B86">
        <w:rPr>
          <w:rStyle w:val="Refdenotaalpie"/>
          <w:szCs w:val="16"/>
          <w:lang w:val="en-US"/>
        </w:rPr>
        <w:footnoteRef/>
      </w:r>
      <w:r w:rsidRPr="00316B86">
        <w:rPr>
          <w:szCs w:val="16"/>
          <w:lang w:val="en-US"/>
        </w:rPr>
        <w:t xml:space="preserve"> </w:t>
      </w:r>
      <w:r w:rsidRPr="00316B86">
        <w:rPr>
          <w:szCs w:val="16"/>
          <w:lang w:val="en-US"/>
        </w:rPr>
        <w:tab/>
      </w:r>
      <w:r w:rsidRPr="00316B86">
        <w:rPr>
          <w:i/>
          <w:szCs w:val="16"/>
          <w:lang w:val="en-US"/>
        </w:rPr>
        <w:t xml:space="preserve">Cf. </w:t>
      </w:r>
      <w:r w:rsidRPr="00316B86">
        <w:rPr>
          <w:rStyle w:val="Textoennegrita"/>
          <w:b w:val="0"/>
          <w:bCs w:val="0"/>
          <w:i/>
          <w:szCs w:val="16"/>
          <w:shd w:val="clear" w:color="auto" w:fill="FFFFFF"/>
          <w:lang w:val="en-US"/>
        </w:rPr>
        <w:t xml:space="preserve">Case of </w:t>
      </w:r>
      <w:proofErr w:type="spellStart"/>
      <w:r w:rsidRPr="00316B86">
        <w:rPr>
          <w:rStyle w:val="Textoennegrita"/>
          <w:b w:val="0"/>
          <w:bCs w:val="0"/>
          <w:i/>
          <w:szCs w:val="16"/>
          <w:shd w:val="clear" w:color="auto" w:fill="FFFFFF"/>
          <w:lang w:val="en-US"/>
        </w:rPr>
        <w:t>Cuscul</w:t>
      </w:r>
      <w:proofErr w:type="spellEnd"/>
      <w:r w:rsidRPr="00316B86">
        <w:rPr>
          <w:rStyle w:val="Textoennegrita"/>
          <w:b w:val="0"/>
          <w:bCs w:val="0"/>
          <w:i/>
          <w:szCs w:val="16"/>
          <w:shd w:val="clear" w:color="auto" w:fill="FFFFFF"/>
          <w:lang w:val="en-US"/>
        </w:rPr>
        <w:t xml:space="preserve"> </w:t>
      </w:r>
      <w:proofErr w:type="spellStart"/>
      <w:r w:rsidRPr="00316B86">
        <w:rPr>
          <w:rStyle w:val="Textoennegrita"/>
          <w:b w:val="0"/>
          <w:bCs w:val="0"/>
          <w:i/>
          <w:szCs w:val="16"/>
          <w:shd w:val="clear" w:color="auto" w:fill="FFFFFF"/>
          <w:lang w:val="en-US"/>
        </w:rPr>
        <w:t>Pivaral</w:t>
      </w:r>
      <w:proofErr w:type="spellEnd"/>
      <w:r w:rsidRPr="00316B86">
        <w:rPr>
          <w:rStyle w:val="Textoennegrita"/>
          <w:b w:val="0"/>
          <w:bCs w:val="0"/>
          <w:i/>
          <w:szCs w:val="16"/>
          <w:shd w:val="clear" w:color="auto" w:fill="FFFFFF"/>
          <w:lang w:val="en-US"/>
        </w:rPr>
        <w:t xml:space="preserve"> et al. v. Guatemala. </w:t>
      </w:r>
      <w:r w:rsidRPr="00316B86">
        <w:rPr>
          <w:rStyle w:val="Textoennegrita"/>
          <w:b w:val="0"/>
          <w:bCs w:val="0"/>
          <w:i/>
          <w:color w:val="000000"/>
          <w:szCs w:val="16"/>
          <w:shd w:val="clear" w:color="auto" w:fill="FFFFFF"/>
          <w:lang w:val="en-US"/>
        </w:rPr>
        <w:t>Preliminary objection, merits, reparations and costs</w:t>
      </w:r>
      <w:r w:rsidRPr="00316B86">
        <w:rPr>
          <w:rStyle w:val="Textoennegrita"/>
          <w:b w:val="0"/>
          <w:bCs w:val="0"/>
          <w:i/>
          <w:szCs w:val="16"/>
          <w:shd w:val="clear" w:color="auto" w:fill="FFFFFF"/>
          <w:lang w:val="en-US"/>
        </w:rPr>
        <w:t xml:space="preserve">. </w:t>
      </w:r>
      <w:r w:rsidRPr="00316B86">
        <w:rPr>
          <w:rStyle w:val="Textoennegrita"/>
          <w:b w:val="0"/>
          <w:bCs w:val="0"/>
          <w:szCs w:val="16"/>
          <w:shd w:val="clear" w:color="auto" w:fill="FFFFFF"/>
          <w:lang w:val="en-US"/>
        </w:rPr>
        <w:t>Judgment of August 23, 2018. Series C No. 359, para. 210.</w:t>
      </w:r>
    </w:p>
  </w:footnote>
  <w:footnote w:id="446">
    <w:p w14:paraId="5DC022EC" w14:textId="77777777" w:rsidR="00AF5CC6" w:rsidRPr="00246DE1" w:rsidRDefault="00AF5CC6" w:rsidP="00C36F0E">
      <w:pPr>
        <w:pStyle w:val="Textonotapie"/>
        <w:rPr>
          <w:bCs/>
          <w:szCs w:val="16"/>
          <w:shd w:val="clear" w:color="auto" w:fill="FFFFFF"/>
          <w:lang w:val="en-US"/>
        </w:rPr>
      </w:pPr>
      <w:r w:rsidRPr="00246DE1">
        <w:rPr>
          <w:rStyle w:val="Refdenotaalpie"/>
          <w:szCs w:val="16"/>
          <w:lang w:val="en-US"/>
        </w:rPr>
        <w:footnoteRef/>
      </w:r>
      <w:r w:rsidRPr="00246DE1">
        <w:rPr>
          <w:szCs w:val="16"/>
          <w:lang w:val="en-US"/>
        </w:rPr>
        <w:t xml:space="preserve"> </w:t>
      </w:r>
      <w:r w:rsidRPr="00246DE1">
        <w:rPr>
          <w:szCs w:val="16"/>
          <w:lang w:val="en-US"/>
        </w:rPr>
        <w:tab/>
      </w:r>
      <w:r w:rsidRPr="00246DE1">
        <w:rPr>
          <w:i/>
          <w:szCs w:val="16"/>
          <w:lang w:val="en-US"/>
        </w:rPr>
        <w:t xml:space="preserve">Cf. </w:t>
      </w:r>
      <w:r w:rsidRPr="00316B86">
        <w:rPr>
          <w:rStyle w:val="Textoennegrita"/>
          <w:b w:val="0"/>
          <w:bCs w:val="0"/>
          <w:i/>
          <w:szCs w:val="16"/>
          <w:shd w:val="clear" w:color="auto" w:fill="FFFFFF"/>
          <w:lang w:val="en-US"/>
        </w:rPr>
        <w:t xml:space="preserve">Case of </w:t>
      </w:r>
      <w:proofErr w:type="spellStart"/>
      <w:r w:rsidRPr="00316B86">
        <w:rPr>
          <w:rStyle w:val="Textoennegrita"/>
          <w:b w:val="0"/>
          <w:bCs w:val="0"/>
          <w:i/>
          <w:szCs w:val="16"/>
          <w:shd w:val="clear" w:color="auto" w:fill="FFFFFF"/>
          <w:lang w:val="en-US"/>
        </w:rPr>
        <w:t>Cuscul</w:t>
      </w:r>
      <w:proofErr w:type="spellEnd"/>
      <w:r w:rsidRPr="00316B86">
        <w:rPr>
          <w:rStyle w:val="Textoennegrita"/>
          <w:b w:val="0"/>
          <w:bCs w:val="0"/>
          <w:i/>
          <w:szCs w:val="16"/>
          <w:shd w:val="clear" w:color="auto" w:fill="FFFFFF"/>
          <w:lang w:val="en-US"/>
        </w:rPr>
        <w:t xml:space="preserve"> </w:t>
      </w:r>
      <w:proofErr w:type="spellStart"/>
      <w:r w:rsidRPr="00316B86">
        <w:rPr>
          <w:rStyle w:val="Textoennegrita"/>
          <w:b w:val="0"/>
          <w:bCs w:val="0"/>
          <w:i/>
          <w:szCs w:val="16"/>
          <w:shd w:val="clear" w:color="auto" w:fill="FFFFFF"/>
          <w:lang w:val="en-US"/>
        </w:rPr>
        <w:t>Pivaral</w:t>
      </w:r>
      <w:proofErr w:type="spellEnd"/>
      <w:r w:rsidRPr="00316B86">
        <w:rPr>
          <w:rStyle w:val="Textoennegrita"/>
          <w:b w:val="0"/>
          <w:bCs w:val="0"/>
          <w:i/>
          <w:szCs w:val="16"/>
          <w:shd w:val="clear" w:color="auto" w:fill="FFFFFF"/>
          <w:lang w:val="en-US"/>
        </w:rPr>
        <w:t xml:space="preserve"> et al. v. Guatemala. </w:t>
      </w:r>
      <w:r w:rsidRPr="00316B86">
        <w:rPr>
          <w:rStyle w:val="Textoennegrita"/>
          <w:b w:val="0"/>
          <w:bCs w:val="0"/>
          <w:i/>
          <w:color w:val="000000"/>
          <w:szCs w:val="16"/>
          <w:shd w:val="clear" w:color="auto" w:fill="FFFFFF"/>
          <w:lang w:val="en-US"/>
        </w:rPr>
        <w:t>Preliminary objection, merits, reparations and costs</w:t>
      </w:r>
      <w:r w:rsidRPr="00316B86">
        <w:rPr>
          <w:rStyle w:val="Textoennegrita"/>
          <w:b w:val="0"/>
          <w:bCs w:val="0"/>
          <w:i/>
          <w:szCs w:val="16"/>
          <w:shd w:val="clear" w:color="auto" w:fill="FFFFFF"/>
          <w:lang w:val="en-US"/>
        </w:rPr>
        <w:t xml:space="preserve">. </w:t>
      </w:r>
      <w:r w:rsidRPr="00316B86">
        <w:rPr>
          <w:rStyle w:val="Textoennegrita"/>
          <w:b w:val="0"/>
          <w:bCs w:val="0"/>
          <w:szCs w:val="16"/>
          <w:shd w:val="clear" w:color="auto" w:fill="FFFFFF"/>
          <w:lang w:val="en-US"/>
        </w:rPr>
        <w:t>Judgment of August 23, 2018. Series C No. 359, paras. 224 to 230.</w:t>
      </w:r>
    </w:p>
  </w:footnote>
  <w:footnote w:id="447">
    <w:p w14:paraId="2F08A129" w14:textId="77777777" w:rsidR="00AF5CC6" w:rsidRPr="00246DE1" w:rsidRDefault="00AF5CC6" w:rsidP="00C36F0E">
      <w:pPr>
        <w:pStyle w:val="Prrafodelista"/>
        <w:spacing w:after="120"/>
        <w:ind w:left="0"/>
        <w:contextualSpacing w:val="0"/>
        <w:rPr>
          <w:rFonts w:cs="System Font Regular"/>
          <w:sz w:val="16"/>
          <w:szCs w:val="16"/>
          <w:lang w:val="en-US"/>
        </w:rPr>
      </w:pPr>
      <w:r w:rsidRPr="00246DE1">
        <w:rPr>
          <w:rStyle w:val="Refdenotaalpie"/>
          <w:sz w:val="16"/>
          <w:szCs w:val="16"/>
          <w:lang w:val="en-US"/>
        </w:rPr>
        <w:footnoteRef/>
      </w:r>
      <w:r w:rsidRPr="00246DE1">
        <w:rPr>
          <w:sz w:val="16"/>
          <w:szCs w:val="16"/>
          <w:lang w:val="en-US"/>
        </w:rPr>
        <w:t xml:space="preserve"> </w:t>
      </w:r>
      <w:r w:rsidRPr="00246DE1">
        <w:rPr>
          <w:sz w:val="16"/>
          <w:szCs w:val="16"/>
          <w:lang w:val="en-US"/>
        </w:rPr>
        <w:tab/>
      </w:r>
      <w:r w:rsidRPr="00246DE1">
        <w:rPr>
          <w:rFonts w:cs="System Font Regular"/>
          <w:sz w:val="16"/>
          <w:szCs w:val="16"/>
          <w:lang w:val="en-US"/>
        </w:rPr>
        <w:t>The inter-American judgment – by its very nature and by the form in which the inter-American system is designed – fulfills a dual function: on the one hand it provides measures of reparation for the specific situation (restitution, satisfaction, investigation</w:t>
      </w:r>
      <w:r>
        <w:rPr>
          <w:rFonts w:cs="System Font Regular"/>
          <w:sz w:val="16"/>
          <w:szCs w:val="16"/>
          <w:lang w:val="en-US"/>
        </w:rPr>
        <w:t>,</w:t>
      </w:r>
      <w:r w:rsidRPr="00246DE1">
        <w:rPr>
          <w:rFonts w:cs="System Font Regular"/>
          <w:sz w:val="16"/>
          <w:szCs w:val="16"/>
          <w:lang w:val="en-US"/>
        </w:rPr>
        <w:t xml:space="preserve"> and of a financial nature), but it also has a function of providing reparations to ensure that the facts do not occur again (guarantees of non-repetition). This broad concept </w:t>
      </w:r>
      <w:r>
        <w:rPr>
          <w:rFonts w:cs="System Font Regular"/>
          <w:sz w:val="16"/>
          <w:szCs w:val="16"/>
          <w:lang w:val="en-US"/>
        </w:rPr>
        <w:t>covering</w:t>
      </w:r>
      <w:r w:rsidRPr="00246DE1">
        <w:rPr>
          <w:rFonts w:cs="System Font Regular"/>
          <w:sz w:val="16"/>
          <w:szCs w:val="16"/>
          <w:lang w:val="en-US"/>
        </w:rPr>
        <w:t xml:space="preserve"> the measures of non-repetition is what leads to the </w:t>
      </w:r>
      <w:r w:rsidRPr="00246DE1">
        <w:rPr>
          <w:rFonts w:cs="System Font Regular"/>
          <w:i/>
          <w:sz w:val="16"/>
          <w:szCs w:val="16"/>
          <w:lang w:val="en-US"/>
        </w:rPr>
        <w:t>restitutio in integrum</w:t>
      </w:r>
      <w:r w:rsidRPr="00246DE1">
        <w:rPr>
          <w:rFonts w:cs="System Font Regular"/>
          <w:sz w:val="16"/>
          <w:szCs w:val="16"/>
          <w:lang w:val="en-US"/>
        </w:rPr>
        <w:t xml:space="preserve">, unique in international law. Evidently, in a national jurisdiction, the inter-American judgment has more general effects than those involved in each specific case; the purpose of measures of non-repetition that are ordered in each case is to provide the authorities with parameters to make redress to the possible victims, in similar circumstances to those that the </w:t>
      </w:r>
      <w:r w:rsidRPr="00246DE1">
        <w:rPr>
          <w:sz w:val="16"/>
          <w:szCs w:val="16"/>
          <w:lang w:val="en-US"/>
        </w:rPr>
        <w:t xml:space="preserve">Inter-American Court is able to examine. </w:t>
      </w:r>
    </w:p>
  </w:footnote>
  <w:footnote w:id="448">
    <w:p w14:paraId="791B6B2C" w14:textId="77777777" w:rsidR="00AF5CC6" w:rsidRPr="00316B86" w:rsidRDefault="00AF5CC6" w:rsidP="00C36F0E">
      <w:pPr>
        <w:pStyle w:val="Textonotapie"/>
        <w:rPr>
          <w:b/>
          <w:bCs/>
          <w:szCs w:val="16"/>
          <w:shd w:val="clear" w:color="auto" w:fill="FFFFFF"/>
          <w:lang w:val="en-US"/>
        </w:rPr>
      </w:pPr>
      <w:r w:rsidRPr="00316B86">
        <w:rPr>
          <w:rStyle w:val="Refdenotaalpie"/>
          <w:szCs w:val="16"/>
          <w:lang w:val="en-US"/>
        </w:rPr>
        <w:footnoteRef/>
      </w:r>
      <w:r w:rsidRPr="00316B86">
        <w:rPr>
          <w:szCs w:val="16"/>
          <w:lang w:val="en-US"/>
        </w:rPr>
        <w:t xml:space="preserve"> </w:t>
      </w:r>
      <w:r w:rsidRPr="00316B86">
        <w:rPr>
          <w:szCs w:val="16"/>
          <w:lang w:val="en-US"/>
        </w:rPr>
        <w:tab/>
      </w:r>
      <w:r w:rsidRPr="00316B86">
        <w:rPr>
          <w:i/>
          <w:szCs w:val="16"/>
          <w:lang w:val="en-US"/>
        </w:rPr>
        <w:t>Cf.</w:t>
      </w:r>
      <w:r w:rsidRPr="00316B86">
        <w:rPr>
          <w:b/>
          <w:bCs/>
          <w:i/>
          <w:szCs w:val="16"/>
          <w:lang w:val="en-US"/>
        </w:rPr>
        <w:t xml:space="preserve"> </w:t>
      </w:r>
      <w:r w:rsidRPr="00316B86">
        <w:rPr>
          <w:rStyle w:val="Textoennegrita"/>
          <w:b w:val="0"/>
          <w:bCs w:val="0"/>
          <w:i/>
          <w:szCs w:val="16"/>
          <w:shd w:val="clear" w:color="auto" w:fill="FFFFFF"/>
          <w:lang w:val="en-US"/>
        </w:rPr>
        <w:t xml:space="preserve">Case of </w:t>
      </w:r>
      <w:proofErr w:type="spellStart"/>
      <w:r w:rsidRPr="00316B86">
        <w:rPr>
          <w:rStyle w:val="Textoennegrita"/>
          <w:b w:val="0"/>
          <w:bCs w:val="0"/>
          <w:i/>
          <w:szCs w:val="16"/>
          <w:shd w:val="clear" w:color="auto" w:fill="FFFFFF"/>
          <w:lang w:val="en-US"/>
        </w:rPr>
        <w:t>Cuscul</w:t>
      </w:r>
      <w:proofErr w:type="spellEnd"/>
      <w:r w:rsidRPr="00316B86">
        <w:rPr>
          <w:rStyle w:val="Textoennegrita"/>
          <w:b w:val="0"/>
          <w:bCs w:val="0"/>
          <w:i/>
          <w:szCs w:val="16"/>
          <w:shd w:val="clear" w:color="auto" w:fill="FFFFFF"/>
          <w:lang w:val="en-US"/>
        </w:rPr>
        <w:t xml:space="preserve"> </w:t>
      </w:r>
      <w:proofErr w:type="spellStart"/>
      <w:r w:rsidRPr="00316B86">
        <w:rPr>
          <w:rStyle w:val="Textoennegrita"/>
          <w:b w:val="0"/>
          <w:bCs w:val="0"/>
          <w:i/>
          <w:szCs w:val="16"/>
          <w:shd w:val="clear" w:color="auto" w:fill="FFFFFF"/>
          <w:lang w:val="en-US"/>
        </w:rPr>
        <w:t>Pivaral</w:t>
      </w:r>
      <w:proofErr w:type="spellEnd"/>
      <w:r w:rsidRPr="00316B86">
        <w:rPr>
          <w:rStyle w:val="Textoennegrita"/>
          <w:b w:val="0"/>
          <w:bCs w:val="0"/>
          <w:i/>
          <w:szCs w:val="16"/>
          <w:shd w:val="clear" w:color="auto" w:fill="FFFFFF"/>
          <w:lang w:val="en-US"/>
        </w:rPr>
        <w:t xml:space="preserve"> et al. v. Guatemala. </w:t>
      </w:r>
      <w:r w:rsidRPr="00316B86">
        <w:rPr>
          <w:rStyle w:val="Textoennegrita"/>
          <w:b w:val="0"/>
          <w:bCs w:val="0"/>
          <w:i/>
          <w:color w:val="000000"/>
          <w:szCs w:val="16"/>
          <w:shd w:val="clear" w:color="auto" w:fill="FFFFFF"/>
          <w:lang w:val="en-US"/>
        </w:rPr>
        <w:t>Preliminary objection, merits, reparations and costs</w:t>
      </w:r>
      <w:r w:rsidRPr="00316B86">
        <w:rPr>
          <w:rStyle w:val="Textoennegrita"/>
          <w:b w:val="0"/>
          <w:bCs w:val="0"/>
          <w:i/>
          <w:szCs w:val="16"/>
          <w:shd w:val="clear" w:color="auto" w:fill="FFFFFF"/>
          <w:lang w:val="en-US"/>
        </w:rPr>
        <w:t xml:space="preserve">. </w:t>
      </w:r>
      <w:r w:rsidRPr="00316B86">
        <w:rPr>
          <w:rStyle w:val="Textoennegrita"/>
          <w:b w:val="0"/>
          <w:bCs w:val="0"/>
          <w:szCs w:val="16"/>
          <w:shd w:val="clear" w:color="auto" w:fill="FFFFFF"/>
          <w:lang w:val="en-US"/>
        </w:rPr>
        <w:t>Judgment of August 23, 2018. Series C No. 359, para. 225.</w:t>
      </w:r>
    </w:p>
  </w:footnote>
  <w:footnote w:id="449">
    <w:p w14:paraId="2BEB698D" w14:textId="77777777" w:rsidR="00AF5CC6" w:rsidRPr="00246DE1" w:rsidRDefault="00AF5CC6" w:rsidP="00C36F0E">
      <w:pPr>
        <w:pStyle w:val="Textonotapie"/>
        <w:rPr>
          <w:i/>
          <w:szCs w:val="16"/>
          <w:lang w:val="en-US"/>
        </w:rPr>
      </w:pPr>
      <w:r w:rsidRPr="00316B86">
        <w:rPr>
          <w:rStyle w:val="Refdenotaalpie"/>
          <w:szCs w:val="16"/>
          <w:lang w:val="en-US"/>
        </w:rPr>
        <w:footnoteRef/>
      </w:r>
      <w:r w:rsidRPr="00316B86">
        <w:rPr>
          <w:szCs w:val="16"/>
          <w:lang w:val="en-US"/>
        </w:rPr>
        <w:t xml:space="preserve"> </w:t>
      </w:r>
      <w:r w:rsidRPr="00316B86">
        <w:rPr>
          <w:szCs w:val="16"/>
          <w:lang w:val="en-US"/>
        </w:rPr>
        <w:tab/>
      </w:r>
      <w:r w:rsidRPr="00316B86">
        <w:rPr>
          <w:i/>
          <w:szCs w:val="16"/>
          <w:lang w:val="en-US"/>
        </w:rPr>
        <w:t>Cf.</w:t>
      </w:r>
      <w:r w:rsidRPr="00316B86">
        <w:rPr>
          <w:b/>
          <w:bCs/>
          <w:i/>
          <w:szCs w:val="16"/>
          <w:lang w:val="en-US"/>
        </w:rPr>
        <w:t xml:space="preserve"> </w:t>
      </w:r>
      <w:r w:rsidRPr="00316B86">
        <w:rPr>
          <w:rStyle w:val="Textoennegrita"/>
          <w:b w:val="0"/>
          <w:bCs w:val="0"/>
          <w:i/>
          <w:szCs w:val="16"/>
          <w:shd w:val="clear" w:color="auto" w:fill="FFFFFF"/>
          <w:lang w:val="en-US"/>
        </w:rPr>
        <w:t xml:space="preserve">Case of </w:t>
      </w:r>
      <w:proofErr w:type="spellStart"/>
      <w:r w:rsidRPr="00316B86">
        <w:rPr>
          <w:rStyle w:val="Textoennegrita"/>
          <w:b w:val="0"/>
          <w:bCs w:val="0"/>
          <w:i/>
          <w:szCs w:val="16"/>
          <w:shd w:val="clear" w:color="auto" w:fill="FFFFFF"/>
          <w:lang w:val="en-US"/>
        </w:rPr>
        <w:t>Cuscul</w:t>
      </w:r>
      <w:proofErr w:type="spellEnd"/>
      <w:r w:rsidRPr="00316B86">
        <w:rPr>
          <w:rStyle w:val="Textoennegrita"/>
          <w:b w:val="0"/>
          <w:bCs w:val="0"/>
          <w:i/>
          <w:szCs w:val="16"/>
          <w:shd w:val="clear" w:color="auto" w:fill="FFFFFF"/>
          <w:lang w:val="en-US"/>
        </w:rPr>
        <w:t xml:space="preserve"> </w:t>
      </w:r>
      <w:proofErr w:type="spellStart"/>
      <w:r w:rsidRPr="00316B86">
        <w:rPr>
          <w:rStyle w:val="Textoennegrita"/>
          <w:b w:val="0"/>
          <w:bCs w:val="0"/>
          <w:i/>
          <w:szCs w:val="16"/>
          <w:shd w:val="clear" w:color="auto" w:fill="FFFFFF"/>
          <w:lang w:val="en-US"/>
        </w:rPr>
        <w:t>Pivaral</w:t>
      </w:r>
      <w:proofErr w:type="spellEnd"/>
      <w:r w:rsidRPr="00316B86">
        <w:rPr>
          <w:rStyle w:val="Textoennegrita"/>
          <w:b w:val="0"/>
          <w:bCs w:val="0"/>
          <w:i/>
          <w:szCs w:val="16"/>
          <w:shd w:val="clear" w:color="auto" w:fill="FFFFFF"/>
          <w:lang w:val="en-US"/>
        </w:rPr>
        <w:t xml:space="preserve"> et al. v. Guatemala. </w:t>
      </w:r>
      <w:r w:rsidRPr="00316B86">
        <w:rPr>
          <w:rStyle w:val="Textoennegrita"/>
          <w:b w:val="0"/>
          <w:bCs w:val="0"/>
          <w:i/>
          <w:color w:val="000000"/>
          <w:szCs w:val="16"/>
          <w:shd w:val="clear" w:color="auto" w:fill="FFFFFF"/>
          <w:lang w:val="en-US"/>
        </w:rPr>
        <w:t>Preliminary objection, merits, reparations and costs</w:t>
      </w:r>
      <w:r w:rsidRPr="00316B86">
        <w:rPr>
          <w:rStyle w:val="Textoennegrita"/>
          <w:b w:val="0"/>
          <w:bCs w:val="0"/>
          <w:i/>
          <w:szCs w:val="16"/>
          <w:shd w:val="clear" w:color="auto" w:fill="FFFFFF"/>
          <w:lang w:val="en-US"/>
        </w:rPr>
        <w:t xml:space="preserve">. </w:t>
      </w:r>
      <w:r w:rsidRPr="00316B86">
        <w:rPr>
          <w:rStyle w:val="Textoennegrita"/>
          <w:b w:val="0"/>
          <w:bCs w:val="0"/>
          <w:szCs w:val="16"/>
          <w:shd w:val="clear" w:color="auto" w:fill="FFFFFF"/>
          <w:lang w:val="en-US"/>
        </w:rPr>
        <w:t>Judgment of August 23, 2018. Series C No. 359, para. 226.</w:t>
      </w:r>
    </w:p>
  </w:footnote>
  <w:footnote w:id="450">
    <w:p w14:paraId="013D15BA" w14:textId="77777777" w:rsidR="00AF5CC6" w:rsidRPr="00246DE1" w:rsidRDefault="00AF5CC6" w:rsidP="00C36F0E">
      <w:pPr>
        <w:pStyle w:val="Ttulo1"/>
        <w:pBdr>
          <w:bottom w:val="single" w:sz="6" w:space="0" w:color="EEEEEE"/>
        </w:pBdr>
        <w:shd w:val="clear" w:color="auto" w:fill="FFFFFF"/>
        <w:spacing w:before="0" w:after="120"/>
        <w:jc w:val="both"/>
        <w:rPr>
          <w:sz w:val="16"/>
          <w:szCs w:val="16"/>
          <w:lang w:val="en-US"/>
        </w:rPr>
      </w:pPr>
      <w:r w:rsidRPr="00246DE1">
        <w:rPr>
          <w:rStyle w:val="Refdenotaalpie"/>
          <w:b w:val="0"/>
          <w:sz w:val="16"/>
          <w:szCs w:val="16"/>
          <w:lang w:val="en-US"/>
        </w:rPr>
        <w:footnoteRef/>
      </w:r>
      <w:r w:rsidRPr="00246DE1">
        <w:rPr>
          <w:b w:val="0"/>
          <w:sz w:val="16"/>
          <w:szCs w:val="16"/>
          <w:lang w:val="en-US"/>
        </w:rPr>
        <w:t xml:space="preserve"> </w:t>
      </w:r>
      <w:r w:rsidRPr="00246DE1">
        <w:rPr>
          <w:sz w:val="16"/>
          <w:szCs w:val="16"/>
          <w:lang w:val="en-US"/>
        </w:rPr>
        <w:tab/>
      </w:r>
      <w:r w:rsidRPr="00246DE1">
        <w:rPr>
          <w:b w:val="0"/>
          <w:sz w:val="16"/>
          <w:szCs w:val="16"/>
          <w:lang w:val="en-US"/>
        </w:rPr>
        <w:t xml:space="preserve">See, in this regard, the following decisions: Constitutional Court of South Africa: </w:t>
      </w:r>
      <w:r w:rsidRPr="00246DE1">
        <w:rPr>
          <w:b w:val="0"/>
          <w:bCs w:val="0"/>
          <w:i/>
          <w:sz w:val="16"/>
          <w:szCs w:val="16"/>
          <w:lang w:val="en-US"/>
        </w:rPr>
        <w:t>Government of the Republic of South Africa &amp; Others v Grootboom &amp; Others</w:t>
      </w:r>
      <w:r w:rsidRPr="00246DE1">
        <w:rPr>
          <w:b w:val="0"/>
          <w:bCs w:val="0"/>
          <w:sz w:val="16"/>
          <w:szCs w:val="16"/>
          <w:lang w:val="en-US"/>
        </w:rPr>
        <w:t xml:space="preserve"> 2000 (11) BCLR 1169; Supreme Court of Justice of the Nation of Argentina: </w:t>
      </w:r>
      <w:r w:rsidRPr="00246DE1">
        <w:rPr>
          <w:rStyle w:val="nfasis"/>
          <w:b w:val="0"/>
          <w:sz w:val="16"/>
          <w:szCs w:val="16"/>
          <w:bdr w:val="none" w:sz="0" w:space="0" w:color="auto" w:frame="1"/>
          <w:shd w:val="clear" w:color="auto" w:fill="FFFFFF"/>
          <w:lang w:val="en-US"/>
        </w:rPr>
        <w:t>Mendoza, Beatriz Silvia et al. v. The State et al. ref. Damages (harm arising from environmental pollution of the Matanza Riachuelo River),” </w:t>
      </w:r>
      <w:r w:rsidRPr="00246DE1">
        <w:rPr>
          <w:b w:val="0"/>
          <w:sz w:val="16"/>
          <w:szCs w:val="16"/>
          <w:shd w:val="clear" w:color="auto" w:fill="FFFFFF"/>
          <w:lang w:val="en-US"/>
        </w:rPr>
        <w:t>File No. CSJ 1569/2004 (40-M)/CS2</w:t>
      </w:r>
      <w:r w:rsidRPr="00246DE1">
        <w:rPr>
          <w:b w:val="0"/>
          <w:bCs w:val="0"/>
          <w:sz w:val="16"/>
          <w:szCs w:val="16"/>
          <w:lang w:val="en-US"/>
        </w:rPr>
        <w:t xml:space="preserve">; Supreme Court of India: </w:t>
      </w:r>
      <w:r w:rsidRPr="00246DE1">
        <w:rPr>
          <w:b w:val="0"/>
          <w:bCs w:val="0"/>
          <w:i/>
          <w:sz w:val="16"/>
          <w:szCs w:val="16"/>
          <w:lang w:val="en-US"/>
        </w:rPr>
        <w:t>People’s Union for Civil Liberties v. Union of India and Othe</w:t>
      </w:r>
      <w:r w:rsidRPr="00246DE1">
        <w:rPr>
          <w:b w:val="0"/>
          <w:bCs w:val="0"/>
          <w:sz w:val="16"/>
          <w:szCs w:val="16"/>
          <w:lang w:val="en-US"/>
        </w:rPr>
        <w:t xml:space="preserve">r, Petition (Civil) No. 196 of 2001; </w:t>
      </w:r>
      <w:r w:rsidRPr="00246DE1">
        <w:rPr>
          <w:b w:val="0"/>
          <w:sz w:val="16"/>
          <w:szCs w:val="16"/>
          <w:lang w:val="en-US"/>
        </w:rPr>
        <w:t xml:space="preserve">Constitutional Court of </w:t>
      </w:r>
      <w:r w:rsidRPr="00246DE1">
        <w:rPr>
          <w:b w:val="0"/>
          <w:bCs w:val="0"/>
          <w:sz w:val="16"/>
          <w:szCs w:val="16"/>
          <w:lang w:val="en-US"/>
        </w:rPr>
        <w:t xml:space="preserve">Colombia: </w:t>
      </w:r>
      <w:r w:rsidRPr="00246DE1">
        <w:rPr>
          <w:b w:val="0"/>
          <w:bCs w:val="0"/>
          <w:i/>
          <w:sz w:val="16"/>
          <w:szCs w:val="16"/>
          <w:lang w:val="en-US"/>
        </w:rPr>
        <w:t>Judgment T-025</w:t>
      </w:r>
      <w:r w:rsidRPr="00246DE1">
        <w:rPr>
          <w:b w:val="0"/>
          <w:bCs w:val="0"/>
          <w:sz w:val="16"/>
          <w:szCs w:val="16"/>
          <w:lang w:val="en-US"/>
        </w:rPr>
        <w:t xml:space="preserve">, Rapporteur: Justice Manuel José Cepeda Espinosa, January 22, 2004; </w:t>
      </w:r>
      <w:r w:rsidRPr="00246DE1">
        <w:rPr>
          <w:b w:val="0"/>
          <w:bCs w:val="0"/>
          <w:i/>
          <w:sz w:val="16"/>
          <w:szCs w:val="16"/>
          <w:lang w:val="en-US"/>
        </w:rPr>
        <w:t>Judgment T-760/08</w:t>
      </w:r>
      <w:r w:rsidRPr="00246DE1">
        <w:rPr>
          <w:b w:val="0"/>
          <w:bCs w:val="0"/>
          <w:sz w:val="16"/>
          <w:szCs w:val="16"/>
          <w:lang w:val="en-US"/>
        </w:rPr>
        <w:t xml:space="preserve">, Rapporteur: Justice Manuel José Cepeda Espinosa, July 31, 2008; </w:t>
      </w:r>
      <w:r w:rsidRPr="00246DE1">
        <w:rPr>
          <w:b w:val="0"/>
          <w:bCs w:val="0"/>
          <w:i/>
          <w:sz w:val="16"/>
          <w:szCs w:val="16"/>
          <w:lang w:val="en-US"/>
        </w:rPr>
        <w:t>Judgment T-762/15</w:t>
      </w:r>
      <w:r w:rsidRPr="00246DE1">
        <w:rPr>
          <w:b w:val="0"/>
          <w:bCs w:val="0"/>
          <w:sz w:val="16"/>
          <w:szCs w:val="16"/>
          <w:lang w:val="en-US"/>
        </w:rPr>
        <w:t xml:space="preserve">, Rapporteur: Justice Gloria Stella Ortiz Delgado, December 16, 2015; </w:t>
      </w:r>
      <w:r w:rsidRPr="00246DE1">
        <w:rPr>
          <w:b w:val="0"/>
          <w:bCs w:val="0"/>
          <w:i/>
          <w:sz w:val="16"/>
          <w:szCs w:val="16"/>
          <w:lang w:val="en-US"/>
        </w:rPr>
        <w:t>Judgment T-622/16</w:t>
      </w:r>
      <w:r w:rsidRPr="00246DE1">
        <w:rPr>
          <w:b w:val="0"/>
          <w:bCs w:val="0"/>
          <w:sz w:val="16"/>
          <w:szCs w:val="16"/>
          <w:lang w:val="en-US"/>
        </w:rPr>
        <w:t xml:space="preserve">, Rapporteur: Justice Jorge Iván Palacio Palacio, November 10, 2016; </w:t>
      </w:r>
      <w:r w:rsidRPr="00246DE1">
        <w:rPr>
          <w:b w:val="0"/>
          <w:bCs w:val="0"/>
          <w:i/>
          <w:sz w:val="16"/>
          <w:szCs w:val="16"/>
          <w:lang w:val="en-US"/>
        </w:rPr>
        <w:t>Judgment T-302/17</w:t>
      </w:r>
      <w:r w:rsidRPr="00246DE1">
        <w:rPr>
          <w:b w:val="0"/>
          <w:bCs w:val="0"/>
          <w:sz w:val="16"/>
          <w:szCs w:val="16"/>
          <w:lang w:val="en-US"/>
        </w:rPr>
        <w:t xml:space="preserve">, Rapporteur: Justice Aquiles Arrieta Gómez, May 8, 2017, and </w:t>
      </w:r>
      <w:r w:rsidRPr="00246DE1">
        <w:rPr>
          <w:b w:val="0"/>
          <w:bCs w:val="0"/>
          <w:i/>
          <w:sz w:val="16"/>
          <w:szCs w:val="16"/>
          <w:lang w:val="en-US"/>
        </w:rPr>
        <w:t>Judgment T-080/18</w:t>
      </w:r>
      <w:r w:rsidRPr="00246DE1">
        <w:rPr>
          <w:b w:val="0"/>
          <w:bCs w:val="0"/>
          <w:sz w:val="16"/>
          <w:szCs w:val="16"/>
          <w:lang w:val="en-US"/>
        </w:rPr>
        <w:t>, Rapporteur: Justice Carlos Libardo Bernal Pulido, March 2, 2018.</w:t>
      </w:r>
    </w:p>
  </w:footnote>
  <w:footnote w:id="451">
    <w:p w14:paraId="1F772955" w14:textId="77777777" w:rsidR="00AF5CC6" w:rsidRPr="00246DE1" w:rsidRDefault="00AF5CC6" w:rsidP="00C36F0E">
      <w:pPr>
        <w:pStyle w:val="Textonotapie"/>
        <w:rPr>
          <w:szCs w:val="16"/>
          <w:lang w:val="en-US"/>
        </w:rPr>
      </w:pPr>
      <w:r w:rsidRPr="00246DE1">
        <w:rPr>
          <w:rStyle w:val="Refdenotaalpie"/>
          <w:szCs w:val="16"/>
          <w:lang w:val="en-US"/>
        </w:rPr>
        <w:footnoteRef/>
      </w:r>
      <w:r w:rsidRPr="00246DE1">
        <w:rPr>
          <w:szCs w:val="16"/>
          <w:lang w:val="en-US"/>
        </w:rPr>
        <w:t xml:space="preserve"> </w:t>
      </w:r>
      <w:r w:rsidRPr="00246DE1">
        <w:rPr>
          <w:szCs w:val="16"/>
          <w:lang w:val="en-US"/>
        </w:rPr>
        <w:tab/>
        <w:t xml:space="preserve">It should be noted that the fact that the courts ruled on the violation or the possible violation of social rights does not signify that the judiciary is attempting to establish public policies or supplant any of the domestic powers (for example, the legislature); it is clear that the purpose of the judiciary is not to legislate; however, its purpose as a power is to ensure that the rights contained in the Constitution or in domestic laws – to which it is committed – are effective. This has been ruled on by the Constitutional Court of </w:t>
      </w:r>
      <w:r w:rsidRPr="00246DE1">
        <w:rPr>
          <w:bCs/>
          <w:szCs w:val="16"/>
          <w:lang w:val="en-US"/>
        </w:rPr>
        <w:t>Colombia</w:t>
      </w:r>
      <w:r w:rsidRPr="00246DE1">
        <w:rPr>
          <w:szCs w:val="16"/>
          <w:lang w:val="en-US"/>
        </w:rPr>
        <w:t xml:space="preserve"> (</w:t>
      </w:r>
      <w:r w:rsidRPr="00246DE1">
        <w:rPr>
          <w:i/>
          <w:szCs w:val="16"/>
          <w:lang w:val="en-US"/>
        </w:rPr>
        <w:t>Judgment T-025</w:t>
      </w:r>
      <w:r w:rsidRPr="00246DE1">
        <w:rPr>
          <w:szCs w:val="16"/>
          <w:lang w:val="en-US"/>
        </w:rPr>
        <w:t xml:space="preserve">, </w:t>
      </w:r>
      <w:r w:rsidRPr="00246DE1">
        <w:rPr>
          <w:bCs/>
          <w:szCs w:val="16"/>
          <w:lang w:val="en-US"/>
        </w:rPr>
        <w:t>Rapporteur: Justice</w:t>
      </w:r>
      <w:r w:rsidRPr="00246DE1">
        <w:rPr>
          <w:b/>
          <w:bCs/>
          <w:szCs w:val="16"/>
          <w:lang w:val="en-US"/>
        </w:rPr>
        <w:t xml:space="preserve"> </w:t>
      </w:r>
      <w:r w:rsidRPr="00246DE1">
        <w:rPr>
          <w:szCs w:val="16"/>
          <w:lang w:val="en-US"/>
        </w:rPr>
        <w:t xml:space="preserve">Manuel José Cepeda Espinosa, January 22, 2004) and the </w:t>
      </w:r>
      <w:r>
        <w:rPr>
          <w:szCs w:val="16"/>
          <w:lang w:val="en-US"/>
        </w:rPr>
        <w:t xml:space="preserve">Mexican </w:t>
      </w:r>
      <w:r w:rsidRPr="00246DE1">
        <w:rPr>
          <w:szCs w:val="16"/>
          <w:lang w:val="en-US"/>
        </w:rPr>
        <w:t xml:space="preserve">Supreme Court of Justice of the Nation (Amparo review 378/2014, Rapporteur: Justice Alberto Pérez </w:t>
      </w:r>
      <w:proofErr w:type="spellStart"/>
      <w:r w:rsidRPr="00246DE1">
        <w:rPr>
          <w:szCs w:val="16"/>
          <w:lang w:val="en-US"/>
        </w:rPr>
        <w:t>Dayán</w:t>
      </w:r>
      <w:proofErr w:type="spellEnd"/>
      <w:r w:rsidRPr="00246DE1">
        <w:rPr>
          <w:szCs w:val="16"/>
          <w:lang w:val="en-US"/>
        </w:rPr>
        <w:t xml:space="preserve">, Secretary: Georgina </w:t>
      </w:r>
      <w:proofErr w:type="spellStart"/>
      <w:r w:rsidRPr="00246DE1">
        <w:rPr>
          <w:szCs w:val="16"/>
          <w:lang w:val="en-US"/>
        </w:rPr>
        <w:t>Laso</w:t>
      </w:r>
      <w:proofErr w:type="spellEnd"/>
      <w:r w:rsidRPr="00246DE1">
        <w:rPr>
          <w:szCs w:val="16"/>
          <w:lang w:val="en-US"/>
        </w:rPr>
        <w:t xml:space="preserve"> de la Vega Romero, p. 58). </w:t>
      </w:r>
    </w:p>
  </w:footnote>
  <w:footnote w:id="452">
    <w:p w14:paraId="39797487" w14:textId="77777777" w:rsidR="00AF5CC6" w:rsidRPr="00246DE1" w:rsidRDefault="00AF5CC6" w:rsidP="00C36F0E">
      <w:pPr>
        <w:tabs>
          <w:tab w:val="left" w:pos="720"/>
          <w:tab w:val="center" w:pos="4680"/>
        </w:tabs>
        <w:suppressAutoHyphens/>
        <w:spacing w:after="120"/>
        <w:rPr>
          <w:sz w:val="16"/>
          <w:szCs w:val="16"/>
          <w:lang w:val="en-US"/>
        </w:rPr>
      </w:pPr>
      <w:r w:rsidRPr="00246DE1">
        <w:rPr>
          <w:rStyle w:val="Refdenotaalpie"/>
          <w:sz w:val="16"/>
          <w:szCs w:val="16"/>
          <w:lang w:val="en-US"/>
        </w:rPr>
        <w:footnoteRef/>
      </w:r>
      <w:r w:rsidRPr="00246DE1">
        <w:rPr>
          <w:sz w:val="16"/>
          <w:szCs w:val="16"/>
          <w:lang w:val="en-US"/>
        </w:rPr>
        <w:t xml:space="preserve"> </w:t>
      </w:r>
      <w:r w:rsidRPr="00246DE1">
        <w:rPr>
          <w:sz w:val="16"/>
          <w:szCs w:val="16"/>
          <w:lang w:val="en-US"/>
        </w:rPr>
        <w:tab/>
      </w:r>
      <w:r w:rsidRPr="00246DE1">
        <w:rPr>
          <w:sz w:val="16"/>
          <w:szCs w:val="16"/>
          <w:lang w:val="en-US"/>
        </w:rPr>
        <w:tab/>
        <w:t xml:space="preserve">On this issue, General Comment No. 14 of the CESCR has specified that: “54. The formulation and implementation of national health strategies and plans of action should respect, </w:t>
      </w:r>
      <w:r w:rsidRPr="00246DE1">
        <w:rPr>
          <w:i/>
          <w:sz w:val="16"/>
          <w:szCs w:val="16"/>
          <w:lang w:val="en-US"/>
        </w:rPr>
        <w:t>inter alia</w:t>
      </w:r>
      <w:r w:rsidRPr="00246DE1">
        <w:rPr>
          <w:sz w:val="16"/>
          <w:szCs w:val="16"/>
          <w:lang w:val="en-US"/>
        </w:rPr>
        <w:t xml:space="preserve">, the principles of non-discrimination and people’s participation. In particular, the right of individuals and groups to participate in decision-making processes, which may affect their development, must be an integral component of any policy, programme or strategy developed to discharge governmental obligations under article 12. Promoting health must involve effective community action in setting priorities, making decisions, planning, implementing and evaluating strategies to achieve better health. Effective provision of health services can only be assured if people’s participation is secured by States.” CESCR, General Comment No. 14, The Right to the Highest Attainable Standard of Health (Art. 12 of the International Covenant on Economic, Social and Cultural Rights), E/C.12/2000/4, August 11, 2000, para. 54. Similarly, the former Special Rapporteur on extreme poverty and human rights, Magdalena Sepúlveda Carmona, in the right to participation of people living in poverty. See: Report of the Special Rapporteur on extreme poverty and human rights, Magdalena Sepúlveda Carmona, A/HRC/23/36, March 11, 2013, paras. 21, 22 and 23. </w:t>
      </w:r>
    </w:p>
  </w:footnote>
  <w:footnote w:id="453">
    <w:p w14:paraId="03782B70" w14:textId="77777777" w:rsidR="00AF5CC6" w:rsidRPr="00246DE1" w:rsidRDefault="00AF5CC6" w:rsidP="00C36F0E">
      <w:pPr>
        <w:pStyle w:val="Textonotapie"/>
        <w:rPr>
          <w:bCs/>
          <w:szCs w:val="16"/>
          <w:shd w:val="clear" w:color="auto" w:fill="FFFFFF"/>
          <w:lang w:val="en-US"/>
        </w:rPr>
      </w:pPr>
      <w:r w:rsidRPr="00246DE1">
        <w:rPr>
          <w:rStyle w:val="Refdenotaalpie"/>
          <w:szCs w:val="16"/>
          <w:lang w:val="en-US"/>
        </w:rPr>
        <w:footnoteRef/>
      </w:r>
      <w:r w:rsidRPr="00246DE1">
        <w:rPr>
          <w:szCs w:val="16"/>
          <w:lang w:val="en-US"/>
        </w:rPr>
        <w:t xml:space="preserve"> </w:t>
      </w:r>
      <w:r w:rsidRPr="00246DE1">
        <w:rPr>
          <w:szCs w:val="16"/>
          <w:lang w:val="en-US"/>
        </w:rPr>
        <w:tab/>
      </w:r>
      <w:r w:rsidRPr="00246DE1">
        <w:rPr>
          <w:i/>
          <w:szCs w:val="16"/>
          <w:lang w:val="en-US"/>
        </w:rPr>
        <w:t xml:space="preserve">Cf. </w:t>
      </w:r>
      <w:r w:rsidRPr="00316B86">
        <w:rPr>
          <w:rStyle w:val="Textoennegrita"/>
          <w:b w:val="0"/>
          <w:bCs w:val="0"/>
          <w:i/>
          <w:szCs w:val="16"/>
          <w:shd w:val="clear" w:color="auto" w:fill="FFFFFF"/>
          <w:lang w:val="en-US"/>
        </w:rPr>
        <w:t xml:space="preserve">Case of </w:t>
      </w:r>
      <w:proofErr w:type="spellStart"/>
      <w:r w:rsidRPr="00316B86">
        <w:rPr>
          <w:rStyle w:val="Textoennegrita"/>
          <w:b w:val="0"/>
          <w:bCs w:val="0"/>
          <w:i/>
          <w:szCs w:val="16"/>
          <w:shd w:val="clear" w:color="auto" w:fill="FFFFFF"/>
          <w:lang w:val="en-US"/>
        </w:rPr>
        <w:t>Cuscul</w:t>
      </w:r>
      <w:proofErr w:type="spellEnd"/>
      <w:r w:rsidRPr="00316B86">
        <w:rPr>
          <w:rStyle w:val="Textoennegrita"/>
          <w:b w:val="0"/>
          <w:bCs w:val="0"/>
          <w:i/>
          <w:szCs w:val="16"/>
          <w:shd w:val="clear" w:color="auto" w:fill="FFFFFF"/>
          <w:lang w:val="en-US"/>
        </w:rPr>
        <w:t xml:space="preserve"> </w:t>
      </w:r>
      <w:proofErr w:type="spellStart"/>
      <w:r w:rsidRPr="00316B86">
        <w:rPr>
          <w:rStyle w:val="Textoennegrita"/>
          <w:b w:val="0"/>
          <w:bCs w:val="0"/>
          <w:i/>
          <w:szCs w:val="16"/>
          <w:shd w:val="clear" w:color="auto" w:fill="FFFFFF"/>
          <w:lang w:val="en-US"/>
        </w:rPr>
        <w:t>Pivaral</w:t>
      </w:r>
      <w:proofErr w:type="spellEnd"/>
      <w:r w:rsidRPr="00316B86">
        <w:rPr>
          <w:rStyle w:val="Textoennegrita"/>
          <w:b w:val="0"/>
          <w:bCs w:val="0"/>
          <w:i/>
          <w:szCs w:val="16"/>
          <w:shd w:val="clear" w:color="auto" w:fill="FFFFFF"/>
          <w:lang w:val="en-US"/>
        </w:rPr>
        <w:t xml:space="preserve"> et al. v. Guatemala. </w:t>
      </w:r>
      <w:r w:rsidRPr="00316B86">
        <w:rPr>
          <w:rStyle w:val="Textoennegrita"/>
          <w:b w:val="0"/>
          <w:bCs w:val="0"/>
          <w:i/>
          <w:color w:val="000000"/>
          <w:szCs w:val="16"/>
          <w:shd w:val="clear" w:color="auto" w:fill="FFFFFF"/>
          <w:lang w:val="en-US"/>
        </w:rPr>
        <w:t>Preliminary objection, merits, reparations and costs</w:t>
      </w:r>
      <w:r w:rsidRPr="00316B86">
        <w:rPr>
          <w:rStyle w:val="Textoennegrita"/>
          <w:b w:val="0"/>
          <w:bCs w:val="0"/>
          <w:i/>
          <w:szCs w:val="16"/>
          <w:shd w:val="clear" w:color="auto" w:fill="FFFFFF"/>
          <w:lang w:val="en-US"/>
        </w:rPr>
        <w:t xml:space="preserve">. </w:t>
      </w:r>
      <w:r w:rsidRPr="00316B86">
        <w:rPr>
          <w:rStyle w:val="Textoennegrita"/>
          <w:b w:val="0"/>
          <w:bCs w:val="0"/>
          <w:szCs w:val="16"/>
          <w:shd w:val="clear" w:color="auto" w:fill="FFFFFF"/>
          <w:lang w:val="en-US"/>
        </w:rPr>
        <w:t>Judgment of August 23, 2018. Series C No. 359, para. 224.</w:t>
      </w:r>
    </w:p>
  </w:footnote>
  <w:footnote w:id="454">
    <w:p w14:paraId="34270EF3" w14:textId="77777777" w:rsidR="00AF5CC6" w:rsidRPr="00246DE1" w:rsidRDefault="00AF5CC6" w:rsidP="00C36F0E">
      <w:pPr>
        <w:pStyle w:val="Textonotapie"/>
        <w:rPr>
          <w:szCs w:val="16"/>
          <w:highlight w:val="green"/>
          <w:lang w:val="en-US"/>
        </w:rPr>
      </w:pPr>
      <w:r w:rsidRPr="00246DE1">
        <w:rPr>
          <w:rStyle w:val="Refdenotaalpie"/>
          <w:szCs w:val="16"/>
          <w:lang w:val="en-US"/>
        </w:rPr>
        <w:footnoteRef/>
      </w:r>
      <w:r w:rsidRPr="00246DE1">
        <w:rPr>
          <w:szCs w:val="16"/>
          <w:lang w:val="en-US"/>
        </w:rPr>
        <w:t xml:space="preserve"> </w:t>
      </w:r>
      <w:r w:rsidRPr="00246DE1">
        <w:rPr>
          <w:szCs w:val="16"/>
          <w:lang w:val="en-US"/>
        </w:rPr>
        <w:tab/>
        <w:t xml:space="preserve">UN, General Assembly Resolution “Transforming our world: the 2030 Agenda for Sustainable Development.” A/70/L.1 adopted on September 25, </w:t>
      </w:r>
      <w:r w:rsidRPr="00246DE1">
        <w:rPr>
          <w:rFonts w:eastAsia="Times New Roman" w:cs="Arial"/>
          <w:szCs w:val="16"/>
          <w:shd w:val="clear" w:color="auto" w:fill="FFFFFF"/>
          <w:lang w:val="en-US"/>
        </w:rPr>
        <w:t xml:space="preserve">2015, paras. 23, 55 and 66, Goal 3, targets 3.3 and 3.8, Available at </w:t>
      </w:r>
      <w:hyperlink r:id="rId8" w:history="1">
        <w:r w:rsidRPr="00246DE1">
          <w:rPr>
            <w:rStyle w:val="Hipervnculo"/>
            <w:rFonts w:eastAsia="Times New Roman" w:cs="Arial"/>
            <w:szCs w:val="16"/>
            <w:shd w:val="clear" w:color="auto" w:fill="FFFFFF"/>
            <w:lang w:val="en-US"/>
          </w:rPr>
          <w:t>https://undocs.org/en/A/RES/70/1</w:t>
        </w:r>
      </w:hyperlink>
    </w:p>
  </w:footnote>
  <w:footnote w:id="455">
    <w:p w14:paraId="59756102" w14:textId="77777777" w:rsidR="00AF5CC6" w:rsidRPr="00246DE1" w:rsidRDefault="00AF5CC6" w:rsidP="00C36F0E">
      <w:pPr>
        <w:pStyle w:val="Textonotapie"/>
        <w:rPr>
          <w:szCs w:val="16"/>
          <w:lang w:val="en-US"/>
        </w:rPr>
      </w:pPr>
      <w:r w:rsidRPr="00246DE1">
        <w:rPr>
          <w:rStyle w:val="Refdenotaalpie"/>
          <w:szCs w:val="16"/>
          <w:lang w:val="en-US"/>
        </w:rPr>
        <w:footnoteRef/>
      </w:r>
      <w:r w:rsidRPr="00246DE1">
        <w:rPr>
          <w:szCs w:val="16"/>
          <w:lang w:val="en-US"/>
        </w:rPr>
        <w:t xml:space="preserve"> </w:t>
      </w:r>
      <w:r w:rsidRPr="00246DE1">
        <w:rPr>
          <w:szCs w:val="16"/>
          <w:lang w:val="en-US"/>
        </w:rPr>
        <w:tab/>
      </w:r>
      <w:r w:rsidRPr="00246DE1">
        <w:rPr>
          <w:i/>
          <w:szCs w:val="16"/>
          <w:lang w:val="en-US"/>
        </w:rPr>
        <w:t xml:space="preserve">Cf. </w:t>
      </w:r>
      <w:r w:rsidRPr="00316B86">
        <w:rPr>
          <w:rStyle w:val="Textoennegrita"/>
          <w:b w:val="0"/>
          <w:bCs w:val="0"/>
          <w:i/>
          <w:szCs w:val="16"/>
          <w:shd w:val="clear" w:color="auto" w:fill="FFFFFF"/>
          <w:lang w:val="en-US"/>
        </w:rPr>
        <w:t xml:space="preserve">Case of </w:t>
      </w:r>
      <w:proofErr w:type="spellStart"/>
      <w:r w:rsidRPr="00316B86">
        <w:rPr>
          <w:rStyle w:val="Textoennegrita"/>
          <w:b w:val="0"/>
          <w:bCs w:val="0"/>
          <w:i/>
          <w:szCs w:val="16"/>
          <w:shd w:val="clear" w:color="auto" w:fill="FFFFFF"/>
          <w:lang w:val="en-US"/>
        </w:rPr>
        <w:t>Cuscul</w:t>
      </w:r>
      <w:proofErr w:type="spellEnd"/>
      <w:r w:rsidRPr="00316B86">
        <w:rPr>
          <w:rStyle w:val="Textoennegrita"/>
          <w:b w:val="0"/>
          <w:bCs w:val="0"/>
          <w:i/>
          <w:szCs w:val="16"/>
          <w:shd w:val="clear" w:color="auto" w:fill="FFFFFF"/>
          <w:lang w:val="en-US"/>
        </w:rPr>
        <w:t xml:space="preserve"> </w:t>
      </w:r>
      <w:proofErr w:type="spellStart"/>
      <w:r w:rsidRPr="00316B86">
        <w:rPr>
          <w:rStyle w:val="Textoennegrita"/>
          <w:b w:val="0"/>
          <w:bCs w:val="0"/>
          <w:i/>
          <w:szCs w:val="16"/>
          <w:shd w:val="clear" w:color="auto" w:fill="FFFFFF"/>
          <w:lang w:val="en-US"/>
        </w:rPr>
        <w:t>Pivaral</w:t>
      </w:r>
      <w:proofErr w:type="spellEnd"/>
      <w:r w:rsidRPr="00316B86">
        <w:rPr>
          <w:rStyle w:val="Textoennegrita"/>
          <w:b w:val="0"/>
          <w:bCs w:val="0"/>
          <w:i/>
          <w:szCs w:val="16"/>
          <w:shd w:val="clear" w:color="auto" w:fill="FFFFFF"/>
          <w:lang w:val="en-US"/>
        </w:rPr>
        <w:t xml:space="preserve"> et al. v. Guatemala. </w:t>
      </w:r>
      <w:r w:rsidRPr="00316B86">
        <w:rPr>
          <w:rStyle w:val="Textoennegrita"/>
          <w:b w:val="0"/>
          <w:bCs w:val="0"/>
          <w:i/>
          <w:color w:val="000000"/>
          <w:szCs w:val="16"/>
          <w:shd w:val="clear" w:color="auto" w:fill="FFFFFF"/>
          <w:lang w:val="en-US"/>
        </w:rPr>
        <w:t>Preliminary objection, merits, reparations and costs</w:t>
      </w:r>
      <w:r w:rsidRPr="00316B86">
        <w:rPr>
          <w:rStyle w:val="Textoennegrita"/>
          <w:b w:val="0"/>
          <w:bCs w:val="0"/>
          <w:i/>
          <w:szCs w:val="16"/>
          <w:shd w:val="clear" w:color="auto" w:fill="FFFFFF"/>
          <w:lang w:val="en-US"/>
        </w:rPr>
        <w:t xml:space="preserve">. </w:t>
      </w:r>
      <w:r w:rsidRPr="00316B86">
        <w:rPr>
          <w:rStyle w:val="Textoennegrita"/>
          <w:b w:val="0"/>
          <w:bCs w:val="0"/>
          <w:szCs w:val="16"/>
          <w:shd w:val="clear" w:color="auto" w:fill="FFFFFF"/>
          <w:lang w:val="en-US"/>
        </w:rPr>
        <w:t>Judgment of August 23, 2018. Series C No. 359, para. 109.</w:t>
      </w:r>
    </w:p>
  </w:footnote>
  <w:footnote w:id="456">
    <w:p w14:paraId="071776AD" w14:textId="77777777" w:rsidR="00AF5CC6" w:rsidRPr="00246DE1" w:rsidRDefault="00AF5CC6" w:rsidP="00C36F0E">
      <w:pPr>
        <w:pStyle w:val="Textonotapie"/>
        <w:rPr>
          <w:szCs w:val="16"/>
          <w:lang w:val="en-US"/>
        </w:rPr>
      </w:pPr>
      <w:r w:rsidRPr="00246DE1">
        <w:rPr>
          <w:rStyle w:val="Refdenotaalpie"/>
          <w:szCs w:val="16"/>
          <w:lang w:val="en-US"/>
        </w:rPr>
        <w:footnoteRef/>
      </w:r>
      <w:r w:rsidRPr="00246DE1">
        <w:rPr>
          <w:szCs w:val="16"/>
          <w:lang w:val="en-US"/>
        </w:rPr>
        <w:t xml:space="preserve"> </w:t>
      </w:r>
      <w:r w:rsidRPr="00246DE1">
        <w:rPr>
          <w:szCs w:val="16"/>
          <w:lang w:val="en-US"/>
        </w:rPr>
        <w:tab/>
        <w:t xml:space="preserve">ECLAC, </w:t>
      </w:r>
      <w:r w:rsidRPr="00246DE1">
        <w:rPr>
          <w:i/>
          <w:szCs w:val="16"/>
          <w:lang w:val="en-US"/>
        </w:rPr>
        <w:t>Social Panorama of Latin America</w:t>
      </w:r>
      <w:r w:rsidRPr="00246DE1">
        <w:rPr>
          <w:szCs w:val="16"/>
          <w:lang w:val="en-US"/>
        </w:rPr>
        <w:t xml:space="preserve"> </w:t>
      </w:r>
      <w:r w:rsidRPr="00246DE1">
        <w:rPr>
          <w:i/>
          <w:szCs w:val="16"/>
          <w:lang w:val="en-US"/>
        </w:rPr>
        <w:t>2016</w:t>
      </w:r>
      <w:r w:rsidRPr="00246DE1">
        <w:rPr>
          <w:szCs w:val="16"/>
          <w:lang w:val="en-US"/>
        </w:rPr>
        <w:t>, United Nations (LC/PUB.2017/12-P), Santiago, 2017, p. 44. Available at: https://repositorio.cepal.org/bitstream/handle/11362/41599/4/S1700566_en.pdf</w:t>
      </w:r>
    </w:p>
  </w:footnote>
  <w:footnote w:id="457">
    <w:p w14:paraId="2A30825F" w14:textId="77777777" w:rsidR="00AF5CC6" w:rsidRPr="00246DE1" w:rsidRDefault="00AF5CC6" w:rsidP="00C36F0E">
      <w:pPr>
        <w:pStyle w:val="Textonotapie"/>
        <w:rPr>
          <w:szCs w:val="16"/>
          <w:lang w:val="en-US"/>
        </w:rPr>
      </w:pPr>
      <w:r w:rsidRPr="00246DE1">
        <w:rPr>
          <w:rStyle w:val="Refdenotaalpie"/>
          <w:szCs w:val="16"/>
          <w:lang w:val="en-US"/>
        </w:rPr>
        <w:footnoteRef/>
      </w:r>
      <w:r w:rsidRPr="00246DE1">
        <w:rPr>
          <w:szCs w:val="16"/>
          <w:lang w:val="en-US"/>
        </w:rPr>
        <w:t xml:space="preserve"> </w:t>
      </w:r>
      <w:r w:rsidRPr="00246DE1">
        <w:rPr>
          <w:szCs w:val="16"/>
          <w:lang w:val="en-US"/>
        </w:rPr>
        <w:tab/>
      </w:r>
      <w:r w:rsidRPr="00246DE1">
        <w:rPr>
          <w:i/>
          <w:szCs w:val="16"/>
          <w:lang w:val="en-US"/>
        </w:rPr>
        <w:t xml:space="preserve">Ibidem, </w:t>
      </w:r>
      <w:r w:rsidRPr="00246DE1">
        <w:rPr>
          <w:szCs w:val="16"/>
          <w:lang w:val="en-US"/>
        </w:rPr>
        <w:t>p. 45.</w:t>
      </w:r>
    </w:p>
  </w:footnote>
  <w:footnote w:id="458">
    <w:p w14:paraId="220640D8" w14:textId="77777777" w:rsidR="00AF5CC6" w:rsidRPr="00246DE1" w:rsidRDefault="00AF5CC6" w:rsidP="00C36F0E">
      <w:pPr>
        <w:pStyle w:val="Textonotapie"/>
        <w:rPr>
          <w:szCs w:val="16"/>
          <w:lang w:val="en-US"/>
        </w:rPr>
      </w:pPr>
      <w:r w:rsidRPr="00246DE1">
        <w:rPr>
          <w:rStyle w:val="Refdenotaalpie"/>
          <w:szCs w:val="16"/>
          <w:lang w:val="en-US"/>
        </w:rPr>
        <w:footnoteRef/>
      </w:r>
      <w:r w:rsidRPr="00246DE1">
        <w:rPr>
          <w:szCs w:val="16"/>
          <w:lang w:val="en-US"/>
        </w:rPr>
        <w:t xml:space="preserve"> </w:t>
      </w:r>
      <w:r w:rsidRPr="00246DE1">
        <w:rPr>
          <w:szCs w:val="16"/>
          <w:lang w:val="en-US"/>
        </w:rPr>
        <w:tab/>
      </w:r>
      <w:r w:rsidRPr="00246DE1">
        <w:rPr>
          <w:i/>
          <w:szCs w:val="16"/>
          <w:lang w:val="en-US"/>
        </w:rPr>
        <w:t xml:space="preserve">Cf. </w:t>
      </w:r>
      <w:r w:rsidRPr="00246DE1">
        <w:rPr>
          <w:szCs w:val="16"/>
          <w:lang w:val="en-US"/>
        </w:rPr>
        <w:t xml:space="preserve">ECLAC, </w:t>
      </w:r>
      <w:r w:rsidRPr="00246DE1">
        <w:rPr>
          <w:i/>
          <w:szCs w:val="16"/>
          <w:lang w:val="en-US"/>
        </w:rPr>
        <w:t>Social Panorama of Latin America</w:t>
      </w:r>
      <w:r w:rsidRPr="00246DE1">
        <w:rPr>
          <w:szCs w:val="16"/>
          <w:lang w:val="en-US"/>
        </w:rPr>
        <w:t xml:space="preserve"> 2017, United Nations (LC/PUB.2018/1-P), Santiago, 2018, p. 14.</w:t>
      </w:r>
    </w:p>
  </w:footnote>
  <w:footnote w:id="459">
    <w:p w14:paraId="64F25923" w14:textId="77777777" w:rsidR="00AF5CC6" w:rsidRPr="00246DE1" w:rsidRDefault="00AF5CC6" w:rsidP="00C36F0E">
      <w:pPr>
        <w:tabs>
          <w:tab w:val="left" w:pos="720"/>
          <w:tab w:val="center" w:pos="4680"/>
        </w:tabs>
        <w:suppressAutoHyphens/>
        <w:rPr>
          <w:i/>
          <w:spacing w:val="-3"/>
          <w:sz w:val="16"/>
          <w:szCs w:val="16"/>
          <w:lang w:val="en-US"/>
        </w:rPr>
      </w:pPr>
      <w:r w:rsidRPr="00246DE1">
        <w:rPr>
          <w:rStyle w:val="Refdenotaalpie"/>
          <w:sz w:val="16"/>
          <w:szCs w:val="16"/>
          <w:lang w:val="en-US"/>
        </w:rPr>
        <w:footnoteRef/>
      </w:r>
      <w:r w:rsidRPr="00246DE1">
        <w:rPr>
          <w:sz w:val="16"/>
          <w:szCs w:val="16"/>
          <w:lang w:val="en-US"/>
        </w:rPr>
        <w:t xml:space="preserve"> </w:t>
      </w:r>
      <w:r w:rsidRPr="00246DE1">
        <w:rPr>
          <w:sz w:val="16"/>
          <w:szCs w:val="16"/>
          <w:lang w:val="en-US"/>
        </w:rPr>
        <w:tab/>
      </w:r>
      <w:r w:rsidRPr="00246DE1">
        <w:rPr>
          <w:sz w:val="16"/>
          <w:szCs w:val="16"/>
          <w:lang w:val="en-US"/>
        </w:rPr>
        <w:tab/>
        <w:t>Goal 3 (Health and well-being) of the UN 2030 Agenda in its target 3.3 states: “</w:t>
      </w:r>
      <w:r w:rsidRPr="00246DE1">
        <w:rPr>
          <w:bCs/>
          <w:sz w:val="16"/>
          <w:szCs w:val="16"/>
          <w:shd w:val="clear" w:color="auto" w:fill="FFFFFF"/>
          <w:lang w:val="en-US"/>
        </w:rPr>
        <w:t>3.3</w:t>
      </w:r>
      <w:r w:rsidRPr="00246DE1">
        <w:rPr>
          <w:sz w:val="16"/>
          <w:szCs w:val="16"/>
          <w:shd w:val="clear" w:color="auto" w:fill="FFFFFF"/>
          <w:lang w:val="en-US"/>
        </w:rPr>
        <w:t xml:space="preserve">  </w:t>
      </w:r>
      <w:r w:rsidRPr="00246DE1">
        <w:rPr>
          <w:rFonts w:cs="Arial"/>
          <w:sz w:val="16"/>
          <w:szCs w:val="16"/>
          <w:lang w:val="en-US"/>
        </w:rPr>
        <w:t xml:space="preserve">By 2030, end the epidemics of AIDS, tuberculosis, malaria and neglected tropical diseases and combat hepatitis, water-borne diseases and other communicable diseases.” </w:t>
      </w:r>
      <w:r w:rsidRPr="00246DE1">
        <w:rPr>
          <w:sz w:val="16"/>
          <w:szCs w:val="16"/>
          <w:lang w:val="en-US"/>
        </w:rPr>
        <w:t>See, UN, General Assembly Resolution “Transforming our world: the 2030 Agenda for Sustainable Development.” A/70/L.1 adopted on September 25, 2015.</w:t>
      </w:r>
    </w:p>
  </w:footnote>
  <w:footnote w:id="460">
    <w:p w14:paraId="7679F3DD" w14:textId="77777777" w:rsidR="00AF5CC6" w:rsidRPr="00992861" w:rsidRDefault="00AF5CC6" w:rsidP="00AF5CC6">
      <w:pPr>
        <w:pStyle w:val="Textonotapie"/>
        <w:tabs>
          <w:tab w:val="left" w:pos="540"/>
        </w:tabs>
        <w:rPr>
          <w:bCs/>
          <w:color w:val="000000"/>
          <w:shd w:val="clear" w:color="auto" w:fill="FFFFFF"/>
          <w:lang w:val="en-US"/>
        </w:rPr>
      </w:pPr>
      <w:r w:rsidRPr="00992861">
        <w:rPr>
          <w:rStyle w:val="Refdenotaalpie"/>
          <w:lang w:val="en-US"/>
        </w:rPr>
        <w:footnoteRef/>
      </w:r>
      <w:r w:rsidRPr="00C538F6">
        <w:rPr>
          <w:lang w:val="es-CR"/>
        </w:rPr>
        <w:tab/>
      </w:r>
      <w:r w:rsidRPr="00C538F6">
        <w:rPr>
          <w:i/>
          <w:lang w:val="es-CR"/>
        </w:rPr>
        <w:t>Cf.</w:t>
      </w:r>
      <w:r w:rsidRPr="00C538F6">
        <w:rPr>
          <w:lang w:val="es-CR"/>
        </w:rPr>
        <w:t xml:space="preserve"> </w:t>
      </w:r>
      <w:r w:rsidRPr="00C538F6">
        <w:rPr>
          <w:rStyle w:val="Textoennegrita"/>
          <w:b w:val="0"/>
          <w:i/>
          <w:color w:val="000000"/>
          <w:lang w:val="es-CR"/>
        </w:rPr>
        <w:t xml:space="preserve">Case </w:t>
      </w:r>
      <w:proofErr w:type="spellStart"/>
      <w:r w:rsidRPr="00C538F6">
        <w:rPr>
          <w:rStyle w:val="Textoennegrita"/>
          <w:b w:val="0"/>
          <w:i/>
          <w:color w:val="000000"/>
          <w:lang w:val="es-CR"/>
        </w:rPr>
        <w:t>of</w:t>
      </w:r>
      <w:proofErr w:type="spellEnd"/>
      <w:r w:rsidRPr="00C538F6">
        <w:rPr>
          <w:rStyle w:val="Textoennegrita"/>
          <w:b w:val="0"/>
          <w:i/>
          <w:color w:val="000000"/>
          <w:lang w:val="es-CR"/>
        </w:rPr>
        <w:t xml:space="preserve"> Lagos del Campo v. </w:t>
      </w:r>
      <w:proofErr w:type="spellStart"/>
      <w:r w:rsidRPr="00C538F6">
        <w:rPr>
          <w:rStyle w:val="Textoennegrita"/>
          <w:b w:val="0"/>
          <w:i/>
          <w:color w:val="000000"/>
          <w:lang w:val="es-CR"/>
        </w:rPr>
        <w:t>Peru</w:t>
      </w:r>
      <w:proofErr w:type="spellEnd"/>
      <w:r w:rsidRPr="00C538F6">
        <w:rPr>
          <w:rStyle w:val="Textoennegrita"/>
          <w:b w:val="0"/>
          <w:i/>
          <w:color w:val="000000"/>
          <w:lang w:val="es-CR"/>
        </w:rPr>
        <w:t xml:space="preserve">. </w:t>
      </w:r>
      <w:r w:rsidRPr="00992861">
        <w:rPr>
          <w:bCs/>
          <w:i/>
          <w:color w:val="000000"/>
          <w:lang w:val="en-US"/>
        </w:rPr>
        <w:t xml:space="preserve">Preliminary objections merits, reparations and costs. </w:t>
      </w:r>
      <w:r w:rsidRPr="00992861">
        <w:rPr>
          <w:bCs/>
          <w:color w:val="000000"/>
          <w:lang w:val="en-US"/>
        </w:rPr>
        <w:t>Judgment of August 31, 2017. Series C No. 340.</w:t>
      </w:r>
      <w:r w:rsidRPr="00992861">
        <w:rPr>
          <w:bCs/>
          <w:i/>
          <w:color w:val="000000"/>
          <w:lang w:val="en-US"/>
        </w:rPr>
        <w:t xml:space="preserve"> </w:t>
      </w:r>
      <w:r w:rsidRPr="00992861">
        <w:rPr>
          <w:rStyle w:val="Textoennegrita"/>
          <w:b w:val="0"/>
          <w:color w:val="000000"/>
          <w:lang w:val="en-US"/>
        </w:rPr>
        <w:t xml:space="preserve">Partially dissenting opinion of Judge Antonio </w:t>
      </w:r>
      <w:proofErr w:type="spellStart"/>
      <w:r w:rsidRPr="00992861">
        <w:rPr>
          <w:rStyle w:val="Textoennegrita"/>
          <w:b w:val="0"/>
          <w:color w:val="000000"/>
          <w:lang w:val="en-US"/>
        </w:rPr>
        <w:t>Antonio</w:t>
      </w:r>
      <w:proofErr w:type="spellEnd"/>
      <w:r w:rsidRPr="00992861">
        <w:rPr>
          <w:rStyle w:val="Textoennegrita"/>
          <w:b w:val="0"/>
          <w:color w:val="000000"/>
          <w:lang w:val="en-US"/>
        </w:rPr>
        <w:t xml:space="preserve"> Humberto Sierra Porto.</w:t>
      </w:r>
      <w:r w:rsidRPr="00992861">
        <w:rPr>
          <w:rStyle w:val="Textoennegrita"/>
          <w:b w:val="0"/>
          <w:color w:val="000000"/>
          <w:shd w:val="clear" w:color="auto" w:fill="FFFFFF"/>
          <w:lang w:val="en-US"/>
        </w:rPr>
        <w:t xml:space="preserve"> </w:t>
      </w:r>
    </w:p>
  </w:footnote>
  <w:footnote w:id="461">
    <w:p w14:paraId="3F8D505C" w14:textId="77777777" w:rsidR="00AF5CC6" w:rsidRPr="00992861" w:rsidRDefault="00AF5CC6" w:rsidP="00AF5CC6">
      <w:pPr>
        <w:pStyle w:val="Textonotapie"/>
        <w:tabs>
          <w:tab w:val="left" w:pos="540"/>
        </w:tabs>
        <w:rPr>
          <w:rFonts w:eastAsia="Calibri"/>
          <w:b/>
          <w:bCs/>
          <w:color w:val="000000"/>
          <w:shd w:val="clear" w:color="auto" w:fill="FFFFFF"/>
          <w:lang w:val="en-US"/>
        </w:rPr>
      </w:pPr>
      <w:r w:rsidRPr="00992861">
        <w:rPr>
          <w:rStyle w:val="Refdenotaalpie"/>
          <w:lang w:val="en-US"/>
        </w:rPr>
        <w:footnoteRef/>
      </w:r>
      <w:r w:rsidRPr="00992861">
        <w:rPr>
          <w:lang w:val="en-US"/>
        </w:rPr>
        <w:tab/>
      </w:r>
      <w:r w:rsidRPr="00992861">
        <w:rPr>
          <w:i/>
          <w:lang w:val="en-US"/>
        </w:rPr>
        <w:t xml:space="preserve">Cf. </w:t>
      </w:r>
      <w:r w:rsidRPr="00992861">
        <w:rPr>
          <w:bCs/>
          <w:i/>
          <w:lang w:val="en-US"/>
        </w:rPr>
        <w:t xml:space="preserve">Case of the Dismissed Employees of </w:t>
      </w:r>
      <w:proofErr w:type="spellStart"/>
      <w:r w:rsidRPr="00992861">
        <w:rPr>
          <w:bCs/>
          <w:i/>
          <w:lang w:val="en-US"/>
        </w:rPr>
        <w:t>Petroperú</w:t>
      </w:r>
      <w:proofErr w:type="spellEnd"/>
      <w:r w:rsidRPr="00992861">
        <w:rPr>
          <w:bCs/>
          <w:i/>
          <w:lang w:val="en-US"/>
        </w:rPr>
        <w:t xml:space="preserve"> et al. v. Peru. Preliminary objections merits, reparations and costs. </w:t>
      </w:r>
      <w:r w:rsidRPr="00992861">
        <w:rPr>
          <w:bCs/>
          <w:lang w:val="en-US"/>
        </w:rPr>
        <w:t>Judgment of November 23, 2017. Series C No. 344</w:t>
      </w:r>
      <w:r w:rsidRPr="00992861">
        <w:rPr>
          <w:bCs/>
          <w:i/>
          <w:lang w:val="en-US"/>
        </w:rPr>
        <w:t>.</w:t>
      </w:r>
      <w:r w:rsidRPr="00992861">
        <w:rPr>
          <w:bCs/>
          <w:lang w:val="en-US"/>
        </w:rPr>
        <w:t xml:space="preserve"> </w:t>
      </w:r>
      <w:r w:rsidRPr="00992861">
        <w:rPr>
          <w:rStyle w:val="Textoennegrita"/>
          <w:b w:val="0"/>
          <w:color w:val="000000"/>
          <w:lang w:val="en-US"/>
        </w:rPr>
        <w:t>Partially dissenting opinion of Judge Antonio Humberto</w:t>
      </w:r>
      <w:r w:rsidRPr="00992861">
        <w:rPr>
          <w:rStyle w:val="Textoennegrita"/>
          <w:b w:val="0"/>
          <w:color w:val="000000"/>
          <w:shd w:val="clear" w:color="auto" w:fill="FFFFFF"/>
          <w:lang w:val="en-US"/>
        </w:rPr>
        <w:t xml:space="preserve"> </w:t>
      </w:r>
      <w:r w:rsidRPr="00992861">
        <w:rPr>
          <w:rStyle w:val="Textoennegrita"/>
          <w:b w:val="0"/>
          <w:color w:val="000000"/>
          <w:lang w:val="en-US"/>
        </w:rPr>
        <w:t>Sierra Porto.</w:t>
      </w:r>
      <w:r w:rsidRPr="00992861">
        <w:rPr>
          <w:rStyle w:val="Textoennegrita"/>
          <w:b w:val="0"/>
          <w:color w:val="000000"/>
          <w:shd w:val="clear" w:color="auto" w:fill="FFFFFF"/>
          <w:lang w:val="en-US"/>
        </w:rPr>
        <w:t xml:space="preserve"> </w:t>
      </w:r>
    </w:p>
  </w:footnote>
  <w:footnote w:id="462">
    <w:p w14:paraId="2B50A2A1" w14:textId="77777777" w:rsidR="00AF5CC6" w:rsidRPr="00992861" w:rsidRDefault="00AF5CC6" w:rsidP="00AF5CC6">
      <w:pPr>
        <w:pStyle w:val="Textonotapie"/>
        <w:tabs>
          <w:tab w:val="left" w:pos="540"/>
        </w:tabs>
        <w:rPr>
          <w:b/>
          <w:lang w:val="en-US"/>
        </w:rPr>
      </w:pPr>
      <w:r w:rsidRPr="00992861">
        <w:rPr>
          <w:rStyle w:val="Refdenotaalpie"/>
          <w:lang w:val="en-US"/>
        </w:rPr>
        <w:footnoteRef/>
      </w:r>
      <w:r w:rsidRPr="00992861">
        <w:rPr>
          <w:b/>
          <w:lang w:val="en-US"/>
        </w:rPr>
        <w:tab/>
      </w:r>
      <w:r w:rsidRPr="00992861">
        <w:rPr>
          <w:i/>
          <w:lang w:val="en-US"/>
        </w:rPr>
        <w:t xml:space="preserve">Cf. </w:t>
      </w:r>
      <w:r w:rsidRPr="00992861">
        <w:rPr>
          <w:rStyle w:val="Textoennegrita"/>
          <w:b w:val="0"/>
          <w:i/>
          <w:color w:val="000000"/>
          <w:lang w:val="en-US"/>
        </w:rPr>
        <w:t>Case of San Miguel Sosa et al. v. Venezuela. Merits, reparations and costs.</w:t>
      </w:r>
      <w:r w:rsidRPr="00992861">
        <w:rPr>
          <w:rStyle w:val="Textoennegrita"/>
          <w:b w:val="0"/>
          <w:color w:val="000000"/>
          <w:lang w:val="en-US"/>
        </w:rPr>
        <w:t xml:space="preserve"> Judgment of February 8,</w:t>
      </w:r>
      <w:r w:rsidRPr="00992861">
        <w:rPr>
          <w:rStyle w:val="Textoennegrita"/>
          <w:b w:val="0"/>
          <w:color w:val="000000"/>
          <w:shd w:val="clear" w:color="auto" w:fill="FFFFFF"/>
          <w:lang w:val="en-US"/>
        </w:rPr>
        <w:t xml:space="preserve"> </w:t>
      </w:r>
      <w:r w:rsidRPr="00992861">
        <w:rPr>
          <w:rStyle w:val="Textoennegrita"/>
          <w:b w:val="0"/>
          <w:color w:val="000000"/>
          <w:lang w:val="en-US"/>
        </w:rPr>
        <w:t>2018. Series C No. 348. Partially dissenting opinion of Judge Antonio Humberto Antonio Sierra Porto.</w:t>
      </w:r>
    </w:p>
  </w:footnote>
  <w:footnote w:id="463">
    <w:p w14:paraId="4F7BBFB9" w14:textId="77777777" w:rsidR="00AF5CC6" w:rsidRPr="00992861" w:rsidRDefault="00AF5CC6" w:rsidP="00AF5CC6">
      <w:pPr>
        <w:pStyle w:val="Textonotapie"/>
        <w:tabs>
          <w:tab w:val="left" w:pos="540"/>
        </w:tabs>
        <w:rPr>
          <w:bCs/>
          <w:color w:val="000000"/>
          <w:shd w:val="clear" w:color="auto" w:fill="FFFFFF"/>
          <w:lang w:val="en-US"/>
        </w:rPr>
      </w:pPr>
      <w:r w:rsidRPr="00992861">
        <w:rPr>
          <w:rStyle w:val="Refdenotaalpie"/>
          <w:lang w:val="en-US"/>
        </w:rPr>
        <w:footnoteRef/>
      </w:r>
      <w:r w:rsidRPr="00C538F6">
        <w:rPr>
          <w:b/>
          <w:lang w:val="es-CR"/>
        </w:rPr>
        <w:tab/>
      </w:r>
      <w:r w:rsidRPr="00C538F6">
        <w:rPr>
          <w:i/>
          <w:lang w:val="es-CR"/>
        </w:rPr>
        <w:t xml:space="preserve">Cf. </w:t>
      </w:r>
      <w:r w:rsidRPr="00C538F6">
        <w:rPr>
          <w:rStyle w:val="Textoennegrita"/>
          <w:b w:val="0"/>
          <w:i/>
          <w:color w:val="000000"/>
          <w:lang w:val="es-CR"/>
        </w:rPr>
        <w:t xml:space="preserve">Case </w:t>
      </w:r>
      <w:proofErr w:type="spellStart"/>
      <w:r w:rsidRPr="00C538F6">
        <w:rPr>
          <w:rStyle w:val="Textoennegrita"/>
          <w:b w:val="0"/>
          <w:i/>
          <w:color w:val="000000"/>
          <w:lang w:val="es-CR"/>
        </w:rPr>
        <w:t>of</w:t>
      </w:r>
      <w:proofErr w:type="spellEnd"/>
      <w:r w:rsidRPr="00C538F6">
        <w:rPr>
          <w:rStyle w:val="Textoennegrita"/>
          <w:b w:val="0"/>
          <w:i/>
          <w:color w:val="000000"/>
          <w:lang w:val="es-CR"/>
        </w:rPr>
        <w:t xml:space="preserve"> Gonzales </w:t>
      </w:r>
      <w:proofErr w:type="spellStart"/>
      <w:r w:rsidRPr="00C538F6">
        <w:rPr>
          <w:rStyle w:val="Textoennegrita"/>
          <w:b w:val="0"/>
          <w:i/>
          <w:color w:val="000000"/>
          <w:lang w:val="es-CR"/>
        </w:rPr>
        <w:t>Lluy</w:t>
      </w:r>
      <w:proofErr w:type="spellEnd"/>
      <w:r w:rsidRPr="00C538F6">
        <w:rPr>
          <w:rStyle w:val="Textoennegrita"/>
          <w:b w:val="0"/>
          <w:i/>
          <w:color w:val="000000"/>
          <w:lang w:val="es-CR"/>
        </w:rPr>
        <w:t xml:space="preserve"> et al. v. Ecuador. </w:t>
      </w:r>
      <w:r w:rsidRPr="00992861">
        <w:rPr>
          <w:bCs/>
          <w:i/>
          <w:color w:val="000000"/>
          <w:lang w:val="en-US"/>
        </w:rPr>
        <w:t xml:space="preserve">Preliminary objections merits, reparations and costs. </w:t>
      </w:r>
      <w:r w:rsidRPr="00992861">
        <w:rPr>
          <w:bCs/>
          <w:color w:val="000000"/>
          <w:lang w:val="en-US"/>
        </w:rPr>
        <w:t>Judgment of</w:t>
      </w:r>
      <w:r w:rsidRPr="00992861">
        <w:rPr>
          <w:bCs/>
          <w:color w:val="000000"/>
          <w:shd w:val="clear" w:color="auto" w:fill="FFFFFF"/>
          <w:lang w:val="en-US"/>
        </w:rPr>
        <w:t xml:space="preserve"> </w:t>
      </w:r>
      <w:r w:rsidRPr="00992861">
        <w:rPr>
          <w:bCs/>
          <w:color w:val="000000"/>
          <w:lang w:val="en-US"/>
        </w:rPr>
        <w:t>September 1, 2015. Series C No. 298.</w:t>
      </w:r>
      <w:r w:rsidRPr="00992861">
        <w:rPr>
          <w:rStyle w:val="Textoennegrita"/>
          <w:b w:val="0"/>
          <w:color w:val="000000"/>
          <w:lang w:val="en-US"/>
        </w:rPr>
        <w:t xml:space="preserve"> Concurring opinion of Judge Humberto Antonio Sierra Porto.</w:t>
      </w:r>
      <w:r w:rsidRPr="00992861">
        <w:rPr>
          <w:rStyle w:val="Textoennegrita"/>
          <w:b w:val="0"/>
          <w:color w:val="000000"/>
          <w:shd w:val="clear" w:color="auto" w:fill="FFFFFF"/>
          <w:lang w:val="en-US"/>
        </w:rPr>
        <w:t xml:space="preserve"> </w:t>
      </w:r>
    </w:p>
  </w:footnote>
  <w:footnote w:id="464">
    <w:p w14:paraId="5976EFC0" w14:textId="77777777" w:rsidR="00AF5CC6" w:rsidRPr="00992861" w:rsidRDefault="00AF5CC6" w:rsidP="00AF5CC6">
      <w:pPr>
        <w:tabs>
          <w:tab w:val="left" w:pos="540"/>
        </w:tabs>
        <w:spacing w:after="120"/>
        <w:rPr>
          <w:bCs/>
          <w:color w:val="000000"/>
          <w:sz w:val="16"/>
          <w:szCs w:val="16"/>
          <w:shd w:val="clear" w:color="auto" w:fill="FFFFFF"/>
        </w:rPr>
      </w:pPr>
      <w:r w:rsidRPr="00992861">
        <w:rPr>
          <w:rStyle w:val="Refdenotaalpie"/>
        </w:rPr>
        <w:footnoteRef/>
      </w:r>
      <w:r w:rsidRPr="00992861">
        <w:rPr>
          <w:sz w:val="16"/>
          <w:szCs w:val="16"/>
        </w:rPr>
        <w:tab/>
      </w:r>
      <w:r w:rsidRPr="00992861">
        <w:rPr>
          <w:i/>
          <w:sz w:val="16"/>
          <w:szCs w:val="16"/>
        </w:rPr>
        <w:t xml:space="preserve">Cf. </w:t>
      </w:r>
      <w:r w:rsidRPr="00992861">
        <w:rPr>
          <w:rStyle w:val="Textoennegrita"/>
          <w:rFonts w:cs="Verdana"/>
          <w:b w:val="0"/>
          <w:i/>
          <w:sz w:val="16"/>
          <w:szCs w:val="16"/>
        </w:rPr>
        <w:t>Case of Poblete Vilches et al. v. Chile. Merits, reparations and costs</w:t>
      </w:r>
      <w:r w:rsidRPr="00992861">
        <w:rPr>
          <w:rStyle w:val="Textoennegrita"/>
          <w:rFonts w:cs="Verdana"/>
          <w:b w:val="0"/>
          <w:sz w:val="16"/>
          <w:szCs w:val="16"/>
        </w:rPr>
        <w:t>. Judgment of March 8, 2018. Series C No. 349.</w:t>
      </w:r>
      <w:r w:rsidRPr="00992861">
        <w:rPr>
          <w:rStyle w:val="Textoennegrita"/>
          <w:b w:val="0"/>
          <w:color w:val="000000"/>
          <w:sz w:val="16"/>
          <w:szCs w:val="16"/>
        </w:rPr>
        <w:t xml:space="preserve"> Concurring opinion of Judge Humberto Antonio Sierra Porto.</w:t>
      </w:r>
    </w:p>
  </w:footnote>
  <w:footnote w:id="465">
    <w:p w14:paraId="42D886E5" w14:textId="77777777" w:rsidR="00AF5CC6" w:rsidRPr="00992861" w:rsidRDefault="00AF5CC6" w:rsidP="00AF5CC6">
      <w:pPr>
        <w:pStyle w:val="Textonotapie"/>
        <w:tabs>
          <w:tab w:val="left" w:pos="540"/>
        </w:tabs>
        <w:rPr>
          <w:lang w:val="en-US"/>
        </w:rPr>
      </w:pPr>
      <w:r w:rsidRPr="00992861">
        <w:rPr>
          <w:rStyle w:val="Refdenotaalpie"/>
          <w:lang w:val="en-US"/>
        </w:rPr>
        <w:footnoteRef/>
      </w:r>
      <w:r w:rsidRPr="00992861">
        <w:rPr>
          <w:lang w:val="en-US"/>
        </w:rPr>
        <w:tab/>
      </w:r>
      <w:r w:rsidRPr="00992861">
        <w:rPr>
          <w:rStyle w:val="Textoennegrita"/>
          <w:b w:val="0"/>
          <w:i/>
          <w:color w:val="000000"/>
          <w:lang w:val="en-US"/>
        </w:rPr>
        <w:t xml:space="preserve">Case of </w:t>
      </w:r>
      <w:proofErr w:type="spellStart"/>
      <w:r w:rsidRPr="00992861">
        <w:rPr>
          <w:rStyle w:val="Textoennegrita"/>
          <w:b w:val="0"/>
          <w:i/>
          <w:color w:val="000000"/>
          <w:lang w:val="en-US"/>
        </w:rPr>
        <w:t>Cuscul</w:t>
      </w:r>
      <w:proofErr w:type="spellEnd"/>
      <w:r w:rsidRPr="00992861">
        <w:rPr>
          <w:rStyle w:val="Textoennegrita"/>
          <w:b w:val="0"/>
          <w:i/>
          <w:color w:val="000000"/>
          <w:lang w:val="en-US"/>
        </w:rPr>
        <w:t xml:space="preserve"> </w:t>
      </w:r>
      <w:proofErr w:type="spellStart"/>
      <w:r w:rsidRPr="00992861">
        <w:rPr>
          <w:rStyle w:val="Textoennegrita"/>
          <w:b w:val="0"/>
          <w:i/>
          <w:color w:val="000000"/>
          <w:lang w:val="en-US"/>
        </w:rPr>
        <w:t>Pivaral</w:t>
      </w:r>
      <w:proofErr w:type="spellEnd"/>
      <w:r w:rsidRPr="00992861">
        <w:rPr>
          <w:rStyle w:val="Textoennegrita"/>
          <w:b w:val="0"/>
          <w:i/>
          <w:color w:val="000000"/>
          <w:lang w:val="en-US"/>
        </w:rPr>
        <w:t xml:space="preserve"> et al. v. Guatemala. Preliminary objection, merits, reparations and costs. </w:t>
      </w:r>
      <w:r w:rsidRPr="00992861">
        <w:rPr>
          <w:rStyle w:val="Textoennegrita"/>
          <w:b w:val="0"/>
          <w:color w:val="000000"/>
          <w:lang w:val="en-US"/>
        </w:rPr>
        <w:t>Judgment of August 23, 2018. Series C No. 359</w:t>
      </w:r>
      <w:r w:rsidRPr="00992861">
        <w:rPr>
          <w:lang w:val="en-US"/>
        </w:rPr>
        <w:t>, para. 107.</w:t>
      </w:r>
    </w:p>
  </w:footnote>
  <w:footnote w:id="466">
    <w:p w14:paraId="07BBD97C" w14:textId="77777777" w:rsidR="00AF5CC6" w:rsidRPr="00992861" w:rsidRDefault="00AF5CC6" w:rsidP="00AF5CC6">
      <w:pPr>
        <w:pStyle w:val="Textonotapie"/>
        <w:rPr>
          <w:lang w:val="en-US"/>
        </w:rPr>
      </w:pPr>
      <w:r w:rsidRPr="00992861">
        <w:rPr>
          <w:rStyle w:val="Refdenotaalpie"/>
          <w:lang w:val="en-US"/>
        </w:rPr>
        <w:footnoteRef/>
      </w:r>
      <w:r w:rsidRPr="00992861">
        <w:rPr>
          <w:lang w:val="en-US"/>
        </w:rPr>
        <w:tab/>
      </w:r>
      <w:r w:rsidRPr="00992861">
        <w:rPr>
          <w:i/>
          <w:lang w:val="en-US"/>
        </w:rPr>
        <w:t xml:space="preserve">Case of Poblete </w:t>
      </w:r>
      <w:proofErr w:type="spellStart"/>
      <w:r w:rsidRPr="00992861">
        <w:rPr>
          <w:i/>
          <w:lang w:val="en-US"/>
        </w:rPr>
        <w:t>Vilches</w:t>
      </w:r>
      <w:proofErr w:type="spellEnd"/>
      <w:r w:rsidRPr="00992861">
        <w:rPr>
          <w:i/>
          <w:lang w:val="en-US"/>
        </w:rPr>
        <w:t xml:space="preserve"> et al. v. Chile. Merits, reparations and costs.</w:t>
      </w:r>
      <w:r w:rsidRPr="00992861">
        <w:rPr>
          <w:lang w:val="en-US"/>
        </w:rPr>
        <w:t xml:space="preserve"> Judgment of March 8, 2018. Series C No. 349, para. 118, and </w:t>
      </w:r>
      <w:r w:rsidRPr="00992861">
        <w:rPr>
          <w:rStyle w:val="Textoennegrita"/>
          <w:b w:val="0"/>
          <w:i/>
          <w:color w:val="000000"/>
          <w:shd w:val="clear" w:color="auto" w:fill="FFFFFF"/>
          <w:lang w:val="en-US"/>
        </w:rPr>
        <w:t xml:space="preserve">Case of </w:t>
      </w:r>
      <w:proofErr w:type="spellStart"/>
      <w:r w:rsidRPr="00992861">
        <w:rPr>
          <w:rStyle w:val="Textoennegrita"/>
          <w:b w:val="0"/>
          <w:i/>
          <w:color w:val="000000"/>
          <w:shd w:val="clear" w:color="auto" w:fill="FFFFFF"/>
          <w:lang w:val="en-US"/>
        </w:rPr>
        <w:t>Cuscul</w:t>
      </w:r>
      <w:proofErr w:type="spellEnd"/>
      <w:r w:rsidRPr="00992861">
        <w:rPr>
          <w:rStyle w:val="Textoennegrita"/>
          <w:b w:val="0"/>
          <w:i/>
          <w:color w:val="000000"/>
          <w:shd w:val="clear" w:color="auto" w:fill="FFFFFF"/>
          <w:lang w:val="en-US"/>
        </w:rPr>
        <w:t xml:space="preserve"> </w:t>
      </w:r>
      <w:proofErr w:type="spellStart"/>
      <w:r w:rsidRPr="00992861">
        <w:rPr>
          <w:rStyle w:val="Textoennegrita"/>
          <w:b w:val="0"/>
          <w:i/>
          <w:color w:val="000000"/>
          <w:shd w:val="clear" w:color="auto" w:fill="FFFFFF"/>
          <w:lang w:val="en-US"/>
        </w:rPr>
        <w:t>Pivaral</w:t>
      </w:r>
      <w:proofErr w:type="spellEnd"/>
      <w:r w:rsidRPr="00992861">
        <w:rPr>
          <w:rStyle w:val="Textoennegrita"/>
          <w:b w:val="0"/>
          <w:i/>
          <w:color w:val="000000"/>
          <w:shd w:val="clear" w:color="auto" w:fill="FFFFFF"/>
          <w:lang w:val="en-US"/>
        </w:rPr>
        <w:t xml:space="preserve"> et al. v. Guatemala. Preliminary objection, merits, reparations and costs. </w:t>
      </w:r>
      <w:r w:rsidRPr="00992861">
        <w:rPr>
          <w:rStyle w:val="Textoennegrita"/>
          <w:b w:val="0"/>
          <w:color w:val="000000"/>
          <w:shd w:val="clear" w:color="auto" w:fill="FFFFFF"/>
          <w:lang w:val="en-US"/>
        </w:rPr>
        <w:t>Judgment of August 23, 2018. Series C No. 359</w:t>
      </w:r>
      <w:r w:rsidRPr="00992861">
        <w:rPr>
          <w:lang w:val="en-US"/>
        </w:rPr>
        <w:t>, para. 105.</w:t>
      </w:r>
    </w:p>
  </w:footnote>
  <w:footnote w:id="467">
    <w:p w14:paraId="4C9318CD" w14:textId="77777777" w:rsidR="00AF5CC6" w:rsidRPr="00992861" w:rsidRDefault="00AF5CC6" w:rsidP="00AF5CC6">
      <w:pPr>
        <w:pStyle w:val="Textonotapie"/>
        <w:rPr>
          <w:lang w:val="en-US"/>
        </w:rPr>
      </w:pPr>
      <w:r w:rsidRPr="00992861">
        <w:rPr>
          <w:rStyle w:val="Refdenotaalpie"/>
          <w:lang w:val="en-US"/>
        </w:rPr>
        <w:footnoteRef/>
      </w:r>
      <w:r w:rsidRPr="00992861">
        <w:rPr>
          <w:lang w:val="en-US"/>
        </w:rPr>
        <w:tab/>
      </w:r>
      <w:r w:rsidRPr="00992861">
        <w:rPr>
          <w:i/>
          <w:lang w:val="en-US"/>
        </w:rPr>
        <w:t xml:space="preserve">Cf. Case of Poblete </w:t>
      </w:r>
      <w:proofErr w:type="spellStart"/>
      <w:r w:rsidRPr="00992861">
        <w:rPr>
          <w:i/>
          <w:lang w:val="en-US"/>
        </w:rPr>
        <w:t>Vilches</w:t>
      </w:r>
      <w:proofErr w:type="spellEnd"/>
      <w:r w:rsidRPr="00992861">
        <w:rPr>
          <w:i/>
          <w:lang w:val="en-US"/>
        </w:rPr>
        <w:t xml:space="preserve"> et al. v. Chile. Merits, reparations and costs.</w:t>
      </w:r>
      <w:r w:rsidRPr="00992861">
        <w:rPr>
          <w:lang w:val="en-US"/>
        </w:rPr>
        <w:t xml:space="preserve"> Judgment of March 8, 2018. Series C No. 349, para. 104, and judgment, para. 98.</w:t>
      </w:r>
    </w:p>
  </w:footnote>
  <w:footnote w:id="468">
    <w:p w14:paraId="422B5780" w14:textId="77777777" w:rsidR="00AF5CC6" w:rsidRPr="00992861" w:rsidRDefault="00AF5CC6" w:rsidP="00AF5CC6">
      <w:pPr>
        <w:pStyle w:val="Textonotapie"/>
        <w:rPr>
          <w:lang w:val="en-US"/>
        </w:rPr>
      </w:pPr>
      <w:r w:rsidRPr="00992861">
        <w:rPr>
          <w:rStyle w:val="Refdenotaalpie"/>
          <w:lang w:val="en-US"/>
        </w:rPr>
        <w:footnoteRef/>
      </w:r>
      <w:r w:rsidRPr="00992861">
        <w:rPr>
          <w:lang w:val="en-US"/>
        </w:rPr>
        <w:tab/>
      </w:r>
      <w:r w:rsidRPr="00992861">
        <w:rPr>
          <w:rStyle w:val="Textoennegrita"/>
          <w:b w:val="0"/>
          <w:i/>
          <w:color w:val="000000"/>
          <w:shd w:val="clear" w:color="auto" w:fill="FFFFFF"/>
          <w:lang w:val="en-US"/>
        </w:rPr>
        <w:t xml:space="preserve">Case of </w:t>
      </w:r>
      <w:proofErr w:type="spellStart"/>
      <w:r w:rsidRPr="00992861">
        <w:rPr>
          <w:rStyle w:val="Textoennegrita"/>
          <w:b w:val="0"/>
          <w:i/>
          <w:color w:val="000000"/>
          <w:shd w:val="clear" w:color="auto" w:fill="FFFFFF"/>
          <w:lang w:val="en-US"/>
        </w:rPr>
        <w:t>Cuscul</w:t>
      </w:r>
      <w:proofErr w:type="spellEnd"/>
      <w:r w:rsidRPr="00992861">
        <w:rPr>
          <w:rStyle w:val="Textoennegrita"/>
          <w:b w:val="0"/>
          <w:i/>
          <w:color w:val="000000"/>
          <w:shd w:val="clear" w:color="auto" w:fill="FFFFFF"/>
          <w:lang w:val="en-US"/>
        </w:rPr>
        <w:t xml:space="preserve"> </w:t>
      </w:r>
      <w:proofErr w:type="spellStart"/>
      <w:r w:rsidRPr="00992861">
        <w:rPr>
          <w:rStyle w:val="Textoennegrita"/>
          <w:b w:val="0"/>
          <w:i/>
          <w:color w:val="000000"/>
          <w:shd w:val="clear" w:color="auto" w:fill="FFFFFF"/>
          <w:lang w:val="en-US"/>
        </w:rPr>
        <w:t>Pivaral</w:t>
      </w:r>
      <w:proofErr w:type="spellEnd"/>
      <w:r w:rsidRPr="00992861">
        <w:rPr>
          <w:rStyle w:val="Textoennegrita"/>
          <w:b w:val="0"/>
          <w:i/>
          <w:color w:val="000000"/>
          <w:shd w:val="clear" w:color="auto" w:fill="FFFFFF"/>
          <w:lang w:val="en-US"/>
        </w:rPr>
        <w:t xml:space="preserve"> et al. v. Guatemala. Preliminary objection, merits, reparations and costs. </w:t>
      </w:r>
      <w:r w:rsidRPr="00992861">
        <w:rPr>
          <w:rStyle w:val="Textoennegrita"/>
          <w:b w:val="0"/>
          <w:color w:val="000000"/>
          <w:shd w:val="clear" w:color="auto" w:fill="FFFFFF"/>
          <w:lang w:val="en-US"/>
        </w:rPr>
        <w:t>Judgment of August 23, 2018. Series C No. 359</w:t>
      </w:r>
      <w:r w:rsidRPr="00992861">
        <w:rPr>
          <w:lang w:val="en-US"/>
        </w:rPr>
        <w:t>, para. 119.</w:t>
      </w:r>
    </w:p>
  </w:footnote>
  <w:footnote w:id="469">
    <w:p w14:paraId="13C899FA" w14:textId="77777777" w:rsidR="00AF5CC6" w:rsidRPr="00992861" w:rsidRDefault="00AF5CC6" w:rsidP="00AF5CC6">
      <w:pPr>
        <w:pStyle w:val="Textonotapie"/>
        <w:rPr>
          <w:lang w:val="en-US"/>
        </w:rPr>
      </w:pPr>
      <w:r w:rsidRPr="00992861">
        <w:rPr>
          <w:rStyle w:val="Refdenotaalpie"/>
          <w:lang w:val="en-US"/>
        </w:rPr>
        <w:footnoteRef/>
      </w:r>
      <w:r w:rsidRPr="00992861">
        <w:rPr>
          <w:lang w:val="en-US"/>
        </w:rPr>
        <w:tab/>
      </w:r>
      <w:r w:rsidRPr="00992861">
        <w:rPr>
          <w:rStyle w:val="Textoennegrita"/>
          <w:b w:val="0"/>
          <w:i/>
          <w:color w:val="000000"/>
          <w:shd w:val="clear" w:color="auto" w:fill="FFFFFF"/>
          <w:lang w:val="en-US"/>
        </w:rPr>
        <w:t xml:space="preserve">Case of </w:t>
      </w:r>
      <w:proofErr w:type="spellStart"/>
      <w:r w:rsidRPr="00992861">
        <w:rPr>
          <w:rStyle w:val="Textoennegrita"/>
          <w:b w:val="0"/>
          <w:i/>
          <w:color w:val="000000"/>
          <w:shd w:val="clear" w:color="auto" w:fill="FFFFFF"/>
          <w:lang w:val="en-US"/>
        </w:rPr>
        <w:t>Cuscul</w:t>
      </w:r>
      <w:proofErr w:type="spellEnd"/>
      <w:r w:rsidRPr="00992861">
        <w:rPr>
          <w:rStyle w:val="Textoennegrita"/>
          <w:b w:val="0"/>
          <w:i/>
          <w:color w:val="000000"/>
          <w:shd w:val="clear" w:color="auto" w:fill="FFFFFF"/>
          <w:lang w:val="en-US"/>
        </w:rPr>
        <w:t xml:space="preserve"> </w:t>
      </w:r>
      <w:proofErr w:type="spellStart"/>
      <w:r w:rsidRPr="00992861">
        <w:rPr>
          <w:rStyle w:val="Textoennegrita"/>
          <w:b w:val="0"/>
          <w:i/>
          <w:color w:val="000000"/>
          <w:shd w:val="clear" w:color="auto" w:fill="FFFFFF"/>
          <w:lang w:val="en-US"/>
        </w:rPr>
        <w:t>Pivaral</w:t>
      </w:r>
      <w:proofErr w:type="spellEnd"/>
      <w:r w:rsidRPr="00992861">
        <w:rPr>
          <w:rStyle w:val="Textoennegrita"/>
          <w:b w:val="0"/>
          <w:i/>
          <w:color w:val="000000"/>
          <w:shd w:val="clear" w:color="auto" w:fill="FFFFFF"/>
          <w:lang w:val="en-US"/>
        </w:rPr>
        <w:t xml:space="preserve"> et al. v. Guatemala. Preliminary objection, merits, reparations and costs. </w:t>
      </w:r>
      <w:r w:rsidRPr="00992861">
        <w:rPr>
          <w:rStyle w:val="Textoennegrita"/>
          <w:b w:val="0"/>
          <w:color w:val="000000"/>
          <w:shd w:val="clear" w:color="auto" w:fill="FFFFFF"/>
          <w:lang w:val="en-US"/>
        </w:rPr>
        <w:t>Judgment of August 23, 2018. Series C No. 359</w:t>
      </w:r>
      <w:r w:rsidRPr="00992861">
        <w:rPr>
          <w:lang w:val="en-US"/>
        </w:rPr>
        <w:t>, para. 119.</w:t>
      </w:r>
    </w:p>
  </w:footnote>
  <w:footnote w:id="470">
    <w:p w14:paraId="11C7C272" w14:textId="77777777" w:rsidR="00AF5CC6" w:rsidRPr="00992861" w:rsidRDefault="00AF5CC6" w:rsidP="00AF5CC6">
      <w:pPr>
        <w:pStyle w:val="Textonotapie"/>
        <w:rPr>
          <w:lang w:val="en-US"/>
        </w:rPr>
      </w:pPr>
      <w:r w:rsidRPr="00992861">
        <w:rPr>
          <w:rStyle w:val="Refdenotaalpie"/>
          <w:lang w:val="en-US"/>
        </w:rPr>
        <w:footnoteRef/>
      </w:r>
      <w:r w:rsidRPr="00992861">
        <w:rPr>
          <w:lang w:val="en-US"/>
        </w:rPr>
        <w:tab/>
      </w:r>
      <w:r w:rsidRPr="00992861">
        <w:rPr>
          <w:rStyle w:val="Textoennegrita"/>
          <w:b w:val="0"/>
          <w:i/>
          <w:color w:val="000000"/>
          <w:shd w:val="clear" w:color="auto" w:fill="FFFFFF"/>
          <w:lang w:val="en-US"/>
        </w:rPr>
        <w:t xml:space="preserve">Case of </w:t>
      </w:r>
      <w:proofErr w:type="spellStart"/>
      <w:r w:rsidRPr="00992861">
        <w:rPr>
          <w:rStyle w:val="Textoennegrita"/>
          <w:b w:val="0"/>
          <w:i/>
          <w:color w:val="000000"/>
          <w:shd w:val="clear" w:color="auto" w:fill="FFFFFF"/>
          <w:lang w:val="en-US"/>
        </w:rPr>
        <w:t>Cuscul</w:t>
      </w:r>
      <w:proofErr w:type="spellEnd"/>
      <w:r w:rsidRPr="00992861">
        <w:rPr>
          <w:rStyle w:val="Textoennegrita"/>
          <w:b w:val="0"/>
          <w:i/>
          <w:color w:val="000000"/>
          <w:shd w:val="clear" w:color="auto" w:fill="FFFFFF"/>
          <w:lang w:val="en-US"/>
        </w:rPr>
        <w:t xml:space="preserve"> </w:t>
      </w:r>
      <w:proofErr w:type="spellStart"/>
      <w:r w:rsidRPr="00992861">
        <w:rPr>
          <w:rStyle w:val="Textoennegrita"/>
          <w:b w:val="0"/>
          <w:i/>
          <w:color w:val="000000"/>
          <w:shd w:val="clear" w:color="auto" w:fill="FFFFFF"/>
          <w:lang w:val="en-US"/>
        </w:rPr>
        <w:t>Pivaral</w:t>
      </w:r>
      <w:proofErr w:type="spellEnd"/>
      <w:r w:rsidRPr="00992861">
        <w:rPr>
          <w:rStyle w:val="Textoennegrita"/>
          <w:b w:val="0"/>
          <w:i/>
          <w:color w:val="000000"/>
          <w:shd w:val="clear" w:color="auto" w:fill="FFFFFF"/>
          <w:lang w:val="en-US"/>
        </w:rPr>
        <w:t xml:space="preserve"> et al. v. Guatemala. Preliminary objection, merits, reparations and costs. </w:t>
      </w:r>
      <w:r w:rsidRPr="00992861">
        <w:rPr>
          <w:rStyle w:val="Textoennegrita"/>
          <w:b w:val="0"/>
          <w:color w:val="000000"/>
          <w:shd w:val="clear" w:color="auto" w:fill="FFFFFF"/>
          <w:lang w:val="en-US"/>
        </w:rPr>
        <w:t>Judgment of August 23, 2018. Series C No. 359</w:t>
      </w:r>
      <w:r w:rsidRPr="00992861">
        <w:rPr>
          <w:lang w:val="en-US"/>
        </w:rPr>
        <w:t>, para. 126.</w:t>
      </w:r>
    </w:p>
  </w:footnote>
  <w:footnote w:id="471">
    <w:p w14:paraId="377B52DA" w14:textId="77777777" w:rsidR="00AF5CC6" w:rsidRPr="00992861" w:rsidRDefault="00AF5CC6" w:rsidP="00AF5CC6">
      <w:pPr>
        <w:pStyle w:val="Textonotapie"/>
        <w:rPr>
          <w:lang w:val="en-US"/>
        </w:rPr>
      </w:pPr>
      <w:r w:rsidRPr="00992861">
        <w:rPr>
          <w:rStyle w:val="Refdenotaalpie"/>
          <w:lang w:val="en-US"/>
        </w:rPr>
        <w:footnoteRef/>
      </w:r>
      <w:r w:rsidRPr="00992861">
        <w:rPr>
          <w:lang w:val="en-US"/>
        </w:rPr>
        <w:tab/>
      </w:r>
      <w:r w:rsidRPr="00992861">
        <w:rPr>
          <w:i/>
          <w:lang w:val="en-US"/>
        </w:rPr>
        <w:t>Cf.</w:t>
      </w:r>
      <w:r w:rsidRPr="00992861">
        <w:rPr>
          <w:lang w:val="en-US"/>
        </w:rPr>
        <w:t xml:space="preserve"> </w:t>
      </w:r>
      <w:r w:rsidRPr="00992861">
        <w:rPr>
          <w:rStyle w:val="Textoennegrita"/>
          <w:b w:val="0"/>
          <w:i/>
          <w:color w:val="000000"/>
          <w:shd w:val="clear" w:color="auto" w:fill="FFFFFF"/>
          <w:lang w:val="en-US"/>
        </w:rPr>
        <w:t xml:space="preserve">Case of </w:t>
      </w:r>
      <w:proofErr w:type="spellStart"/>
      <w:r w:rsidRPr="00992861">
        <w:rPr>
          <w:rStyle w:val="Textoennegrita"/>
          <w:b w:val="0"/>
          <w:i/>
          <w:color w:val="000000"/>
          <w:shd w:val="clear" w:color="auto" w:fill="FFFFFF"/>
          <w:lang w:val="en-US"/>
        </w:rPr>
        <w:t>Cuscul</w:t>
      </w:r>
      <w:proofErr w:type="spellEnd"/>
      <w:r w:rsidRPr="00992861">
        <w:rPr>
          <w:rStyle w:val="Textoennegrita"/>
          <w:b w:val="0"/>
          <w:i/>
          <w:color w:val="000000"/>
          <w:shd w:val="clear" w:color="auto" w:fill="FFFFFF"/>
          <w:lang w:val="en-US"/>
        </w:rPr>
        <w:t xml:space="preserve"> </w:t>
      </w:r>
      <w:proofErr w:type="spellStart"/>
      <w:r w:rsidRPr="00992861">
        <w:rPr>
          <w:rStyle w:val="Textoennegrita"/>
          <w:b w:val="0"/>
          <w:i/>
          <w:color w:val="000000"/>
          <w:shd w:val="clear" w:color="auto" w:fill="FFFFFF"/>
          <w:lang w:val="en-US"/>
        </w:rPr>
        <w:t>Pivaral</w:t>
      </w:r>
      <w:proofErr w:type="spellEnd"/>
      <w:r w:rsidRPr="00992861">
        <w:rPr>
          <w:rStyle w:val="Textoennegrita"/>
          <w:b w:val="0"/>
          <w:i/>
          <w:color w:val="000000"/>
          <w:shd w:val="clear" w:color="auto" w:fill="FFFFFF"/>
          <w:lang w:val="en-US"/>
        </w:rPr>
        <w:t xml:space="preserve"> et al. v. Guatemala. Preliminary objection, merits, reparations and costs. </w:t>
      </w:r>
      <w:r w:rsidRPr="00992861">
        <w:rPr>
          <w:rStyle w:val="Textoennegrita"/>
          <w:b w:val="0"/>
          <w:color w:val="000000"/>
          <w:shd w:val="clear" w:color="auto" w:fill="FFFFFF"/>
          <w:lang w:val="en-US"/>
        </w:rPr>
        <w:t>Judgment of August 23, 2018. Series C No. 359</w:t>
      </w:r>
      <w:r w:rsidRPr="00992861">
        <w:rPr>
          <w:lang w:val="en-US"/>
        </w:rPr>
        <w:t>, para. 158.</w:t>
      </w:r>
    </w:p>
  </w:footnote>
  <w:footnote w:id="472">
    <w:p w14:paraId="11263AF5" w14:textId="77777777" w:rsidR="00AF5CC6" w:rsidRPr="00992861" w:rsidRDefault="00AF5CC6" w:rsidP="00AF5CC6">
      <w:pPr>
        <w:pStyle w:val="Textonotapie"/>
        <w:rPr>
          <w:lang w:val="en-US"/>
        </w:rPr>
      </w:pPr>
      <w:r w:rsidRPr="00992861">
        <w:rPr>
          <w:rStyle w:val="Refdenotaalpie"/>
          <w:lang w:val="en-US"/>
        </w:rPr>
        <w:footnoteRef/>
      </w:r>
      <w:r w:rsidRPr="00992861">
        <w:rPr>
          <w:lang w:val="en-US"/>
        </w:rPr>
        <w:tab/>
      </w:r>
      <w:r w:rsidRPr="00992861">
        <w:rPr>
          <w:i/>
          <w:lang w:val="en-US"/>
        </w:rPr>
        <w:t xml:space="preserve">Cf. </w:t>
      </w:r>
      <w:r w:rsidRPr="00992861">
        <w:rPr>
          <w:rStyle w:val="Textoennegrita"/>
          <w:b w:val="0"/>
          <w:i/>
          <w:color w:val="000000"/>
          <w:shd w:val="clear" w:color="auto" w:fill="FFFFFF"/>
          <w:lang w:val="en-US"/>
        </w:rPr>
        <w:t xml:space="preserve">Case of </w:t>
      </w:r>
      <w:proofErr w:type="spellStart"/>
      <w:r w:rsidRPr="00992861">
        <w:rPr>
          <w:rStyle w:val="Textoennegrita"/>
          <w:b w:val="0"/>
          <w:i/>
          <w:color w:val="000000"/>
          <w:shd w:val="clear" w:color="auto" w:fill="FFFFFF"/>
          <w:lang w:val="en-US"/>
        </w:rPr>
        <w:t>Cuscul</w:t>
      </w:r>
      <w:proofErr w:type="spellEnd"/>
      <w:r w:rsidRPr="00992861">
        <w:rPr>
          <w:rStyle w:val="Textoennegrita"/>
          <w:b w:val="0"/>
          <w:i/>
          <w:color w:val="000000"/>
          <w:shd w:val="clear" w:color="auto" w:fill="FFFFFF"/>
          <w:lang w:val="en-US"/>
        </w:rPr>
        <w:t xml:space="preserve"> </w:t>
      </w:r>
      <w:proofErr w:type="spellStart"/>
      <w:r w:rsidRPr="00992861">
        <w:rPr>
          <w:rStyle w:val="Textoennegrita"/>
          <w:b w:val="0"/>
          <w:i/>
          <w:color w:val="000000"/>
          <w:shd w:val="clear" w:color="auto" w:fill="FFFFFF"/>
          <w:lang w:val="en-US"/>
        </w:rPr>
        <w:t>Pivaral</w:t>
      </w:r>
      <w:proofErr w:type="spellEnd"/>
      <w:r w:rsidRPr="00992861">
        <w:rPr>
          <w:rStyle w:val="Textoennegrita"/>
          <w:b w:val="0"/>
          <w:i/>
          <w:color w:val="000000"/>
          <w:shd w:val="clear" w:color="auto" w:fill="FFFFFF"/>
          <w:lang w:val="en-US"/>
        </w:rPr>
        <w:t xml:space="preserve"> et al. v. Guatemala. Preliminary objection, merits, reparations and costs. </w:t>
      </w:r>
      <w:r w:rsidRPr="00992861">
        <w:rPr>
          <w:rStyle w:val="Textoennegrita"/>
          <w:b w:val="0"/>
          <w:color w:val="000000"/>
          <w:shd w:val="clear" w:color="auto" w:fill="FFFFFF"/>
          <w:lang w:val="en-US"/>
        </w:rPr>
        <w:t>Judgment of August 23, 2018. Series C No. 359</w:t>
      </w:r>
      <w:r w:rsidRPr="00992861">
        <w:rPr>
          <w:lang w:val="en-US"/>
        </w:rPr>
        <w:t>, para. 159.</w:t>
      </w:r>
    </w:p>
  </w:footnote>
  <w:footnote w:id="473">
    <w:p w14:paraId="02B0809B" w14:textId="77777777" w:rsidR="00AF5CC6" w:rsidRPr="00992861" w:rsidRDefault="00AF5CC6" w:rsidP="00AF5CC6">
      <w:pPr>
        <w:pStyle w:val="Textonotapie"/>
        <w:rPr>
          <w:lang w:val="en-US"/>
        </w:rPr>
      </w:pPr>
      <w:r w:rsidRPr="00992861">
        <w:rPr>
          <w:rStyle w:val="Refdenotaalpie"/>
          <w:lang w:val="en-US"/>
        </w:rPr>
        <w:footnoteRef/>
      </w:r>
      <w:r w:rsidRPr="00992861">
        <w:rPr>
          <w:lang w:val="en-US"/>
        </w:rPr>
        <w:tab/>
      </w:r>
      <w:r w:rsidRPr="00992861">
        <w:rPr>
          <w:i/>
          <w:lang w:val="en-US"/>
        </w:rPr>
        <w:t xml:space="preserve">Cf. </w:t>
      </w:r>
      <w:r w:rsidRPr="00992861">
        <w:rPr>
          <w:rStyle w:val="Textoennegrita"/>
          <w:b w:val="0"/>
          <w:i/>
          <w:color w:val="000000"/>
          <w:shd w:val="clear" w:color="auto" w:fill="FFFFFF"/>
          <w:lang w:val="en-US"/>
        </w:rPr>
        <w:t xml:space="preserve">Case of </w:t>
      </w:r>
      <w:proofErr w:type="spellStart"/>
      <w:r w:rsidRPr="00992861">
        <w:rPr>
          <w:rStyle w:val="Textoennegrita"/>
          <w:b w:val="0"/>
          <w:i/>
          <w:color w:val="000000"/>
          <w:shd w:val="clear" w:color="auto" w:fill="FFFFFF"/>
          <w:lang w:val="en-US"/>
        </w:rPr>
        <w:t>Cuscul</w:t>
      </w:r>
      <w:proofErr w:type="spellEnd"/>
      <w:r w:rsidRPr="00992861">
        <w:rPr>
          <w:rStyle w:val="Textoennegrita"/>
          <w:b w:val="0"/>
          <w:i/>
          <w:color w:val="000000"/>
          <w:shd w:val="clear" w:color="auto" w:fill="FFFFFF"/>
          <w:lang w:val="en-US"/>
        </w:rPr>
        <w:t xml:space="preserve"> </w:t>
      </w:r>
      <w:proofErr w:type="spellStart"/>
      <w:r w:rsidRPr="00992861">
        <w:rPr>
          <w:rStyle w:val="Textoennegrita"/>
          <w:b w:val="0"/>
          <w:i/>
          <w:color w:val="000000"/>
          <w:shd w:val="clear" w:color="auto" w:fill="FFFFFF"/>
          <w:lang w:val="en-US"/>
        </w:rPr>
        <w:t>Pivaral</w:t>
      </w:r>
      <w:proofErr w:type="spellEnd"/>
      <w:r w:rsidRPr="00992861">
        <w:rPr>
          <w:rStyle w:val="Textoennegrita"/>
          <w:b w:val="0"/>
          <w:i/>
          <w:color w:val="000000"/>
          <w:shd w:val="clear" w:color="auto" w:fill="FFFFFF"/>
          <w:lang w:val="en-US"/>
        </w:rPr>
        <w:t xml:space="preserve"> et al. v. Guatemala. Preliminary objection, merits, reparations and costs. </w:t>
      </w:r>
      <w:r w:rsidRPr="00992861">
        <w:rPr>
          <w:rStyle w:val="Textoennegrita"/>
          <w:b w:val="0"/>
          <w:color w:val="000000"/>
          <w:shd w:val="clear" w:color="auto" w:fill="FFFFFF"/>
          <w:lang w:val="en-US"/>
        </w:rPr>
        <w:t>Judgment of August 23, 2018. Series C No. 359</w:t>
      </w:r>
      <w:r w:rsidRPr="00992861">
        <w:rPr>
          <w:lang w:val="en-US"/>
        </w:rPr>
        <w:t>, para. 163.</w:t>
      </w:r>
    </w:p>
  </w:footnote>
  <w:footnote w:id="474">
    <w:p w14:paraId="4842653E" w14:textId="77777777" w:rsidR="00AF5CC6" w:rsidRPr="00992861" w:rsidRDefault="00AF5CC6" w:rsidP="00AF5CC6">
      <w:pPr>
        <w:pStyle w:val="Textonotapie"/>
        <w:rPr>
          <w:lang w:val="en-US"/>
        </w:rPr>
      </w:pPr>
      <w:r w:rsidRPr="00992861">
        <w:rPr>
          <w:rStyle w:val="Refdenotaalpie"/>
          <w:lang w:val="en-US"/>
        </w:rPr>
        <w:footnoteRef/>
      </w:r>
      <w:r w:rsidRPr="00992861">
        <w:rPr>
          <w:lang w:val="en-US"/>
        </w:rPr>
        <w:tab/>
      </w:r>
      <w:r w:rsidRPr="00992861">
        <w:rPr>
          <w:i/>
          <w:lang w:val="en-US"/>
        </w:rPr>
        <w:t xml:space="preserve">Cf. Case of Poblete </w:t>
      </w:r>
      <w:proofErr w:type="spellStart"/>
      <w:r w:rsidRPr="00992861">
        <w:rPr>
          <w:i/>
          <w:lang w:val="en-US"/>
        </w:rPr>
        <w:t>Vilches</w:t>
      </w:r>
      <w:proofErr w:type="spellEnd"/>
      <w:r w:rsidRPr="00992861">
        <w:rPr>
          <w:i/>
          <w:lang w:val="en-US"/>
        </w:rPr>
        <w:t xml:space="preserve"> et al. v. Chile. Merits, reparations and costs.</w:t>
      </w:r>
      <w:r w:rsidRPr="00992861">
        <w:rPr>
          <w:lang w:val="en-US"/>
        </w:rPr>
        <w:t xml:space="preserve"> Judgment of March 8, 2018. </w:t>
      </w:r>
      <w:r w:rsidRPr="00C538F6">
        <w:rPr>
          <w:lang w:val="es-CR"/>
        </w:rPr>
        <w:t xml:space="preserve">Series C No. 349, </w:t>
      </w:r>
      <w:proofErr w:type="spellStart"/>
      <w:r w:rsidRPr="00C538F6">
        <w:rPr>
          <w:rStyle w:val="Textoennegrita"/>
          <w:b w:val="0"/>
          <w:color w:val="000000"/>
          <w:shd w:val="clear" w:color="auto" w:fill="FFFFFF"/>
          <w:lang w:val="es-CR"/>
        </w:rPr>
        <w:t>Concurring</w:t>
      </w:r>
      <w:proofErr w:type="spellEnd"/>
      <w:r w:rsidRPr="00C538F6">
        <w:rPr>
          <w:rStyle w:val="Textoennegrita"/>
          <w:b w:val="0"/>
          <w:color w:val="000000"/>
          <w:shd w:val="clear" w:color="auto" w:fill="FFFFFF"/>
          <w:lang w:val="es-CR"/>
        </w:rPr>
        <w:t xml:space="preserve"> </w:t>
      </w:r>
      <w:proofErr w:type="spellStart"/>
      <w:r w:rsidRPr="00C538F6">
        <w:rPr>
          <w:rStyle w:val="Textoennegrita"/>
          <w:b w:val="0"/>
          <w:color w:val="000000"/>
          <w:shd w:val="clear" w:color="auto" w:fill="FFFFFF"/>
          <w:lang w:val="es-CR"/>
        </w:rPr>
        <w:t>opinion</w:t>
      </w:r>
      <w:proofErr w:type="spellEnd"/>
      <w:r w:rsidRPr="00C538F6">
        <w:rPr>
          <w:rStyle w:val="Textoennegrita"/>
          <w:b w:val="0"/>
          <w:color w:val="000000"/>
          <w:shd w:val="clear" w:color="auto" w:fill="FFFFFF"/>
          <w:lang w:val="es-CR"/>
        </w:rPr>
        <w:t xml:space="preserve"> </w:t>
      </w:r>
      <w:proofErr w:type="spellStart"/>
      <w:r w:rsidRPr="00C538F6">
        <w:rPr>
          <w:rStyle w:val="Textoennegrita"/>
          <w:b w:val="0"/>
          <w:color w:val="000000"/>
          <w:shd w:val="clear" w:color="auto" w:fill="FFFFFF"/>
          <w:lang w:val="es-CR"/>
        </w:rPr>
        <w:t>of</w:t>
      </w:r>
      <w:proofErr w:type="spellEnd"/>
      <w:r w:rsidRPr="00C538F6">
        <w:rPr>
          <w:rStyle w:val="Textoennegrita"/>
          <w:b w:val="0"/>
          <w:color w:val="000000"/>
          <w:shd w:val="clear" w:color="auto" w:fill="FFFFFF"/>
          <w:lang w:val="es-CR"/>
        </w:rPr>
        <w:t xml:space="preserve"> </w:t>
      </w:r>
      <w:proofErr w:type="spellStart"/>
      <w:r w:rsidRPr="00C538F6">
        <w:rPr>
          <w:rStyle w:val="Textoennegrita"/>
          <w:b w:val="0"/>
          <w:color w:val="000000"/>
          <w:shd w:val="clear" w:color="auto" w:fill="FFFFFF"/>
          <w:lang w:val="es-CR"/>
        </w:rPr>
        <w:t>Judge</w:t>
      </w:r>
      <w:proofErr w:type="spellEnd"/>
      <w:r w:rsidRPr="00C538F6">
        <w:rPr>
          <w:rStyle w:val="Textoennegrita"/>
          <w:b w:val="0"/>
          <w:color w:val="000000"/>
          <w:shd w:val="clear" w:color="auto" w:fill="FFFFFF"/>
          <w:lang w:val="es-CR"/>
        </w:rPr>
        <w:t xml:space="preserve"> Humberto Antonio Sierra Porto,</w:t>
      </w:r>
      <w:r w:rsidRPr="00C538F6">
        <w:rPr>
          <w:rFonts w:eastAsia="Verdana"/>
          <w:lang w:val="es-CR"/>
        </w:rPr>
        <w:t xml:space="preserve"> para. </w:t>
      </w:r>
      <w:r w:rsidRPr="00992861">
        <w:rPr>
          <w:rFonts w:eastAsia="Verdana"/>
          <w:lang w:val="en-US"/>
        </w:rPr>
        <w:t>6</w:t>
      </w:r>
      <w:r w:rsidRPr="00992861">
        <w:rPr>
          <w:lang w:val="en-US"/>
        </w:rPr>
        <w:t>.</w:t>
      </w:r>
    </w:p>
  </w:footnote>
  <w:footnote w:id="475">
    <w:p w14:paraId="3632D870" w14:textId="77777777" w:rsidR="00AF5CC6" w:rsidRPr="00992861" w:rsidRDefault="00AF5CC6" w:rsidP="00AF5CC6">
      <w:pPr>
        <w:pStyle w:val="Textonotapie"/>
        <w:rPr>
          <w:lang w:val="en-US"/>
        </w:rPr>
      </w:pPr>
      <w:r w:rsidRPr="00992861">
        <w:rPr>
          <w:rStyle w:val="Refdenotaalpie"/>
          <w:lang w:val="en-US"/>
        </w:rPr>
        <w:footnoteRef/>
      </w:r>
      <w:r w:rsidRPr="00992861">
        <w:rPr>
          <w:lang w:val="en-US"/>
        </w:rPr>
        <w:tab/>
      </w:r>
      <w:r w:rsidRPr="00992861">
        <w:rPr>
          <w:i/>
          <w:lang w:val="en-US"/>
        </w:rPr>
        <w:t xml:space="preserve">Cf. Case of Poblete </w:t>
      </w:r>
      <w:proofErr w:type="spellStart"/>
      <w:r w:rsidRPr="00992861">
        <w:rPr>
          <w:i/>
          <w:lang w:val="en-US"/>
        </w:rPr>
        <w:t>Vilches</w:t>
      </w:r>
      <w:proofErr w:type="spellEnd"/>
      <w:r w:rsidRPr="00992861">
        <w:rPr>
          <w:i/>
          <w:lang w:val="en-US"/>
        </w:rPr>
        <w:t xml:space="preserve"> et al. v. Chile. Merits, reparations and costs.</w:t>
      </w:r>
      <w:r w:rsidRPr="00992861">
        <w:rPr>
          <w:lang w:val="en-US"/>
        </w:rPr>
        <w:t xml:space="preserve"> Judgment of March 8, 2018. Series C No. 349, </w:t>
      </w:r>
      <w:r w:rsidRPr="00992861">
        <w:rPr>
          <w:rStyle w:val="Textoennegrita"/>
          <w:b w:val="0"/>
          <w:color w:val="000000"/>
          <w:shd w:val="clear" w:color="auto" w:fill="FFFFFF"/>
          <w:lang w:val="en-US"/>
        </w:rPr>
        <w:t>Concurring opinion of Judge Humberto Antonio Sierra Porto</w:t>
      </w:r>
      <w:r w:rsidRPr="00992861">
        <w:rPr>
          <w:rFonts w:eastAsia="Verdana"/>
          <w:lang w:val="en-US"/>
        </w:rPr>
        <w:t xml:space="preserve"> para. 6</w:t>
      </w:r>
      <w:r w:rsidRPr="00992861">
        <w:rPr>
          <w:lang w:val="en-US"/>
        </w:rPr>
        <w:t>.</w:t>
      </w:r>
    </w:p>
  </w:footnote>
  <w:footnote w:id="476">
    <w:p w14:paraId="57A61428" w14:textId="77777777" w:rsidR="00AF5CC6" w:rsidRPr="00992861" w:rsidRDefault="00AF5CC6" w:rsidP="00AF5CC6">
      <w:pPr>
        <w:pStyle w:val="Textonotapie"/>
        <w:rPr>
          <w:lang w:val="en-US"/>
        </w:rPr>
      </w:pPr>
      <w:r w:rsidRPr="00992861">
        <w:rPr>
          <w:rStyle w:val="Refdenotaalpie"/>
          <w:lang w:val="en-US"/>
        </w:rPr>
        <w:footnoteRef/>
      </w:r>
      <w:r w:rsidRPr="00992861">
        <w:rPr>
          <w:lang w:val="en-US"/>
        </w:rPr>
        <w:tab/>
      </w:r>
      <w:r w:rsidRPr="00992861">
        <w:rPr>
          <w:i/>
          <w:lang w:val="en-US"/>
        </w:rPr>
        <w:t xml:space="preserve">Cf. Case of Poblete </w:t>
      </w:r>
      <w:proofErr w:type="spellStart"/>
      <w:r w:rsidRPr="00992861">
        <w:rPr>
          <w:i/>
          <w:lang w:val="en-US"/>
        </w:rPr>
        <w:t>Vilches</w:t>
      </w:r>
      <w:proofErr w:type="spellEnd"/>
      <w:r w:rsidRPr="00992861">
        <w:rPr>
          <w:i/>
          <w:lang w:val="en-US"/>
        </w:rPr>
        <w:t xml:space="preserve"> et al. v. Chile. Merits, reparations and costs.</w:t>
      </w:r>
      <w:r w:rsidRPr="00992861">
        <w:rPr>
          <w:lang w:val="en-US"/>
        </w:rPr>
        <w:t xml:space="preserve"> Judgment of March 8, 2018. Series C No. 349, </w:t>
      </w:r>
      <w:r w:rsidRPr="00992861">
        <w:rPr>
          <w:rStyle w:val="Textoennegrita"/>
          <w:b w:val="0"/>
          <w:color w:val="000000"/>
          <w:shd w:val="clear" w:color="auto" w:fill="FFFFFF"/>
          <w:lang w:val="en-US"/>
        </w:rPr>
        <w:t>Concurring opinion of Judge Humberto Antonio Sierra Porto,</w:t>
      </w:r>
      <w:r w:rsidRPr="00992861">
        <w:rPr>
          <w:rFonts w:eastAsia="Verdana"/>
          <w:lang w:val="en-US"/>
        </w:rPr>
        <w:t xml:space="preserve"> para. 12</w:t>
      </w:r>
      <w:r w:rsidRPr="00992861">
        <w:rPr>
          <w:lang w:val="en-US"/>
        </w:rPr>
        <w:t>.</w:t>
      </w:r>
    </w:p>
  </w:footnote>
  <w:footnote w:id="477">
    <w:p w14:paraId="196029B6" w14:textId="77777777" w:rsidR="00AF5CC6" w:rsidRPr="00992861" w:rsidRDefault="00AF5CC6" w:rsidP="00AF5CC6">
      <w:pPr>
        <w:pStyle w:val="Textonotapie"/>
        <w:rPr>
          <w:lang w:val="en-US"/>
        </w:rPr>
      </w:pPr>
      <w:r w:rsidRPr="00992861">
        <w:rPr>
          <w:rStyle w:val="Refdenotaalpie"/>
          <w:lang w:val="en-US"/>
        </w:rPr>
        <w:footnoteRef/>
      </w:r>
      <w:r w:rsidRPr="00992861">
        <w:rPr>
          <w:lang w:val="en-US"/>
        </w:rPr>
        <w:tab/>
      </w:r>
      <w:r w:rsidRPr="00992861">
        <w:rPr>
          <w:i/>
          <w:lang w:val="en-US"/>
        </w:rPr>
        <w:t xml:space="preserve">Cf. </w:t>
      </w:r>
      <w:r w:rsidRPr="00992861">
        <w:rPr>
          <w:rStyle w:val="Textoennegrita"/>
          <w:b w:val="0"/>
          <w:i/>
          <w:color w:val="000000"/>
          <w:shd w:val="clear" w:color="auto" w:fill="FFFFFF"/>
          <w:lang w:val="en-US"/>
        </w:rPr>
        <w:t xml:space="preserve">Case of Gonzales </w:t>
      </w:r>
      <w:proofErr w:type="spellStart"/>
      <w:r w:rsidRPr="00992861">
        <w:rPr>
          <w:rStyle w:val="Textoennegrita"/>
          <w:b w:val="0"/>
          <w:i/>
          <w:color w:val="000000"/>
          <w:shd w:val="clear" w:color="auto" w:fill="FFFFFF"/>
          <w:lang w:val="en-US"/>
        </w:rPr>
        <w:t>Lluy</w:t>
      </w:r>
      <w:proofErr w:type="spellEnd"/>
      <w:r w:rsidRPr="00992861">
        <w:rPr>
          <w:rStyle w:val="Textoennegrita"/>
          <w:b w:val="0"/>
          <w:i/>
          <w:color w:val="000000"/>
          <w:shd w:val="clear" w:color="auto" w:fill="FFFFFF"/>
          <w:lang w:val="en-US"/>
        </w:rPr>
        <w:t xml:space="preserve"> et al. v. Ecuador. </w:t>
      </w:r>
      <w:r w:rsidRPr="00992861">
        <w:rPr>
          <w:bCs/>
          <w:i/>
          <w:color w:val="000000"/>
          <w:shd w:val="clear" w:color="auto" w:fill="FFFFFF"/>
          <w:lang w:val="en-US"/>
        </w:rPr>
        <w:t xml:space="preserve">Preliminary objections merits, reparations and costs. </w:t>
      </w:r>
      <w:r w:rsidRPr="00992861">
        <w:rPr>
          <w:bCs/>
          <w:color w:val="000000"/>
          <w:shd w:val="clear" w:color="auto" w:fill="FFFFFF"/>
          <w:lang w:val="en-US"/>
        </w:rPr>
        <w:t>Judgment of September 1, 2015. Series C No. 298.</w:t>
      </w:r>
      <w:r w:rsidRPr="00992861">
        <w:rPr>
          <w:rStyle w:val="Textoennegrita"/>
          <w:b w:val="0"/>
          <w:color w:val="000000"/>
          <w:shd w:val="clear" w:color="auto" w:fill="FFFFFF"/>
          <w:lang w:val="en-US"/>
        </w:rPr>
        <w:t xml:space="preserve"> Concurring opinion of Judge Humberto Antonio Sierra Porto, para. 30</w:t>
      </w:r>
      <w:r w:rsidRPr="00992861">
        <w:rPr>
          <w:lang w:val="en-US"/>
        </w:rPr>
        <w:t>.</w:t>
      </w:r>
    </w:p>
  </w:footnote>
  <w:footnote w:id="478">
    <w:p w14:paraId="192CE32B" w14:textId="77777777" w:rsidR="00AF5CC6" w:rsidRPr="00992861" w:rsidRDefault="00AF5CC6" w:rsidP="00AF5CC6">
      <w:pPr>
        <w:pStyle w:val="Textonotapie"/>
        <w:rPr>
          <w:lang w:val="en-US"/>
        </w:rPr>
      </w:pPr>
      <w:r w:rsidRPr="00992861">
        <w:rPr>
          <w:rStyle w:val="Refdenotaalpie"/>
          <w:lang w:val="en-US"/>
        </w:rPr>
        <w:footnoteRef/>
      </w:r>
      <w:r w:rsidRPr="00992861">
        <w:rPr>
          <w:lang w:val="en-US"/>
        </w:rPr>
        <w:tab/>
      </w:r>
      <w:r w:rsidRPr="00992861">
        <w:rPr>
          <w:i/>
          <w:lang w:val="en-US"/>
        </w:rPr>
        <w:t xml:space="preserve">Cf. </w:t>
      </w:r>
      <w:r w:rsidRPr="00992861">
        <w:rPr>
          <w:rStyle w:val="Textoennegrita"/>
          <w:b w:val="0"/>
          <w:i/>
          <w:color w:val="000000"/>
          <w:shd w:val="clear" w:color="auto" w:fill="FFFFFF"/>
          <w:lang w:val="en-US"/>
        </w:rPr>
        <w:t xml:space="preserve">Case of Gonzales </w:t>
      </w:r>
      <w:proofErr w:type="spellStart"/>
      <w:r w:rsidRPr="00992861">
        <w:rPr>
          <w:rStyle w:val="Textoennegrita"/>
          <w:b w:val="0"/>
          <w:i/>
          <w:color w:val="000000"/>
          <w:shd w:val="clear" w:color="auto" w:fill="FFFFFF"/>
          <w:lang w:val="en-US"/>
        </w:rPr>
        <w:t>Lluy</w:t>
      </w:r>
      <w:proofErr w:type="spellEnd"/>
      <w:r w:rsidRPr="00992861">
        <w:rPr>
          <w:rStyle w:val="Textoennegrita"/>
          <w:b w:val="0"/>
          <w:i/>
          <w:color w:val="000000"/>
          <w:shd w:val="clear" w:color="auto" w:fill="FFFFFF"/>
          <w:lang w:val="en-US"/>
        </w:rPr>
        <w:t xml:space="preserve"> et al. v. Ecuador. </w:t>
      </w:r>
      <w:r w:rsidRPr="00992861">
        <w:rPr>
          <w:bCs/>
          <w:i/>
          <w:color w:val="000000"/>
          <w:shd w:val="clear" w:color="auto" w:fill="FFFFFF"/>
          <w:lang w:val="en-US"/>
        </w:rPr>
        <w:t xml:space="preserve">Preliminary objections merits, reparations and costs. </w:t>
      </w:r>
      <w:r w:rsidRPr="00992861">
        <w:rPr>
          <w:bCs/>
          <w:color w:val="000000"/>
          <w:shd w:val="clear" w:color="auto" w:fill="FFFFFF"/>
          <w:lang w:val="en-US"/>
        </w:rPr>
        <w:t>Judgment of September 1, 2015. Series C No. 298.</w:t>
      </w:r>
      <w:r w:rsidRPr="00992861">
        <w:rPr>
          <w:rStyle w:val="Textoennegrita"/>
          <w:b w:val="0"/>
          <w:color w:val="000000"/>
          <w:shd w:val="clear" w:color="auto" w:fill="FFFFFF"/>
          <w:lang w:val="en-US"/>
        </w:rPr>
        <w:t xml:space="preserve"> Concurring opinion of Judge Humberto Antonio Sierra Porto, para. 31</w:t>
      </w:r>
      <w:r w:rsidRPr="00992861">
        <w:rPr>
          <w:lang w:val="en-US"/>
        </w:rPr>
        <w:t>.</w:t>
      </w:r>
    </w:p>
  </w:footnote>
  <w:footnote w:id="479">
    <w:p w14:paraId="6A139700" w14:textId="77777777" w:rsidR="00AF5CC6" w:rsidRPr="00992861" w:rsidRDefault="00AF5CC6" w:rsidP="00AF5CC6">
      <w:pPr>
        <w:pStyle w:val="Textonotapie"/>
        <w:rPr>
          <w:lang w:val="en-US"/>
        </w:rPr>
      </w:pPr>
      <w:r w:rsidRPr="00992861">
        <w:rPr>
          <w:rStyle w:val="Refdenotaalpie"/>
          <w:lang w:val="en-US"/>
        </w:rPr>
        <w:footnoteRef/>
      </w:r>
      <w:r w:rsidRPr="00992861">
        <w:rPr>
          <w:lang w:val="en-US"/>
        </w:rPr>
        <w:tab/>
      </w:r>
      <w:r w:rsidRPr="00992861">
        <w:rPr>
          <w:i/>
          <w:lang w:val="en-US"/>
        </w:rPr>
        <w:t xml:space="preserve">Cf. </w:t>
      </w:r>
      <w:r w:rsidRPr="00992861">
        <w:rPr>
          <w:lang w:val="en-US"/>
        </w:rPr>
        <w:t>Constitutional Court of Colombia. Judgment T-650/09. Judgment of September 17, 2009, section 3.</w:t>
      </w:r>
    </w:p>
  </w:footnote>
  <w:footnote w:id="480">
    <w:p w14:paraId="0C94C58D" w14:textId="77777777" w:rsidR="00AF5CC6" w:rsidRPr="00992861" w:rsidRDefault="00AF5CC6" w:rsidP="00AF5CC6">
      <w:pPr>
        <w:pStyle w:val="Textonotapie"/>
        <w:rPr>
          <w:lang w:val="en-US"/>
        </w:rPr>
      </w:pPr>
      <w:r w:rsidRPr="00992861">
        <w:rPr>
          <w:rStyle w:val="Refdenotaalpie"/>
          <w:lang w:val="en-US"/>
        </w:rPr>
        <w:footnoteRef/>
      </w:r>
      <w:r w:rsidRPr="00992861">
        <w:rPr>
          <w:lang w:val="en-US"/>
        </w:rPr>
        <w:tab/>
      </w:r>
      <w:r w:rsidRPr="00992861">
        <w:rPr>
          <w:i/>
          <w:lang w:val="en-US"/>
        </w:rPr>
        <w:t xml:space="preserve">Cf. </w:t>
      </w:r>
      <w:r w:rsidRPr="00992861">
        <w:rPr>
          <w:lang w:val="en-US"/>
        </w:rPr>
        <w:t>Constitutional Court of Colombia. Judgment T-650/09. Judgment of September 17, 2009, section 3.</w:t>
      </w:r>
    </w:p>
  </w:footnote>
  <w:footnote w:id="481">
    <w:p w14:paraId="426B70F0" w14:textId="77777777" w:rsidR="00AF5CC6" w:rsidRPr="00992861" w:rsidRDefault="00AF5CC6" w:rsidP="00AF5CC6">
      <w:pPr>
        <w:pStyle w:val="Textonotapie"/>
        <w:rPr>
          <w:lang w:val="en-US"/>
        </w:rPr>
      </w:pPr>
      <w:r w:rsidRPr="00992861">
        <w:rPr>
          <w:rStyle w:val="Refdenotaalpie"/>
          <w:lang w:val="en-US"/>
        </w:rPr>
        <w:footnoteRef/>
      </w:r>
      <w:r w:rsidRPr="00992861">
        <w:rPr>
          <w:lang w:val="en-US"/>
        </w:rPr>
        <w:tab/>
      </w:r>
      <w:r w:rsidRPr="00992861">
        <w:rPr>
          <w:i/>
          <w:lang w:val="en-US"/>
        </w:rPr>
        <w:t xml:space="preserve">Cf. </w:t>
      </w:r>
      <w:r w:rsidRPr="00992861">
        <w:rPr>
          <w:rStyle w:val="Textoennegrita"/>
          <w:b w:val="0"/>
          <w:i/>
          <w:color w:val="000000"/>
          <w:shd w:val="clear" w:color="auto" w:fill="FFFFFF"/>
          <w:lang w:val="en-US"/>
        </w:rPr>
        <w:t xml:space="preserve">Case of </w:t>
      </w:r>
      <w:proofErr w:type="spellStart"/>
      <w:r w:rsidRPr="00992861">
        <w:rPr>
          <w:rStyle w:val="Textoennegrita"/>
          <w:b w:val="0"/>
          <w:i/>
          <w:color w:val="000000"/>
          <w:shd w:val="clear" w:color="auto" w:fill="FFFFFF"/>
          <w:lang w:val="en-US"/>
        </w:rPr>
        <w:t>Cuscul</w:t>
      </w:r>
      <w:proofErr w:type="spellEnd"/>
      <w:r w:rsidRPr="00992861">
        <w:rPr>
          <w:rStyle w:val="Textoennegrita"/>
          <w:b w:val="0"/>
          <w:i/>
          <w:color w:val="000000"/>
          <w:shd w:val="clear" w:color="auto" w:fill="FFFFFF"/>
          <w:lang w:val="en-US"/>
        </w:rPr>
        <w:t xml:space="preserve"> </w:t>
      </w:r>
      <w:proofErr w:type="spellStart"/>
      <w:r w:rsidRPr="00992861">
        <w:rPr>
          <w:rStyle w:val="Textoennegrita"/>
          <w:b w:val="0"/>
          <w:i/>
          <w:color w:val="000000"/>
          <w:shd w:val="clear" w:color="auto" w:fill="FFFFFF"/>
          <w:lang w:val="en-US"/>
        </w:rPr>
        <w:t>Pivaral</w:t>
      </w:r>
      <w:proofErr w:type="spellEnd"/>
      <w:r w:rsidRPr="00992861">
        <w:rPr>
          <w:rStyle w:val="Textoennegrita"/>
          <w:b w:val="0"/>
          <w:i/>
          <w:color w:val="000000"/>
          <w:shd w:val="clear" w:color="auto" w:fill="FFFFFF"/>
          <w:lang w:val="en-US"/>
        </w:rPr>
        <w:t xml:space="preserve"> et al. v. Guatemala. Preliminary objection, merits, reparations and costs. </w:t>
      </w:r>
      <w:r w:rsidRPr="00992861">
        <w:rPr>
          <w:rStyle w:val="Textoennegrita"/>
          <w:b w:val="0"/>
          <w:color w:val="000000"/>
          <w:shd w:val="clear" w:color="auto" w:fill="FFFFFF"/>
          <w:lang w:val="en-US"/>
        </w:rPr>
        <w:t>Judgment of August 23, 2018. Series C No. 359</w:t>
      </w:r>
      <w:r w:rsidRPr="00992861">
        <w:rPr>
          <w:lang w:val="en-US"/>
        </w:rPr>
        <w:t>, paras. 144 and 146.</w:t>
      </w:r>
    </w:p>
  </w:footnote>
  <w:footnote w:id="482">
    <w:p w14:paraId="2ED8824D" w14:textId="77777777" w:rsidR="00AF5CC6" w:rsidRPr="00992861" w:rsidRDefault="00AF5CC6" w:rsidP="00AF5CC6">
      <w:pPr>
        <w:pStyle w:val="Textonotapie"/>
        <w:rPr>
          <w:lang w:val="en-US"/>
        </w:rPr>
      </w:pPr>
      <w:r w:rsidRPr="00992861">
        <w:rPr>
          <w:rStyle w:val="Refdenotaalpie"/>
          <w:lang w:val="en-US"/>
        </w:rPr>
        <w:footnoteRef/>
      </w:r>
      <w:r w:rsidRPr="00992861">
        <w:rPr>
          <w:lang w:val="en-US"/>
        </w:rPr>
        <w:tab/>
      </w:r>
      <w:r w:rsidRPr="00992861">
        <w:rPr>
          <w:rStyle w:val="Textoennegrita"/>
          <w:b w:val="0"/>
          <w:i/>
          <w:color w:val="000000"/>
          <w:shd w:val="clear" w:color="auto" w:fill="FFFFFF"/>
          <w:lang w:val="en-US"/>
        </w:rPr>
        <w:t xml:space="preserve">Case of </w:t>
      </w:r>
      <w:proofErr w:type="spellStart"/>
      <w:r w:rsidRPr="00992861">
        <w:rPr>
          <w:rStyle w:val="Textoennegrita"/>
          <w:b w:val="0"/>
          <w:i/>
          <w:color w:val="000000"/>
          <w:shd w:val="clear" w:color="auto" w:fill="FFFFFF"/>
          <w:lang w:val="en-US"/>
        </w:rPr>
        <w:t>Cuscul</w:t>
      </w:r>
      <w:proofErr w:type="spellEnd"/>
      <w:r w:rsidRPr="00992861">
        <w:rPr>
          <w:rStyle w:val="Textoennegrita"/>
          <w:b w:val="0"/>
          <w:i/>
          <w:color w:val="000000"/>
          <w:shd w:val="clear" w:color="auto" w:fill="FFFFFF"/>
          <w:lang w:val="en-US"/>
        </w:rPr>
        <w:t xml:space="preserve"> </w:t>
      </w:r>
      <w:proofErr w:type="spellStart"/>
      <w:r w:rsidRPr="00992861">
        <w:rPr>
          <w:rStyle w:val="Textoennegrita"/>
          <w:b w:val="0"/>
          <w:i/>
          <w:color w:val="000000"/>
          <w:shd w:val="clear" w:color="auto" w:fill="FFFFFF"/>
          <w:lang w:val="en-US"/>
        </w:rPr>
        <w:t>Pivaral</w:t>
      </w:r>
      <w:proofErr w:type="spellEnd"/>
      <w:r w:rsidRPr="00992861">
        <w:rPr>
          <w:rStyle w:val="Textoennegrita"/>
          <w:b w:val="0"/>
          <w:i/>
          <w:color w:val="000000"/>
          <w:shd w:val="clear" w:color="auto" w:fill="FFFFFF"/>
          <w:lang w:val="en-US"/>
        </w:rPr>
        <w:t xml:space="preserve"> et al. v. Guatemala. Preliminary objection, merits, reparations and costs. </w:t>
      </w:r>
      <w:r w:rsidRPr="00992861">
        <w:rPr>
          <w:rStyle w:val="Textoennegrita"/>
          <w:b w:val="0"/>
          <w:color w:val="000000"/>
          <w:shd w:val="clear" w:color="auto" w:fill="FFFFFF"/>
          <w:lang w:val="en-US"/>
        </w:rPr>
        <w:t>Judgment of August 23, 2018. Series C No. 359</w:t>
      </w:r>
      <w:r w:rsidRPr="00992861">
        <w:rPr>
          <w:lang w:val="en-US"/>
        </w:rPr>
        <w:t>, para. 148.</w:t>
      </w:r>
    </w:p>
  </w:footnote>
  <w:footnote w:id="483">
    <w:p w14:paraId="430B9904" w14:textId="77777777" w:rsidR="00AF5CC6" w:rsidRPr="00992861" w:rsidRDefault="00AF5CC6" w:rsidP="00AF5CC6">
      <w:pPr>
        <w:pStyle w:val="Textonotapie"/>
        <w:rPr>
          <w:lang w:val="en-US"/>
        </w:rPr>
      </w:pPr>
      <w:r w:rsidRPr="00992861">
        <w:rPr>
          <w:rStyle w:val="Refdenotaalpie"/>
          <w:lang w:val="en-US"/>
        </w:rPr>
        <w:footnoteRef/>
      </w:r>
      <w:r w:rsidRPr="00992861">
        <w:rPr>
          <w:lang w:val="en-US"/>
        </w:rPr>
        <w:t xml:space="preserve"> </w:t>
      </w:r>
      <w:r w:rsidRPr="00992861">
        <w:rPr>
          <w:lang w:val="en-US"/>
        </w:rPr>
        <w:tab/>
      </w:r>
      <w:r w:rsidRPr="00992861">
        <w:rPr>
          <w:rStyle w:val="Textoennegrita"/>
          <w:b w:val="0"/>
          <w:i/>
          <w:color w:val="000000"/>
          <w:shd w:val="clear" w:color="auto" w:fill="FFFFFF"/>
          <w:lang w:val="en-US"/>
        </w:rPr>
        <w:t xml:space="preserve">Case of </w:t>
      </w:r>
      <w:proofErr w:type="spellStart"/>
      <w:r w:rsidRPr="00992861">
        <w:rPr>
          <w:rStyle w:val="Textoennegrita"/>
          <w:b w:val="0"/>
          <w:i/>
          <w:color w:val="000000"/>
          <w:shd w:val="clear" w:color="auto" w:fill="FFFFFF"/>
          <w:lang w:val="en-US"/>
        </w:rPr>
        <w:t>Cuscul</w:t>
      </w:r>
      <w:proofErr w:type="spellEnd"/>
      <w:r w:rsidRPr="00992861">
        <w:rPr>
          <w:rStyle w:val="Textoennegrita"/>
          <w:b w:val="0"/>
          <w:i/>
          <w:color w:val="000000"/>
          <w:shd w:val="clear" w:color="auto" w:fill="FFFFFF"/>
          <w:lang w:val="en-US"/>
        </w:rPr>
        <w:t xml:space="preserve"> </w:t>
      </w:r>
      <w:proofErr w:type="spellStart"/>
      <w:r w:rsidRPr="00992861">
        <w:rPr>
          <w:rStyle w:val="Textoennegrita"/>
          <w:b w:val="0"/>
          <w:i/>
          <w:color w:val="000000"/>
          <w:shd w:val="clear" w:color="auto" w:fill="FFFFFF"/>
          <w:lang w:val="en-US"/>
        </w:rPr>
        <w:t>Pivaral</w:t>
      </w:r>
      <w:proofErr w:type="spellEnd"/>
      <w:r w:rsidRPr="00992861">
        <w:rPr>
          <w:rStyle w:val="Textoennegrita"/>
          <w:b w:val="0"/>
          <w:i/>
          <w:color w:val="000000"/>
          <w:shd w:val="clear" w:color="auto" w:fill="FFFFFF"/>
          <w:lang w:val="en-US"/>
        </w:rPr>
        <w:t xml:space="preserve"> et al. v. Guatemala. Preliminary objection, merits, reparations and costs. </w:t>
      </w:r>
      <w:r w:rsidRPr="00992861">
        <w:rPr>
          <w:rStyle w:val="Textoennegrita"/>
          <w:b w:val="0"/>
          <w:color w:val="000000"/>
          <w:shd w:val="clear" w:color="auto" w:fill="FFFFFF"/>
          <w:lang w:val="en-US"/>
        </w:rPr>
        <w:t>Judgment of August 23, 2018. Series C No. 359</w:t>
      </w:r>
      <w:r w:rsidRPr="00992861">
        <w:rPr>
          <w:lang w:val="en-US"/>
        </w:rPr>
        <w:t xml:space="preserve">, fourteenth operative paragraph. </w:t>
      </w:r>
    </w:p>
  </w:footnote>
  <w:footnote w:id="484">
    <w:p w14:paraId="2EFA0E83" w14:textId="77777777" w:rsidR="00AF5CC6" w:rsidRPr="00992861" w:rsidRDefault="00AF5CC6" w:rsidP="00AF5CC6">
      <w:pPr>
        <w:pStyle w:val="Textonotapie"/>
        <w:rPr>
          <w:lang w:val="en-US"/>
        </w:rPr>
      </w:pPr>
      <w:r w:rsidRPr="00992861">
        <w:rPr>
          <w:rStyle w:val="Refdenotaalpie"/>
          <w:lang w:val="en-US"/>
        </w:rPr>
        <w:footnoteRef/>
      </w:r>
      <w:r w:rsidRPr="00992861">
        <w:rPr>
          <w:lang w:val="en-US"/>
        </w:rPr>
        <w:t xml:space="preserve"> </w:t>
      </w:r>
      <w:r w:rsidRPr="00992861">
        <w:rPr>
          <w:lang w:val="en-US"/>
        </w:rPr>
        <w:tab/>
      </w:r>
      <w:r w:rsidRPr="00992861">
        <w:rPr>
          <w:rStyle w:val="Textoennegrita"/>
          <w:b w:val="0"/>
          <w:i/>
          <w:color w:val="000000"/>
          <w:shd w:val="clear" w:color="auto" w:fill="FFFFFF"/>
          <w:lang w:val="en-US"/>
        </w:rPr>
        <w:t xml:space="preserve">Case of </w:t>
      </w:r>
      <w:proofErr w:type="spellStart"/>
      <w:r w:rsidRPr="00992861">
        <w:rPr>
          <w:rStyle w:val="Textoennegrita"/>
          <w:b w:val="0"/>
          <w:i/>
          <w:color w:val="000000"/>
          <w:shd w:val="clear" w:color="auto" w:fill="FFFFFF"/>
          <w:lang w:val="en-US"/>
        </w:rPr>
        <w:t>Cuscul</w:t>
      </w:r>
      <w:proofErr w:type="spellEnd"/>
      <w:r w:rsidRPr="00992861">
        <w:rPr>
          <w:rStyle w:val="Textoennegrita"/>
          <w:b w:val="0"/>
          <w:i/>
          <w:color w:val="000000"/>
          <w:shd w:val="clear" w:color="auto" w:fill="FFFFFF"/>
          <w:lang w:val="en-US"/>
        </w:rPr>
        <w:t xml:space="preserve"> </w:t>
      </w:r>
      <w:proofErr w:type="spellStart"/>
      <w:r w:rsidRPr="00992861">
        <w:rPr>
          <w:rStyle w:val="Textoennegrita"/>
          <w:b w:val="0"/>
          <w:i/>
          <w:color w:val="000000"/>
          <w:shd w:val="clear" w:color="auto" w:fill="FFFFFF"/>
          <w:lang w:val="en-US"/>
        </w:rPr>
        <w:t>Pivaral</w:t>
      </w:r>
      <w:proofErr w:type="spellEnd"/>
      <w:r w:rsidRPr="00992861">
        <w:rPr>
          <w:rStyle w:val="Textoennegrita"/>
          <w:b w:val="0"/>
          <w:i/>
          <w:color w:val="000000"/>
          <w:shd w:val="clear" w:color="auto" w:fill="FFFFFF"/>
          <w:lang w:val="en-US"/>
        </w:rPr>
        <w:t xml:space="preserve"> et al. v. Guatemala. Preliminary objection, merits, reparations and costs. </w:t>
      </w:r>
      <w:r w:rsidRPr="00992861">
        <w:rPr>
          <w:rStyle w:val="Textoennegrita"/>
          <w:b w:val="0"/>
          <w:color w:val="000000"/>
          <w:shd w:val="clear" w:color="auto" w:fill="FFFFFF"/>
          <w:lang w:val="en-US"/>
        </w:rPr>
        <w:t>Judgment of August 23, 2018. Series C No. 359</w:t>
      </w:r>
      <w:r w:rsidRPr="00992861">
        <w:rPr>
          <w:lang w:val="en-US"/>
        </w:rPr>
        <w:t xml:space="preserve">, paras. 225 to 226. </w:t>
      </w:r>
    </w:p>
  </w:footnote>
  <w:footnote w:id="485">
    <w:p w14:paraId="4A0B8C2F" w14:textId="77777777" w:rsidR="00AF5CC6" w:rsidRPr="00992861" w:rsidRDefault="00AF5CC6" w:rsidP="00AF5CC6">
      <w:pPr>
        <w:pStyle w:val="Textonotapie"/>
        <w:rPr>
          <w:lang w:val="en-US"/>
        </w:rPr>
      </w:pPr>
      <w:r w:rsidRPr="00992861">
        <w:rPr>
          <w:rStyle w:val="Refdenotaalpie"/>
          <w:lang w:val="en-US"/>
        </w:rPr>
        <w:footnoteRef/>
      </w:r>
      <w:r w:rsidRPr="00992861">
        <w:rPr>
          <w:lang w:val="en-US"/>
        </w:rPr>
        <w:tab/>
        <w:t xml:space="preserve">Constitutional Court of Colombia, File T-1080/07. Judgment of December 13, 2007. Rapporteur: Justice </w:t>
      </w:r>
      <w:proofErr w:type="spellStart"/>
      <w:r w:rsidRPr="00992861">
        <w:rPr>
          <w:lang w:val="en-US"/>
        </w:rPr>
        <w:t>Humerto</w:t>
      </w:r>
      <w:proofErr w:type="spellEnd"/>
      <w:r w:rsidRPr="00992861">
        <w:rPr>
          <w:lang w:val="en-US"/>
        </w:rPr>
        <w:t xml:space="preserve"> Antonio Sierra Porto, p. 10.</w:t>
      </w:r>
    </w:p>
  </w:footnote>
  <w:footnote w:id="486">
    <w:p w14:paraId="380DC3B0" w14:textId="77777777" w:rsidR="00AF5CC6" w:rsidRPr="00992861" w:rsidRDefault="00AF5CC6" w:rsidP="00AF5CC6">
      <w:pPr>
        <w:pStyle w:val="Textonotapie"/>
        <w:rPr>
          <w:lang w:val="en-US"/>
        </w:rPr>
      </w:pPr>
      <w:r w:rsidRPr="00992861">
        <w:rPr>
          <w:rStyle w:val="Refdenotaalpie"/>
          <w:lang w:val="en-US"/>
        </w:rPr>
        <w:footnoteRef/>
      </w:r>
      <w:r w:rsidRPr="00992861">
        <w:rPr>
          <w:i/>
          <w:lang w:val="en-US"/>
        </w:rPr>
        <w:tab/>
        <w:t xml:space="preserve">Cf. </w:t>
      </w:r>
      <w:r w:rsidRPr="00992861">
        <w:rPr>
          <w:lang w:val="en-US"/>
        </w:rPr>
        <w:t xml:space="preserve">Constitutional Court of South Africa, </w:t>
      </w:r>
      <w:proofErr w:type="spellStart"/>
      <w:r w:rsidRPr="00992861">
        <w:rPr>
          <w:lang w:val="en-US"/>
        </w:rPr>
        <w:t>Thiagraj</w:t>
      </w:r>
      <w:proofErr w:type="spellEnd"/>
      <w:r w:rsidRPr="00992861">
        <w:rPr>
          <w:lang w:val="en-US"/>
        </w:rPr>
        <w:t xml:space="preserve"> </w:t>
      </w:r>
      <w:proofErr w:type="spellStart"/>
      <w:r w:rsidRPr="00992861">
        <w:rPr>
          <w:lang w:val="en-US"/>
        </w:rPr>
        <w:t>Soobramoney</w:t>
      </w:r>
      <w:proofErr w:type="spellEnd"/>
      <w:r w:rsidRPr="00992861">
        <w:rPr>
          <w:lang w:val="en-US"/>
        </w:rPr>
        <w:t xml:space="preserve"> v. Minister of Health (</w:t>
      </w:r>
      <w:proofErr w:type="spellStart"/>
      <w:r w:rsidRPr="00992861">
        <w:rPr>
          <w:lang w:val="en-US"/>
        </w:rPr>
        <w:t>Kwaxulu</w:t>
      </w:r>
      <w:proofErr w:type="spellEnd"/>
      <w:r w:rsidRPr="00992861">
        <w:rPr>
          <w:lang w:val="en-US"/>
        </w:rPr>
        <w:t xml:space="preserve">-Natal). Judgment of November 27, 1997, para. 31. </w:t>
      </w:r>
    </w:p>
  </w:footnote>
  <w:footnote w:id="487">
    <w:p w14:paraId="0318FDE6" w14:textId="77777777" w:rsidR="00AF5CC6" w:rsidRPr="00992861" w:rsidRDefault="00AF5CC6" w:rsidP="00AF5CC6">
      <w:pPr>
        <w:pStyle w:val="Textonotapie"/>
        <w:rPr>
          <w:lang w:val="en-US"/>
        </w:rPr>
      </w:pPr>
      <w:r w:rsidRPr="00992861">
        <w:rPr>
          <w:rStyle w:val="Refdenotaalpie"/>
          <w:lang w:val="en-US"/>
        </w:rPr>
        <w:footnoteRef/>
      </w:r>
      <w:r w:rsidRPr="00992861">
        <w:rPr>
          <w:lang w:val="en-US"/>
        </w:rPr>
        <w:tab/>
      </w:r>
      <w:r w:rsidRPr="00992861">
        <w:rPr>
          <w:i/>
          <w:lang w:val="en-US"/>
        </w:rPr>
        <w:t xml:space="preserve">Cf. </w:t>
      </w:r>
      <w:r w:rsidRPr="00992861">
        <w:rPr>
          <w:lang w:val="en-US"/>
        </w:rPr>
        <w:t xml:space="preserve">Constitutional Court of South Africa, Minister of Health and Others v. Treatment Action Campaign and Others. Case CCT 8/02. Judgment of July 5, 2002, paras. 113 and 114. </w:t>
      </w:r>
    </w:p>
  </w:footnote>
  <w:footnote w:id="488">
    <w:p w14:paraId="70D1148D" w14:textId="77777777" w:rsidR="00AF5CC6" w:rsidRPr="00992861" w:rsidRDefault="00AF5CC6" w:rsidP="00AF5CC6">
      <w:pPr>
        <w:pStyle w:val="Textonotapie"/>
        <w:rPr>
          <w:lang w:val="en-US"/>
        </w:rPr>
      </w:pPr>
      <w:r w:rsidRPr="00992861">
        <w:rPr>
          <w:rStyle w:val="Refdenotaalpie"/>
          <w:lang w:val="en-US"/>
        </w:rPr>
        <w:footnoteRef/>
      </w:r>
      <w:r w:rsidRPr="00992861">
        <w:rPr>
          <w:lang w:val="en-US"/>
        </w:rPr>
        <w:tab/>
        <w:t xml:space="preserve">Constitutional Court of South Africa, </w:t>
      </w:r>
      <w:proofErr w:type="spellStart"/>
      <w:r w:rsidRPr="00992861">
        <w:rPr>
          <w:lang w:val="en-US"/>
        </w:rPr>
        <w:t>Thiagraj</w:t>
      </w:r>
      <w:proofErr w:type="spellEnd"/>
      <w:r w:rsidRPr="00992861">
        <w:rPr>
          <w:lang w:val="en-US"/>
        </w:rPr>
        <w:t xml:space="preserve"> </w:t>
      </w:r>
      <w:proofErr w:type="spellStart"/>
      <w:r w:rsidRPr="00992861">
        <w:rPr>
          <w:lang w:val="en-US"/>
        </w:rPr>
        <w:t>Soobramoney</w:t>
      </w:r>
      <w:proofErr w:type="spellEnd"/>
      <w:r w:rsidRPr="00992861">
        <w:rPr>
          <w:lang w:val="en-US"/>
        </w:rPr>
        <w:t xml:space="preserve"> v. Minister of Health (</w:t>
      </w:r>
      <w:proofErr w:type="spellStart"/>
      <w:r w:rsidRPr="00992861">
        <w:rPr>
          <w:lang w:val="en-US"/>
        </w:rPr>
        <w:t>Kwaxulu</w:t>
      </w:r>
      <w:proofErr w:type="spellEnd"/>
      <w:r w:rsidRPr="00992861">
        <w:rPr>
          <w:lang w:val="en-US"/>
        </w:rPr>
        <w:t>-Natal). Judgment of November 27, 1997, para. 58.</w:t>
      </w:r>
    </w:p>
  </w:footnote>
  <w:footnote w:id="489">
    <w:p w14:paraId="200E67AD" w14:textId="77777777" w:rsidR="00AF5CC6" w:rsidRPr="00992861" w:rsidRDefault="00AF5CC6" w:rsidP="00AF5CC6">
      <w:pPr>
        <w:pStyle w:val="Textonotapie"/>
        <w:rPr>
          <w:lang w:val="en-US"/>
        </w:rPr>
      </w:pPr>
      <w:r w:rsidRPr="00992861">
        <w:rPr>
          <w:rStyle w:val="Refdenotaalpie"/>
          <w:lang w:val="en-US"/>
        </w:rPr>
        <w:footnoteRef/>
      </w:r>
      <w:r w:rsidRPr="00992861">
        <w:rPr>
          <w:lang w:val="en-US"/>
        </w:rPr>
        <w:t xml:space="preserve"> </w:t>
      </w:r>
      <w:r w:rsidRPr="00992861">
        <w:rPr>
          <w:lang w:val="en-US"/>
        </w:rPr>
        <w:tab/>
      </w:r>
      <w:r w:rsidRPr="00992861">
        <w:rPr>
          <w:i/>
          <w:lang w:val="en-US"/>
        </w:rPr>
        <w:t xml:space="preserve">Cf. </w:t>
      </w:r>
      <w:r w:rsidRPr="00992861">
        <w:rPr>
          <w:lang w:val="en-US"/>
        </w:rPr>
        <w:t xml:space="preserve">Constitutional Court of South Africa, </w:t>
      </w:r>
      <w:proofErr w:type="spellStart"/>
      <w:r w:rsidRPr="00992861">
        <w:rPr>
          <w:lang w:val="en-US"/>
        </w:rPr>
        <w:t>Thiagraj</w:t>
      </w:r>
      <w:proofErr w:type="spellEnd"/>
      <w:r w:rsidRPr="00992861">
        <w:rPr>
          <w:lang w:val="en-US"/>
        </w:rPr>
        <w:t xml:space="preserve"> </w:t>
      </w:r>
      <w:proofErr w:type="spellStart"/>
      <w:r w:rsidRPr="00992861">
        <w:rPr>
          <w:lang w:val="en-US"/>
        </w:rPr>
        <w:t>Soobramoney</w:t>
      </w:r>
      <w:proofErr w:type="spellEnd"/>
      <w:r w:rsidRPr="00992861">
        <w:rPr>
          <w:lang w:val="en-US"/>
        </w:rPr>
        <w:t xml:space="preserve"> v. Minister of Health (</w:t>
      </w:r>
      <w:proofErr w:type="spellStart"/>
      <w:r w:rsidRPr="00992861">
        <w:rPr>
          <w:lang w:val="en-US"/>
        </w:rPr>
        <w:t>Kwaxulu</w:t>
      </w:r>
      <w:proofErr w:type="spellEnd"/>
      <w:r w:rsidRPr="00992861">
        <w:rPr>
          <w:lang w:val="en-US"/>
        </w:rPr>
        <w:t>-Natal). Judgment of November 27, 1997, para. 29.</w:t>
      </w:r>
    </w:p>
  </w:footnote>
  <w:footnote w:id="490">
    <w:p w14:paraId="63AC2B64" w14:textId="77777777" w:rsidR="00AF5CC6" w:rsidRPr="00992861" w:rsidRDefault="00AF5CC6" w:rsidP="00AF5CC6">
      <w:pPr>
        <w:pStyle w:val="Textonotapie"/>
        <w:rPr>
          <w:lang w:val="en-US"/>
        </w:rPr>
      </w:pPr>
      <w:r w:rsidRPr="00992861">
        <w:rPr>
          <w:rStyle w:val="Refdenotaalpie"/>
          <w:lang w:val="en-US"/>
        </w:rPr>
        <w:footnoteRef/>
      </w:r>
      <w:r w:rsidRPr="00992861">
        <w:rPr>
          <w:lang w:val="en-US"/>
        </w:rPr>
        <w:t xml:space="preserve"> </w:t>
      </w:r>
      <w:r w:rsidRPr="00992861">
        <w:rPr>
          <w:lang w:val="en-US"/>
        </w:rPr>
        <w:tab/>
      </w:r>
      <w:r w:rsidRPr="00992861">
        <w:rPr>
          <w:rStyle w:val="Textoennegrita"/>
          <w:b w:val="0"/>
          <w:i/>
          <w:color w:val="000000"/>
          <w:shd w:val="clear" w:color="auto" w:fill="FFFFFF"/>
          <w:lang w:val="en-US"/>
        </w:rPr>
        <w:t xml:space="preserve">Case of </w:t>
      </w:r>
      <w:proofErr w:type="spellStart"/>
      <w:r w:rsidRPr="00992861">
        <w:rPr>
          <w:rStyle w:val="Textoennegrita"/>
          <w:b w:val="0"/>
          <w:i/>
          <w:color w:val="000000"/>
          <w:shd w:val="clear" w:color="auto" w:fill="FFFFFF"/>
          <w:lang w:val="en-US"/>
        </w:rPr>
        <w:t>Cuscul</w:t>
      </w:r>
      <w:proofErr w:type="spellEnd"/>
      <w:r w:rsidRPr="00992861">
        <w:rPr>
          <w:rStyle w:val="Textoennegrita"/>
          <w:b w:val="0"/>
          <w:i/>
          <w:color w:val="000000"/>
          <w:shd w:val="clear" w:color="auto" w:fill="FFFFFF"/>
          <w:lang w:val="en-US"/>
        </w:rPr>
        <w:t xml:space="preserve"> </w:t>
      </w:r>
      <w:proofErr w:type="spellStart"/>
      <w:r w:rsidRPr="00992861">
        <w:rPr>
          <w:rStyle w:val="Textoennegrita"/>
          <w:b w:val="0"/>
          <w:i/>
          <w:color w:val="000000"/>
          <w:shd w:val="clear" w:color="auto" w:fill="FFFFFF"/>
          <w:lang w:val="en-US"/>
        </w:rPr>
        <w:t>Pivaral</w:t>
      </w:r>
      <w:proofErr w:type="spellEnd"/>
      <w:r w:rsidRPr="00992861">
        <w:rPr>
          <w:rStyle w:val="Textoennegrita"/>
          <w:b w:val="0"/>
          <w:i/>
          <w:color w:val="000000"/>
          <w:shd w:val="clear" w:color="auto" w:fill="FFFFFF"/>
          <w:lang w:val="en-US"/>
        </w:rPr>
        <w:t xml:space="preserve"> et al. v. Guatemala. Preliminary objection, merits, reparations and costs. </w:t>
      </w:r>
      <w:r w:rsidRPr="00992861">
        <w:rPr>
          <w:rStyle w:val="Textoennegrita"/>
          <w:b w:val="0"/>
          <w:color w:val="000000"/>
          <w:shd w:val="clear" w:color="auto" w:fill="FFFFFF"/>
          <w:lang w:val="en-US"/>
        </w:rPr>
        <w:t xml:space="preserve">Judgment of August 23, 2018. Series C No. 359, </w:t>
      </w:r>
      <w:r w:rsidRPr="00992861">
        <w:rPr>
          <w:lang w:val="en-US"/>
        </w:rPr>
        <w:t>para. 107.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F6B66"/>
    <w:multiLevelType w:val="hybridMultilevel"/>
    <w:tmpl w:val="3104AD0E"/>
    <w:lvl w:ilvl="0" w:tplc="1C64AA6A">
      <w:start w:val="1"/>
      <w:numFmt w:val="decimal"/>
      <w:lvlText w:val="%1."/>
      <w:lvlJc w:val="left"/>
      <w:pPr>
        <w:ind w:left="5130" w:hanging="360"/>
      </w:pPr>
      <w:rPr>
        <w:rFonts w:hint="default"/>
        <w:b w:val="0"/>
        <w:i w:val="0"/>
        <w:strike w:val="0"/>
        <w:color w:val="auto"/>
        <w:sz w:val="20"/>
        <w:szCs w:val="20"/>
        <w:vertAlign w:val="baseline"/>
        <w:lang w:val="es-CR"/>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3E17B53"/>
    <w:multiLevelType w:val="hybridMultilevel"/>
    <w:tmpl w:val="F3549630"/>
    <w:lvl w:ilvl="0" w:tplc="D27ED4C6">
      <w:start w:val="1"/>
      <w:numFmt w:val="decimal"/>
      <w:lvlText w:val="%1."/>
      <w:lvlJc w:val="left"/>
      <w:pPr>
        <w:ind w:left="720" w:hanging="360"/>
      </w:pPr>
      <w:rPr>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5FC320B"/>
    <w:multiLevelType w:val="hybridMultilevel"/>
    <w:tmpl w:val="73E6A92E"/>
    <w:lvl w:ilvl="0" w:tplc="8A1612C2">
      <w:start w:val="1"/>
      <w:numFmt w:val="decimal"/>
      <w:lvlText w:val="%1."/>
      <w:lvlJc w:val="left"/>
      <w:pPr>
        <w:ind w:left="720" w:hanging="360"/>
      </w:pPr>
      <w:rPr>
        <w:rFonts w:ascii="Verdana" w:hAnsi="Verdana" w:hint="default"/>
        <w:sz w:val="20"/>
        <w:szCs w:val="20"/>
        <w:lang w:val="es-AR"/>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46782CD6"/>
    <w:multiLevelType w:val="hybridMultilevel"/>
    <w:tmpl w:val="8C68099A"/>
    <w:lvl w:ilvl="0" w:tplc="140A0013">
      <w:start w:val="1"/>
      <w:numFmt w:val="upperRoman"/>
      <w:lvlText w:val="%1."/>
      <w:lvlJc w:val="righ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4" w15:restartNumberingAfterBreak="0">
    <w:nsid w:val="4AE31E6A"/>
    <w:multiLevelType w:val="hybridMultilevel"/>
    <w:tmpl w:val="5F9425BC"/>
    <w:lvl w:ilvl="0" w:tplc="28F82016">
      <w:start w:val="1"/>
      <w:numFmt w:val="upperLetter"/>
      <w:pStyle w:val="Ttulo2"/>
      <w:lvlText w:val="%1."/>
      <w:lvlJc w:val="left"/>
      <w:pPr>
        <w:ind w:left="360" w:hanging="360"/>
      </w:pPr>
      <w:rPr>
        <w:b/>
        <w:i w:val="0"/>
      </w:rPr>
    </w:lvl>
    <w:lvl w:ilvl="1" w:tplc="8A068718">
      <w:start w:val="1"/>
      <w:numFmt w:val="lowerLetter"/>
      <w:lvlText w:val="%2."/>
      <w:lvlJc w:val="left"/>
      <w:pPr>
        <w:ind w:left="645" w:hanging="360"/>
      </w:pPr>
      <w:rPr>
        <w:rFonts w:hint="default"/>
        <w:i w:val="0"/>
      </w:r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5" w15:restartNumberingAfterBreak="0">
    <w:nsid w:val="4CCD1B5F"/>
    <w:multiLevelType w:val="hybridMultilevel"/>
    <w:tmpl w:val="32FA1412"/>
    <w:lvl w:ilvl="0" w:tplc="78AAAA9C">
      <w:start w:val="1"/>
      <w:numFmt w:val="decimal"/>
      <w:lvlText w:val="%1."/>
      <w:lvlJc w:val="left"/>
      <w:pPr>
        <w:ind w:left="7110" w:hanging="360"/>
      </w:pPr>
      <w:rPr>
        <w:rFonts w:ascii="Verdana" w:eastAsia="Batang" w:hAnsi="Verdana" w:cs="Times"/>
        <w:b w:val="0"/>
        <w:i w:val="0"/>
        <w:color w:val="auto"/>
        <w:sz w:val="20"/>
        <w:szCs w:val="20"/>
        <w:lang w:val="es-MX"/>
      </w:rPr>
    </w:lvl>
    <w:lvl w:ilvl="1" w:tplc="0C0A0019">
      <w:start w:val="1"/>
      <w:numFmt w:val="lowerLetter"/>
      <w:lvlText w:val="%2."/>
      <w:lvlJc w:val="left"/>
      <w:pPr>
        <w:ind w:left="1080" w:hanging="360"/>
      </w:pPr>
    </w:lvl>
    <w:lvl w:ilvl="2" w:tplc="487AF94A">
      <w:start w:val="1"/>
      <w:numFmt w:val="upperLetter"/>
      <w:lvlText w:val="%3."/>
      <w:lvlJc w:val="left"/>
      <w:pPr>
        <w:ind w:left="1980" w:hanging="360"/>
      </w:pPr>
      <w:rPr>
        <w:rFonts w:cs="Tahoma"/>
      </w:r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6" w15:restartNumberingAfterBreak="0">
    <w:nsid w:val="5C765414"/>
    <w:multiLevelType w:val="hybridMultilevel"/>
    <w:tmpl w:val="21E0F402"/>
    <w:lvl w:ilvl="0" w:tplc="A59835B8">
      <w:start w:val="1"/>
      <w:numFmt w:val="decimal"/>
      <w:lvlText w:val="%1."/>
      <w:lvlJc w:val="left"/>
      <w:pPr>
        <w:ind w:left="7110" w:hanging="360"/>
      </w:pPr>
      <w:rPr>
        <w:rFonts w:ascii="Verdana" w:eastAsia="Batang" w:hAnsi="Verdana" w:cs="Times"/>
        <w:b w:val="0"/>
        <w:i w:val="0"/>
        <w:strike w:val="0"/>
        <w:color w:val="auto"/>
        <w:sz w:val="20"/>
        <w:szCs w:val="20"/>
        <w:lang w:val="es-ES"/>
      </w:rPr>
    </w:lvl>
    <w:lvl w:ilvl="1" w:tplc="0C0A0019">
      <w:start w:val="1"/>
      <w:numFmt w:val="lowerLetter"/>
      <w:lvlText w:val="%2."/>
      <w:lvlJc w:val="left"/>
      <w:pPr>
        <w:ind w:left="1080" w:hanging="360"/>
      </w:pPr>
    </w:lvl>
    <w:lvl w:ilvl="2" w:tplc="487AF94A">
      <w:start w:val="1"/>
      <w:numFmt w:val="upperLetter"/>
      <w:lvlText w:val="%3."/>
      <w:lvlJc w:val="left"/>
      <w:pPr>
        <w:ind w:left="1980" w:hanging="360"/>
      </w:pPr>
      <w:rPr>
        <w:rFonts w:cs="Tahoma"/>
      </w:r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15:restartNumberingAfterBreak="0">
    <w:nsid w:val="705A6F5C"/>
    <w:multiLevelType w:val="hybridMultilevel"/>
    <w:tmpl w:val="1012E60E"/>
    <w:lvl w:ilvl="0" w:tplc="6722D962">
      <w:start w:val="1"/>
      <w:numFmt w:val="decimal"/>
      <w:pStyle w:val="Numberedparagraphs"/>
      <w:lvlText w:val="%1."/>
      <w:lvlJc w:val="left"/>
      <w:pPr>
        <w:tabs>
          <w:tab w:val="num" w:pos="720"/>
        </w:tabs>
        <w:ind w:left="0" w:firstLine="0"/>
      </w:pPr>
      <w:rPr>
        <w:rFonts w:ascii="Verdana" w:hAnsi="Verdana" w:hint="default"/>
        <w:b w:val="0"/>
        <w:i w:val="0"/>
        <w:strike w:val="0"/>
        <w:color w:val="auto"/>
        <w:sz w:val="20"/>
        <w:szCs w:val="20"/>
        <w:lang w:val="es-AR"/>
      </w:rPr>
    </w:lvl>
    <w:lvl w:ilvl="1" w:tplc="5C6C0158">
      <w:start w:val="7"/>
      <w:numFmt w:val="decimal"/>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6753A80"/>
    <w:multiLevelType w:val="hybridMultilevel"/>
    <w:tmpl w:val="AC9A0106"/>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3F0893E6">
      <w:start w:val="1"/>
      <w:numFmt w:val="decimal"/>
      <w:lvlText w:val="%4."/>
      <w:lvlJc w:val="left"/>
      <w:pPr>
        <w:ind w:left="2738" w:hanging="360"/>
      </w:p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9" w15:restartNumberingAfterBreak="0">
    <w:nsid w:val="7C2D1FE5"/>
    <w:multiLevelType w:val="hybridMultilevel"/>
    <w:tmpl w:val="8EF6EB3C"/>
    <w:lvl w:ilvl="0" w:tplc="399A4540">
      <w:start w:val="1"/>
      <w:numFmt w:val="decimal"/>
      <w:lvlText w:val="%1."/>
      <w:lvlJc w:val="left"/>
      <w:pPr>
        <w:ind w:left="360" w:hanging="360"/>
      </w:pPr>
      <w:rPr>
        <w:rFonts w:ascii="Verdana" w:hAnsi="Verdana" w:hint="default"/>
        <w:b w:val="0"/>
        <w:i w:val="0"/>
        <w:strike w:val="0"/>
        <w:dstrike w:val="0"/>
        <w:color w:val="auto"/>
        <w:sz w:val="20"/>
        <w:szCs w:val="20"/>
        <w:u w:val="none"/>
        <w:effect w:val="none"/>
        <w:lang w:val="es-CR"/>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0" w15:restartNumberingAfterBreak="0">
    <w:nsid w:val="7CE64D32"/>
    <w:multiLevelType w:val="hybridMultilevel"/>
    <w:tmpl w:val="9F8AF72C"/>
    <w:lvl w:ilvl="0" w:tplc="B09255D8">
      <w:start w:val="1"/>
      <w:numFmt w:val="decimal"/>
      <w:lvlText w:val="%1."/>
      <w:lvlJc w:val="left"/>
      <w:pPr>
        <w:tabs>
          <w:tab w:val="num" w:pos="0"/>
        </w:tabs>
        <w:ind w:left="0" w:firstLine="0"/>
      </w:pPr>
      <w:rPr>
        <w:rFonts w:ascii="Verdana" w:eastAsia="Times New Roman" w:hAnsi="Verdana" w:cs="Times New Roman" w:hint="default"/>
        <w:b w:val="0"/>
        <w:i w:val="0"/>
        <w:strike w:val="0"/>
        <w:color w:val="auto"/>
        <w:sz w:val="20"/>
        <w:lang w:val="es-CO"/>
      </w:rPr>
    </w:lvl>
    <w:lvl w:ilvl="1" w:tplc="3AAA13E2">
      <w:start w:val="1"/>
      <w:numFmt w:val="decimal"/>
      <w:lvlText w:val="%2."/>
      <w:lvlJc w:val="left"/>
      <w:pPr>
        <w:tabs>
          <w:tab w:val="num" w:pos="0"/>
        </w:tabs>
        <w:ind w:left="0" w:firstLine="0"/>
      </w:pPr>
      <w:rPr>
        <w:rFonts w:ascii="Verdana" w:eastAsia="Times New Roman" w:hAnsi="Verdana" w:cs="Times New Roman" w:hint="default"/>
        <w:b/>
        <w:i w:val="0"/>
        <w:strike w:val="0"/>
        <w:color w:val="auto"/>
        <w:sz w:val="20"/>
        <w:lang w:val="es-CO"/>
      </w:rPr>
    </w:lvl>
    <w:lvl w:ilvl="2" w:tplc="0409001B">
      <w:start w:val="1"/>
      <w:numFmt w:val="lowerRoman"/>
      <w:pStyle w:val="Estilo7"/>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5"/>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0"/>
  </w:num>
  <w:num w:numId="5">
    <w:abstractNumId w:val="6"/>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1"/>
  </w:num>
  <w:num w:numId="15">
    <w:abstractNumId w:val="0"/>
  </w:num>
  <w:num w:numId="16">
    <w:abstractNumId w:val="7"/>
  </w:num>
  <w:num w:numId="17">
    <w:abstractNumId w:val="2"/>
  </w:num>
  <w:num w:numId="18">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004B"/>
    <w:rsid w:val="00001911"/>
    <w:rsid w:val="00001EC6"/>
    <w:rsid w:val="000024FE"/>
    <w:rsid w:val="00002C47"/>
    <w:rsid w:val="00003AF3"/>
    <w:rsid w:val="000041B2"/>
    <w:rsid w:val="00005153"/>
    <w:rsid w:val="00005184"/>
    <w:rsid w:val="00006821"/>
    <w:rsid w:val="0000692D"/>
    <w:rsid w:val="00006BA6"/>
    <w:rsid w:val="000071BC"/>
    <w:rsid w:val="00010819"/>
    <w:rsid w:val="00010940"/>
    <w:rsid w:val="00012624"/>
    <w:rsid w:val="000126FE"/>
    <w:rsid w:val="00013643"/>
    <w:rsid w:val="00013EC3"/>
    <w:rsid w:val="000142C2"/>
    <w:rsid w:val="000149D1"/>
    <w:rsid w:val="00015A37"/>
    <w:rsid w:val="0001612A"/>
    <w:rsid w:val="000169FB"/>
    <w:rsid w:val="00016BDB"/>
    <w:rsid w:val="0001775E"/>
    <w:rsid w:val="00017F45"/>
    <w:rsid w:val="00020A75"/>
    <w:rsid w:val="00021815"/>
    <w:rsid w:val="0002648E"/>
    <w:rsid w:val="0002668E"/>
    <w:rsid w:val="000303A4"/>
    <w:rsid w:val="0003040C"/>
    <w:rsid w:val="00033426"/>
    <w:rsid w:val="000336C7"/>
    <w:rsid w:val="00033FD4"/>
    <w:rsid w:val="000352ED"/>
    <w:rsid w:val="00036233"/>
    <w:rsid w:val="00036366"/>
    <w:rsid w:val="00036598"/>
    <w:rsid w:val="00037417"/>
    <w:rsid w:val="000374AF"/>
    <w:rsid w:val="00037DF9"/>
    <w:rsid w:val="00040225"/>
    <w:rsid w:val="000415C0"/>
    <w:rsid w:val="00041B1B"/>
    <w:rsid w:val="00042688"/>
    <w:rsid w:val="00044000"/>
    <w:rsid w:val="00044452"/>
    <w:rsid w:val="00045E62"/>
    <w:rsid w:val="00046F5A"/>
    <w:rsid w:val="0005225B"/>
    <w:rsid w:val="00053047"/>
    <w:rsid w:val="000531AD"/>
    <w:rsid w:val="000532D0"/>
    <w:rsid w:val="00055522"/>
    <w:rsid w:val="00057D28"/>
    <w:rsid w:val="00057EFE"/>
    <w:rsid w:val="00057FE9"/>
    <w:rsid w:val="0006427D"/>
    <w:rsid w:val="000656ED"/>
    <w:rsid w:val="00067686"/>
    <w:rsid w:val="00070747"/>
    <w:rsid w:val="000707C8"/>
    <w:rsid w:val="000717DB"/>
    <w:rsid w:val="00071964"/>
    <w:rsid w:val="0007262B"/>
    <w:rsid w:val="00073F10"/>
    <w:rsid w:val="00074BD7"/>
    <w:rsid w:val="00074CB7"/>
    <w:rsid w:val="00074F75"/>
    <w:rsid w:val="00075046"/>
    <w:rsid w:val="0007623F"/>
    <w:rsid w:val="000773EA"/>
    <w:rsid w:val="000774FB"/>
    <w:rsid w:val="0007798C"/>
    <w:rsid w:val="00077E25"/>
    <w:rsid w:val="0008002F"/>
    <w:rsid w:val="00080A1E"/>
    <w:rsid w:val="00082988"/>
    <w:rsid w:val="00082E5D"/>
    <w:rsid w:val="00084979"/>
    <w:rsid w:val="00085282"/>
    <w:rsid w:val="00085B3A"/>
    <w:rsid w:val="00086B96"/>
    <w:rsid w:val="000875ED"/>
    <w:rsid w:val="0008786B"/>
    <w:rsid w:val="00087F29"/>
    <w:rsid w:val="000904DA"/>
    <w:rsid w:val="0009063B"/>
    <w:rsid w:val="000909F2"/>
    <w:rsid w:val="00091343"/>
    <w:rsid w:val="0009167A"/>
    <w:rsid w:val="000917A4"/>
    <w:rsid w:val="00091D29"/>
    <w:rsid w:val="00091EB3"/>
    <w:rsid w:val="0009208D"/>
    <w:rsid w:val="0009273C"/>
    <w:rsid w:val="00092EBD"/>
    <w:rsid w:val="00093D72"/>
    <w:rsid w:val="00094605"/>
    <w:rsid w:val="00095D88"/>
    <w:rsid w:val="00096410"/>
    <w:rsid w:val="00096AC2"/>
    <w:rsid w:val="00096F8F"/>
    <w:rsid w:val="00097942"/>
    <w:rsid w:val="00097AB9"/>
    <w:rsid w:val="000A0D91"/>
    <w:rsid w:val="000A12E9"/>
    <w:rsid w:val="000A2830"/>
    <w:rsid w:val="000A39D7"/>
    <w:rsid w:val="000A4EE9"/>
    <w:rsid w:val="000A7736"/>
    <w:rsid w:val="000A7E3E"/>
    <w:rsid w:val="000B00C4"/>
    <w:rsid w:val="000B26F9"/>
    <w:rsid w:val="000B2998"/>
    <w:rsid w:val="000B3CDB"/>
    <w:rsid w:val="000B41E4"/>
    <w:rsid w:val="000B5229"/>
    <w:rsid w:val="000B56B8"/>
    <w:rsid w:val="000B5F92"/>
    <w:rsid w:val="000B6132"/>
    <w:rsid w:val="000B64A1"/>
    <w:rsid w:val="000C0BF0"/>
    <w:rsid w:val="000C201C"/>
    <w:rsid w:val="000C2049"/>
    <w:rsid w:val="000C428F"/>
    <w:rsid w:val="000C535D"/>
    <w:rsid w:val="000C56F2"/>
    <w:rsid w:val="000C5BD2"/>
    <w:rsid w:val="000C65BD"/>
    <w:rsid w:val="000D0F02"/>
    <w:rsid w:val="000D1106"/>
    <w:rsid w:val="000D1122"/>
    <w:rsid w:val="000D17B3"/>
    <w:rsid w:val="000D29EB"/>
    <w:rsid w:val="000D2D79"/>
    <w:rsid w:val="000D3152"/>
    <w:rsid w:val="000D325D"/>
    <w:rsid w:val="000D3643"/>
    <w:rsid w:val="000D42CD"/>
    <w:rsid w:val="000D4588"/>
    <w:rsid w:val="000D4A68"/>
    <w:rsid w:val="000D4CCD"/>
    <w:rsid w:val="000D4FDD"/>
    <w:rsid w:val="000E0795"/>
    <w:rsid w:val="000E13A1"/>
    <w:rsid w:val="000E18AE"/>
    <w:rsid w:val="000E28BD"/>
    <w:rsid w:val="000E45DD"/>
    <w:rsid w:val="000E4EE1"/>
    <w:rsid w:val="000E514E"/>
    <w:rsid w:val="000E51C3"/>
    <w:rsid w:val="000E5456"/>
    <w:rsid w:val="000E550E"/>
    <w:rsid w:val="000E5CE9"/>
    <w:rsid w:val="000E73AE"/>
    <w:rsid w:val="000E753B"/>
    <w:rsid w:val="000E7CCE"/>
    <w:rsid w:val="000F0915"/>
    <w:rsid w:val="000F11CF"/>
    <w:rsid w:val="000F1744"/>
    <w:rsid w:val="000F3521"/>
    <w:rsid w:val="000F3D86"/>
    <w:rsid w:val="000F4330"/>
    <w:rsid w:val="000F4950"/>
    <w:rsid w:val="000F5091"/>
    <w:rsid w:val="000F58F3"/>
    <w:rsid w:val="000F5979"/>
    <w:rsid w:val="000F5EB0"/>
    <w:rsid w:val="000F6605"/>
    <w:rsid w:val="000F6D54"/>
    <w:rsid w:val="0010000A"/>
    <w:rsid w:val="00100588"/>
    <w:rsid w:val="0010063B"/>
    <w:rsid w:val="001006AC"/>
    <w:rsid w:val="00100760"/>
    <w:rsid w:val="00101969"/>
    <w:rsid w:val="001038CE"/>
    <w:rsid w:val="00105223"/>
    <w:rsid w:val="0010522A"/>
    <w:rsid w:val="00105B52"/>
    <w:rsid w:val="001070DA"/>
    <w:rsid w:val="001071B4"/>
    <w:rsid w:val="0011078E"/>
    <w:rsid w:val="0011263B"/>
    <w:rsid w:val="00115171"/>
    <w:rsid w:val="00115B32"/>
    <w:rsid w:val="00115FFB"/>
    <w:rsid w:val="00116951"/>
    <w:rsid w:val="001214D6"/>
    <w:rsid w:val="00123491"/>
    <w:rsid w:val="00124D20"/>
    <w:rsid w:val="00125210"/>
    <w:rsid w:val="00127DA7"/>
    <w:rsid w:val="001300BE"/>
    <w:rsid w:val="001306A3"/>
    <w:rsid w:val="00130ADE"/>
    <w:rsid w:val="001325FB"/>
    <w:rsid w:val="001363A3"/>
    <w:rsid w:val="0014006F"/>
    <w:rsid w:val="00143174"/>
    <w:rsid w:val="00143556"/>
    <w:rsid w:val="00144092"/>
    <w:rsid w:val="0014430A"/>
    <w:rsid w:val="0015079A"/>
    <w:rsid w:val="00150829"/>
    <w:rsid w:val="001511DE"/>
    <w:rsid w:val="001516E3"/>
    <w:rsid w:val="0015205F"/>
    <w:rsid w:val="001542F7"/>
    <w:rsid w:val="001554F9"/>
    <w:rsid w:val="00155670"/>
    <w:rsid w:val="001559FB"/>
    <w:rsid w:val="0015697F"/>
    <w:rsid w:val="00160399"/>
    <w:rsid w:val="00160890"/>
    <w:rsid w:val="0016125F"/>
    <w:rsid w:val="0016155A"/>
    <w:rsid w:val="00161AAD"/>
    <w:rsid w:val="0016229E"/>
    <w:rsid w:val="001635AE"/>
    <w:rsid w:val="0016373A"/>
    <w:rsid w:val="00164B48"/>
    <w:rsid w:val="00164BF8"/>
    <w:rsid w:val="00165534"/>
    <w:rsid w:val="001671E0"/>
    <w:rsid w:val="00170768"/>
    <w:rsid w:val="00170AFA"/>
    <w:rsid w:val="00170EB6"/>
    <w:rsid w:val="00171B62"/>
    <w:rsid w:val="001738A6"/>
    <w:rsid w:val="0017581F"/>
    <w:rsid w:val="00176A35"/>
    <w:rsid w:val="00176B77"/>
    <w:rsid w:val="0017770E"/>
    <w:rsid w:val="001803B8"/>
    <w:rsid w:val="00180572"/>
    <w:rsid w:val="00180A58"/>
    <w:rsid w:val="00180D95"/>
    <w:rsid w:val="001811F9"/>
    <w:rsid w:val="00181675"/>
    <w:rsid w:val="00181DE7"/>
    <w:rsid w:val="001820D0"/>
    <w:rsid w:val="00182477"/>
    <w:rsid w:val="00182DD5"/>
    <w:rsid w:val="00182F68"/>
    <w:rsid w:val="00183051"/>
    <w:rsid w:val="001853E8"/>
    <w:rsid w:val="001858E7"/>
    <w:rsid w:val="00187192"/>
    <w:rsid w:val="0019044D"/>
    <w:rsid w:val="00190A38"/>
    <w:rsid w:val="00190C87"/>
    <w:rsid w:val="00191D02"/>
    <w:rsid w:val="001921FD"/>
    <w:rsid w:val="0019234A"/>
    <w:rsid w:val="001928D0"/>
    <w:rsid w:val="00192B39"/>
    <w:rsid w:val="00192C90"/>
    <w:rsid w:val="001932EB"/>
    <w:rsid w:val="00193694"/>
    <w:rsid w:val="001938D2"/>
    <w:rsid w:val="00194374"/>
    <w:rsid w:val="0019539A"/>
    <w:rsid w:val="001A0A53"/>
    <w:rsid w:val="001A2197"/>
    <w:rsid w:val="001A50AF"/>
    <w:rsid w:val="001A53AE"/>
    <w:rsid w:val="001A7758"/>
    <w:rsid w:val="001B0100"/>
    <w:rsid w:val="001B0291"/>
    <w:rsid w:val="001B031E"/>
    <w:rsid w:val="001B1909"/>
    <w:rsid w:val="001B28F9"/>
    <w:rsid w:val="001B2C11"/>
    <w:rsid w:val="001B495B"/>
    <w:rsid w:val="001B57CE"/>
    <w:rsid w:val="001B63C4"/>
    <w:rsid w:val="001B66B3"/>
    <w:rsid w:val="001B74EE"/>
    <w:rsid w:val="001C02D8"/>
    <w:rsid w:val="001C1224"/>
    <w:rsid w:val="001C3741"/>
    <w:rsid w:val="001C39F4"/>
    <w:rsid w:val="001C3A76"/>
    <w:rsid w:val="001C4676"/>
    <w:rsid w:val="001C4CEA"/>
    <w:rsid w:val="001C4D60"/>
    <w:rsid w:val="001C6006"/>
    <w:rsid w:val="001C64BC"/>
    <w:rsid w:val="001C77F1"/>
    <w:rsid w:val="001C7A13"/>
    <w:rsid w:val="001C7AD6"/>
    <w:rsid w:val="001D02E5"/>
    <w:rsid w:val="001D1187"/>
    <w:rsid w:val="001D12F4"/>
    <w:rsid w:val="001D19C0"/>
    <w:rsid w:val="001D2388"/>
    <w:rsid w:val="001D26A2"/>
    <w:rsid w:val="001D2706"/>
    <w:rsid w:val="001D307C"/>
    <w:rsid w:val="001D34D3"/>
    <w:rsid w:val="001D40BB"/>
    <w:rsid w:val="001D4F47"/>
    <w:rsid w:val="001D6736"/>
    <w:rsid w:val="001D6D13"/>
    <w:rsid w:val="001D727F"/>
    <w:rsid w:val="001D7284"/>
    <w:rsid w:val="001D7ED8"/>
    <w:rsid w:val="001E21E0"/>
    <w:rsid w:val="001E25CF"/>
    <w:rsid w:val="001E2B09"/>
    <w:rsid w:val="001E3362"/>
    <w:rsid w:val="001E3DA0"/>
    <w:rsid w:val="001E4796"/>
    <w:rsid w:val="001E5BBF"/>
    <w:rsid w:val="001E65B3"/>
    <w:rsid w:val="001E7107"/>
    <w:rsid w:val="001E755D"/>
    <w:rsid w:val="001E7869"/>
    <w:rsid w:val="001E7B6D"/>
    <w:rsid w:val="001F002B"/>
    <w:rsid w:val="001F0B1F"/>
    <w:rsid w:val="001F1457"/>
    <w:rsid w:val="001F1DDA"/>
    <w:rsid w:val="001F2110"/>
    <w:rsid w:val="001F2C79"/>
    <w:rsid w:val="001F32D7"/>
    <w:rsid w:val="001F3AC8"/>
    <w:rsid w:val="001F3C21"/>
    <w:rsid w:val="001F3E7C"/>
    <w:rsid w:val="001F42BC"/>
    <w:rsid w:val="001F45C1"/>
    <w:rsid w:val="001F588A"/>
    <w:rsid w:val="001F5B61"/>
    <w:rsid w:val="001F645F"/>
    <w:rsid w:val="001F662B"/>
    <w:rsid w:val="001F7FFB"/>
    <w:rsid w:val="00200248"/>
    <w:rsid w:val="00200A7B"/>
    <w:rsid w:val="002039C4"/>
    <w:rsid w:val="002048AC"/>
    <w:rsid w:val="002048B1"/>
    <w:rsid w:val="0020504F"/>
    <w:rsid w:val="002069ED"/>
    <w:rsid w:val="0021198A"/>
    <w:rsid w:val="0021386E"/>
    <w:rsid w:val="00214A05"/>
    <w:rsid w:val="00215B46"/>
    <w:rsid w:val="0021719F"/>
    <w:rsid w:val="0021750D"/>
    <w:rsid w:val="002176F2"/>
    <w:rsid w:val="002176FA"/>
    <w:rsid w:val="0022189F"/>
    <w:rsid w:val="00221B3D"/>
    <w:rsid w:val="002222FF"/>
    <w:rsid w:val="00223685"/>
    <w:rsid w:val="00224709"/>
    <w:rsid w:val="002265E4"/>
    <w:rsid w:val="0022660D"/>
    <w:rsid w:val="00227742"/>
    <w:rsid w:val="002300F1"/>
    <w:rsid w:val="00232DEC"/>
    <w:rsid w:val="00233F74"/>
    <w:rsid w:val="00237A85"/>
    <w:rsid w:val="00237FAA"/>
    <w:rsid w:val="00240A57"/>
    <w:rsid w:val="002410F4"/>
    <w:rsid w:val="00242414"/>
    <w:rsid w:val="00242C4A"/>
    <w:rsid w:val="00243108"/>
    <w:rsid w:val="002435D4"/>
    <w:rsid w:val="00244198"/>
    <w:rsid w:val="00244DEE"/>
    <w:rsid w:val="0024594F"/>
    <w:rsid w:val="00246156"/>
    <w:rsid w:val="00246BBF"/>
    <w:rsid w:val="00247EF6"/>
    <w:rsid w:val="002506EF"/>
    <w:rsid w:val="00251D69"/>
    <w:rsid w:val="00252110"/>
    <w:rsid w:val="00253D23"/>
    <w:rsid w:val="0025569C"/>
    <w:rsid w:val="00255817"/>
    <w:rsid w:val="00255D83"/>
    <w:rsid w:val="002560CD"/>
    <w:rsid w:val="00256EEB"/>
    <w:rsid w:val="0026068E"/>
    <w:rsid w:val="00261576"/>
    <w:rsid w:val="002627BE"/>
    <w:rsid w:val="00262B35"/>
    <w:rsid w:val="00263046"/>
    <w:rsid w:val="002639A2"/>
    <w:rsid w:val="0026626B"/>
    <w:rsid w:val="00267A21"/>
    <w:rsid w:val="00270885"/>
    <w:rsid w:val="00271247"/>
    <w:rsid w:val="002745C7"/>
    <w:rsid w:val="0027465E"/>
    <w:rsid w:val="00274854"/>
    <w:rsid w:val="002806CC"/>
    <w:rsid w:val="00281C5D"/>
    <w:rsid w:val="0028379E"/>
    <w:rsid w:val="0028439D"/>
    <w:rsid w:val="00285911"/>
    <w:rsid w:val="0028796E"/>
    <w:rsid w:val="002904FD"/>
    <w:rsid w:val="002905A7"/>
    <w:rsid w:val="002917D5"/>
    <w:rsid w:val="00292057"/>
    <w:rsid w:val="00292E89"/>
    <w:rsid w:val="00293300"/>
    <w:rsid w:val="00294116"/>
    <w:rsid w:val="002954F5"/>
    <w:rsid w:val="00295B49"/>
    <w:rsid w:val="0029700F"/>
    <w:rsid w:val="00297365"/>
    <w:rsid w:val="00297F0B"/>
    <w:rsid w:val="002A02DE"/>
    <w:rsid w:val="002A056D"/>
    <w:rsid w:val="002A2832"/>
    <w:rsid w:val="002A3409"/>
    <w:rsid w:val="002A3759"/>
    <w:rsid w:val="002A4F6D"/>
    <w:rsid w:val="002A4FB6"/>
    <w:rsid w:val="002A74C2"/>
    <w:rsid w:val="002B0E29"/>
    <w:rsid w:val="002B191E"/>
    <w:rsid w:val="002B2310"/>
    <w:rsid w:val="002B396C"/>
    <w:rsid w:val="002B3A31"/>
    <w:rsid w:val="002B3B48"/>
    <w:rsid w:val="002B41EA"/>
    <w:rsid w:val="002B4319"/>
    <w:rsid w:val="002B6054"/>
    <w:rsid w:val="002B60D5"/>
    <w:rsid w:val="002B7CD7"/>
    <w:rsid w:val="002C23D0"/>
    <w:rsid w:val="002C25A5"/>
    <w:rsid w:val="002C3A4E"/>
    <w:rsid w:val="002C4118"/>
    <w:rsid w:val="002D0A17"/>
    <w:rsid w:val="002D11A5"/>
    <w:rsid w:val="002D34DF"/>
    <w:rsid w:val="002D5DAB"/>
    <w:rsid w:val="002D60B2"/>
    <w:rsid w:val="002D64B2"/>
    <w:rsid w:val="002D709B"/>
    <w:rsid w:val="002E051F"/>
    <w:rsid w:val="002E0797"/>
    <w:rsid w:val="002E10B2"/>
    <w:rsid w:val="002E1159"/>
    <w:rsid w:val="002E11A1"/>
    <w:rsid w:val="002E14F2"/>
    <w:rsid w:val="002E1B8E"/>
    <w:rsid w:val="002E2D89"/>
    <w:rsid w:val="002E2E32"/>
    <w:rsid w:val="002E3769"/>
    <w:rsid w:val="002E43DD"/>
    <w:rsid w:val="002E4EAC"/>
    <w:rsid w:val="002E5DCB"/>
    <w:rsid w:val="002E6F4A"/>
    <w:rsid w:val="002E70C3"/>
    <w:rsid w:val="002F4F3A"/>
    <w:rsid w:val="002F541D"/>
    <w:rsid w:val="002F6543"/>
    <w:rsid w:val="002F68D2"/>
    <w:rsid w:val="002F6A2E"/>
    <w:rsid w:val="002F7207"/>
    <w:rsid w:val="002F775D"/>
    <w:rsid w:val="00300ED0"/>
    <w:rsid w:val="00301589"/>
    <w:rsid w:val="00301FCA"/>
    <w:rsid w:val="00302A01"/>
    <w:rsid w:val="003033C4"/>
    <w:rsid w:val="00303566"/>
    <w:rsid w:val="003036B2"/>
    <w:rsid w:val="003044EA"/>
    <w:rsid w:val="00306FCD"/>
    <w:rsid w:val="00306FE0"/>
    <w:rsid w:val="00310E7A"/>
    <w:rsid w:val="003115C3"/>
    <w:rsid w:val="0031283B"/>
    <w:rsid w:val="003148D5"/>
    <w:rsid w:val="003154F2"/>
    <w:rsid w:val="00315C74"/>
    <w:rsid w:val="00316B86"/>
    <w:rsid w:val="003222C3"/>
    <w:rsid w:val="00323792"/>
    <w:rsid w:val="00323D58"/>
    <w:rsid w:val="003242AA"/>
    <w:rsid w:val="00324959"/>
    <w:rsid w:val="00324A2A"/>
    <w:rsid w:val="00325AD4"/>
    <w:rsid w:val="003260DC"/>
    <w:rsid w:val="00327D89"/>
    <w:rsid w:val="003308DE"/>
    <w:rsid w:val="00331044"/>
    <w:rsid w:val="00331D58"/>
    <w:rsid w:val="00333113"/>
    <w:rsid w:val="0033428E"/>
    <w:rsid w:val="003349E5"/>
    <w:rsid w:val="0033543A"/>
    <w:rsid w:val="00335BE0"/>
    <w:rsid w:val="00337244"/>
    <w:rsid w:val="003372EB"/>
    <w:rsid w:val="003373E6"/>
    <w:rsid w:val="003404C0"/>
    <w:rsid w:val="00340E2A"/>
    <w:rsid w:val="003413EF"/>
    <w:rsid w:val="003417DC"/>
    <w:rsid w:val="00341F67"/>
    <w:rsid w:val="00342748"/>
    <w:rsid w:val="00343438"/>
    <w:rsid w:val="003450DF"/>
    <w:rsid w:val="00346466"/>
    <w:rsid w:val="00350E76"/>
    <w:rsid w:val="00350F9D"/>
    <w:rsid w:val="00351A41"/>
    <w:rsid w:val="00351EDB"/>
    <w:rsid w:val="00355055"/>
    <w:rsid w:val="00360392"/>
    <w:rsid w:val="00360A94"/>
    <w:rsid w:val="003619A2"/>
    <w:rsid w:val="003620D0"/>
    <w:rsid w:val="00362C0A"/>
    <w:rsid w:val="0036398B"/>
    <w:rsid w:val="00363A6C"/>
    <w:rsid w:val="00363CDF"/>
    <w:rsid w:val="0037079C"/>
    <w:rsid w:val="00371ADF"/>
    <w:rsid w:val="00373FFE"/>
    <w:rsid w:val="003742C5"/>
    <w:rsid w:val="00374C62"/>
    <w:rsid w:val="00375F50"/>
    <w:rsid w:val="00376924"/>
    <w:rsid w:val="003772E2"/>
    <w:rsid w:val="003801ED"/>
    <w:rsid w:val="00382F1E"/>
    <w:rsid w:val="00383D9A"/>
    <w:rsid w:val="003845E6"/>
    <w:rsid w:val="003855E6"/>
    <w:rsid w:val="00385DF7"/>
    <w:rsid w:val="00390BAC"/>
    <w:rsid w:val="00391E3C"/>
    <w:rsid w:val="003920A6"/>
    <w:rsid w:val="003950C2"/>
    <w:rsid w:val="003953CA"/>
    <w:rsid w:val="00395E00"/>
    <w:rsid w:val="003978B2"/>
    <w:rsid w:val="003A013F"/>
    <w:rsid w:val="003A05C9"/>
    <w:rsid w:val="003A1820"/>
    <w:rsid w:val="003A185C"/>
    <w:rsid w:val="003A23B9"/>
    <w:rsid w:val="003A2D1F"/>
    <w:rsid w:val="003A3F2F"/>
    <w:rsid w:val="003A46DA"/>
    <w:rsid w:val="003A4DBD"/>
    <w:rsid w:val="003A5AB3"/>
    <w:rsid w:val="003A768F"/>
    <w:rsid w:val="003A7EB2"/>
    <w:rsid w:val="003B03C4"/>
    <w:rsid w:val="003B0AB5"/>
    <w:rsid w:val="003B0D95"/>
    <w:rsid w:val="003B0F9E"/>
    <w:rsid w:val="003B2CAD"/>
    <w:rsid w:val="003B325A"/>
    <w:rsid w:val="003B3DE3"/>
    <w:rsid w:val="003B481F"/>
    <w:rsid w:val="003B5D80"/>
    <w:rsid w:val="003B65D2"/>
    <w:rsid w:val="003C01EF"/>
    <w:rsid w:val="003C0893"/>
    <w:rsid w:val="003C0EAB"/>
    <w:rsid w:val="003C1B66"/>
    <w:rsid w:val="003C2AC6"/>
    <w:rsid w:val="003C40CB"/>
    <w:rsid w:val="003C455B"/>
    <w:rsid w:val="003C46A3"/>
    <w:rsid w:val="003C4C0A"/>
    <w:rsid w:val="003C586B"/>
    <w:rsid w:val="003C5AE1"/>
    <w:rsid w:val="003C5C55"/>
    <w:rsid w:val="003C6E53"/>
    <w:rsid w:val="003D032F"/>
    <w:rsid w:val="003D3071"/>
    <w:rsid w:val="003D3269"/>
    <w:rsid w:val="003D7233"/>
    <w:rsid w:val="003D7BA3"/>
    <w:rsid w:val="003E1304"/>
    <w:rsid w:val="003E1A13"/>
    <w:rsid w:val="003E310A"/>
    <w:rsid w:val="003E3295"/>
    <w:rsid w:val="003E3A79"/>
    <w:rsid w:val="003E6599"/>
    <w:rsid w:val="003E6743"/>
    <w:rsid w:val="003E745F"/>
    <w:rsid w:val="003E779F"/>
    <w:rsid w:val="003F02E9"/>
    <w:rsid w:val="003F0B8B"/>
    <w:rsid w:val="003F2923"/>
    <w:rsid w:val="003F3035"/>
    <w:rsid w:val="003F48E6"/>
    <w:rsid w:val="003F6122"/>
    <w:rsid w:val="003F6788"/>
    <w:rsid w:val="003F734D"/>
    <w:rsid w:val="00400B50"/>
    <w:rsid w:val="004012D1"/>
    <w:rsid w:val="00401CBA"/>
    <w:rsid w:val="00404A84"/>
    <w:rsid w:val="004058C8"/>
    <w:rsid w:val="00410C82"/>
    <w:rsid w:val="0041102A"/>
    <w:rsid w:val="004117F1"/>
    <w:rsid w:val="004119B2"/>
    <w:rsid w:val="00412507"/>
    <w:rsid w:val="0041359C"/>
    <w:rsid w:val="00413D58"/>
    <w:rsid w:val="0041404F"/>
    <w:rsid w:val="00414791"/>
    <w:rsid w:val="00415049"/>
    <w:rsid w:val="00415397"/>
    <w:rsid w:val="00415D0F"/>
    <w:rsid w:val="004200BB"/>
    <w:rsid w:val="004211A5"/>
    <w:rsid w:val="00422615"/>
    <w:rsid w:val="0042544F"/>
    <w:rsid w:val="00425870"/>
    <w:rsid w:val="004269E3"/>
    <w:rsid w:val="00426F77"/>
    <w:rsid w:val="004303A0"/>
    <w:rsid w:val="0043256B"/>
    <w:rsid w:val="004329AA"/>
    <w:rsid w:val="00434CC1"/>
    <w:rsid w:val="00434F90"/>
    <w:rsid w:val="00435196"/>
    <w:rsid w:val="004356CE"/>
    <w:rsid w:val="00436DD0"/>
    <w:rsid w:val="0043742A"/>
    <w:rsid w:val="00440137"/>
    <w:rsid w:val="004402B0"/>
    <w:rsid w:val="00441637"/>
    <w:rsid w:val="00441C49"/>
    <w:rsid w:val="00441DA2"/>
    <w:rsid w:val="00442F82"/>
    <w:rsid w:val="004436AF"/>
    <w:rsid w:val="00443CEA"/>
    <w:rsid w:val="004473BD"/>
    <w:rsid w:val="004478B0"/>
    <w:rsid w:val="00447AA6"/>
    <w:rsid w:val="004506E1"/>
    <w:rsid w:val="004519B5"/>
    <w:rsid w:val="0045251B"/>
    <w:rsid w:val="004528DC"/>
    <w:rsid w:val="00452CB0"/>
    <w:rsid w:val="0045307C"/>
    <w:rsid w:val="00455604"/>
    <w:rsid w:val="00455930"/>
    <w:rsid w:val="00455FB7"/>
    <w:rsid w:val="004576B1"/>
    <w:rsid w:val="004602ED"/>
    <w:rsid w:val="00460428"/>
    <w:rsid w:val="00461153"/>
    <w:rsid w:val="00461BB6"/>
    <w:rsid w:val="00462A40"/>
    <w:rsid w:val="00462F6A"/>
    <w:rsid w:val="004631A3"/>
    <w:rsid w:val="00463626"/>
    <w:rsid w:val="0046429C"/>
    <w:rsid w:val="004646A4"/>
    <w:rsid w:val="00465BCF"/>
    <w:rsid w:val="00470688"/>
    <w:rsid w:val="00472008"/>
    <w:rsid w:val="00472467"/>
    <w:rsid w:val="00473F70"/>
    <w:rsid w:val="00475DF2"/>
    <w:rsid w:val="00475F55"/>
    <w:rsid w:val="004778A9"/>
    <w:rsid w:val="00480992"/>
    <w:rsid w:val="00480ACB"/>
    <w:rsid w:val="00482C48"/>
    <w:rsid w:val="00485974"/>
    <w:rsid w:val="00486866"/>
    <w:rsid w:val="00487513"/>
    <w:rsid w:val="00487E8C"/>
    <w:rsid w:val="00490115"/>
    <w:rsid w:val="00491CE5"/>
    <w:rsid w:val="00492274"/>
    <w:rsid w:val="00494E4B"/>
    <w:rsid w:val="00494E97"/>
    <w:rsid w:val="00495ECD"/>
    <w:rsid w:val="00496231"/>
    <w:rsid w:val="00496750"/>
    <w:rsid w:val="004967E8"/>
    <w:rsid w:val="00496DFC"/>
    <w:rsid w:val="00496F49"/>
    <w:rsid w:val="00496FE4"/>
    <w:rsid w:val="004974DE"/>
    <w:rsid w:val="0049753A"/>
    <w:rsid w:val="00497545"/>
    <w:rsid w:val="004A11EC"/>
    <w:rsid w:val="004A1D8A"/>
    <w:rsid w:val="004A251D"/>
    <w:rsid w:val="004A2C06"/>
    <w:rsid w:val="004A5103"/>
    <w:rsid w:val="004A520C"/>
    <w:rsid w:val="004A531F"/>
    <w:rsid w:val="004A57D2"/>
    <w:rsid w:val="004A670E"/>
    <w:rsid w:val="004A6BC3"/>
    <w:rsid w:val="004A7002"/>
    <w:rsid w:val="004A7AC4"/>
    <w:rsid w:val="004B2BE0"/>
    <w:rsid w:val="004B31E3"/>
    <w:rsid w:val="004B3E77"/>
    <w:rsid w:val="004B411C"/>
    <w:rsid w:val="004B430F"/>
    <w:rsid w:val="004B6675"/>
    <w:rsid w:val="004B7E67"/>
    <w:rsid w:val="004C04F9"/>
    <w:rsid w:val="004C303C"/>
    <w:rsid w:val="004C30CD"/>
    <w:rsid w:val="004C391D"/>
    <w:rsid w:val="004C3FFC"/>
    <w:rsid w:val="004C7856"/>
    <w:rsid w:val="004D0E35"/>
    <w:rsid w:val="004D1336"/>
    <w:rsid w:val="004D25D7"/>
    <w:rsid w:val="004D76E0"/>
    <w:rsid w:val="004D77FC"/>
    <w:rsid w:val="004D7CAE"/>
    <w:rsid w:val="004E0093"/>
    <w:rsid w:val="004E0FFB"/>
    <w:rsid w:val="004E2664"/>
    <w:rsid w:val="004E5201"/>
    <w:rsid w:val="004E6959"/>
    <w:rsid w:val="004F12FE"/>
    <w:rsid w:val="004F3C01"/>
    <w:rsid w:val="004F46CA"/>
    <w:rsid w:val="004F5B43"/>
    <w:rsid w:val="004F65D6"/>
    <w:rsid w:val="004F708B"/>
    <w:rsid w:val="004F7EE5"/>
    <w:rsid w:val="0050146B"/>
    <w:rsid w:val="005021C0"/>
    <w:rsid w:val="00502A2D"/>
    <w:rsid w:val="005039D7"/>
    <w:rsid w:val="00503C6D"/>
    <w:rsid w:val="005121CD"/>
    <w:rsid w:val="0051243C"/>
    <w:rsid w:val="00512B63"/>
    <w:rsid w:val="00515A7F"/>
    <w:rsid w:val="00517071"/>
    <w:rsid w:val="005172AD"/>
    <w:rsid w:val="005208B5"/>
    <w:rsid w:val="0052090E"/>
    <w:rsid w:val="0052284A"/>
    <w:rsid w:val="00523871"/>
    <w:rsid w:val="00525E4B"/>
    <w:rsid w:val="005275E4"/>
    <w:rsid w:val="005307B5"/>
    <w:rsid w:val="00530D76"/>
    <w:rsid w:val="00531298"/>
    <w:rsid w:val="0053185F"/>
    <w:rsid w:val="00531BE3"/>
    <w:rsid w:val="00531EFD"/>
    <w:rsid w:val="00532019"/>
    <w:rsid w:val="00534FA0"/>
    <w:rsid w:val="005357BF"/>
    <w:rsid w:val="00535AF0"/>
    <w:rsid w:val="0053617C"/>
    <w:rsid w:val="0053795E"/>
    <w:rsid w:val="00540B6D"/>
    <w:rsid w:val="0054147B"/>
    <w:rsid w:val="0054162B"/>
    <w:rsid w:val="005420B3"/>
    <w:rsid w:val="0054230C"/>
    <w:rsid w:val="0054272D"/>
    <w:rsid w:val="005429E2"/>
    <w:rsid w:val="00542AB5"/>
    <w:rsid w:val="00542B1E"/>
    <w:rsid w:val="00543823"/>
    <w:rsid w:val="00544727"/>
    <w:rsid w:val="00545246"/>
    <w:rsid w:val="00551958"/>
    <w:rsid w:val="00551CFF"/>
    <w:rsid w:val="00551D38"/>
    <w:rsid w:val="005548B9"/>
    <w:rsid w:val="00555F55"/>
    <w:rsid w:val="00556333"/>
    <w:rsid w:val="0055675C"/>
    <w:rsid w:val="00556ACD"/>
    <w:rsid w:val="00556B98"/>
    <w:rsid w:val="0056148F"/>
    <w:rsid w:val="0056202B"/>
    <w:rsid w:val="0056206E"/>
    <w:rsid w:val="005623C8"/>
    <w:rsid w:val="00564C29"/>
    <w:rsid w:val="00565091"/>
    <w:rsid w:val="005653CB"/>
    <w:rsid w:val="00565A66"/>
    <w:rsid w:val="00565A72"/>
    <w:rsid w:val="00565EA6"/>
    <w:rsid w:val="005662A8"/>
    <w:rsid w:val="005663B0"/>
    <w:rsid w:val="00572DC9"/>
    <w:rsid w:val="0057315E"/>
    <w:rsid w:val="00573770"/>
    <w:rsid w:val="005738CE"/>
    <w:rsid w:val="00573C94"/>
    <w:rsid w:val="00574935"/>
    <w:rsid w:val="0057500F"/>
    <w:rsid w:val="00575217"/>
    <w:rsid w:val="005761FD"/>
    <w:rsid w:val="00576224"/>
    <w:rsid w:val="005776D6"/>
    <w:rsid w:val="005776E1"/>
    <w:rsid w:val="00577969"/>
    <w:rsid w:val="005807E7"/>
    <w:rsid w:val="00582176"/>
    <w:rsid w:val="00584421"/>
    <w:rsid w:val="00586BB8"/>
    <w:rsid w:val="00590D92"/>
    <w:rsid w:val="00590FDF"/>
    <w:rsid w:val="005927E0"/>
    <w:rsid w:val="00593D2D"/>
    <w:rsid w:val="00593E37"/>
    <w:rsid w:val="00594B60"/>
    <w:rsid w:val="0059695E"/>
    <w:rsid w:val="0059761F"/>
    <w:rsid w:val="00597AED"/>
    <w:rsid w:val="00597B09"/>
    <w:rsid w:val="00597C53"/>
    <w:rsid w:val="005A0012"/>
    <w:rsid w:val="005A0358"/>
    <w:rsid w:val="005A0DBC"/>
    <w:rsid w:val="005A14D3"/>
    <w:rsid w:val="005A1767"/>
    <w:rsid w:val="005A183D"/>
    <w:rsid w:val="005A19E3"/>
    <w:rsid w:val="005A2318"/>
    <w:rsid w:val="005A272D"/>
    <w:rsid w:val="005A2750"/>
    <w:rsid w:val="005A2907"/>
    <w:rsid w:val="005A332E"/>
    <w:rsid w:val="005A3509"/>
    <w:rsid w:val="005A37F3"/>
    <w:rsid w:val="005A4EBF"/>
    <w:rsid w:val="005A4F13"/>
    <w:rsid w:val="005A515E"/>
    <w:rsid w:val="005A618D"/>
    <w:rsid w:val="005A6260"/>
    <w:rsid w:val="005A6BF4"/>
    <w:rsid w:val="005A7378"/>
    <w:rsid w:val="005B10F8"/>
    <w:rsid w:val="005B1607"/>
    <w:rsid w:val="005B1C33"/>
    <w:rsid w:val="005B2E8C"/>
    <w:rsid w:val="005B3365"/>
    <w:rsid w:val="005B5205"/>
    <w:rsid w:val="005B5677"/>
    <w:rsid w:val="005B56F4"/>
    <w:rsid w:val="005B6FDD"/>
    <w:rsid w:val="005B7B52"/>
    <w:rsid w:val="005B7BE6"/>
    <w:rsid w:val="005C2816"/>
    <w:rsid w:val="005C3939"/>
    <w:rsid w:val="005C3B62"/>
    <w:rsid w:val="005C4134"/>
    <w:rsid w:val="005C4A7F"/>
    <w:rsid w:val="005C531E"/>
    <w:rsid w:val="005C5949"/>
    <w:rsid w:val="005C6D94"/>
    <w:rsid w:val="005C74EB"/>
    <w:rsid w:val="005C771C"/>
    <w:rsid w:val="005C7DA3"/>
    <w:rsid w:val="005D0931"/>
    <w:rsid w:val="005D1123"/>
    <w:rsid w:val="005D2897"/>
    <w:rsid w:val="005D3126"/>
    <w:rsid w:val="005D38F1"/>
    <w:rsid w:val="005D5F06"/>
    <w:rsid w:val="005D7423"/>
    <w:rsid w:val="005D7768"/>
    <w:rsid w:val="005D7C5A"/>
    <w:rsid w:val="005E0233"/>
    <w:rsid w:val="005E034F"/>
    <w:rsid w:val="005E0561"/>
    <w:rsid w:val="005E0727"/>
    <w:rsid w:val="005E3858"/>
    <w:rsid w:val="005E3BE4"/>
    <w:rsid w:val="005E3D89"/>
    <w:rsid w:val="005E4101"/>
    <w:rsid w:val="005E44D9"/>
    <w:rsid w:val="005E5E81"/>
    <w:rsid w:val="005E6857"/>
    <w:rsid w:val="005E7242"/>
    <w:rsid w:val="005E7A90"/>
    <w:rsid w:val="005F10B1"/>
    <w:rsid w:val="005F21B7"/>
    <w:rsid w:val="005F2741"/>
    <w:rsid w:val="005F3D50"/>
    <w:rsid w:val="005F3FC8"/>
    <w:rsid w:val="005F4CAE"/>
    <w:rsid w:val="005F682E"/>
    <w:rsid w:val="005F6EAF"/>
    <w:rsid w:val="0060216C"/>
    <w:rsid w:val="00602898"/>
    <w:rsid w:val="0060291F"/>
    <w:rsid w:val="00603BE7"/>
    <w:rsid w:val="00604517"/>
    <w:rsid w:val="0060553A"/>
    <w:rsid w:val="00605D86"/>
    <w:rsid w:val="0060699E"/>
    <w:rsid w:val="0060741B"/>
    <w:rsid w:val="00610ED3"/>
    <w:rsid w:val="0061121D"/>
    <w:rsid w:val="00611CD5"/>
    <w:rsid w:val="0061313D"/>
    <w:rsid w:val="006146F3"/>
    <w:rsid w:val="0061598B"/>
    <w:rsid w:val="00616263"/>
    <w:rsid w:val="00616390"/>
    <w:rsid w:val="0061727E"/>
    <w:rsid w:val="0061792B"/>
    <w:rsid w:val="006219B7"/>
    <w:rsid w:val="006226C4"/>
    <w:rsid w:val="00624715"/>
    <w:rsid w:val="0062508B"/>
    <w:rsid w:val="00626F66"/>
    <w:rsid w:val="00627077"/>
    <w:rsid w:val="00627E1D"/>
    <w:rsid w:val="00631245"/>
    <w:rsid w:val="00632639"/>
    <w:rsid w:val="00632856"/>
    <w:rsid w:val="006339C3"/>
    <w:rsid w:val="00633B8A"/>
    <w:rsid w:val="00634877"/>
    <w:rsid w:val="00636608"/>
    <w:rsid w:val="0064019F"/>
    <w:rsid w:val="0064082F"/>
    <w:rsid w:val="00640C52"/>
    <w:rsid w:val="00640E8C"/>
    <w:rsid w:val="00641317"/>
    <w:rsid w:val="006424A5"/>
    <w:rsid w:val="00643F82"/>
    <w:rsid w:val="00644442"/>
    <w:rsid w:val="00644BBB"/>
    <w:rsid w:val="00644D49"/>
    <w:rsid w:val="00645B40"/>
    <w:rsid w:val="00646B94"/>
    <w:rsid w:val="006477B0"/>
    <w:rsid w:val="00647AA3"/>
    <w:rsid w:val="00647F4D"/>
    <w:rsid w:val="00650234"/>
    <w:rsid w:val="00650D0D"/>
    <w:rsid w:val="006511FF"/>
    <w:rsid w:val="00651C35"/>
    <w:rsid w:val="006534AC"/>
    <w:rsid w:val="00653CB4"/>
    <w:rsid w:val="00654A8A"/>
    <w:rsid w:val="00654D86"/>
    <w:rsid w:val="00654EE9"/>
    <w:rsid w:val="0065512D"/>
    <w:rsid w:val="00660BC2"/>
    <w:rsid w:val="00661AF8"/>
    <w:rsid w:val="00661AFA"/>
    <w:rsid w:val="00662625"/>
    <w:rsid w:val="0066314B"/>
    <w:rsid w:val="006632A1"/>
    <w:rsid w:val="00664AA6"/>
    <w:rsid w:val="00666842"/>
    <w:rsid w:val="00667903"/>
    <w:rsid w:val="00670B78"/>
    <w:rsid w:val="00670D62"/>
    <w:rsid w:val="00671556"/>
    <w:rsid w:val="00671684"/>
    <w:rsid w:val="00671769"/>
    <w:rsid w:val="006726E4"/>
    <w:rsid w:val="00673C22"/>
    <w:rsid w:val="00675628"/>
    <w:rsid w:val="00675762"/>
    <w:rsid w:val="006761DC"/>
    <w:rsid w:val="006779A7"/>
    <w:rsid w:val="00680E9B"/>
    <w:rsid w:val="00681127"/>
    <w:rsid w:val="00682450"/>
    <w:rsid w:val="00682ADD"/>
    <w:rsid w:val="00683154"/>
    <w:rsid w:val="00683E2D"/>
    <w:rsid w:val="00684C98"/>
    <w:rsid w:val="00684CB3"/>
    <w:rsid w:val="00686413"/>
    <w:rsid w:val="00686AF6"/>
    <w:rsid w:val="00686B07"/>
    <w:rsid w:val="00687E79"/>
    <w:rsid w:val="006904D5"/>
    <w:rsid w:val="00694164"/>
    <w:rsid w:val="00695413"/>
    <w:rsid w:val="006A0148"/>
    <w:rsid w:val="006A06E3"/>
    <w:rsid w:val="006A1505"/>
    <w:rsid w:val="006A1A6F"/>
    <w:rsid w:val="006A2500"/>
    <w:rsid w:val="006A251B"/>
    <w:rsid w:val="006A33B2"/>
    <w:rsid w:val="006A6357"/>
    <w:rsid w:val="006A6B32"/>
    <w:rsid w:val="006A6EE1"/>
    <w:rsid w:val="006A755B"/>
    <w:rsid w:val="006A7FED"/>
    <w:rsid w:val="006B116F"/>
    <w:rsid w:val="006B190D"/>
    <w:rsid w:val="006B1FF3"/>
    <w:rsid w:val="006B305C"/>
    <w:rsid w:val="006B3158"/>
    <w:rsid w:val="006B55E6"/>
    <w:rsid w:val="006B5DE3"/>
    <w:rsid w:val="006B7CFB"/>
    <w:rsid w:val="006C0BCB"/>
    <w:rsid w:val="006C0D61"/>
    <w:rsid w:val="006C1110"/>
    <w:rsid w:val="006C24ED"/>
    <w:rsid w:val="006C3037"/>
    <w:rsid w:val="006C39AF"/>
    <w:rsid w:val="006C3FEB"/>
    <w:rsid w:val="006C4154"/>
    <w:rsid w:val="006C5ECC"/>
    <w:rsid w:val="006C6725"/>
    <w:rsid w:val="006C6F85"/>
    <w:rsid w:val="006C72FE"/>
    <w:rsid w:val="006C76B4"/>
    <w:rsid w:val="006D0468"/>
    <w:rsid w:val="006D056E"/>
    <w:rsid w:val="006D0710"/>
    <w:rsid w:val="006D1041"/>
    <w:rsid w:val="006D1103"/>
    <w:rsid w:val="006D23ED"/>
    <w:rsid w:val="006D342E"/>
    <w:rsid w:val="006D38A1"/>
    <w:rsid w:val="006D3EE8"/>
    <w:rsid w:val="006D4A79"/>
    <w:rsid w:val="006D6A58"/>
    <w:rsid w:val="006D6C4B"/>
    <w:rsid w:val="006D7020"/>
    <w:rsid w:val="006E03A4"/>
    <w:rsid w:val="006E0A79"/>
    <w:rsid w:val="006E121E"/>
    <w:rsid w:val="006E21F1"/>
    <w:rsid w:val="006E2DCF"/>
    <w:rsid w:val="006E40AF"/>
    <w:rsid w:val="006E5555"/>
    <w:rsid w:val="006E6788"/>
    <w:rsid w:val="006E73E6"/>
    <w:rsid w:val="006F0846"/>
    <w:rsid w:val="006F0FC4"/>
    <w:rsid w:val="006F26F0"/>
    <w:rsid w:val="006F394D"/>
    <w:rsid w:val="006F410A"/>
    <w:rsid w:val="006F4939"/>
    <w:rsid w:val="006F4CB9"/>
    <w:rsid w:val="006F51E1"/>
    <w:rsid w:val="006F5D7B"/>
    <w:rsid w:val="006F6EEB"/>
    <w:rsid w:val="006F704E"/>
    <w:rsid w:val="006F7FF7"/>
    <w:rsid w:val="00700E72"/>
    <w:rsid w:val="00701879"/>
    <w:rsid w:val="007018E3"/>
    <w:rsid w:val="00701C0C"/>
    <w:rsid w:val="00702232"/>
    <w:rsid w:val="00702542"/>
    <w:rsid w:val="00702EDC"/>
    <w:rsid w:val="007032C6"/>
    <w:rsid w:val="00703CA3"/>
    <w:rsid w:val="00705335"/>
    <w:rsid w:val="00707082"/>
    <w:rsid w:val="00710623"/>
    <w:rsid w:val="00710D2D"/>
    <w:rsid w:val="00710EDE"/>
    <w:rsid w:val="00710FAC"/>
    <w:rsid w:val="00711656"/>
    <w:rsid w:val="00712503"/>
    <w:rsid w:val="00712752"/>
    <w:rsid w:val="007134D4"/>
    <w:rsid w:val="007144B1"/>
    <w:rsid w:val="00715838"/>
    <w:rsid w:val="00715B03"/>
    <w:rsid w:val="00715C62"/>
    <w:rsid w:val="0071673F"/>
    <w:rsid w:val="007208FD"/>
    <w:rsid w:val="00722A75"/>
    <w:rsid w:val="00725643"/>
    <w:rsid w:val="007264CF"/>
    <w:rsid w:val="00726A3B"/>
    <w:rsid w:val="0072758B"/>
    <w:rsid w:val="00727CB4"/>
    <w:rsid w:val="00727E74"/>
    <w:rsid w:val="00730DBA"/>
    <w:rsid w:val="007312F3"/>
    <w:rsid w:val="00732124"/>
    <w:rsid w:val="007327F5"/>
    <w:rsid w:val="0073346C"/>
    <w:rsid w:val="007349C2"/>
    <w:rsid w:val="00734DD3"/>
    <w:rsid w:val="00734E74"/>
    <w:rsid w:val="007356BE"/>
    <w:rsid w:val="00736E13"/>
    <w:rsid w:val="00736F45"/>
    <w:rsid w:val="007375E1"/>
    <w:rsid w:val="00740607"/>
    <w:rsid w:val="00741473"/>
    <w:rsid w:val="007418B3"/>
    <w:rsid w:val="007419BE"/>
    <w:rsid w:val="007424F4"/>
    <w:rsid w:val="00742F20"/>
    <w:rsid w:val="00745A27"/>
    <w:rsid w:val="00747588"/>
    <w:rsid w:val="00747BFE"/>
    <w:rsid w:val="00747D88"/>
    <w:rsid w:val="00751C1A"/>
    <w:rsid w:val="00752F49"/>
    <w:rsid w:val="007533AF"/>
    <w:rsid w:val="007533B4"/>
    <w:rsid w:val="00754B21"/>
    <w:rsid w:val="00755083"/>
    <w:rsid w:val="007569A4"/>
    <w:rsid w:val="00760A60"/>
    <w:rsid w:val="00761E6A"/>
    <w:rsid w:val="00762208"/>
    <w:rsid w:val="007623C4"/>
    <w:rsid w:val="00762419"/>
    <w:rsid w:val="00762D6A"/>
    <w:rsid w:val="00764494"/>
    <w:rsid w:val="007651A5"/>
    <w:rsid w:val="007654A7"/>
    <w:rsid w:val="00767761"/>
    <w:rsid w:val="00771C10"/>
    <w:rsid w:val="00771F39"/>
    <w:rsid w:val="0077470C"/>
    <w:rsid w:val="00776728"/>
    <w:rsid w:val="0078189C"/>
    <w:rsid w:val="00782856"/>
    <w:rsid w:val="00782BBF"/>
    <w:rsid w:val="0078500F"/>
    <w:rsid w:val="00786015"/>
    <w:rsid w:val="0078671E"/>
    <w:rsid w:val="00786CFC"/>
    <w:rsid w:val="00790C9A"/>
    <w:rsid w:val="007910A3"/>
    <w:rsid w:val="00791B15"/>
    <w:rsid w:val="00791BA7"/>
    <w:rsid w:val="00792DB8"/>
    <w:rsid w:val="0079317D"/>
    <w:rsid w:val="00793A35"/>
    <w:rsid w:val="00795CA3"/>
    <w:rsid w:val="00796C87"/>
    <w:rsid w:val="007972C3"/>
    <w:rsid w:val="007A2A4D"/>
    <w:rsid w:val="007A38C2"/>
    <w:rsid w:val="007A3F8C"/>
    <w:rsid w:val="007A476D"/>
    <w:rsid w:val="007A74DA"/>
    <w:rsid w:val="007A7F3A"/>
    <w:rsid w:val="007B0075"/>
    <w:rsid w:val="007B07BB"/>
    <w:rsid w:val="007B07E2"/>
    <w:rsid w:val="007B0A3B"/>
    <w:rsid w:val="007B0A74"/>
    <w:rsid w:val="007B109F"/>
    <w:rsid w:val="007B2A2D"/>
    <w:rsid w:val="007B3E9B"/>
    <w:rsid w:val="007B4398"/>
    <w:rsid w:val="007B60F8"/>
    <w:rsid w:val="007B6D11"/>
    <w:rsid w:val="007B7127"/>
    <w:rsid w:val="007C0DBE"/>
    <w:rsid w:val="007C0E70"/>
    <w:rsid w:val="007C1286"/>
    <w:rsid w:val="007C1647"/>
    <w:rsid w:val="007C18C6"/>
    <w:rsid w:val="007C29F5"/>
    <w:rsid w:val="007C3BB5"/>
    <w:rsid w:val="007C4539"/>
    <w:rsid w:val="007C58D0"/>
    <w:rsid w:val="007C6583"/>
    <w:rsid w:val="007C6F6F"/>
    <w:rsid w:val="007C72E5"/>
    <w:rsid w:val="007C7DB6"/>
    <w:rsid w:val="007D0275"/>
    <w:rsid w:val="007D0BBF"/>
    <w:rsid w:val="007D0F7F"/>
    <w:rsid w:val="007D19A0"/>
    <w:rsid w:val="007D413B"/>
    <w:rsid w:val="007D4144"/>
    <w:rsid w:val="007D45BD"/>
    <w:rsid w:val="007D58D0"/>
    <w:rsid w:val="007D6A85"/>
    <w:rsid w:val="007D6ED1"/>
    <w:rsid w:val="007D73E9"/>
    <w:rsid w:val="007D7BBE"/>
    <w:rsid w:val="007E0100"/>
    <w:rsid w:val="007E1F03"/>
    <w:rsid w:val="007E3CA0"/>
    <w:rsid w:val="007E594E"/>
    <w:rsid w:val="007E5D06"/>
    <w:rsid w:val="007E6929"/>
    <w:rsid w:val="007E6B9B"/>
    <w:rsid w:val="007E6FEA"/>
    <w:rsid w:val="007F03C3"/>
    <w:rsid w:val="007F051A"/>
    <w:rsid w:val="007F07E3"/>
    <w:rsid w:val="007F096F"/>
    <w:rsid w:val="007F18B8"/>
    <w:rsid w:val="007F1930"/>
    <w:rsid w:val="007F1AEB"/>
    <w:rsid w:val="007F3128"/>
    <w:rsid w:val="007F3392"/>
    <w:rsid w:val="007F5121"/>
    <w:rsid w:val="007F51DE"/>
    <w:rsid w:val="007F67DF"/>
    <w:rsid w:val="007F7531"/>
    <w:rsid w:val="007F76EF"/>
    <w:rsid w:val="00800143"/>
    <w:rsid w:val="00800315"/>
    <w:rsid w:val="00801AB2"/>
    <w:rsid w:val="00801BAD"/>
    <w:rsid w:val="008029D0"/>
    <w:rsid w:val="00802B3D"/>
    <w:rsid w:val="0080307D"/>
    <w:rsid w:val="008046B8"/>
    <w:rsid w:val="00804B44"/>
    <w:rsid w:val="00804C56"/>
    <w:rsid w:val="00804FCA"/>
    <w:rsid w:val="00805D4F"/>
    <w:rsid w:val="00805FE9"/>
    <w:rsid w:val="008067E4"/>
    <w:rsid w:val="00806A95"/>
    <w:rsid w:val="0081271B"/>
    <w:rsid w:val="0081563D"/>
    <w:rsid w:val="00815A0B"/>
    <w:rsid w:val="00816C1E"/>
    <w:rsid w:val="00820E6A"/>
    <w:rsid w:val="00821699"/>
    <w:rsid w:val="00821799"/>
    <w:rsid w:val="00821EC1"/>
    <w:rsid w:val="008227CB"/>
    <w:rsid w:val="008229FF"/>
    <w:rsid w:val="0082307F"/>
    <w:rsid w:val="00823C5E"/>
    <w:rsid w:val="00824F17"/>
    <w:rsid w:val="00827151"/>
    <w:rsid w:val="00827765"/>
    <w:rsid w:val="008278AE"/>
    <w:rsid w:val="008312FF"/>
    <w:rsid w:val="00832830"/>
    <w:rsid w:val="00833D7D"/>
    <w:rsid w:val="0083477A"/>
    <w:rsid w:val="008354C3"/>
    <w:rsid w:val="00836304"/>
    <w:rsid w:val="00836BBA"/>
    <w:rsid w:val="00837027"/>
    <w:rsid w:val="00837712"/>
    <w:rsid w:val="00837BC9"/>
    <w:rsid w:val="00840007"/>
    <w:rsid w:val="0084040D"/>
    <w:rsid w:val="008411F0"/>
    <w:rsid w:val="00841265"/>
    <w:rsid w:val="00841328"/>
    <w:rsid w:val="00843925"/>
    <w:rsid w:val="0084449F"/>
    <w:rsid w:val="008448B8"/>
    <w:rsid w:val="00844F95"/>
    <w:rsid w:val="008453AF"/>
    <w:rsid w:val="00846209"/>
    <w:rsid w:val="00846564"/>
    <w:rsid w:val="00846C36"/>
    <w:rsid w:val="00850125"/>
    <w:rsid w:val="00850D31"/>
    <w:rsid w:val="0085189A"/>
    <w:rsid w:val="00852F98"/>
    <w:rsid w:val="008556EB"/>
    <w:rsid w:val="00856C06"/>
    <w:rsid w:val="00856D96"/>
    <w:rsid w:val="00856F67"/>
    <w:rsid w:val="008570FF"/>
    <w:rsid w:val="00857325"/>
    <w:rsid w:val="008601A7"/>
    <w:rsid w:val="0086046D"/>
    <w:rsid w:val="00860490"/>
    <w:rsid w:val="00860796"/>
    <w:rsid w:val="00860A63"/>
    <w:rsid w:val="0086124E"/>
    <w:rsid w:val="0086240C"/>
    <w:rsid w:val="008631C9"/>
    <w:rsid w:val="00863581"/>
    <w:rsid w:val="00863BA8"/>
    <w:rsid w:val="00864FEC"/>
    <w:rsid w:val="008652A1"/>
    <w:rsid w:val="00865661"/>
    <w:rsid w:val="00870D56"/>
    <w:rsid w:val="00870D76"/>
    <w:rsid w:val="00871D2B"/>
    <w:rsid w:val="00872472"/>
    <w:rsid w:val="00872764"/>
    <w:rsid w:val="00872E03"/>
    <w:rsid w:val="00874C00"/>
    <w:rsid w:val="008770CA"/>
    <w:rsid w:val="008773C3"/>
    <w:rsid w:val="0087740B"/>
    <w:rsid w:val="008808E3"/>
    <w:rsid w:val="0088325B"/>
    <w:rsid w:val="00883550"/>
    <w:rsid w:val="008840A0"/>
    <w:rsid w:val="008841F6"/>
    <w:rsid w:val="00884ACB"/>
    <w:rsid w:val="00887204"/>
    <w:rsid w:val="0088735C"/>
    <w:rsid w:val="00887531"/>
    <w:rsid w:val="00887A80"/>
    <w:rsid w:val="00891E58"/>
    <w:rsid w:val="008923A9"/>
    <w:rsid w:val="00892BF3"/>
    <w:rsid w:val="00893123"/>
    <w:rsid w:val="00893AB3"/>
    <w:rsid w:val="00894863"/>
    <w:rsid w:val="00895972"/>
    <w:rsid w:val="008963DF"/>
    <w:rsid w:val="00896824"/>
    <w:rsid w:val="008971D1"/>
    <w:rsid w:val="00897E82"/>
    <w:rsid w:val="008A04E8"/>
    <w:rsid w:val="008A05C7"/>
    <w:rsid w:val="008A096B"/>
    <w:rsid w:val="008A1ED1"/>
    <w:rsid w:val="008A2A0C"/>
    <w:rsid w:val="008A3A01"/>
    <w:rsid w:val="008A3A4A"/>
    <w:rsid w:val="008A434C"/>
    <w:rsid w:val="008A483A"/>
    <w:rsid w:val="008A4C6F"/>
    <w:rsid w:val="008A6909"/>
    <w:rsid w:val="008B1C34"/>
    <w:rsid w:val="008B20E5"/>
    <w:rsid w:val="008B5EDE"/>
    <w:rsid w:val="008B60D7"/>
    <w:rsid w:val="008B7C62"/>
    <w:rsid w:val="008B7C7D"/>
    <w:rsid w:val="008B7DF5"/>
    <w:rsid w:val="008C0AF3"/>
    <w:rsid w:val="008C0ED5"/>
    <w:rsid w:val="008C2B79"/>
    <w:rsid w:val="008C399E"/>
    <w:rsid w:val="008C45DC"/>
    <w:rsid w:val="008C48E3"/>
    <w:rsid w:val="008C6DB7"/>
    <w:rsid w:val="008C6DDA"/>
    <w:rsid w:val="008C6F7B"/>
    <w:rsid w:val="008C74DF"/>
    <w:rsid w:val="008C7595"/>
    <w:rsid w:val="008C7818"/>
    <w:rsid w:val="008D08DF"/>
    <w:rsid w:val="008D0B4F"/>
    <w:rsid w:val="008D144A"/>
    <w:rsid w:val="008D4B5D"/>
    <w:rsid w:val="008D4C6C"/>
    <w:rsid w:val="008D54B8"/>
    <w:rsid w:val="008D5DEF"/>
    <w:rsid w:val="008D64AF"/>
    <w:rsid w:val="008D7968"/>
    <w:rsid w:val="008E1A75"/>
    <w:rsid w:val="008E2262"/>
    <w:rsid w:val="008E3036"/>
    <w:rsid w:val="008E387F"/>
    <w:rsid w:val="008E38FE"/>
    <w:rsid w:val="008E3B9C"/>
    <w:rsid w:val="008E3CEF"/>
    <w:rsid w:val="008E4297"/>
    <w:rsid w:val="008E51A6"/>
    <w:rsid w:val="008E648D"/>
    <w:rsid w:val="008E76E5"/>
    <w:rsid w:val="008E7FF2"/>
    <w:rsid w:val="008F08F9"/>
    <w:rsid w:val="008F0B71"/>
    <w:rsid w:val="008F201B"/>
    <w:rsid w:val="008F235E"/>
    <w:rsid w:val="008F2843"/>
    <w:rsid w:val="008F2E08"/>
    <w:rsid w:val="008F2EDE"/>
    <w:rsid w:val="008F3DE2"/>
    <w:rsid w:val="008F4C06"/>
    <w:rsid w:val="008F4C2C"/>
    <w:rsid w:val="008F4D37"/>
    <w:rsid w:val="008F646E"/>
    <w:rsid w:val="00902359"/>
    <w:rsid w:val="00902E48"/>
    <w:rsid w:val="00903463"/>
    <w:rsid w:val="00903904"/>
    <w:rsid w:val="00905D0E"/>
    <w:rsid w:val="0090688E"/>
    <w:rsid w:val="00907768"/>
    <w:rsid w:val="00910304"/>
    <w:rsid w:val="009106EF"/>
    <w:rsid w:val="009109D4"/>
    <w:rsid w:val="00911AD9"/>
    <w:rsid w:val="0091276A"/>
    <w:rsid w:val="00914A44"/>
    <w:rsid w:val="00916519"/>
    <w:rsid w:val="00917778"/>
    <w:rsid w:val="00920AF1"/>
    <w:rsid w:val="00920D0A"/>
    <w:rsid w:val="0092117A"/>
    <w:rsid w:val="009214C0"/>
    <w:rsid w:val="00921514"/>
    <w:rsid w:val="00921688"/>
    <w:rsid w:val="00921E13"/>
    <w:rsid w:val="009229D0"/>
    <w:rsid w:val="00922E6B"/>
    <w:rsid w:val="009240F0"/>
    <w:rsid w:val="00925651"/>
    <w:rsid w:val="00926020"/>
    <w:rsid w:val="00926089"/>
    <w:rsid w:val="00926247"/>
    <w:rsid w:val="00927014"/>
    <w:rsid w:val="009275B2"/>
    <w:rsid w:val="0093155E"/>
    <w:rsid w:val="009316B4"/>
    <w:rsid w:val="00932719"/>
    <w:rsid w:val="00933458"/>
    <w:rsid w:val="00933967"/>
    <w:rsid w:val="009342AB"/>
    <w:rsid w:val="00934388"/>
    <w:rsid w:val="0093475B"/>
    <w:rsid w:val="009369B5"/>
    <w:rsid w:val="0094025E"/>
    <w:rsid w:val="009412F3"/>
    <w:rsid w:val="00943D99"/>
    <w:rsid w:val="00944470"/>
    <w:rsid w:val="0094558A"/>
    <w:rsid w:val="009455ED"/>
    <w:rsid w:val="00946187"/>
    <w:rsid w:val="009462A7"/>
    <w:rsid w:val="009465F7"/>
    <w:rsid w:val="00947583"/>
    <w:rsid w:val="009475C5"/>
    <w:rsid w:val="00947F26"/>
    <w:rsid w:val="00950BF3"/>
    <w:rsid w:val="0095166C"/>
    <w:rsid w:val="00952D2C"/>
    <w:rsid w:val="009533A1"/>
    <w:rsid w:val="0095469D"/>
    <w:rsid w:val="00954E95"/>
    <w:rsid w:val="00955193"/>
    <w:rsid w:val="00955AB9"/>
    <w:rsid w:val="009562E1"/>
    <w:rsid w:val="0095747E"/>
    <w:rsid w:val="00957E66"/>
    <w:rsid w:val="00962B33"/>
    <w:rsid w:val="00963B5B"/>
    <w:rsid w:val="00967882"/>
    <w:rsid w:val="00970DEF"/>
    <w:rsid w:val="0097192A"/>
    <w:rsid w:val="009726DD"/>
    <w:rsid w:val="009727B0"/>
    <w:rsid w:val="00972989"/>
    <w:rsid w:val="00974532"/>
    <w:rsid w:val="00975B9D"/>
    <w:rsid w:val="00975DD0"/>
    <w:rsid w:val="0097610B"/>
    <w:rsid w:val="0098094C"/>
    <w:rsid w:val="00982A7E"/>
    <w:rsid w:val="009840BD"/>
    <w:rsid w:val="009860C1"/>
    <w:rsid w:val="00986103"/>
    <w:rsid w:val="009862A8"/>
    <w:rsid w:val="009868CA"/>
    <w:rsid w:val="00986B1C"/>
    <w:rsid w:val="00986B2D"/>
    <w:rsid w:val="00986BEA"/>
    <w:rsid w:val="00987A47"/>
    <w:rsid w:val="00987AFF"/>
    <w:rsid w:val="00987FFA"/>
    <w:rsid w:val="0099057D"/>
    <w:rsid w:val="009908B6"/>
    <w:rsid w:val="00991018"/>
    <w:rsid w:val="00991425"/>
    <w:rsid w:val="00991573"/>
    <w:rsid w:val="009919EA"/>
    <w:rsid w:val="0099277E"/>
    <w:rsid w:val="00992CA8"/>
    <w:rsid w:val="009932B2"/>
    <w:rsid w:val="00993589"/>
    <w:rsid w:val="00993ACA"/>
    <w:rsid w:val="00994ED9"/>
    <w:rsid w:val="009952CE"/>
    <w:rsid w:val="00995999"/>
    <w:rsid w:val="00995DD7"/>
    <w:rsid w:val="00996093"/>
    <w:rsid w:val="009975CC"/>
    <w:rsid w:val="009A02BD"/>
    <w:rsid w:val="009A21C5"/>
    <w:rsid w:val="009A26FE"/>
    <w:rsid w:val="009A4088"/>
    <w:rsid w:val="009A4176"/>
    <w:rsid w:val="009A5C9A"/>
    <w:rsid w:val="009A64BF"/>
    <w:rsid w:val="009A6C3A"/>
    <w:rsid w:val="009A7004"/>
    <w:rsid w:val="009B0566"/>
    <w:rsid w:val="009B113E"/>
    <w:rsid w:val="009B1750"/>
    <w:rsid w:val="009B1B7F"/>
    <w:rsid w:val="009B1C7D"/>
    <w:rsid w:val="009B1CA2"/>
    <w:rsid w:val="009B2096"/>
    <w:rsid w:val="009B4543"/>
    <w:rsid w:val="009B7E53"/>
    <w:rsid w:val="009C1A30"/>
    <w:rsid w:val="009C20FF"/>
    <w:rsid w:val="009C2198"/>
    <w:rsid w:val="009C5D11"/>
    <w:rsid w:val="009C667C"/>
    <w:rsid w:val="009C7AB7"/>
    <w:rsid w:val="009C7AE7"/>
    <w:rsid w:val="009C7B15"/>
    <w:rsid w:val="009D0546"/>
    <w:rsid w:val="009D0EFC"/>
    <w:rsid w:val="009D478A"/>
    <w:rsid w:val="009D48B3"/>
    <w:rsid w:val="009D490F"/>
    <w:rsid w:val="009D4A7A"/>
    <w:rsid w:val="009D587B"/>
    <w:rsid w:val="009D7276"/>
    <w:rsid w:val="009D7C26"/>
    <w:rsid w:val="009D7F8C"/>
    <w:rsid w:val="009E0213"/>
    <w:rsid w:val="009E0C1C"/>
    <w:rsid w:val="009E2528"/>
    <w:rsid w:val="009E2C20"/>
    <w:rsid w:val="009E3194"/>
    <w:rsid w:val="009E341A"/>
    <w:rsid w:val="009E3FC0"/>
    <w:rsid w:val="009E457B"/>
    <w:rsid w:val="009E46AF"/>
    <w:rsid w:val="009F0870"/>
    <w:rsid w:val="009F0CB9"/>
    <w:rsid w:val="009F1031"/>
    <w:rsid w:val="009F19AB"/>
    <w:rsid w:val="009F1A03"/>
    <w:rsid w:val="009F1A1F"/>
    <w:rsid w:val="009F1F90"/>
    <w:rsid w:val="009F337B"/>
    <w:rsid w:val="009F4A44"/>
    <w:rsid w:val="009F4A83"/>
    <w:rsid w:val="009F54AA"/>
    <w:rsid w:val="009F5859"/>
    <w:rsid w:val="009F7019"/>
    <w:rsid w:val="009F7070"/>
    <w:rsid w:val="009F764F"/>
    <w:rsid w:val="00A0001D"/>
    <w:rsid w:val="00A00172"/>
    <w:rsid w:val="00A00EE5"/>
    <w:rsid w:val="00A02000"/>
    <w:rsid w:val="00A02650"/>
    <w:rsid w:val="00A03262"/>
    <w:rsid w:val="00A0330F"/>
    <w:rsid w:val="00A03995"/>
    <w:rsid w:val="00A04295"/>
    <w:rsid w:val="00A062AC"/>
    <w:rsid w:val="00A0797F"/>
    <w:rsid w:val="00A07A6D"/>
    <w:rsid w:val="00A07C1C"/>
    <w:rsid w:val="00A07EE7"/>
    <w:rsid w:val="00A10C9C"/>
    <w:rsid w:val="00A11913"/>
    <w:rsid w:val="00A125C2"/>
    <w:rsid w:val="00A1300F"/>
    <w:rsid w:val="00A131D4"/>
    <w:rsid w:val="00A13B2D"/>
    <w:rsid w:val="00A14018"/>
    <w:rsid w:val="00A14166"/>
    <w:rsid w:val="00A1451D"/>
    <w:rsid w:val="00A14AEC"/>
    <w:rsid w:val="00A16156"/>
    <w:rsid w:val="00A1660E"/>
    <w:rsid w:val="00A1762F"/>
    <w:rsid w:val="00A21D70"/>
    <w:rsid w:val="00A22683"/>
    <w:rsid w:val="00A2328E"/>
    <w:rsid w:val="00A23E98"/>
    <w:rsid w:val="00A24591"/>
    <w:rsid w:val="00A2462F"/>
    <w:rsid w:val="00A25BA0"/>
    <w:rsid w:val="00A2619E"/>
    <w:rsid w:val="00A26941"/>
    <w:rsid w:val="00A26E04"/>
    <w:rsid w:val="00A30A7D"/>
    <w:rsid w:val="00A30D95"/>
    <w:rsid w:val="00A30E53"/>
    <w:rsid w:val="00A3141D"/>
    <w:rsid w:val="00A31FBB"/>
    <w:rsid w:val="00A32732"/>
    <w:rsid w:val="00A32ED8"/>
    <w:rsid w:val="00A33444"/>
    <w:rsid w:val="00A3363E"/>
    <w:rsid w:val="00A33B39"/>
    <w:rsid w:val="00A341D4"/>
    <w:rsid w:val="00A34E41"/>
    <w:rsid w:val="00A34F97"/>
    <w:rsid w:val="00A355E9"/>
    <w:rsid w:val="00A35B58"/>
    <w:rsid w:val="00A368ED"/>
    <w:rsid w:val="00A37F13"/>
    <w:rsid w:val="00A40069"/>
    <w:rsid w:val="00A400FA"/>
    <w:rsid w:val="00A409B5"/>
    <w:rsid w:val="00A40B02"/>
    <w:rsid w:val="00A41AC8"/>
    <w:rsid w:val="00A42545"/>
    <w:rsid w:val="00A43194"/>
    <w:rsid w:val="00A432C4"/>
    <w:rsid w:val="00A4461D"/>
    <w:rsid w:val="00A47320"/>
    <w:rsid w:val="00A50E3E"/>
    <w:rsid w:val="00A51266"/>
    <w:rsid w:val="00A514C9"/>
    <w:rsid w:val="00A5196A"/>
    <w:rsid w:val="00A51F3B"/>
    <w:rsid w:val="00A52C6F"/>
    <w:rsid w:val="00A534DA"/>
    <w:rsid w:val="00A535E0"/>
    <w:rsid w:val="00A53A32"/>
    <w:rsid w:val="00A53E75"/>
    <w:rsid w:val="00A54128"/>
    <w:rsid w:val="00A549A5"/>
    <w:rsid w:val="00A54A49"/>
    <w:rsid w:val="00A54C2A"/>
    <w:rsid w:val="00A54DA3"/>
    <w:rsid w:val="00A56166"/>
    <w:rsid w:val="00A564B0"/>
    <w:rsid w:val="00A57597"/>
    <w:rsid w:val="00A60541"/>
    <w:rsid w:val="00A60573"/>
    <w:rsid w:val="00A619AD"/>
    <w:rsid w:val="00A61B87"/>
    <w:rsid w:val="00A6314B"/>
    <w:rsid w:val="00A636B6"/>
    <w:rsid w:val="00A63AF0"/>
    <w:rsid w:val="00A63DB5"/>
    <w:rsid w:val="00A63EB8"/>
    <w:rsid w:val="00A64843"/>
    <w:rsid w:val="00A6574E"/>
    <w:rsid w:val="00A65ED3"/>
    <w:rsid w:val="00A663DD"/>
    <w:rsid w:val="00A675D0"/>
    <w:rsid w:val="00A7157D"/>
    <w:rsid w:val="00A71A86"/>
    <w:rsid w:val="00A72208"/>
    <w:rsid w:val="00A73C84"/>
    <w:rsid w:val="00A746EE"/>
    <w:rsid w:val="00A758A5"/>
    <w:rsid w:val="00A77240"/>
    <w:rsid w:val="00A77B91"/>
    <w:rsid w:val="00A808F0"/>
    <w:rsid w:val="00A8302F"/>
    <w:rsid w:val="00A84478"/>
    <w:rsid w:val="00A853B9"/>
    <w:rsid w:val="00A85DDA"/>
    <w:rsid w:val="00A9065E"/>
    <w:rsid w:val="00A90992"/>
    <w:rsid w:val="00A90CAC"/>
    <w:rsid w:val="00A90E65"/>
    <w:rsid w:val="00A913B5"/>
    <w:rsid w:val="00A939C7"/>
    <w:rsid w:val="00A9437B"/>
    <w:rsid w:val="00A95181"/>
    <w:rsid w:val="00A958E6"/>
    <w:rsid w:val="00A95E5F"/>
    <w:rsid w:val="00A97083"/>
    <w:rsid w:val="00A970D5"/>
    <w:rsid w:val="00AA013D"/>
    <w:rsid w:val="00AA179B"/>
    <w:rsid w:val="00AA360A"/>
    <w:rsid w:val="00AA3632"/>
    <w:rsid w:val="00AA3E92"/>
    <w:rsid w:val="00AA4797"/>
    <w:rsid w:val="00AA63CC"/>
    <w:rsid w:val="00AA672D"/>
    <w:rsid w:val="00AA6848"/>
    <w:rsid w:val="00AB0551"/>
    <w:rsid w:val="00AB1690"/>
    <w:rsid w:val="00AB1782"/>
    <w:rsid w:val="00AB1E49"/>
    <w:rsid w:val="00AB3144"/>
    <w:rsid w:val="00AB3EE0"/>
    <w:rsid w:val="00AB3F87"/>
    <w:rsid w:val="00AB4DFC"/>
    <w:rsid w:val="00AB5649"/>
    <w:rsid w:val="00AB717D"/>
    <w:rsid w:val="00AB758A"/>
    <w:rsid w:val="00AB7D67"/>
    <w:rsid w:val="00AC0257"/>
    <w:rsid w:val="00AC02B3"/>
    <w:rsid w:val="00AC0BEF"/>
    <w:rsid w:val="00AC197D"/>
    <w:rsid w:val="00AC2165"/>
    <w:rsid w:val="00AC56AD"/>
    <w:rsid w:val="00AC6FE1"/>
    <w:rsid w:val="00AC734F"/>
    <w:rsid w:val="00AC76E9"/>
    <w:rsid w:val="00AC7C24"/>
    <w:rsid w:val="00AD0BD2"/>
    <w:rsid w:val="00AD1CEA"/>
    <w:rsid w:val="00AD28C6"/>
    <w:rsid w:val="00AD2BEB"/>
    <w:rsid w:val="00AD2DF6"/>
    <w:rsid w:val="00AD4530"/>
    <w:rsid w:val="00AD6568"/>
    <w:rsid w:val="00AD6899"/>
    <w:rsid w:val="00AD6BDC"/>
    <w:rsid w:val="00AD786A"/>
    <w:rsid w:val="00AE069D"/>
    <w:rsid w:val="00AE132E"/>
    <w:rsid w:val="00AE191C"/>
    <w:rsid w:val="00AE1AC8"/>
    <w:rsid w:val="00AE1CF5"/>
    <w:rsid w:val="00AE1FCB"/>
    <w:rsid w:val="00AE2891"/>
    <w:rsid w:val="00AE2A43"/>
    <w:rsid w:val="00AE2CE9"/>
    <w:rsid w:val="00AE4E14"/>
    <w:rsid w:val="00AE4F57"/>
    <w:rsid w:val="00AE56AF"/>
    <w:rsid w:val="00AE5F9E"/>
    <w:rsid w:val="00AE6392"/>
    <w:rsid w:val="00AE674B"/>
    <w:rsid w:val="00AE7647"/>
    <w:rsid w:val="00AF0430"/>
    <w:rsid w:val="00AF10A2"/>
    <w:rsid w:val="00AF1AFB"/>
    <w:rsid w:val="00AF2C8C"/>
    <w:rsid w:val="00AF346E"/>
    <w:rsid w:val="00AF3A66"/>
    <w:rsid w:val="00AF3AD6"/>
    <w:rsid w:val="00AF3F0F"/>
    <w:rsid w:val="00AF41B4"/>
    <w:rsid w:val="00AF51F6"/>
    <w:rsid w:val="00AF5CC6"/>
    <w:rsid w:val="00AF621B"/>
    <w:rsid w:val="00AF7C79"/>
    <w:rsid w:val="00B01727"/>
    <w:rsid w:val="00B034BA"/>
    <w:rsid w:val="00B04FFC"/>
    <w:rsid w:val="00B05F77"/>
    <w:rsid w:val="00B069E2"/>
    <w:rsid w:val="00B06DF9"/>
    <w:rsid w:val="00B07AEE"/>
    <w:rsid w:val="00B07D6B"/>
    <w:rsid w:val="00B1050C"/>
    <w:rsid w:val="00B10DE6"/>
    <w:rsid w:val="00B11BCF"/>
    <w:rsid w:val="00B12CD2"/>
    <w:rsid w:val="00B130A4"/>
    <w:rsid w:val="00B13423"/>
    <w:rsid w:val="00B13678"/>
    <w:rsid w:val="00B14F8B"/>
    <w:rsid w:val="00B15CFC"/>
    <w:rsid w:val="00B16800"/>
    <w:rsid w:val="00B20FC4"/>
    <w:rsid w:val="00B21B6F"/>
    <w:rsid w:val="00B22206"/>
    <w:rsid w:val="00B22470"/>
    <w:rsid w:val="00B236FB"/>
    <w:rsid w:val="00B23724"/>
    <w:rsid w:val="00B23B9B"/>
    <w:rsid w:val="00B24375"/>
    <w:rsid w:val="00B249B0"/>
    <w:rsid w:val="00B2576F"/>
    <w:rsid w:val="00B26615"/>
    <w:rsid w:val="00B27685"/>
    <w:rsid w:val="00B2772E"/>
    <w:rsid w:val="00B27D31"/>
    <w:rsid w:val="00B27FE7"/>
    <w:rsid w:val="00B30361"/>
    <w:rsid w:val="00B31049"/>
    <w:rsid w:val="00B31330"/>
    <w:rsid w:val="00B33524"/>
    <w:rsid w:val="00B34802"/>
    <w:rsid w:val="00B36A89"/>
    <w:rsid w:val="00B37386"/>
    <w:rsid w:val="00B405A2"/>
    <w:rsid w:val="00B40D3A"/>
    <w:rsid w:val="00B417BC"/>
    <w:rsid w:val="00B42319"/>
    <w:rsid w:val="00B431A2"/>
    <w:rsid w:val="00B44112"/>
    <w:rsid w:val="00B44644"/>
    <w:rsid w:val="00B44F59"/>
    <w:rsid w:val="00B45A33"/>
    <w:rsid w:val="00B4689D"/>
    <w:rsid w:val="00B50033"/>
    <w:rsid w:val="00B5065C"/>
    <w:rsid w:val="00B50731"/>
    <w:rsid w:val="00B52526"/>
    <w:rsid w:val="00B55AD7"/>
    <w:rsid w:val="00B5732F"/>
    <w:rsid w:val="00B608C9"/>
    <w:rsid w:val="00B62D89"/>
    <w:rsid w:val="00B63594"/>
    <w:rsid w:val="00B642C9"/>
    <w:rsid w:val="00B64835"/>
    <w:rsid w:val="00B6489C"/>
    <w:rsid w:val="00B65941"/>
    <w:rsid w:val="00B66D9C"/>
    <w:rsid w:val="00B672E6"/>
    <w:rsid w:val="00B675D3"/>
    <w:rsid w:val="00B70F22"/>
    <w:rsid w:val="00B710B6"/>
    <w:rsid w:val="00B71709"/>
    <w:rsid w:val="00B71A33"/>
    <w:rsid w:val="00B71C24"/>
    <w:rsid w:val="00B725F2"/>
    <w:rsid w:val="00B729A6"/>
    <w:rsid w:val="00B743F9"/>
    <w:rsid w:val="00B74AB2"/>
    <w:rsid w:val="00B75371"/>
    <w:rsid w:val="00B75E58"/>
    <w:rsid w:val="00B76CE2"/>
    <w:rsid w:val="00B7716B"/>
    <w:rsid w:val="00B7716C"/>
    <w:rsid w:val="00B81C69"/>
    <w:rsid w:val="00B85062"/>
    <w:rsid w:val="00B85804"/>
    <w:rsid w:val="00B877EE"/>
    <w:rsid w:val="00B913BF"/>
    <w:rsid w:val="00B91D6F"/>
    <w:rsid w:val="00B91DC3"/>
    <w:rsid w:val="00B92CAA"/>
    <w:rsid w:val="00B92F1F"/>
    <w:rsid w:val="00B936FF"/>
    <w:rsid w:val="00B93B30"/>
    <w:rsid w:val="00B9535E"/>
    <w:rsid w:val="00B955F7"/>
    <w:rsid w:val="00B95B22"/>
    <w:rsid w:val="00B95F45"/>
    <w:rsid w:val="00B96C35"/>
    <w:rsid w:val="00B97350"/>
    <w:rsid w:val="00B979F1"/>
    <w:rsid w:val="00B97B52"/>
    <w:rsid w:val="00BA27B4"/>
    <w:rsid w:val="00BA2D0F"/>
    <w:rsid w:val="00BA2FDE"/>
    <w:rsid w:val="00BA41DE"/>
    <w:rsid w:val="00BA6447"/>
    <w:rsid w:val="00BA707C"/>
    <w:rsid w:val="00BA70D4"/>
    <w:rsid w:val="00BA7D89"/>
    <w:rsid w:val="00BB00DB"/>
    <w:rsid w:val="00BB0DF2"/>
    <w:rsid w:val="00BB100B"/>
    <w:rsid w:val="00BB34F7"/>
    <w:rsid w:val="00BB3737"/>
    <w:rsid w:val="00BB39B6"/>
    <w:rsid w:val="00BB40B2"/>
    <w:rsid w:val="00BB44D4"/>
    <w:rsid w:val="00BB45E6"/>
    <w:rsid w:val="00BB4833"/>
    <w:rsid w:val="00BB52A8"/>
    <w:rsid w:val="00BB538D"/>
    <w:rsid w:val="00BB5A56"/>
    <w:rsid w:val="00BB5CC6"/>
    <w:rsid w:val="00BB6077"/>
    <w:rsid w:val="00BB6541"/>
    <w:rsid w:val="00BB701E"/>
    <w:rsid w:val="00BB74B7"/>
    <w:rsid w:val="00BC0D06"/>
    <w:rsid w:val="00BC2078"/>
    <w:rsid w:val="00BC2369"/>
    <w:rsid w:val="00BC2424"/>
    <w:rsid w:val="00BC3462"/>
    <w:rsid w:val="00BC3BB7"/>
    <w:rsid w:val="00BC4444"/>
    <w:rsid w:val="00BC47AB"/>
    <w:rsid w:val="00BC50CD"/>
    <w:rsid w:val="00BC5189"/>
    <w:rsid w:val="00BC6BC7"/>
    <w:rsid w:val="00BC71AF"/>
    <w:rsid w:val="00BC74A5"/>
    <w:rsid w:val="00BC75D4"/>
    <w:rsid w:val="00BD0D47"/>
    <w:rsid w:val="00BD0EDF"/>
    <w:rsid w:val="00BD15B0"/>
    <w:rsid w:val="00BD3854"/>
    <w:rsid w:val="00BD4205"/>
    <w:rsid w:val="00BD4D45"/>
    <w:rsid w:val="00BD4EDB"/>
    <w:rsid w:val="00BD57BD"/>
    <w:rsid w:val="00BD5E94"/>
    <w:rsid w:val="00BD68E4"/>
    <w:rsid w:val="00BD6B93"/>
    <w:rsid w:val="00BE15C4"/>
    <w:rsid w:val="00BE1BD4"/>
    <w:rsid w:val="00BE2D36"/>
    <w:rsid w:val="00BE31C6"/>
    <w:rsid w:val="00BE45FC"/>
    <w:rsid w:val="00BE49B2"/>
    <w:rsid w:val="00BE50E7"/>
    <w:rsid w:val="00BE6926"/>
    <w:rsid w:val="00BE739A"/>
    <w:rsid w:val="00BF092C"/>
    <w:rsid w:val="00BF178A"/>
    <w:rsid w:val="00BF311E"/>
    <w:rsid w:val="00BF498E"/>
    <w:rsid w:val="00BF4E05"/>
    <w:rsid w:val="00BF563C"/>
    <w:rsid w:val="00BF585E"/>
    <w:rsid w:val="00BF5865"/>
    <w:rsid w:val="00BF5B6C"/>
    <w:rsid w:val="00BF6A39"/>
    <w:rsid w:val="00BF7CBD"/>
    <w:rsid w:val="00C00C0A"/>
    <w:rsid w:val="00C01D55"/>
    <w:rsid w:val="00C02743"/>
    <w:rsid w:val="00C030DF"/>
    <w:rsid w:val="00C03348"/>
    <w:rsid w:val="00C0374D"/>
    <w:rsid w:val="00C04B70"/>
    <w:rsid w:val="00C0501F"/>
    <w:rsid w:val="00C0540F"/>
    <w:rsid w:val="00C054DA"/>
    <w:rsid w:val="00C055A4"/>
    <w:rsid w:val="00C06427"/>
    <w:rsid w:val="00C078C2"/>
    <w:rsid w:val="00C10F19"/>
    <w:rsid w:val="00C11441"/>
    <w:rsid w:val="00C135D3"/>
    <w:rsid w:val="00C13A2E"/>
    <w:rsid w:val="00C157AF"/>
    <w:rsid w:val="00C15F5B"/>
    <w:rsid w:val="00C171E0"/>
    <w:rsid w:val="00C27010"/>
    <w:rsid w:val="00C30352"/>
    <w:rsid w:val="00C30C46"/>
    <w:rsid w:val="00C3113F"/>
    <w:rsid w:val="00C32993"/>
    <w:rsid w:val="00C35A08"/>
    <w:rsid w:val="00C36F07"/>
    <w:rsid w:val="00C36F0E"/>
    <w:rsid w:val="00C371F5"/>
    <w:rsid w:val="00C41026"/>
    <w:rsid w:val="00C4175C"/>
    <w:rsid w:val="00C42183"/>
    <w:rsid w:val="00C42BB9"/>
    <w:rsid w:val="00C4358F"/>
    <w:rsid w:val="00C44E6B"/>
    <w:rsid w:val="00C45211"/>
    <w:rsid w:val="00C45A2F"/>
    <w:rsid w:val="00C502AD"/>
    <w:rsid w:val="00C506C8"/>
    <w:rsid w:val="00C5129E"/>
    <w:rsid w:val="00C51C1D"/>
    <w:rsid w:val="00C52D4D"/>
    <w:rsid w:val="00C543F7"/>
    <w:rsid w:val="00C54CCF"/>
    <w:rsid w:val="00C55185"/>
    <w:rsid w:val="00C563BD"/>
    <w:rsid w:val="00C571EC"/>
    <w:rsid w:val="00C57456"/>
    <w:rsid w:val="00C5763A"/>
    <w:rsid w:val="00C6034E"/>
    <w:rsid w:val="00C60B17"/>
    <w:rsid w:val="00C64CC7"/>
    <w:rsid w:val="00C64F4C"/>
    <w:rsid w:val="00C65A71"/>
    <w:rsid w:val="00C67739"/>
    <w:rsid w:val="00C7032A"/>
    <w:rsid w:val="00C71E3B"/>
    <w:rsid w:val="00C734E6"/>
    <w:rsid w:val="00C7483C"/>
    <w:rsid w:val="00C80782"/>
    <w:rsid w:val="00C80B4F"/>
    <w:rsid w:val="00C81E82"/>
    <w:rsid w:val="00C82B6E"/>
    <w:rsid w:val="00C834C4"/>
    <w:rsid w:val="00C83A20"/>
    <w:rsid w:val="00C84C22"/>
    <w:rsid w:val="00C850CF"/>
    <w:rsid w:val="00C8586B"/>
    <w:rsid w:val="00C85931"/>
    <w:rsid w:val="00C863EF"/>
    <w:rsid w:val="00C86F82"/>
    <w:rsid w:val="00C87515"/>
    <w:rsid w:val="00C877CF"/>
    <w:rsid w:val="00C87EE9"/>
    <w:rsid w:val="00C9136E"/>
    <w:rsid w:val="00C92478"/>
    <w:rsid w:val="00C92F16"/>
    <w:rsid w:val="00C938AA"/>
    <w:rsid w:val="00C94973"/>
    <w:rsid w:val="00C971E4"/>
    <w:rsid w:val="00CA0479"/>
    <w:rsid w:val="00CA11F6"/>
    <w:rsid w:val="00CA2D2B"/>
    <w:rsid w:val="00CA4158"/>
    <w:rsid w:val="00CA5745"/>
    <w:rsid w:val="00CA60EE"/>
    <w:rsid w:val="00CA61C4"/>
    <w:rsid w:val="00CA641F"/>
    <w:rsid w:val="00CA660E"/>
    <w:rsid w:val="00CA6A3C"/>
    <w:rsid w:val="00CB0544"/>
    <w:rsid w:val="00CB05D9"/>
    <w:rsid w:val="00CB1036"/>
    <w:rsid w:val="00CB1D32"/>
    <w:rsid w:val="00CB30F1"/>
    <w:rsid w:val="00CB3894"/>
    <w:rsid w:val="00CB3C39"/>
    <w:rsid w:val="00CB54A0"/>
    <w:rsid w:val="00CB697A"/>
    <w:rsid w:val="00CB701D"/>
    <w:rsid w:val="00CB7399"/>
    <w:rsid w:val="00CB7B3C"/>
    <w:rsid w:val="00CB7B92"/>
    <w:rsid w:val="00CB7C77"/>
    <w:rsid w:val="00CC04D7"/>
    <w:rsid w:val="00CC0F9A"/>
    <w:rsid w:val="00CC1570"/>
    <w:rsid w:val="00CC20E4"/>
    <w:rsid w:val="00CC2479"/>
    <w:rsid w:val="00CC3BA4"/>
    <w:rsid w:val="00CC463C"/>
    <w:rsid w:val="00CC4867"/>
    <w:rsid w:val="00CC573B"/>
    <w:rsid w:val="00CC5BF5"/>
    <w:rsid w:val="00CC6A68"/>
    <w:rsid w:val="00CC6C64"/>
    <w:rsid w:val="00CD0DF7"/>
    <w:rsid w:val="00CD1D0A"/>
    <w:rsid w:val="00CD1DBA"/>
    <w:rsid w:val="00CD457F"/>
    <w:rsid w:val="00CD72A7"/>
    <w:rsid w:val="00CD7A88"/>
    <w:rsid w:val="00CE05E8"/>
    <w:rsid w:val="00CE11E0"/>
    <w:rsid w:val="00CE12D8"/>
    <w:rsid w:val="00CE13AA"/>
    <w:rsid w:val="00CE23C4"/>
    <w:rsid w:val="00CE3650"/>
    <w:rsid w:val="00CE398D"/>
    <w:rsid w:val="00CE3EE9"/>
    <w:rsid w:val="00CE3F44"/>
    <w:rsid w:val="00CE410B"/>
    <w:rsid w:val="00CE41A1"/>
    <w:rsid w:val="00CE4689"/>
    <w:rsid w:val="00CE4762"/>
    <w:rsid w:val="00CE4DB0"/>
    <w:rsid w:val="00CE62CE"/>
    <w:rsid w:val="00CE696B"/>
    <w:rsid w:val="00CE6A92"/>
    <w:rsid w:val="00CE6CAD"/>
    <w:rsid w:val="00CE7943"/>
    <w:rsid w:val="00CE7A95"/>
    <w:rsid w:val="00CE7DFF"/>
    <w:rsid w:val="00CF0F24"/>
    <w:rsid w:val="00CF1420"/>
    <w:rsid w:val="00CF361F"/>
    <w:rsid w:val="00D03901"/>
    <w:rsid w:val="00D03AD6"/>
    <w:rsid w:val="00D044EE"/>
    <w:rsid w:val="00D06120"/>
    <w:rsid w:val="00D06499"/>
    <w:rsid w:val="00D0657E"/>
    <w:rsid w:val="00D07BB3"/>
    <w:rsid w:val="00D07D35"/>
    <w:rsid w:val="00D07EBA"/>
    <w:rsid w:val="00D109A0"/>
    <w:rsid w:val="00D11875"/>
    <w:rsid w:val="00D1228D"/>
    <w:rsid w:val="00D12E59"/>
    <w:rsid w:val="00D13A70"/>
    <w:rsid w:val="00D156DB"/>
    <w:rsid w:val="00D1590C"/>
    <w:rsid w:val="00D16FC1"/>
    <w:rsid w:val="00D170FC"/>
    <w:rsid w:val="00D17465"/>
    <w:rsid w:val="00D20049"/>
    <w:rsid w:val="00D22E34"/>
    <w:rsid w:val="00D23706"/>
    <w:rsid w:val="00D2413F"/>
    <w:rsid w:val="00D24453"/>
    <w:rsid w:val="00D24CBA"/>
    <w:rsid w:val="00D255D4"/>
    <w:rsid w:val="00D25D56"/>
    <w:rsid w:val="00D30932"/>
    <w:rsid w:val="00D31837"/>
    <w:rsid w:val="00D31CE8"/>
    <w:rsid w:val="00D32A21"/>
    <w:rsid w:val="00D32AB7"/>
    <w:rsid w:val="00D32B20"/>
    <w:rsid w:val="00D33158"/>
    <w:rsid w:val="00D34155"/>
    <w:rsid w:val="00D3523A"/>
    <w:rsid w:val="00D35892"/>
    <w:rsid w:val="00D35EFB"/>
    <w:rsid w:val="00D362D0"/>
    <w:rsid w:val="00D36627"/>
    <w:rsid w:val="00D40811"/>
    <w:rsid w:val="00D41FD3"/>
    <w:rsid w:val="00D428FF"/>
    <w:rsid w:val="00D433F9"/>
    <w:rsid w:val="00D43B29"/>
    <w:rsid w:val="00D43F9E"/>
    <w:rsid w:val="00D459C8"/>
    <w:rsid w:val="00D45D5F"/>
    <w:rsid w:val="00D460D2"/>
    <w:rsid w:val="00D50D43"/>
    <w:rsid w:val="00D52C10"/>
    <w:rsid w:val="00D52F4C"/>
    <w:rsid w:val="00D53148"/>
    <w:rsid w:val="00D53336"/>
    <w:rsid w:val="00D5432C"/>
    <w:rsid w:val="00D5565D"/>
    <w:rsid w:val="00D55A40"/>
    <w:rsid w:val="00D573DA"/>
    <w:rsid w:val="00D57571"/>
    <w:rsid w:val="00D57977"/>
    <w:rsid w:val="00D616D1"/>
    <w:rsid w:val="00D61B77"/>
    <w:rsid w:val="00D62753"/>
    <w:rsid w:val="00D6437F"/>
    <w:rsid w:val="00D7032F"/>
    <w:rsid w:val="00D7078F"/>
    <w:rsid w:val="00D712EF"/>
    <w:rsid w:val="00D7239C"/>
    <w:rsid w:val="00D72CA1"/>
    <w:rsid w:val="00D7445F"/>
    <w:rsid w:val="00D75E69"/>
    <w:rsid w:val="00D76645"/>
    <w:rsid w:val="00D7672C"/>
    <w:rsid w:val="00D800B5"/>
    <w:rsid w:val="00D8151D"/>
    <w:rsid w:val="00D82BF0"/>
    <w:rsid w:val="00D83842"/>
    <w:rsid w:val="00D8522A"/>
    <w:rsid w:val="00D8593C"/>
    <w:rsid w:val="00D85A4D"/>
    <w:rsid w:val="00D85B24"/>
    <w:rsid w:val="00D85CA7"/>
    <w:rsid w:val="00D870F3"/>
    <w:rsid w:val="00D9004B"/>
    <w:rsid w:val="00D9010E"/>
    <w:rsid w:val="00D9051D"/>
    <w:rsid w:val="00D917C1"/>
    <w:rsid w:val="00D92087"/>
    <w:rsid w:val="00D920FD"/>
    <w:rsid w:val="00D92A36"/>
    <w:rsid w:val="00D935FF"/>
    <w:rsid w:val="00D96C31"/>
    <w:rsid w:val="00D97877"/>
    <w:rsid w:val="00DA1821"/>
    <w:rsid w:val="00DA1E5C"/>
    <w:rsid w:val="00DA2C27"/>
    <w:rsid w:val="00DA41F9"/>
    <w:rsid w:val="00DA4D62"/>
    <w:rsid w:val="00DA5364"/>
    <w:rsid w:val="00DA5BCE"/>
    <w:rsid w:val="00DA76B7"/>
    <w:rsid w:val="00DB07DF"/>
    <w:rsid w:val="00DB2C47"/>
    <w:rsid w:val="00DB33B9"/>
    <w:rsid w:val="00DB3C19"/>
    <w:rsid w:val="00DB7B92"/>
    <w:rsid w:val="00DC0BF6"/>
    <w:rsid w:val="00DC0F27"/>
    <w:rsid w:val="00DC15C1"/>
    <w:rsid w:val="00DC44DA"/>
    <w:rsid w:val="00DC52A9"/>
    <w:rsid w:val="00DC5361"/>
    <w:rsid w:val="00DD032A"/>
    <w:rsid w:val="00DD0A0F"/>
    <w:rsid w:val="00DD0EC7"/>
    <w:rsid w:val="00DD0FDE"/>
    <w:rsid w:val="00DD1186"/>
    <w:rsid w:val="00DD38ED"/>
    <w:rsid w:val="00DD3A7B"/>
    <w:rsid w:val="00DD3B4C"/>
    <w:rsid w:val="00DD3CD1"/>
    <w:rsid w:val="00DD4143"/>
    <w:rsid w:val="00DD5694"/>
    <w:rsid w:val="00DD6CB6"/>
    <w:rsid w:val="00DD78FD"/>
    <w:rsid w:val="00DD7C07"/>
    <w:rsid w:val="00DD7F2D"/>
    <w:rsid w:val="00DE03BD"/>
    <w:rsid w:val="00DE0F38"/>
    <w:rsid w:val="00DE1E78"/>
    <w:rsid w:val="00DE1F6C"/>
    <w:rsid w:val="00DE3435"/>
    <w:rsid w:val="00DE3512"/>
    <w:rsid w:val="00DE44E5"/>
    <w:rsid w:val="00DE52F0"/>
    <w:rsid w:val="00DE573E"/>
    <w:rsid w:val="00DE7540"/>
    <w:rsid w:val="00DF07D1"/>
    <w:rsid w:val="00DF0EBF"/>
    <w:rsid w:val="00DF1228"/>
    <w:rsid w:val="00DF1E7B"/>
    <w:rsid w:val="00DF1FF8"/>
    <w:rsid w:val="00DF28F8"/>
    <w:rsid w:val="00DF3031"/>
    <w:rsid w:val="00DF3D37"/>
    <w:rsid w:val="00DF4B27"/>
    <w:rsid w:val="00DF4C20"/>
    <w:rsid w:val="00DF6009"/>
    <w:rsid w:val="00DF6EA6"/>
    <w:rsid w:val="00DF7907"/>
    <w:rsid w:val="00E0045A"/>
    <w:rsid w:val="00E00596"/>
    <w:rsid w:val="00E00CD9"/>
    <w:rsid w:val="00E00FCE"/>
    <w:rsid w:val="00E01D6E"/>
    <w:rsid w:val="00E030D0"/>
    <w:rsid w:val="00E03ADD"/>
    <w:rsid w:val="00E03D19"/>
    <w:rsid w:val="00E049EE"/>
    <w:rsid w:val="00E06B74"/>
    <w:rsid w:val="00E06E1D"/>
    <w:rsid w:val="00E07BB7"/>
    <w:rsid w:val="00E116BE"/>
    <w:rsid w:val="00E12966"/>
    <w:rsid w:val="00E12992"/>
    <w:rsid w:val="00E12EA7"/>
    <w:rsid w:val="00E1341C"/>
    <w:rsid w:val="00E13A6B"/>
    <w:rsid w:val="00E162E0"/>
    <w:rsid w:val="00E2218C"/>
    <w:rsid w:val="00E24818"/>
    <w:rsid w:val="00E252B2"/>
    <w:rsid w:val="00E256D4"/>
    <w:rsid w:val="00E259BD"/>
    <w:rsid w:val="00E25C46"/>
    <w:rsid w:val="00E268C1"/>
    <w:rsid w:val="00E27B9C"/>
    <w:rsid w:val="00E27DCD"/>
    <w:rsid w:val="00E3025F"/>
    <w:rsid w:val="00E316B6"/>
    <w:rsid w:val="00E33EA4"/>
    <w:rsid w:val="00E35BF2"/>
    <w:rsid w:val="00E3701B"/>
    <w:rsid w:val="00E37AD5"/>
    <w:rsid w:val="00E409C3"/>
    <w:rsid w:val="00E41BBB"/>
    <w:rsid w:val="00E42101"/>
    <w:rsid w:val="00E425AA"/>
    <w:rsid w:val="00E426C7"/>
    <w:rsid w:val="00E42B62"/>
    <w:rsid w:val="00E42F66"/>
    <w:rsid w:val="00E44260"/>
    <w:rsid w:val="00E45475"/>
    <w:rsid w:val="00E45FD7"/>
    <w:rsid w:val="00E47BD5"/>
    <w:rsid w:val="00E50366"/>
    <w:rsid w:val="00E50A20"/>
    <w:rsid w:val="00E50C73"/>
    <w:rsid w:val="00E524F2"/>
    <w:rsid w:val="00E52721"/>
    <w:rsid w:val="00E53AED"/>
    <w:rsid w:val="00E53DB9"/>
    <w:rsid w:val="00E54D1F"/>
    <w:rsid w:val="00E5543B"/>
    <w:rsid w:val="00E55B9D"/>
    <w:rsid w:val="00E569ED"/>
    <w:rsid w:val="00E56B88"/>
    <w:rsid w:val="00E570BE"/>
    <w:rsid w:val="00E57F39"/>
    <w:rsid w:val="00E63A19"/>
    <w:rsid w:val="00E64224"/>
    <w:rsid w:val="00E643BD"/>
    <w:rsid w:val="00E65EE1"/>
    <w:rsid w:val="00E66390"/>
    <w:rsid w:val="00E664D9"/>
    <w:rsid w:val="00E67832"/>
    <w:rsid w:val="00E70689"/>
    <w:rsid w:val="00E707C3"/>
    <w:rsid w:val="00E70AFB"/>
    <w:rsid w:val="00E70BC9"/>
    <w:rsid w:val="00E70EA8"/>
    <w:rsid w:val="00E71E82"/>
    <w:rsid w:val="00E73480"/>
    <w:rsid w:val="00E74705"/>
    <w:rsid w:val="00E763E3"/>
    <w:rsid w:val="00E77497"/>
    <w:rsid w:val="00E77972"/>
    <w:rsid w:val="00E80105"/>
    <w:rsid w:val="00E81777"/>
    <w:rsid w:val="00E82245"/>
    <w:rsid w:val="00E82852"/>
    <w:rsid w:val="00E83E54"/>
    <w:rsid w:val="00E841F7"/>
    <w:rsid w:val="00E8485C"/>
    <w:rsid w:val="00E849EB"/>
    <w:rsid w:val="00E85561"/>
    <w:rsid w:val="00E8695B"/>
    <w:rsid w:val="00E91236"/>
    <w:rsid w:val="00E9187E"/>
    <w:rsid w:val="00E91B2F"/>
    <w:rsid w:val="00E91BB4"/>
    <w:rsid w:val="00E92196"/>
    <w:rsid w:val="00E92CA8"/>
    <w:rsid w:val="00E93249"/>
    <w:rsid w:val="00E93864"/>
    <w:rsid w:val="00E9622C"/>
    <w:rsid w:val="00E96541"/>
    <w:rsid w:val="00E978AF"/>
    <w:rsid w:val="00EA0905"/>
    <w:rsid w:val="00EA0F80"/>
    <w:rsid w:val="00EA1A8A"/>
    <w:rsid w:val="00EA2DF0"/>
    <w:rsid w:val="00EA433E"/>
    <w:rsid w:val="00EA57C8"/>
    <w:rsid w:val="00EA6272"/>
    <w:rsid w:val="00EA6C29"/>
    <w:rsid w:val="00EA769C"/>
    <w:rsid w:val="00EB0248"/>
    <w:rsid w:val="00EB15C8"/>
    <w:rsid w:val="00EB1804"/>
    <w:rsid w:val="00EB1DD2"/>
    <w:rsid w:val="00EB4758"/>
    <w:rsid w:val="00EB4A27"/>
    <w:rsid w:val="00EB4BFF"/>
    <w:rsid w:val="00EB7785"/>
    <w:rsid w:val="00EC04FC"/>
    <w:rsid w:val="00EC06FC"/>
    <w:rsid w:val="00EC07EA"/>
    <w:rsid w:val="00EC1185"/>
    <w:rsid w:val="00EC126E"/>
    <w:rsid w:val="00EC172A"/>
    <w:rsid w:val="00EC1C6C"/>
    <w:rsid w:val="00EC291F"/>
    <w:rsid w:val="00EC402C"/>
    <w:rsid w:val="00EC5132"/>
    <w:rsid w:val="00EC5B67"/>
    <w:rsid w:val="00EC6595"/>
    <w:rsid w:val="00EC6A22"/>
    <w:rsid w:val="00EC6BA7"/>
    <w:rsid w:val="00EC6F30"/>
    <w:rsid w:val="00EC70DB"/>
    <w:rsid w:val="00ED03AA"/>
    <w:rsid w:val="00ED0957"/>
    <w:rsid w:val="00ED1580"/>
    <w:rsid w:val="00ED1D85"/>
    <w:rsid w:val="00ED23A0"/>
    <w:rsid w:val="00ED2510"/>
    <w:rsid w:val="00ED2F3E"/>
    <w:rsid w:val="00ED7892"/>
    <w:rsid w:val="00EE024C"/>
    <w:rsid w:val="00EE08C5"/>
    <w:rsid w:val="00EE0D09"/>
    <w:rsid w:val="00EE123A"/>
    <w:rsid w:val="00EE1B7D"/>
    <w:rsid w:val="00EE1E0E"/>
    <w:rsid w:val="00EE20B0"/>
    <w:rsid w:val="00EE21EA"/>
    <w:rsid w:val="00EE26FD"/>
    <w:rsid w:val="00EE2C77"/>
    <w:rsid w:val="00EE50D2"/>
    <w:rsid w:val="00EE5998"/>
    <w:rsid w:val="00EF0EED"/>
    <w:rsid w:val="00EF24BB"/>
    <w:rsid w:val="00EF2585"/>
    <w:rsid w:val="00EF3F8B"/>
    <w:rsid w:val="00EF4AC3"/>
    <w:rsid w:val="00EF718A"/>
    <w:rsid w:val="00F017D3"/>
    <w:rsid w:val="00F01AE0"/>
    <w:rsid w:val="00F020B2"/>
    <w:rsid w:val="00F0239E"/>
    <w:rsid w:val="00F02708"/>
    <w:rsid w:val="00F02DBA"/>
    <w:rsid w:val="00F035A5"/>
    <w:rsid w:val="00F03C50"/>
    <w:rsid w:val="00F05D4E"/>
    <w:rsid w:val="00F07024"/>
    <w:rsid w:val="00F07DFE"/>
    <w:rsid w:val="00F11303"/>
    <w:rsid w:val="00F1143E"/>
    <w:rsid w:val="00F12B1C"/>
    <w:rsid w:val="00F1320A"/>
    <w:rsid w:val="00F13D1B"/>
    <w:rsid w:val="00F144F1"/>
    <w:rsid w:val="00F155E0"/>
    <w:rsid w:val="00F159FA"/>
    <w:rsid w:val="00F162A7"/>
    <w:rsid w:val="00F211F5"/>
    <w:rsid w:val="00F2199B"/>
    <w:rsid w:val="00F225A6"/>
    <w:rsid w:val="00F23970"/>
    <w:rsid w:val="00F23D3B"/>
    <w:rsid w:val="00F24B14"/>
    <w:rsid w:val="00F24E45"/>
    <w:rsid w:val="00F25650"/>
    <w:rsid w:val="00F25C62"/>
    <w:rsid w:val="00F27A03"/>
    <w:rsid w:val="00F301A2"/>
    <w:rsid w:val="00F307A2"/>
    <w:rsid w:val="00F3136E"/>
    <w:rsid w:val="00F3155A"/>
    <w:rsid w:val="00F3419F"/>
    <w:rsid w:val="00F361F2"/>
    <w:rsid w:val="00F369EC"/>
    <w:rsid w:val="00F373B9"/>
    <w:rsid w:val="00F3796E"/>
    <w:rsid w:val="00F41ACA"/>
    <w:rsid w:val="00F41C43"/>
    <w:rsid w:val="00F4229A"/>
    <w:rsid w:val="00F429F0"/>
    <w:rsid w:val="00F434D7"/>
    <w:rsid w:val="00F441D1"/>
    <w:rsid w:val="00F46845"/>
    <w:rsid w:val="00F51658"/>
    <w:rsid w:val="00F51C2A"/>
    <w:rsid w:val="00F51FE4"/>
    <w:rsid w:val="00F52B07"/>
    <w:rsid w:val="00F532B3"/>
    <w:rsid w:val="00F535C3"/>
    <w:rsid w:val="00F5388B"/>
    <w:rsid w:val="00F53DB9"/>
    <w:rsid w:val="00F54AFE"/>
    <w:rsid w:val="00F559C6"/>
    <w:rsid w:val="00F55C68"/>
    <w:rsid w:val="00F56022"/>
    <w:rsid w:val="00F56727"/>
    <w:rsid w:val="00F56B51"/>
    <w:rsid w:val="00F57639"/>
    <w:rsid w:val="00F6076B"/>
    <w:rsid w:val="00F608A7"/>
    <w:rsid w:val="00F60966"/>
    <w:rsid w:val="00F63D75"/>
    <w:rsid w:val="00F63F5C"/>
    <w:rsid w:val="00F64521"/>
    <w:rsid w:val="00F65878"/>
    <w:rsid w:val="00F658A6"/>
    <w:rsid w:val="00F669E4"/>
    <w:rsid w:val="00F66C2B"/>
    <w:rsid w:val="00F66E13"/>
    <w:rsid w:val="00F67E29"/>
    <w:rsid w:val="00F67F0E"/>
    <w:rsid w:val="00F70ED6"/>
    <w:rsid w:val="00F72068"/>
    <w:rsid w:val="00F72378"/>
    <w:rsid w:val="00F73B69"/>
    <w:rsid w:val="00F75748"/>
    <w:rsid w:val="00F75A0C"/>
    <w:rsid w:val="00F762B2"/>
    <w:rsid w:val="00F76DFE"/>
    <w:rsid w:val="00F76F4A"/>
    <w:rsid w:val="00F77ECF"/>
    <w:rsid w:val="00F8006A"/>
    <w:rsid w:val="00F816B7"/>
    <w:rsid w:val="00F83547"/>
    <w:rsid w:val="00F83553"/>
    <w:rsid w:val="00F839A0"/>
    <w:rsid w:val="00F8496F"/>
    <w:rsid w:val="00F8534A"/>
    <w:rsid w:val="00F860AF"/>
    <w:rsid w:val="00F86990"/>
    <w:rsid w:val="00F8739C"/>
    <w:rsid w:val="00F87540"/>
    <w:rsid w:val="00F87C29"/>
    <w:rsid w:val="00F90566"/>
    <w:rsid w:val="00F905B3"/>
    <w:rsid w:val="00F91C85"/>
    <w:rsid w:val="00F92FA1"/>
    <w:rsid w:val="00F93469"/>
    <w:rsid w:val="00F9374E"/>
    <w:rsid w:val="00F94529"/>
    <w:rsid w:val="00F94751"/>
    <w:rsid w:val="00F947B1"/>
    <w:rsid w:val="00F96BFC"/>
    <w:rsid w:val="00FA0349"/>
    <w:rsid w:val="00FA0FE0"/>
    <w:rsid w:val="00FA1882"/>
    <w:rsid w:val="00FA1D79"/>
    <w:rsid w:val="00FA45BB"/>
    <w:rsid w:val="00FA5914"/>
    <w:rsid w:val="00FA59D3"/>
    <w:rsid w:val="00FA6D31"/>
    <w:rsid w:val="00FA726C"/>
    <w:rsid w:val="00FA72DA"/>
    <w:rsid w:val="00FA754E"/>
    <w:rsid w:val="00FA79DE"/>
    <w:rsid w:val="00FB0216"/>
    <w:rsid w:val="00FB0EA3"/>
    <w:rsid w:val="00FB1AC0"/>
    <w:rsid w:val="00FB1B9B"/>
    <w:rsid w:val="00FB1E38"/>
    <w:rsid w:val="00FB3C74"/>
    <w:rsid w:val="00FB473C"/>
    <w:rsid w:val="00FB476A"/>
    <w:rsid w:val="00FB57A2"/>
    <w:rsid w:val="00FB673C"/>
    <w:rsid w:val="00FB6F3B"/>
    <w:rsid w:val="00FC2690"/>
    <w:rsid w:val="00FC36DC"/>
    <w:rsid w:val="00FC5D3C"/>
    <w:rsid w:val="00FC657D"/>
    <w:rsid w:val="00FD0AC7"/>
    <w:rsid w:val="00FD16D3"/>
    <w:rsid w:val="00FD2197"/>
    <w:rsid w:val="00FD2410"/>
    <w:rsid w:val="00FD33DB"/>
    <w:rsid w:val="00FD4F15"/>
    <w:rsid w:val="00FD5A63"/>
    <w:rsid w:val="00FD5BD6"/>
    <w:rsid w:val="00FD69BF"/>
    <w:rsid w:val="00FE0773"/>
    <w:rsid w:val="00FE11FC"/>
    <w:rsid w:val="00FE1EFF"/>
    <w:rsid w:val="00FE1F4B"/>
    <w:rsid w:val="00FE24B6"/>
    <w:rsid w:val="00FE3F06"/>
    <w:rsid w:val="00FE63E6"/>
    <w:rsid w:val="00FE7233"/>
    <w:rsid w:val="00FF0B8D"/>
    <w:rsid w:val="00FF3347"/>
    <w:rsid w:val="00FF43F1"/>
    <w:rsid w:val="00FF6811"/>
    <w:rsid w:val="00FF6F4D"/>
    <w:rsid w:val="00FF7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0303A"/>
  <w15:docId w15:val="{88B4E5C0-B2DE-4475-BD78-F724A0669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4DA"/>
    <w:pPr>
      <w:spacing w:after="0" w:line="240" w:lineRule="auto"/>
      <w:jc w:val="both"/>
    </w:pPr>
    <w:rPr>
      <w:rFonts w:ascii="Verdana" w:eastAsia="Batang" w:hAnsi="Verdana" w:cs="Times"/>
      <w:noProof/>
      <w:sz w:val="20"/>
      <w:szCs w:val="24"/>
      <w:lang w:val="es-ES_tradnl"/>
    </w:rPr>
  </w:style>
  <w:style w:type="paragraph" w:styleId="Ttulo1">
    <w:name w:val="heading 1"/>
    <w:basedOn w:val="Normal"/>
    <w:next w:val="Normal"/>
    <w:link w:val="Ttulo1Car"/>
    <w:uiPriority w:val="9"/>
    <w:qFormat/>
    <w:rsid w:val="00DC44DA"/>
    <w:pPr>
      <w:keepNext/>
      <w:keepLines/>
      <w:spacing w:before="360" w:after="360"/>
      <w:jc w:val="center"/>
      <w:outlineLvl w:val="0"/>
    </w:pPr>
    <w:rPr>
      <w:rFonts w:eastAsia="Times New Roman" w:cs="Verdana"/>
      <w:b/>
      <w:bCs/>
      <w:caps/>
      <w:snapToGrid w:val="0"/>
      <w:szCs w:val="20"/>
      <w:lang w:val="es-CR" w:eastAsia="es-ES"/>
    </w:rPr>
  </w:style>
  <w:style w:type="paragraph" w:styleId="Ttulo2">
    <w:name w:val="heading 2"/>
    <w:basedOn w:val="Normal"/>
    <w:next w:val="Normal"/>
    <w:link w:val="Ttulo2Car"/>
    <w:unhideWhenUsed/>
    <w:qFormat/>
    <w:rsid w:val="00F441D1"/>
    <w:pPr>
      <w:keepNext/>
      <w:numPr>
        <w:numId w:val="3"/>
      </w:numPr>
      <w:autoSpaceDE w:val="0"/>
      <w:autoSpaceDN w:val="0"/>
      <w:adjustRightInd w:val="0"/>
      <w:spacing w:before="200" w:after="200"/>
      <w:ind w:left="357" w:hanging="357"/>
      <w:outlineLvl w:val="1"/>
    </w:pPr>
    <w:rPr>
      <w:rFonts w:eastAsiaTheme="minorHAnsi" w:cs="Arial"/>
      <w:b/>
      <w:noProof w:val="0"/>
      <w:szCs w:val="20"/>
      <w:lang w:val="es-CR"/>
    </w:rPr>
  </w:style>
  <w:style w:type="paragraph" w:styleId="Ttulo3">
    <w:name w:val="heading 3"/>
    <w:basedOn w:val="Ttulo4"/>
    <w:next w:val="Normal"/>
    <w:link w:val="Ttulo3Car"/>
    <w:uiPriority w:val="9"/>
    <w:unhideWhenUsed/>
    <w:qFormat/>
    <w:rsid w:val="00F441D1"/>
    <w:pPr>
      <w:keepLines w:val="0"/>
      <w:autoSpaceDE w:val="0"/>
      <w:autoSpaceDN w:val="0"/>
      <w:adjustRightInd w:val="0"/>
      <w:spacing w:line="240" w:lineRule="auto"/>
      <w:ind w:left="346" w:firstLine="709"/>
      <w:jc w:val="both"/>
      <w:outlineLvl w:val="2"/>
    </w:pPr>
    <w:rPr>
      <w:rFonts w:ascii="Verdana" w:eastAsiaTheme="minorHAnsi" w:hAnsi="Verdana" w:cs="Arial"/>
      <w:bCs w:val="0"/>
      <w:iCs w:val="0"/>
      <w:color w:val="auto"/>
      <w:sz w:val="20"/>
      <w:szCs w:val="20"/>
      <w:lang w:val="es-CR"/>
    </w:rPr>
  </w:style>
  <w:style w:type="paragraph" w:styleId="Ttulo4">
    <w:name w:val="heading 4"/>
    <w:basedOn w:val="Normal"/>
    <w:next w:val="Normal"/>
    <w:link w:val="Ttulo4Car"/>
    <w:uiPriority w:val="9"/>
    <w:unhideWhenUsed/>
    <w:qFormat/>
    <w:rsid w:val="000D17B3"/>
    <w:pPr>
      <w:keepNext/>
      <w:keepLines/>
      <w:spacing w:before="200" w:line="276" w:lineRule="auto"/>
      <w:jc w:val="left"/>
      <w:outlineLvl w:val="3"/>
    </w:pPr>
    <w:rPr>
      <w:rFonts w:asciiTheme="majorHAnsi" w:eastAsiaTheme="majorEastAsia" w:hAnsiTheme="majorHAnsi" w:cstheme="majorBidi"/>
      <w:b/>
      <w:bCs/>
      <w:i/>
      <w:iCs/>
      <w:noProof w:val="0"/>
      <w:color w:val="4F81BD" w:themeColor="accent1"/>
      <w:sz w:val="22"/>
      <w:szCs w:val="22"/>
      <w:lang w:val="pt-BR"/>
    </w:rPr>
  </w:style>
  <w:style w:type="paragraph" w:styleId="Ttulo5">
    <w:name w:val="heading 5"/>
    <w:basedOn w:val="Normal"/>
    <w:next w:val="Normal"/>
    <w:link w:val="Ttulo5Car"/>
    <w:uiPriority w:val="9"/>
    <w:unhideWhenUsed/>
    <w:qFormat/>
    <w:rsid w:val="000D17B3"/>
    <w:pPr>
      <w:keepNext/>
      <w:keepLines/>
      <w:widowControl w:val="0"/>
      <w:spacing w:before="200" w:line="276" w:lineRule="auto"/>
      <w:jc w:val="left"/>
      <w:outlineLvl w:val="4"/>
    </w:pPr>
    <w:rPr>
      <w:rFonts w:asciiTheme="majorHAnsi" w:eastAsiaTheme="majorEastAsia" w:hAnsiTheme="majorHAnsi" w:cstheme="majorBidi"/>
      <w:noProof w:val="0"/>
      <w:color w:val="243F60" w:themeColor="accent1" w:themeShade="7F"/>
      <w:sz w:val="22"/>
      <w:szCs w:val="22"/>
      <w:lang w:val="en-US"/>
    </w:rPr>
  </w:style>
  <w:style w:type="paragraph" w:styleId="Ttulo6">
    <w:name w:val="heading 6"/>
    <w:basedOn w:val="Normal"/>
    <w:next w:val="Normal"/>
    <w:link w:val="Ttulo6Car"/>
    <w:uiPriority w:val="9"/>
    <w:semiHidden/>
    <w:unhideWhenUsed/>
    <w:qFormat/>
    <w:rsid w:val="00C42183"/>
    <w:pPr>
      <w:keepNext/>
      <w:keepLines/>
      <w:spacing w:before="40"/>
      <w:jc w:val="left"/>
      <w:outlineLvl w:val="5"/>
    </w:pPr>
    <w:rPr>
      <w:rFonts w:asciiTheme="majorHAnsi" w:eastAsiaTheme="majorEastAsia" w:hAnsiTheme="majorHAnsi" w:cstheme="majorBidi"/>
      <w:noProof w:val="0"/>
      <w:color w:val="243F60" w:themeColor="accent1" w:themeShade="7F"/>
      <w:szCs w:val="20"/>
      <w:lang w:val="es-CR"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C44DA"/>
    <w:rPr>
      <w:rFonts w:ascii="Verdana" w:eastAsia="Times New Roman" w:hAnsi="Verdana" w:cs="Verdana"/>
      <w:b/>
      <w:bCs/>
      <w:caps/>
      <w:noProof/>
      <w:snapToGrid w:val="0"/>
      <w:sz w:val="20"/>
      <w:szCs w:val="20"/>
      <w:lang w:val="es-CR" w:eastAsia="es-ES"/>
    </w:rPr>
  </w:style>
  <w:style w:type="paragraph" w:styleId="Ttulo">
    <w:name w:val="Title"/>
    <w:basedOn w:val="Normal"/>
    <w:link w:val="TtuloCar"/>
    <w:qFormat/>
    <w:rsid w:val="00DC44DA"/>
    <w:pPr>
      <w:jc w:val="center"/>
    </w:pPr>
    <w:rPr>
      <w:rFonts w:eastAsia="Times New Roman" w:cs="Times New Roman"/>
      <w:b/>
      <w:szCs w:val="20"/>
    </w:rPr>
  </w:style>
  <w:style w:type="character" w:customStyle="1" w:styleId="TtuloCar">
    <w:name w:val="Título Car"/>
    <w:basedOn w:val="Fuentedeprrafopredeter"/>
    <w:link w:val="Ttulo"/>
    <w:rsid w:val="00DC44DA"/>
    <w:rPr>
      <w:rFonts w:ascii="Verdana" w:eastAsia="Times New Roman" w:hAnsi="Verdana" w:cs="Times New Roman"/>
      <w:b/>
      <w:noProof/>
      <w:sz w:val="20"/>
      <w:szCs w:val="20"/>
      <w:lang w:val="es-ES_tradnl"/>
    </w:rPr>
  </w:style>
  <w:style w:type="paragraph" w:styleId="Subttulo">
    <w:name w:val="Subtitle"/>
    <w:basedOn w:val="Normal"/>
    <w:next w:val="Normal"/>
    <w:link w:val="SubttuloCar"/>
    <w:uiPriority w:val="11"/>
    <w:qFormat/>
    <w:rsid w:val="00DC44DA"/>
    <w:pPr>
      <w:numPr>
        <w:ilvl w:val="1"/>
      </w:numPr>
      <w:jc w:val="center"/>
    </w:pPr>
    <w:rPr>
      <w:rFonts w:eastAsia="Times New Roman" w:cs="Times New Roman"/>
      <w:b/>
      <w:i/>
      <w:iCs/>
      <w:spacing w:val="15"/>
    </w:rPr>
  </w:style>
  <w:style w:type="character" w:customStyle="1" w:styleId="SubttuloCar">
    <w:name w:val="Subtítulo Car"/>
    <w:basedOn w:val="Fuentedeprrafopredeter"/>
    <w:link w:val="Subttulo"/>
    <w:uiPriority w:val="11"/>
    <w:rsid w:val="00DC44DA"/>
    <w:rPr>
      <w:rFonts w:ascii="Verdana" w:eastAsia="Times New Roman" w:hAnsi="Verdana" w:cs="Times New Roman"/>
      <w:b/>
      <w:i/>
      <w:iCs/>
      <w:noProof/>
      <w:spacing w:val="15"/>
      <w:sz w:val="20"/>
      <w:szCs w:val="24"/>
      <w:lang w:val="es-ES_tradnl"/>
    </w:rPr>
  </w:style>
  <w:style w:type="paragraph" w:customStyle="1" w:styleId="citaindirecta">
    <w:name w:val="cita indirecta"/>
    <w:basedOn w:val="Normal"/>
    <w:uiPriority w:val="99"/>
    <w:qFormat/>
    <w:rsid w:val="00DC44DA"/>
    <w:pPr>
      <w:ind w:left="708"/>
    </w:pPr>
    <w:rPr>
      <w:rFonts w:eastAsia="Times New Roman" w:cs="Times New Roman"/>
      <w:szCs w:val="20"/>
    </w:rPr>
  </w:style>
  <w:style w:type="character" w:styleId="Hipervnculo">
    <w:name w:val="Hyperlink"/>
    <w:basedOn w:val="Fuentedeprrafopredeter"/>
    <w:uiPriority w:val="99"/>
    <w:unhideWhenUsed/>
    <w:rsid w:val="00DC44DA"/>
    <w:rPr>
      <w:color w:val="0000FF"/>
      <w:u w:val="single"/>
    </w:rPr>
  </w:style>
  <w:style w:type="paragraph" w:styleId="TDC1">
    <w:name w:val="toc 1"/>
    <w:basedOn w:val="Normal"/>
    <w:next w:val="Normal"/>
    <w:autoRedefine/>
    <w:uiPriority w:val="39"/>
    <w:unhideWhenUsed/>
    <w:qFormat/>
    <w:rsid w:val="009562E1"/>
    <w:pPr>
      <w:tabs>
        <w:tab w:val="right" w:leader="dot" w:pos="9356"/>
      </w:tabs>
    </w:pPr>
    <w:rPr>
      <w:rFonts w:ascii="Verdana Bold" w:hAnsi="Verdana Bold"/>
      <w:b/>
      <w:caps/>
      <w:sz w:val="18"/>
      <w:lang w:val="x-none"/>
    </w:rPr>
  </w:style>
  <w:style w:type="paragraph" w:styleId="TtuloTDC">
    <w:name w:val="TOC Heading"/>
    <w:basedOn w:val="Ttulo1"/>
    <w:next w:val="Normal"/>
    <w:uiPriority w:val="39"/>
    <w:unhideWhenUsed/>
    <w:qFormat/>
    <w:rsid w:val="00DC44DA"/>
    <w:pPr>
      <w:spacing w:before="480" w:after="0" w:line="276" w:lineRule="auto"/>
      <w:jc w:val="left"/>
      <w:outlineLvl w:val="9"/>
    </w:pPr>
    <w:rPr>
      <w:rFonts w:asciiTheme="majorHAnsi" w:eastAsiaTheme="majorEastAsia" w:hAnsiTheme="majorHAnsi" w:cstheme="majorBidi"/>
      <w:caps w:val="0"/>
      <w:noProof w:val="0"/>
      <w:snapToGrid/>
      <w:color w:val="365F91" w:themeColor="accent1" w:themeShade="BF"/>
      <w:sz w:val="28"/>
      <w:szCs w:val="28"/>
      <w:lang w:val="en-US" w:eastAsia="ja-JP"/>
    </w:rPr>
  </w:style>
  <w:style w:type="paragraph" w:styleId="TDC2">
    <w:name w:val="toc 2"/>
    <w:basedOn w:val="Normal"/>
    <w:next w:val="Normal"/>
    <w:autoRedefine/>
    <w:uiPriority w:val="39"/>
    <w:unhideWhenUsed/>
    <w:qFormat/>
    <w:rsid w:val="00DC44DA"/>
    <w:pPr>
      <w:spacing w:after="100" w:line="276" w:lineRule="auto"/>
      <w:ind w:left="220"/>
      <w:jc w:val="left"/>
    </w:pPr>
    <w:rPr>
      <w:rFonts w:asciiTheme="minorHAnsi" w:eastAsiaTheme="minorEastAsia" w:hAnsiTheme="minorHAnsi" w:cstheme="minorBidi"/>
      <w:noProof w:val="0"/>
      <w:sz w:val="22"/>
      <w:szCs w:val="22"/>
      <w:lang w:val="en-US" w:eastAsia="ja-JP"/>
    </w:rPr>
  </w:style>
  <w:style w:type="paragraph" w:styleId="Textodeglobo">
    <w:name w:val="Balloon Text"/>
    <w:basedOn w:val="Normal"/>
    <w:link w:val="TextodegloboCar"/>
    <w:uiPriority w:val="99"/>
    <w:semiHidden/>
    <w:unhideWhenUsed/>
    <w:rsid w:val="00DC44DA"/>
    <w:rPr>
      <w:rFonts w:ascii="Tahoma" w:hAnsi="Tahoma" w:cs="Tahoma"/>
      <w:sz w:val="16"/>
      <w:szCs w:val="16"/>
    </w:rPr>
  </w:style>
  <w:style w:type="character" w:customStyle="1" w:styleId="TextodegloboCar">
    <w:name w:val="Texto de globo Car"/>
    <w:basedOn w:val="Fuentedeprrafopredeter"/>
    <w:link w:val="Textodeglobo"/>
    <w:uiPriority w:val="99"/>
    <w:semiHidden/>
    <w:rsid w:val="00DC44DA"/>
    <w:rPr>
      <w:rFonts w:ascii="Tahoma" w:eastAsia="Batang" w:hAnsi="Tahoma" w:cs="Tahoma"/>
      <w:noProof/>
      <w:sz w:val="16"/>
      <w:szCs w:val="16"/>
      <w:lang w:val="es-ES_tradnl"/>
    </w:rPr>
  </w:style>
  <w:style w:type="character" w:styleId="Refdenotaalpie">
    <w:name w:val="footnote reference"/>
    <w:aliases w:val="Texto de nota al pie,Appel note de bas de page,Footnotes refss,Footnote number,referencia nota al pie,BVI fnr,f,4_G,16 Point,Superscript 6 Point,Texto nota al pie,Footnote Reference Char3,Footnote Reference Char1 Char,Ref. de nota al"/>
    <w:basedOn w:val="Fuentedeprrafopredeter"/>
    <w:link w:val="4GChar"/>
    <w:uiPriority w:val="99"/>
    <w:qFormat/>
    <w:rsid w:val="00F162A7"/>
    <w:rPr>
      <w:rFonts w:cs="Times New Roman"/>
      <w:szCs w:val="20"/>
      <w:vertAlign w:val="superscript"/>
    </w:rPr>
  </w:style>
  <w:style w:type="paragraph" w:styleId="Textonotapie">
    <w:name w:val="footnote text"/>
    <w:aliases w:val="2. Footnote Text,Footnote Tesina,FA Fu,Footnote Text Char Char Char Char Char,Footnote Text Char Char Char Char,Footnote reference,Footnote Text Char Char Char,Footnote Text Cha,FA Fußnotentext,FA Fuﬂnotentext,Ca,C,ft,5,footnote text,Car"/>
    <w:basedOn w:val="Normal"/>
    <w:link w:val="TextonotapieCar1"/>
    <w:uiPriority w:val="99"/>
    <w:unhideWhenUsed/>
    <w:qFormat/>
    <w:rsid w:val="00F162A7"/>
    <w:pPr>
      <w:spacing w:before="120" w:after="120"/>
    </w:pPr>
    <w:rPr>
      <w:noProof w:val="0"/>
      <w:sz w:val="16"/>
      <w:szCs w:val="20"/>
    </w:rPr>
  </w:style>
  <w:style w:type="character" w:customStyle="1" w:styleId="FootnoteTextChar">
    <w:name w:val="Footnote Text Char"/>
    <w:aliases w:val="footnote text Char,FA Fußnotentext Char,Car Char,C Char,FA Fuﬂnotentext Char"/>
    <w:basedOn w:val="Fuentedeprrafopredeter"/>
    <w:uiPriority w:val="99"/>
    <w:qFormat/>
    <w:rsid w:val="00F162A7"/>
    <w:rPr>
      <w:rFonts w:ascii="Verdana" w:eastAsia="Batang" w:hAnsi="Verdana" w:cs="Times"/>
      <w:noProof/>
      <w:sz w:val="20"/>
      <w:szCs w:val="20"/>
      <w:lang w:val="es-ES_tradnl"/>
    </w:rPr>
  </w:style>
  <w:style w:type="character" w:customStyle="1" w:styleId="TextonotapieCar1">
    <w:name w:val="Texto nota pie Car1"/>
    <w:aliases w:val="2. Footnote Text Car,Footnote Tesina Car,FA Fu Car,Footnote Text Char Char Char Char Char Car,Footnote Text Char Char Char Char Car,Footnote reference Car,Footnote Text Char Char Char Car,Footnote Text Cha Car,FA Fußnotentext Car"/>
    <w:basedOn w:val="Fuentedeprrafopredeter"/>
    <w:link w:val="Textonotapie"/>
    <w:uiPriority w:val="99"/>
    <w:qFormat/>
    <w:rsid w:val="00F162A7"/>
    <w:rPr>
      <w:rFonts w:ascii="Verdana" w:eastAsia="Batang" w:hAnsi="Verdana" w:cs="Times"/>
      <w:sz w:val="16"/>
      <w:szCs w:val="20"/>
      <w:lang w:val="es-ES_tradnl"/>
    </w:rPr>
  </w:style>
  <w:style w:type="paragraph" w:styleId="Textocomentario">
    <w:name w:val="annotation text"/>
    <w:basedOn w:val="Normal"/>
    <w:link w:val="TextocomentarioCar"/>
    <w:uiPriority w:val="99"/>
    <w:unhideWhenUsed/>
    <w:rsid w:val="00F162A7"/>
    <w:rPr>
      <w:szCs w:val="20"/>
    </w:rPr>
  </w:style>
  <w:style w:type="character" w:customStyle="1" w:styleId="TextocomentarioCar">
    <w:name w:val="Texto comentario Car"/>
    <w:basedOn w:val="Fuentedeprrafopredeter"/>
    <w:link w:val="Textocomentario"/>
    <w:uiPriority w:val="99"/>
    <w:rsid w:val="00F162A7"/>
    <w:rPr>
      <w:rFonts w:ascii="Verdana" w:eastAsia="Batang" w:hAnsi="Verdana" w:cs="Times"/>
      <w:noProof/>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F162A7"/>
    <w:rPr>
      <w:b/>
      <w:bCs/>
      <w:noProof w:val="0"/>
    </w:rPr>
  </w:style>
  <w:style w:type="character" w:customStyle="1" w:styleId="AsuntodelcomentarioCar">
    <w:name w:val="Asunto del comentario Car"/>
    <w:basedOn w:val="TextocomentarioCar"/>
    <w:link w:val="Asuntodelcomentario"/>
    <w:uiPriority w:val="99"/>
    <w:semiHidden/>
    <w:rsid w:val="00F162A7"/>
    <w:rPr>
      <w:rFonts w:ascii="Verdana" w:eastAsia="Batang" w:hAnsi="Verdana" w:cs="Times"/>
      <w:b/>
      <w:bCs/>
      <w:noProof/>
      <w:sz w:val="20"/>
      <w:szCs w:val="20"/>
      <w:lang w:val="es-ES_tradnl"/>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F162A7"/>
    <w:rPr>
      <w:rFonts w:asciiTheme="minorHAnsi" w:eastAsiaTheme="minorHAnsi" w:hAnsiTheme="minorHAnsi" w:cs="Times New Roman"/>
      <w:noProof w:val="0"/>
      <w:sz w:val="22"/>
      <w:szCs w:val="20"/>
      <w:vertAlign w:val="superscript"/>
      <w:lang w:val="en-US"/>
    </w:rPr>
  </w:style>
  <w:style w:type="paragraph" w:styleId="Prrafodelista">
    <w:name w:val="List Paragraph"/>
    <w:aliases w:val="Footnote,List Paragraph1,Colorful List - Accent 11,Párrafo de lista1,List Paragraph2,Lista vistosa - Énfasis 11,Cuadrícula clara - Énfasis 31"/>
    <w:basedOn w:val="Normal"/>
    <w:link w:val="PrrafodelistaCar"/>
    <w:uiPriority w:val="34"/>
    <w:qFormat/>
    <w:rsid w:val="00462A40"/>
    <w:pPr>
      <w:ind w:left="720"/>
      <w:contextualSpacing/>
    </w:pPr>
    <w:rPr>
      <w:noProof w:val="0"/>
    </w:rPr>
  </w:style>
  <w:style w:type="character" w:customStyle="1" w:styleId="PrrafodelistaCar">
    <w:name w:val="Párrafo de lista Car"/>
    <w:aliases w:val="Footnote Car,List Paragraph1 Car,Colorful List - Accent 11 Car,Párrafo de lista1 Car,List Paragraph2 Car,Lista vistosa - Énfasis 11 Car,Cuadrícula clara - Énfasis 31 Car"/>
    <w:basedOn w:val="Fuentedeprrafopredeter"/>
    <w:link w:val="Prrafodelista"/>
    <w:uiPriority w:val="34"/>
    <w:locked/>
    <w:rsid w:val="00462A40"/>
    <w:rPr>
      <w:rFonts w:ascii="Verdana" w:eastAsia="Batang" w:hAnsi="Verdana" w:cs="Times"/>
      <w:sz w:val="20"/>
      <w:szCs w:val="24"/>
      <w:lang w:val="es-ES_tradnl"/>
    </w:rPr>
  </w:style>
  <w:style w:type="character" w:customStyle="1" w:styleId="Estilo1Car">
    <w:name w:val="Estilo1 Car"/>
    <w:basedOn w:val="Fuentedeprrafopredeter"/>
    <w:link w:val="Estilo1"/>
    <w:locked/>
    <w:rsid w:val="009B1CA2"/>
    <w:rPr>
      <w:rFonts w:ascii="Verdana" w:eastAsia="Batang" w:hAnsi="Verdana" w:cs="Times"/>
      <w:i/>
      <w:sz w:val="20"/>
      <w:szCs w:val="24"/>
      <w:lang w:val="es-ES_tradnl"/>
    </w:rPr>
  </w:style>
  <w:style w:type="paragraph" w:customStyle="1" w:styleId="Estilo1">
    <w:name w:val="Estilo1"/>
    <w:basedOn w:val="Normal"/>
    <w:link w:val="Estilo1Car"/>
    <w:qFormat/>
    <w:rsid w:val="009B1CA2"/>
    <w:pPr>
      <w:spacing w:after="120"/>
      <w:ind w:left="2018" w:right="6" w:hanging="180"/>
    </w:pPr>
    <w:rPr>
      <w:i/>
      <w:noProof w:val="0"/>
    </w:rPr>
  </w:style>
  <w:style w:type="character" w:styleId="Textoennegrita">
    <w:name w:val="Strong"/>
    <w:aliases w:val="Heading 2.1"/>
    <w:basedOn w:val="Fuentedeprrafopredeter"/>
    <w:uiPriority w:val="22"/>
    <w:qFormat/>
    <w:rsid w:val="00710FAC"/>
    <w:rPr>
      <w:b/>
      <w:bCs/>
    </w:rPr>
  </w:style>
  <w:style w:type="character" w:styleId="Refdecomentario">
    <w:name w:val="annotation reference"/>
    <w:basedOn w:val="Fuentedeprrafopredeter"/>
    <w:uiPriority w:val="99"/>
    <w:semiHidden/>
    <w:unhideWhenUsed/>
    <w:rsid w:val="00CB1036"/>
    <w:rPr>
      <w:sz w:val="16"/>
      <w:szCs w:val="16"/>
    </w:rPr>
  </w:style>
  <w:style w:type="character" w:customStyle="1" w:styleId="Ttulo2Car">
    <w:name w:val="Título 2 Car"/>
    <w:basedOn w:val="Fuentedeprrafopredeter"/>
    <w:link w:val="Ttulo2"/>
    <w:rsid w:val="00F441D1"/>
    <w:rPr>
      <w:rFonts w:ascii="Verdana" w:hAnsi="Verdana" w:cs="Arial"/>
      <w:b/>
      <w:sz w:val="20"/>
      <w:szCs w:val="20"/>
      <w:lang w:val="es-CR"/>
    </w:rPr>
  </w:style>
  <w:style w:type="character" w:customStyle="1" w:styleId="Ttulo3Car">
    <w:name w:val="Título 3 Car"/>
    <w:basedOn w:val="Fuentedeprrafopredeter"/>
    <w:link w:val="Ttulo3"/>
    <w:uiPriority w:val="9"/>
    <w:rsid w:val="00F441D1"/>
    <w:rPr>
      <w:rFonts w:ascii="Verdana" w:hAnsi="Verdana" w:cs="Arial"/>
      <w:b/>
      <w:i/>
      <w:sz w:val="20"/>
      <w:szCs w:val="20"/>
      <w:lang w:val="es-CR"/>
    </w:rPr>
  </w:style>
  <w:style w:type="character" w:customStyle="1" w:styleId="Ttulo4Car">
    <w:name w:val="Título 4 Car"/>
    <w:basedOn w:val="Fuentedeprrafopredeter"/>
    <w:link w:val="Ttulo4"/>
    <w:uiPriority w:val="9"/>
    <w:rsid w:val="000D17B3"/>
    <w:rPr>
      <w:rFonts w:asciiTheme="majorHAnsi" w:eastAsiaTheme="majorEastAsia" w:hAnsiTheme="majorHAnsi" w:cstheme="majorBidi"/>
      <w:b/>
      <w:bCs/>
      <w:i/>
      <w:iCs/>
      <w:color w:val="4F81BD" w:themeColor="accent1"/>
      <w:lang w:val="pt-BR"/>
    </w:rPr>
  </w:style>
  <w:style w:type="character" w:customStyle="1" w:styleId="Ttulo5Car">
    <w:name w:val="Título 5 Car"/>
    <w:basedOn w:val="Fuentedeprrafopredeter"/>
    <w:link w:val="Ttulo5"/>
    <w:uiPriority w:val="9"/>
    <w:rsid w:val="000D17B3"/>
    <w:rPr>
      <w:rFonts w:asciiTheme="majorHAnsi" w:eastAsiaTheme="majorEastAsia" w:hAnsiTheme="majorHAnsi" w:cstheme="majorBidi"/>
      <w:color w:val="243F60" w:themeColor="accent1" w:themeShade="7F"/>
    </w:rPr>
  </w:style>
  <w:style w:type="paragraph" w:styleId="Textodebloque">
    <w:name w:val="Block Text"/>
    <w:basedOn w:val="Normal"/>
    <w:uiPriority w:val="99"/>
    <w:unhideWhenUsed/>
    <w:rsid w:val="000D17B3"/>
    <w:pPr>
      <w:tabs>
        <w:tab w:val="left" w:pos="851"/>
      </w:tabs>
      <w:autoSpaceDE w:val="0"/>
      <w:autoSpaceDN w:val="0"/>
      <w:adjustRightInd w:val="0"/>
      <w:ind w:left="567" w:right="571"/>
    </w:pPr>
    <w:rPr>
      <w:rFonts w:eastAsiaTheme="minorHAnsi" w:cs="Arial"/>
      <w:noProof w:val="0"/>
      <w:szCs w:val="20"/>
      <w:lang w:val="es-CR"/>
    </w:rPr>
  </w:style>
  <w:style w:type="paragraph" w:styleId="Encabezado">
    <w:name w:val="header"/>
    <w:basedOn w:val="Normal"/>
    <w:link w:val="EncabezadoCar"/>
    <w:uiPriority w:val="99"/>
    <w:unhideWhenUsed/>
    <w:rsid w:val="000D17B3"/>
    <w:pPr>
      <w:tabs>
        <w:tab w:val="center" w:pos="4680"/>
        <w:tab w:val="right" w:pos="9360"/>
      </w:tabs>
      <w:jc w:val="left"/>
    </w:pPr>
    <w:rPr>
      <w:rFonts w:asciiTheme="minorHAnsi" w:eastAsiaTheme="minorHAnsi" w:hAnsiTheme="minorHAnsi" w:cstheme="minorBidi"/>
      <w:noProof w:val="0"/>
      <w:sz w:val="22"/>
      <w:szCs w:val="22"/>
      <w:lang w:val="pt-BR"/>
    </w:rPr>
  </w:style>
  <w:style w:type="character" w:customStyle="1" w:styleId="EncabezadoCar">
    <w:name w:val="Encabezado Car"/>
    <w:basedOn w:val="Fuentedeprrafopredeter"/>
    <w:link w:val="Encabezado"/>
    <w:uiPriority w:val="99"/>
    <w:rsid w:val="000D17B3"/>
    <w:rPr>
      <w:lang w:val="pt-BR"/>
    </w:rPr>
  </w:style>
  <w:style w:type="paragraph" w:styleId="Piedepgina">
    <w:name w:val="footer"/>
    <w:basedOn w:val="Normal"/>
    <w:link w:val="PiedepginaCar"/>
    <w:uiPriority w:val="99"/>
    <w:unhideWhenUsed/>
    <w:rsid w:val="000D17B3"/>
    <w:pPr>
      <w:tabs>
        <w:tab w:val="center" w:pos="4680"/>
        <w:tab w:val="right" w:pos="9360"/>
      </w:tabs>
      <w:jc w:val="left"/>
    </w:pPr>
    <w:rPr>
      <w:rFonts w:asciiTheme="minorHAnsi" w:eastAsiaTheme="minorHAnsi" w:hAnsiTheme="minorHAnsi" w:cstheme="minorBidi"/>
      <w:noProof w:val="0"/>
      <w:sz w:val="22"/>
      <w:szCs w:val="22"/>
      <w:lang w:val="pt-BR"/>
    </w:rPr>
  </w:style>
  <w:style w:type="character" w:customStyle="1" w:styleId="PiedepginaCar">
    <w:name w:val="Pie de página Car"/>
    <w:basedOn w:val="Fuentedeprrafopredeter"/>
    <w:link w:val="Piedepgina"/>
    <w:uiPriority w:val="99"/>
    <w:rsid w:val="000D17B3"/>
    <w:rPr>
      <w:lang w:val="pt-BR"/>
    </w:rPr>
  </w:style>
  <w:style w:type="paragraph" w:styleId="TDC3">
    <w:name w:val="toc 3"/>
    <w:basedOn w:val="Normal"/>
    <w:next w:val="Normal"/>
    <w:autoRedefine/>
    <w:uiPriority w:val="39"/>
    <w:unhideWhenUsed/>
    <w:rsid w:val="000D17B3"/>
    <w:pPr>
      <w:spacing w:after="100" w:line="276" w:lineRule="auto"/>
      <w:ind w:left="440"/>
      <w:jc w:val="left"/>
    </w:pPr>
    <w:rPr>
      <w:rFonts w:asciiTheme="minorHAnsi" w:eastAsiaTheme="minorHAnsi" w:hAnsiTheme="minorHAnsi" w:cstheme="minorBidi"/>
      <w:noProof w:val="0"/>
      <w:sz w:val="22"/>
      <w:szCs w:val="22"/>
      <w:lang w:val="pt-BR"/>
    </w:rPr>
  </w:style>
  <w:style w:type="paragraph" w:customStyle="1" w:styleId="2Footnotes">
    <w:name w:val="2. Footnotes"/>
    <w:basedOn w:val="Textonotapie"/>
    <w:link w:val="2FootnotesChar"/>
    <w:autoRedefine/>
    <w:qFormat/>
    <w:rsid w:val="003D3269"/>
    <w:rPr>
      <w:rFonts w:eastAsia="Times New Roman" w:cs="Palatino-Italic"/>
      <w:iCs/>
      <w:szCs w:val="18"/>
      <w:lang w:val="es-ES"/>
    </w:rPr>
  </w:style>
  <w:style w:type="character" w:customStyle="1" w:styleId="2FootnotesChar">
    <w:name w:val="2. Footnotes Char"/>
    <w:link w:val="2Footnotes"/>
    <w:rsid w:val="003D3269"/>
    <w:rPr>
      <w:rFonts w:ascii="Verdana" w:eastAsia="Times New Roman" w:hAnsi="Verdana" w:cs="Palatino-Italic"/>
      <w:iCs/>
      <w:sz w:val="16"/>
      <w:szCs w:val="18"/>
      <w:lang w:val="es-ES"/>
    </w:rPr>
  </w:style>
  <w:style w:type="paragraph" w:customStyle="1" w:styleId="Heading23">
    <w:name w:val="Heading 2.3"/>
    <w:basedOn w:val="Normal"/>
    <w:uiPriority w:val="99"/>
    <w:qFormat/>
    <w:rsid w:val="00D20049"/>
    <w:rPr>
      <w:rFonts w:eastAsia="Calibri" w:cs="Times New Roman"/>
      <w:noProof w:val="0"/>
      <w:sz w:val="16"/>
      <w:szCs w:val="16"/>
      <w:vertAlign w:val="superscript"/>
      <w:lang w:val="x-none" w:eastAsia="x-none"/>
    </w:rPr>
  </w:style>
  <w:style w:type="paragraph" w:customStyle="1" w:styleId="PrrafodeSentencia">
    <w:name w:val="*. Párrafo de Sentencia"/>
    <w:basedOn w:val="Textonotapie"/>
    <w:link w:val="PrrafodeSentenciaChar"/>
    <w:autoRedefine/>
    <w:qFormat/>
    <w:rsid w:val="003C2AC6"/>
    <w:pPr>
      <w:tabs>
        <w:tab w:val="left" w:pos="709"/>
      </w:tabs>
      <w:spacing w:before="0" w:after="0"/>
    </w:pPr>
    <w:rPr>
      <w:rFonts w:eastAsia="Calibri" w:cs="Verdana"/>
      <w:b/>
      <w:bCs/>
      <w:iCs/>
      <w:noProof/>
      <w:sz w:val="20"/>
      <w:u w:color="000000"/>
      <w:lang w:val="es-MX" w:eastAsia="es-CR"/>
    </w:rPr>
  </w:style>
  <w:style w:type="character" w:customStyle="1" w:styleId="TextonotapieCar">
    <w:name w:val="Texto nota pie Car"/>
    <w:aliases w:val="Car Car,Footnote Text Char Char Char Char Char Car1,Footnote Text Char Char Char Char Car1,footnote text Car1,Footnote reference Car1,FA Fu Car1,Footnote Text Char Char Char Car1,Footnote Text Cha Car1,FA Fußnotentext Car1,Ca Car1"/>
    <w:basedOn w:val="Fuentedeprrafopredeter"/>
    <w:qFormat/>
    <w:rsid w:val="00F46845"/>
    <w:rPr>
      <w:rFonts w:ascii="Calibri" w:eastAsia="Calibri" w:hAnsi="Calibri" w:cs="Times New Roman"/>
      <w:sz w:val="20"/>
      <w:szCs w:val="20"/>
      <w:lang w:val="es-CR" w:eastAsia="es-CR"/>
    </w:rPr>
  </w:style>
  <w:style w:type="character" w:customStyle="1" w:styleId="PrrafodeSentenciaChar">
    <w:name w:val="*. Párrafo de Sentencia Char"/>
    <w:basedOn w:val="Fuentedeprrafopredeter"/>
    <w:link w:val="PrrafodeSentencia"/>
    <w:rsid w:val="003C2AC6"/>
    <w:rPr>
      <w:rFonts w:ascii="Verdana" w:eastAsia="Calibri" w:hAnsi="Verdana" w:cs="Verdana"/>
      <w:b/>
      <w:bCs/>
      <w:iCs/>
      <w:noProof/>
      <w:sz w:val="20"/>
      <w:szCs w:val="20"/>
      <w:u w:color="000000"/>
      <w:lang w:val="es-MX" w:eastAsia="es-CR"/>
    </w:rPr>
  </w:style>
  <w:style w:type="paragraph" w:customStyle="1" w:styleId="Default">
    <w:name w:val="Default"/>
    <w:rsid w:val="00F46845"/>
    <w:pPr>
      <w:autoSpaceDE w:val="0"/>
      <w:autoSpaceDN w:val="0"/>
      <w:adjustRightInd w:val="0"/>
      <w:spacing w:after="0" w:line="240" w:lineRule="auto"/>
    </w:pPr>
    <w:rPr>
      <w:rFonts w:ascii="Arial" w:eastAsia="MS Mincho" w:hAnsi="Arial" w:cs="Arial"/>
      <w:color w:val="000000"/>
      <w:sz w:val="24"/>
      <w:szCs w:val="24"/>
    </w:rPr>
  </w:style>
  <w:style w:type="character" w:styleId="Hipervnculovisitado">
    <w:name w:val="FollowedHyperlink"/>
    <w:basedOn w:val="Fuentedeprrafopredeter"/>
    <w:uiPriority w:val="99"/>
    <w:semiHidden/>
    <w:unhideWhenUsed/>
    <w:rsid w:val="00F46845"/>
    <w:rPr>
      <w:color w:val="800080" w:themeColor="followedHyperlink"/>
      <w:u w:val="single"/>
    </w:rPr>
  </w:style>
  <w:style w:type="character" w:customStyle="1" w:styleId="Ttulodelibro">
    <w:name w:val="Título de libro"/>
    <w:uiPriority w:val="33"/>
    <w:qFormat/>
    <w:rsid w:val="00F46845"/>
    <w:rPr>
      <w:b/>
      <w:bCs/>
      <w:smallCaps/>
      <w:spacing w:val="5"/>
    </w:rPr>
  </w:style>
  <w:style w:type="paragraph" w:styleId="Sinespaciado">
    <w:name w:val="No Spacing"/>
    <w:link w:val="SinespaciadoCar"/>
    <w:uiPriority w:val="1"/>
    <w:qFormat/>
    <w:rsid w:val="00F46845"/>
    <w:pPr>
      <w:spacing w:after="0" w:line="240" w:lineRule="auto"/>
    </w:pPr>
    <w:rPr>
      <w:rFonts w:ascii="Calibri" w:eastAsia="Calibri" w:hAnsi="Calibri" w:cs="Times New Roman"/>
    </w:rPr>
  </w:style>
  <w:style w:type="table" w:styleId="Listavistosa-nfasis1">
    <w:name w:val="Colorful List Accent 1"/>
    <w:basedOn w:val="Tablanormal"/>
    <w:uiPriority w:val="99"/>
    <w:rsid w:val="00F46845"/>
    <w:pPr>
      <w:spacing w:after="0" w:line="240" w:lineRule="auto"/>
    </w:pPr>
    <w:rPr>
      <w:rFonts w:ascii="Calibri" w:eastAsia="Times New Roman" w:hAnsi="Calibri" w:cs="Times New Roman"/>
      <w:sz w:val="20"/>
      <w:szCs w:val="20"/>
      <w:lang w:val="es-CR" w:eastAsia="es-CR"/>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Revisin">
    <w:name w:val="Revision"/>
    <w:hidden/>
    <w:uiPriority w:val="99"/>
    <w:semiHidden/>
    <w:rsid w:val="00F46845"/>
    <w:pPr>
      <w:spacing w:after="0" w:line="240" w:lineRule="auto"/>
    </w:pPr>
    <w:rPr>
      <w:rFonts w:ascii="Calibri" w:eastAsia="Calibri" w:hAnsi="Calibri" w:cs="Times New Roman"/>
      <w:sz w:val="20"/>
      <w:szCs w:val="20"/>
      <w:lang w:val="es-CR" w:eastAsia="es-CR"/>
    </w:rPr>
  </w:style>
  <w:style w:type="paragraph" w:styleId="NormalWeb">
    <w:name w:val="Normal (Web)"/>
    <w:aliases w:val="Normal (Web) Char1,Normal (Web) Char Char,Normal (Web) Char1 Char,Normal (Web) Char Char Char"/>
    <w:basedOn w:val="Normal"/>
    <w:uiPriority w:val="99"/>
    <w:unhideWhenUsed/>
    <w:rsid w:val="00F46845"/>
    <w:pPr>
      <w:spacing w:before="100" w:beforeAutospacing="1" w:after="100" w:afterAutospacing="1"/>
      <w:jc w:val="left"/>
    </w:pPr>
    <w:rPr>
      <w:rFonts w:ascii="Times New Roman" w:eastAsia="Times New Roman" w:hAnsi="Times New Roman" w:cs="Times New Roman"/>
      <w:noProof w:val="0"/>
      <w:sz w:val="24"/>
      <w:lang w:val="en-US"/>
    </w:rPr>
  </w:style>
  <w:style w:type="character" w:customStyle="1" w:styleId="ListParagraphChar1">
    <w:name w:val="List Paragraph Char1"/>
    <w:aliases w:val="Colorful List - Accent 11 Char1,Lista vistosa - Énfasis 11 Char1,Párrafo de lista1 Char1,List Paragraph1 Char1,List Paragraph2 Char1,Footnote Char1"/>
    <w:locked/>
    <w:rsid w:val="00F46845"/>
    <w:rPr>
      <w:rFonts w:ascii="Cambria" w:eastAsia="Cambria" w:hAnsi="Cambria" w:cs="Cambria"/>
      <w:color w:val="000000"/>
      <w:sz w:val="24"/>
      <w:szCs w:val="24"/>
      <w:u w:color="000000"/>
      <w:lang w:val="en-US" w:eastAsia="es-ES"/>
    </w:rPr>
  </w:style>
  <w:style w:type="paragraph" w:customStyle="1" w:styleId="Estilo7">
    <w:name w:val="Estilo7"/>
    <w:basedOn w:val="Normal"/>
    <w:qFormat/>
    <w:rsid w:val="00F46845"/>
    <w:pPr>
      <w:numPr>
        <w:ilvl w:val="2"/>
        <w:numId w:val="4"/>
      </w:numPr>
      <w:tabs>
        <w:tab w:val="left" w:pos="567"/>
        <w:tab w:val="left" w:pos="851"/>
      </w:tabs>
      <w:spacing w:before="120" w:after="120"/>
    </w:pPr>
    <w:rPr>
      <w:rFonts w:cs="Times New Roman"/>
      <w:b/>
      <w:i/>
      <w:noProof w:val="0"/>
      <w:szCs w:val="20"/>
      <w:lang w:eastAsia="es-MX"/>
    </w:rPr>
  </w:style>
  <w:style w:type="paragraph" w:customStyle="1" w:styleId="Textoindependiente2">
    <w:name w:val="Texto independiente2"/>
    <w:basedOn w:val="Normal"/>
    <w:rsid w:val="00F46845"/>
    <w:pPr>
      <w:widowControl w:val="0"/>
    </w:pPr>
    <w:rPr>
      <w:rFonts w:ascii="Times" w:eastAsia="Times New Roman" w:hAnsi="Times" w:cs="Times New Roman"/>
      <w:noProof w:val="0"/>
      <w:sz w:val="24"/>
      <w:szCs w:val="20"/>
      <w:lang w:val="es-ES" w:eastAsia="es-CR"/>
    </w:rPr>
  </w:style>
  <w:style w:type="character" w:customStyle="1" w:styleId="Ttulo6Car">
    <w:name w:val="Título 6 Car"/>
    <w:basedOn w:val="Fuentedeprrafopredeter"/>
    <w:link w:val="Ttulo6"/>
    <w:uiPriority w:val="9"/>
    <w:semiHidden/>
    <w:rsid w:val="00C42183"/>
    <w:rPr>
      <w:rFonts w:asciiTheme="majorHAnsi" w:eastAsiaTheme="majorEastAsia" w:hAnsiTheme="majorHAnsi" w:cstheme="majorBidi"/>
      <w:color w:val="243F60" w:themeColor="accent1" w:themeShade="7F"/>
      <w:sz w:val="20"/>
      <w:szCs w:val="20"/>
      <w:lang w:val="es-CR" w:eastAsia="es-CR"/>
    </w:rPr>
  </w:style>
  <w:style w:type="character" w:customStyle="1" w:styleId="SinespaciadoCar">
    <w:name w:val="Sin espaciado Car"/>
    <w:basedOn w:val="Fuentedeprrafopredeter"/>
    <w:link w:val="Sinespaciado"/>
    <w:uiPriority w:val="1"/>
    <w:rsid w:val="00C42183"/>
    <w:rPr>
      <w:rFonts w:ascii="Calibri" w:eastAsia="Calibri" w:hAnsi="Calibri" w:cs="Times New Roman"/>
    </w:rPr>
  </w:style>
  <w:style w:type="numbering" w:customStyle="1" w:styleId="NoList1">
    <w:name w:val="No List1"/>
    <w:next w:val="Sinlista"/>
    <w:uiPriority w:val="99"/>
    <w:semiHidden/>
    <w:unhideWhenUsed/>
    <w:rsid w:val="006F704E"/>
  </w:style>
  <w:style w:type="paragraph" w:customStyle="1" w:styleId="Footnotes">
    <w:name w:val="**. Footnotes"/>
    <w:basedOn w:val="Textonotapie"/>
    <w:link w:val="FootnotesChar"/>
    <w:qFormat/>
    <w:rsid w:val="006F704E"/>
    <w:pPr>
      <w:tabs>
        <w:tab w:val="left" w:pos="567"/>
      </w:tabs>
      <w:spacing w:before="0" w:after="0"/>
    </w:pPr>
    <w:rPr>
      <w:rFonts w:eastAsia="Times New Roman" w:cs="Palatino-Italic"/>
      <w:iCs/>
      <w:spacing w:val="-4"/>
      <w:szCs w:val="16"/>
      <w:lang w:val="es-ES" w:bidi="en-US"/>
    </w:rPr>
  </w:style>
  <w:style w:type="character" w:customStyle="1" w:styleId="FootnotesChar">
    <w:name w:val="**. Footnotes Char"/>
    <w:basedOn w:val="Fuentedeprrafopredeter"/>
    <w:link w:val="Footnotes"/>
    <w:rsid w:val="006F704E"/>
    <w:rPr>
      <w:rFonts w:ascii="Verdana" w:eastAsia="Times New Roman" w:hAnsi="Verdana" w:cs="Palatino-Italic"/>
      <w:iCs/>
      <w:spacing w:val="-4"/>
      <w:sz w:val="16"/>
      <w:szCs w:val="16"/>
      <w:lang w:val="es-ES" w:bidi="en-US"/>
    </w:rPr>
  </w:style>
  <w:style w:type="table" w:styleId="Tablaconcuadrcula">
    <w:name w:val="Table Grid"/>
    <w:basedOn w:val="Tablanormal"/>
    <w:uiPriority w:val="59"/>
    <w:rsid w:val="00C571EC"/>
    <w:pPr>
      <w:spacing w:after="0" w:line="240" w:lineRule="auto"/>
    </w:pPr>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lnea">
    <w:name w:val="line number"/>
    <w:basedOn w:val="Fuentedeprrafopredeter"/>
    <w:uiPriority w:val="99"/>
    <w:semiHidden/>
    <w:unhideWhenUsed/>
    <w:rsid w:val="0021719F"/>
  </w:style>
  <w:style w:type="paragraph" w:customStyle="1" w:styleId="Prrafodelista2">
    <w:name w:val="Párrafo de lista2"/>
    <w:basedOn w:val="Normal"/>
    <w:uiPriority w:val="99"/>
    <w:rsid w:val="0060553A"/>
    <w:pPr>
      <w:ind w:left="720"/>
      <w:jc w:val="left"/>
    </w:pPr>
    <w:rPr>
      <w:rFonts w:eastAsia="MS Mincho" w:cs="Times New Roman"/>
      <w:noProof w:val="0"/>
      <w:szCs w:val="20"/>
      <w:lang w:bidi="en-US"/>
    </w:rPr>
  </w:style>
  <w:style w:type="paragraph" w:styleId="Textonotaalfinal">
    <w:name w:val="endnote text"/>
    <w:basedOn w:val="Normal"/>
    <w:link w:val="TextonotaalfinalCar"/>
    <w:uiPriority w:val="99"/>
    <w:unhideWhenUsed/>
    <w:rsid w:val="00EE1E0E"/>
    <w:rPr>
      <w:szCs w:val="20"/>
    </w:rPr>
  </w:style>
  <w:style w:type="character" w:customStyle="1" w:styleId="TextonotaalfinalCar">
    <w:name w:val="Texto nota al final Car"/>
    <w:basedOn w:val="Fuentedeprrafopredeter"/>
    <w:link w:val="Textonotaalfinal"/>
    <w:uiPriority w:val="99"/>
    <w:rsid w:val="00EE1E0E"/>
    <w:rPr>
      <w:rFonts w:ascii="Verdana" w:eastAsia="Batang" w:hAnsi="Verdana" w:cs="Times"/>
      <w:noProof/>
      <w:sz w:val="20"/>
      <w:szCs w:val="20"/>
      <w:lang w:val="es-ES_tradnl"/>
    </w:rPr>
  </w:style>
  <w:style w:type="character" w:styleId="Refdenotaalfinal">
    <w:name w:val="endnote reference"/>
    <w:basedOn w:val="Fuentedeprrafopredeter"/>
    <w:uiPriority w:val="99"/>
    <w:unhideWhenUsed/>
    <w:rsid w:val="00EE1E0E"/>
    <w:rPr>
      <w:vertAlign w:val="superscript"/>
    </w:rPr>
  </w:style>
  <w:style w:type="character" w:styleId="Mencinsinresolver">
    <w:name w:val="Unresolved Mention"/>
    <w:basedOn w:val="Fuentedeprrafopredeter"/>
    <w:uiPriority w:val="99"/>
    <w:semiHidden/>
    <w:unhideWhenUsed/>
    <w:rsid w:val="00F017D3"/>
    <w:rPr>
      <w:color w:val="605E5C"/>
      <w:shd w:val="clear" w:color="auto" w:fill="E1DFDD"/>
    </w:rPr>
  </w:style>
  <w:style w:type="character" w:customStyle="1" w:styleId="alsocalled">
    <w:name w:val="alsocalled"/>
    <w:basedOn w:val="Fuentedeprrafopredeter"/>
    <w:rsid w:val="00CA11F6"/>
  </w:style>
  <w:style w:type="character" w:customStyle="1" w:styleId="ilfuvd">
    <w:name w:val="ilfuvd"/>
    <w:basedOn w:val="Fuentedeprrafopredeter"/>
    <w:rsid w:val="00BC6BC7"/>
  </w:style>
  <w:style w:type="character" w:customStyle="1" w:styleId="st">
    <w:name w:val="st"/>
    <w:basedOn w:val="Fuentedeprrafopredeter"/>
    <w:rsid w:val="00AF41B4"/>
  </w:style>
  <w:style w:type="character" w:styleId="nfasis">
    <w:name w:val="Emphasis"/>
    <w:basedOn w:val="Fuentedeprrafopredeter"/>
    <w:uiPriority w:val="20"/>
    <w:qFormat/>
    <w:rsid w:val="00AF41B4"/>
    <w:rPr>
      <w:i/>
      <w:iCs/>
    </w:rPr>
  </w:style>
  <w:style w:type="character" w:customStyle="1" w:styleId="highlight">
    <w:name w:val="highlight"/>
    <w:basedOn w:val="Fuentedeprrafopredeter"/>
    <w:rsid w:val="009F1A03"/>
  </w:style>
  <w:style w:type="character" w:customStyle="1" w:styleId="tagtrans">
    <w:name w:val="tag_trans"/>
    <w:basedOn w:val="Fuentedeprrafopredeter"/>
    <w:rsid w:val="00E65EE1"/>
  </w:style>
  <w:style w:type="character" w:customStyle="1" w:styleId="apple-converted-space">
    <w:name w:val="apple-converted-space"/>
    <w:basedOn w:val="Fuentedeprrafopredeter"/>
    <w:rsid w:val="00C36F0E"/>
  </w:style>
  <w:style w:type="character" w:styleId="Nmerodepgina">
    <w:name w:val="page number"/>
    <w:basedOn w:val="Fuentedeprrafopredeter"/>
    <w:uiPriority w:val="99"/>
    <w:semiHidden/>
    <w:unhideWhenUsed/>
    <w:rsid w:val="00C36F0E"/>
  </w:style>
  <w:style w:type="character" w:customStyle="1" w:styleId="SubttuloCar1">
    <w:name w:val="Subtítulo Car1"/>
    <w:basedOn w:val="Fuentedeprrafopredeter"/>
    <w:uiPriority w:val="11"/>
    <w:rsid w:val="00C36F0E"/>
    <w:rPr>
      <w:rFonts w:ascii="Verdana" w:eastAsia="Times New Roman" w:hAnsi="Verdana" w:cs="Times New Roman"/>
      <w:b/>
      <w:i/>
      <w:iCs/>
      <w:noProof/>
      <w:spacing w:val="15"/>
      <w:sz w:val="20"/>
      <w:lang w:val="es-ES_tradnl" w:eastAsia="en-US"/>
    </w:rPr>
  </w:style>
  <w:style w:type="paragraph" w:styleId="Lista2">
    <w:name w:val="List 2"/>
    <w:basedOn w:val="Normal"/>
    <w:uiPriority w:val="99"/>
    <w:unhideWhenUsed/>
    <w:rsid w:val="00C36F0E"/>
    <w:pPr>
      <w:spacing w:after="160" w:line="259" w:lineRule="auto"/>
      <w:ind w:left="566" w:hanging="283"/>
      <w:contextualSpacing/>
      <w:jc w:val="left"/>
    </w:pPr>
    <w:rPr>
      <w:rFonts w:asciiTheme="minorHAnsi" w:eastAsiaTheme="minorHAnsi" w:hAnsiTheme="minorHAnsi" w:cstheme="minorBidi"/>
      <w:noProof w:val="0"/>
      <w:sz w:val="22"/>
      <w:szCs w:val="22"/>
      <w:lang w:val="es-MX"/>
    </w:rPr>
  </w:style>
  <w:style w:type="character" w:customStyle="1" w:styleId="Mencinsinresolver1">
    <w:name w:val="Mención sin resolver1"/>
    <w:basedOn w:val="Fuentedeprrafopredeter"/>
    <w:uiPriority w:val="99"/>
    <w:semiHidden/>
    <w:unhideWhenUsed/>
    <w:rsid w:val="00C36F0E"/>
    <w:rPr>
      <w:color w:val="808080"/>
      <w:shd w:val="clear" w:color="auto" w:fill="E6E6E6"/>
    </w:rPr>
  </w:style>
  <w:style w:type="paragraph" w:styleId="Lista">
    <w:name w:val="List"/>
    <w:basedOn w:val="Normal"/>
    <w:uiPriority w:val="99"/>
    <w:unhideWhenUsed/>
    <w:rsid w:val="00C36F0E"/>
    <w:pPr>
      <w:spacing w:after="160" w:line="259" w:lineRule="auto"/>
      <w:ind w:left="283" w:hanging="283"/>
      <w:contextualSpacing/>
      <w:jc w:val="left"/>
    </w:pPr>
    <w:rPr>
      <w:rFonts w:asciiTheme="minorHAnsi" w:eastAsiaTheme="minorHAnsi" w:hAnsiTheme="minorHAnsi" w:cstheme="minorBidi"/>
      <w:noProof w:val="0"/>
      <w:sz w:val="22"/>
      <w:szCs w:val="22"/>
      <w:lang w:val="es-MX"/>
    </w:rPr>
  </w:style>
  <w:style w:type="character" w:styleId="CitaHTML">
    <w:name w:val="HTML Cite"/>
    <w:basedOn w:val="Fuentedeprrafopredeter"/>
    <w:uiPriority w:val="99"/>
    <w:semiHidden/>
    <w:unhideWhenUsed/>
    <w:rsid w:val="00C36F0E"/>
    <w:rPr>
      <w:i/>
      <w:iCs/>
    </w:rPr>
  </w:style>
  <w:style w:type="paragraph" w:customStyle="1" w:styleId="Numberedparagraphs">
    <w:name w:val="Numbered paragraphs"/>
    <w:basedOn w:val="Normal"/>
    <w:qFormat/>
    <w:rsid w:val="00AF5CC6"/>
    <w:pPr>
      <w:numPr>
        <w:numId w:val="16"/>
      </w:numPr>
    </w:pPr>
    <w:rPr>
      <w:rFonts w:eastAsia="MS Mincho" w:cs="Times New Roman"/>
      <w:noProof w:val="0"/>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856336">
      <w:bodyDiv w:val="1"/>
      <w:marLeft w:val="0"/>
      <w:marRight w:val="0"/>
      <w:marTop w:val="0"/>
      <w:marBottom w:val="0"/>
      <w:divBdr>
        <w:top w:val="none" w:sz="0" w:space="0" w:color="auto"/>
        <w:left w:val="none" w:sz="0" w:space="0" w:color="auto"/>
        <w:bottom w:val="none" w:sz="0" w:space="0" w:color="auto"/>
        <w:right w:val="none" w:sz="0" w:space="0" w:color="auto"/>
      </w:divBdr>
    </w:div>
    <w:div w:id="64031217">
      <w:bodyDiv w:val="1"/>
      <w:marLeft w:val="0"/>
      <w:marRight w:val="0"/>
      <w:marTop w:val="0"/>
      <w:marBottom w:val="0"/>
      <w:divBdr>
        <w:top w:val="none" w:sz="0" w:space="0" w:color="auto"/>
        <w:left w:val="none" w:sz="0" w:space="0" w:color="auto"/>
        <w:bottom w:val="none" w:sz="0" w:space="0" w:color="auto"/>
        <w:right w:val="none" w:sz="0" w:space="0" w:color="auto"/>
      </w:divBdr>
    </w:div>
    <w:div w:id="86850781">
      <w:bodyDiv w:val="1"/>
      <w:marLeft w:val="0"/>
      <w:marRight w:val="0"/>
      <w:marTop w:val="0"/>
      <w:marBottom w:val="0"/>
      <w:divBdr>
        <w:top w:val="none" w:sz="0" w:space="0" w:color="auto"/>
        <w:left w:val="none" w:sz="0" w:space="0" w:color="auto"/>
        <w:bottom w:val="none" w:sz="0" w:space="0" w:color="auto"/>
        <w:right w:val="none" w:sz="0" w:space="0" w:color="auto"/>
      </w:divBdr>
    </w:div>
    <w:div w:id="334919747">
      <w:bodyDiv w:val="1"/>
      <w:marLeft w:val="0"/>
      <w:marRight w:val="0"/>
      <w:marTop w:val="0"/>
      <w:marBottom w:val="0"/>
      <w:divBdr>
        <w:top w:val="none" w:sz="0" w:space="0" w:color="auto"/>
        <w:left w:val="none" w:sz="0" w:space="0" w:color="auto"/>
        <w:bottom w:val="none" w:sz="0" w:space="0" w:color="auto"/>
        <w:right w:val="none" w:sz="0" w:space="0" w:color="auto"/>
      </w:divBdr>
    </w:div>
    <w:div w:id="338389637">
      <w:bodyDiv w:val="1"/>
      <w:marLeft w:val="0"/>
      <w:marRight w:val="0"/>
      <w:marTop w:val="0"/>
      <w:marBottom w:val="0"/>
      <w:divBdr>
        <w:top w:val="none" w:sz="0" w:space="0" w:color="auto"/>
        <w:left w:val="none" w:sz="0" w:space="0" w:color="auto"/>
        <w:bottom w:val="none" w:sz="0" w:space="0" w:color="auto"/>
        <w:right w:val="none" w:sz="0" w:space="0" w:color="auto"/>
      </w:divBdr>
    </w:div>
    <w:div w:id="407650556">
      <w:bodyDiv w:val="1"/>
      <w:marLeft w:val="0"/>
      <w:marRight w:val="0"/>
      <w:marTop w:val="0"/>
      <w:marBottom w:val="0"/>
      <w:divBdr>
        <w:top w:val="none" w:sz="0" w:space="0" w:color="auto"/>
        <w:left w:val="none" w:sz="0" w:space="0" w:color="auto"/>
        <w:bottom w:val="none" w:sz="0" w:space="0" w:color="auto"/>
        <w:right w:val="none" w:sz="0" w:space="0" w:color="auto"/>
      </w:divBdr>
    </w:div>
    <w:div w:id="438380781">
      <w:bodyDiv w:val="1"/>
      <w:marLeft w:val="0"/>
      <w:marRight w:val="0"/>
      <w:marTop w:val="0"/>
      <w:marBottom w:val="0"/>
      <w:divBdr>
        <w:top w:val="none" w:sz="0" w:space="0" w:color="auto"/>
        <w:left w:val="none" w:sz="0" w:space="0" w:color="auto"/>
        <w:bottom w:val="none" w:sz="0" w:space="0" w:color="auto"/>
        <w:right w:val="none" w:sz="0" w:space="0" w:color="auto"/>
      </w:divBdr>
    </w:div>
    <w:div w:id="535898245">
      <w:bodyDiv w:val="1"/>
      <w:marLeft w:val="0"/>
      <w:marRight w:val="0"/>
      <w:marTop w:val="0"/>
      <w:marBottom w:val="0"/>
      <w:divBdr>
        <w:top w:val="none" w:sz="0" w:space="0" w:color="auto"/>
        <w:left w:val="none" w:sz="0" w:space="0" w:color="auto"/>
        <w:bottom w:val="none" w:sz="0" w:space="0" w:color="auto"/>
        <w:right w:val="none" w:sz="0" w:space="0" w:color="auto"/>
      </w:divBdr>
    </w:div>
    <w:div w:id="547376578">
      <w:bodyDiv w:val="1"/>
      <w:marLeft w:val="0"/>
      <w:marRight w:val="0"/>
      <w:marTop w:val="0"/>
      <w:marBottom w:val="0"/>
      <w:divBdr>
        <w:top w:val="none" w:sz="0" w:space="0" w:color="auto"/>
        <w:left w:val="none" w:sz="0" w:space="0" w:color="auto"/>
        <w:bottom w:val="none" w:sz="0" w:space="0" w:color="auto"/>
        <w:right w:val="none" w:sz="0" w:space="0" w:color="auto"/>
      </w:divBdr>
    </w:div>
    <w:div w:id="547842804">
      <w:bodyDiv w:val="1"/>
      <w:marLeft w:val="0"/>
      <w:marRight w:val="0"/>
      <w:marTop w:val="0"/>
      <w:marBottom w:val="0"/>
      <w:divBdr>
        <w:top w:val="none" w:sz="0" w:space="0" w:color="auto"/>
        <w:left w:val="none" w:sz="0" w:space="0" w:color="auto"/>
        <w:bottom w:val="none" w:sz="0" w:space="0" w:color="auto"/>
        <w:right w:val="none" w:sz="0" w:space="0" w:color="auto"/>
      </w:divBdr>
    </w:div>
    <w:div w:id="582447030">
      <w:bodyDiv w:val="1"/>
      <w:marLeft w:val="0"/>
      <w:marRight w:val="0"/>
      <w:marTop w:val="0"/>
      <w:marBottom w:val="0"/>
      <w:divBdr>
        <w:top w:val="none" w:sz="0" w:space="0" w:color="auto"/>
        <w:left w:val="none" w:sz="0" w:space="0" w:color="auto"/>
        <w:bottom w:val="none" w:sz="0" w:space="0" w:color="auto"/>
        <w:right w:val="none" w:sz="0" w:space="0" w:color="auto"/>
      </w:divBdr>
    </w:div>
    <w:div w:id="709454170">
      <w:bodyDiv w:val="1"/>
      <w:marLeft w:val="0"/>
      <w:marRight w:val="0"/>
      <w:marTop w:val="0"/>
      <w:marBottom w:val="0"/>
      <w:divBdr>
        <w:top w:val="none" w:sz="0" w:space="0" w:color="auto"/>
        <w:left w:val="none" w:sz="0" w:space="0" w:color="auto"/>
        <w:bottom w:val="none" w:sz="0" w:space="0" w:color="auto"/>
        <w:right w:val="none" w:sz="0" w:space="0" w:color="auto"/>
      </w:divBdr>
    </w:div>
    <w:div w:id="846864062">
      <w:bodyDiv w:val="1"/>
      <w:marLeft w:val="0"/>
      <w:marRight w:val="0"/>
      <w:marTop w:val="0"/>
      <w:marBottom w:val="0"/>
      <w:divBdr>
        <w:top w:val="none" w:sz="0" w:space="0" w:color="auto"/>
        <w:left w:val="none" w:sz="0" w:space="0" w:color="auto"/>
        <w:bottom w:val="none" w:sz="0" w:space="0" w:color="auto"/>
        <w:right w:val="none" w:sz="0" w:space="0" w:color="auto"/>
      </w:divBdr>
    </w:div>
    <w:div w:id="850801861">
      <w:bodyDiv w:val="1"/>
      <w:marLeft w:val="0"/>
      <w:marRight w:val="0"/>
      <w:marTop w:val="0"/>
      <w:marBottom w:val="0"/>
      <w:divBdr>
        <w:top w:val="none" w:sz="0" w:space="0" w:color="auto"/>
        <w:left w:val="none" w:sz="0" w:space="0" w:color="auto"/>
        <w:bottom w:val="none" w:sz="0" w:space="0" w:color="auto"/>
        <w:right w:val="none" w:sz="0" w:space="0" w:color="auto"/>
      </w:divBdr>
    </w:div>
    <w:div w:id="886768699">
      <w:bodyDiv w:val="1"/>
      <w:marLeft w:val="0"/>
      <w:marRight w:val="0"/>
      <w:marTop w:val="0"/>
      <w:marBottom w:val="0"/>
      <w:divBdr>
        <w:top w:val="none" w:sz="0" w:space="0" w:color="auto"/>
        <w:left w:val="none" w:sz="0" w:space="0" w:color="auto"/>
        <w:bottom w:val="none" w:sz="0" w:space="0" w:color="auto"/>
        <w:right w:val="none" w:sz="0" w:space="0" w:color="auto"/>
      </w:divBdr>
    </w:div>
    <w:div w:id="915088382">
      <w:bodyDiv w:val="1"/>
      <w:marLeft w:val="0"/>
      <w:marRight w:val="0"/>
      <w:marTop w:val="0"/>
      <w:marBottom w:val="0"/>
      <w:divBdr>
        <w:top w:val="none" w:sz="0" w:space="0" w:color="auto"/>
        <w:left w:val="none" w:sz="0" w:space="0" w:color="auto"/>
        <w:bottom w:val="none" w:sz="0" w:space="0" w:color="auto"/>
        <w:right w:val="none" w:sz="0" w:space="0" w:color="auto"/>
      </w:divBdr>
    </w:div>
    <w:div w:id="933393603">
      <w:bodyDiv w:val="1"/>
      <w:marLeft w:val="0"/>
      <w:marRight w:val="0"/>
      <w:marTop w:val="0"/>
      <w:marBottom w:val="0"/>
      <w:divBdr>
        <w:top w:val="none" w:sz="0" w:space="0" w:color="auto"/>
        <w:left w:val="none" w:sz="0" w:space="0" w:color="auto"/>
        <w:bottom w:val="none" w:sz="0" w:space="0" w:color="auto"/>
        <w:right w:val="none" w:sz="0" w:space="0" w:color="auto"/>
      </w:divBdr>
    </w:div>
    <w:div w:id="938291603">
      <w:bodyDiv w:val="1"/>
      <w:marLeft w:val="0"/>
      <w:marRight w:val="0"/>
      <w:marTop w:val="0"/>
      <w:marBottom w:val="0"/>
      <w:divBdr>
        <w:top w:val="none" w:sz="0" w:space="0" w:color="auto"/>
        <w:left w:val="none" w:sz="0" w:space="0" w:color="auto"/>
        <w:bottom w:val="none" w:sz="0" w:space="0" w:color="auto"/>
        <w:right w:val="none" w:sz="0" w:space="0" w:color="auto"/>
      </w:divBdr>
      <w:divsChild>
        <w:div w:id="740446742">
          <w:marLeft w:val="0"/>
          <w:marRight w:val="0"/>
          <w:marTop w:val="0"/>
          <w:marBottom w:val="0"/>
          <w:divBdr>
            <w:top w:val="none" w:sz="0" w:space="0" w:color="auto"/>
            <w:left w:val="none" w:sz="0" w:space="0" w:color="auto"/>
            <w:bottom w:val="none" w:sz="0" w:space="0" w:color="auto"/>
            <w:right w:val="none" w:sz="0" w:space="0" w:color="auto"/>
          </w:divBdr>
        </w:div>
      </w:divsChild>
    </w:div>
    <w:div w:id="959872194">
      <w:bodyDiv w:val="1"/>
      <w:marLeft w:val="0"/>
      <w:marRight w:val="0"/>
      <w:marTop w:val="0"/>
      <w:marBottom w:val="0"/>
      <w:divBdr>
        <w:top w:val="none" w:sz="0" w:space="0" w:color="auto"/>
        <w:left w:val="none" w:sz="0" w:space="0" w:color="auto"/>
        <w:bottom w:val="none" w:sz="0" w:space="0" w:color="auto"/>
        <w:right w:val="none" w:sz="0" w:space="0" w:color="auto"/>
      </w:divBdr>
    </w:div>
    <w:div w:id="973481991">
      <w:bodyDiv w:val="1"/>
      <w:marLeft w:val="0"/>
      <w:marRight w:val="0"/>
      <w:marTop w:val="0"/>
      <w:marBottom w:val="0"/>
      <w:divBdr>
        <w:top w:val="none" w:sz="0" w:space="0" w:color="auto"/>
        <w:left w:val="none" w:sz="0" w:space="0" w:color="auto"/>
        <w:bottom w:val="none" w:sz="0" w:space="0" w:color="auto"/>
        <w:right w:val="none" w:sz="0" w:space="0" w:color="auto"/>
      </w:divBdr>
    </w:div>
    <w:div w:id="1145048118">
      <w:bodyDiv w:val="1"/>
      <w:marLeft w:val="0"/>
      <w:marRight w:val="0"/>
      <w:marTop w:val="0"/>
      <w:marBottom w:val="0"/>
      <w:divBdr>
        <w:top w:val="none" w:sz="0" w:space="0" w:color="auto"/>
        <w:left w:val="none" w:sz="0" w:space="0" w:color="auto"/>
        <w:bottom w:val="none" w:sz="0" w:space="0" w:color="auto"/>
        <w:right w:val="none" w:sz="0" w:space="0" w:color="auto"/>
      </w:divBdr>
      <w:divsChild>
        <w:div w:id="87971914">
          <w:marLeft w:val="0"/>
          <w:marRight w:val="0"/>
          <w:marTop w:val="0"/>
          <w:marBottom w:val="0"/>
          <w:divBdr>
            <w:top w:val="none" w:sz="0" w:space="0" w:color="auto"/>
            <w:left w:val="none" w:sz="0" w:space="0" w:color="auto"/>
            <w:bottom w:val="none" w:sz="0" w:space="0" w:color="auto"/>
            <w:right w:val="none" w:sz="0" w:space="0" w:color="auto"/>
          </w:divBdr>
          <w:divsChild>
            <w:div w:id="65518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002465">
      <w:bodyDiv w:val="1"/>
      <w:marLeft w:val="0"/>
      <w:marRight w:val="0"/>
      <w:marTop w:val="0"/>
      <w:marBottom w:val="0"/>
      <w:divBdr>
        <w:top w:val="none" w:sz="0" w:space="0" w:color="auto"/>
        <w:left w:val="none" w:sz="0" w:space="0" w:color="auto"/>
        <w:bottom w:val="none" w:sz="0" w:space="0" w:color="auto"/>
        <w:right w:val="none" w:sz="0" w:space="0" w:color="auto"/>
      </w:divBdr>
    </w:div>
    <w:div w:id="1324357307">
      <w:bodyDiv w:val="1"/>
      <w:marLeft w:val="0"/>
      <w:marRight w:val="0"/>
      <w:marTop w:val="0"/>
      <w:marBottom w:val="0"/>
      <w:divBdr>
        <w:top w:val="none" w:sz="0" w:space="0" w:color="auto"/>
        <w:left w:val="none" w:sz="0" w:space="0" w:color="auto"/>
        <w:bottom w:val="none" w:sz="0" w:space="0" w:color="auto"/>
        <w:right w:val="none" w:sz="0" w:space="0" w:color="auto"/>
      </w:divBdr>
    </w:div>
    <w:div w:id="1396664718">
      <w:bodyDiv w:val="1"/>
      <w:marLeft w:val="0"/>
      <w:marRight w:val="0"/>
      <w:marTop w:val="0"/>
      <w:marBottom w:val="0"/>
      <w:divBdr>
        <w:top w:val="none" w:sz="0" w:space="0" w:color="auto"/>
        <w:left w:val="none" w:sz="0" w:space="0" w:color="auto"/>
        <w:bottom w:val="none" w:sz="0" w:space="0" w:color="auto"/>
        <w:right w:val="none" w:sz="0" w:space="0" w:color="auto"/>
      </w:divBdr>
    </w:div>
    <w:div w:id="1446845594">
      <w:bodyDiv w:val="1"/>
      <w:marLeft w:val="0"/>
      <w:marRight w:val="0"/>
      <w:marTop w:val="0"/>
      <w:marBottom w:val="0"/>
      <w:divBdr>
        <w:top w:val="none" w:sz="0" w:space="0" w:color="auto"/>
        <w:left w:val="none" w:sz="0" w:space="0" w:color="auto"/>
        <w:bottom w:val="none" w:sz="0" w:space="0" w:color="auto"/>
        <w:right w:val="none" w:sz="0" w:space="0" w:color="auto"/>
      </w:divBdr>
    </w:div>
    <w:div w:id="1469938571">
      <w:bodyDiv w:val="1"/>
      <w:marLeft w:val="0"/>
      <w:marRight w:val="0"/>
      <w:marTop w:val="0"/>
      <w:marBottom w:val="0"/>
      <w:divBdr>
        <w:top w:val="none" w:sz="0" w:space="0" w:color="auto"/>
        <w:left w:val="none" w:sz="0" w:space="0" w:color="auto"/>
        <w:bottom w:val="none" w:sz="0" w:space="0" w:color="auto"/>
        <w:right w:val="none" w:sz="0" w:space="0" w:color="auto"/>
      </w:divBdr>
    </w:div>
    <w:div w:id="1594776190">
      <w:bodyDiv w:val="1"/>
      <w:marLeft w:val="0"/>
      <w:marRight w:val="0"/>
      <w:marTop w:val="0"/>
      <w:marBottom w:val="0"/>
      <w:divBdr>
        <w:top w:val="none" w:sz="0" w:space="0" w:color="auto"/>
        <w:left w:val="none" w:sz="0" w:space="0" w:color="auto"/>
        <w:bottom w:val="none" w:sz="0" w:space="0" w:color="auto"/>
        <w:right w:val="none" w:sz="0" w:space="0" w:color="auto"/>
      </w:divBdr>
    </w:div>
    <w:div w:id="1604456182">
      <w:bodyDiv w:val="1"/>
      <w:marLeft w:val="0"/>
      <w:marRight w:val="0"/>
      <w:marTop w:val="0"/>
      <w:marBottom w:val="0"/>
      <w:divBdr>
        <w:top w:val="none" w:sz="0" w:space="0" w:color="auto"/>
        <w:left w:val="none" w:sz="0" w:space="0" w:color="auto"/>
        <w:bottom w:val="none" w:sz="0" w:space="0" w:color="auto"/>
        <w:right w:val="none" w:sz="0" w:space="0" w:color="auto"/>
      </w:divBdr>
    </w:div>
    <w:div w:id="1606956674">
      <w:bodyDiv w:val="1"/>
      <w:marLeft w:val="0"/>
      <w:marRight w:val="0"/>
      <w:marTop w:val="0"/>
      <w:marBottom w:val="0"/>
      <w:divBdr>
        <w:top w:val="none" w:sz="0" w:space="0" w:color="auto"/>
        <w:left w:val="none" w:sz="0" w:space="0" w:color="auto"/>
        <w:bottom w:val="none" w:sz="0" w:space="0" w:color="auto"/>
        <w:right w:val="none" w:sz="0" w:space="0" w:color="auto"/>
      </w:divBdr>
    </w:div>
    <w:div w:id="1672442689">
      <w:bodyDiv w:val="1"/>
      <w:marLeft w:val="0"/>
      <w:marRight w:val="0"/>
      <w:marTop w:val="0"/>
      <w:marBottom w:val="0"/>
      <w:divBdr>
        <w:top w:val="none" w:sz="0" w:space="0" w:color="auto"/>
        <w:left w:val="none" w:sz="0" w:space="0" w:color="auto"/>
        <w:bottom w:val="none" w:sz="0" w:space="0" w:color="auto"/>
        <w:right w:val="none" w:sz="0" w:space="0" w:color="auto"/>
      </w:divBdr>
    </w:div>
    <w:div w:id="1795901229">
      <w:bodyDiv w:val="1"/>
      <w:marLeft w:val="0"/>
      <w:marRight w:val="0"/>
      <w:marTop w:val="0"/>
      <w:marBottom w:val="0"/>
      <w:divBdr>
        <w:top w:val="none" w:sz="0" w:space="0" w:color="auto"/>
        <w:left w:val="none" w:sz="0" w:space="0" w:color="auto"/>
        <w:bottom w:val="none" w:sz="0" w:space="0" w:color="auto"/>
        <w:right w:val="none" w:sz="0" w:space="0" w:color="auto"/>
      </w:divBdr>
    </w:div>
    <w:div w:id="1802112751">
      <w:bodyDiv w:val="1"/>
      <w:marLeft w:val="0"/>
      <w:marRight w:val="0"/>
      <w:marTop w:val="0"/>
      <w:marBottom w:val="0"/>
      <w:divBdr>
        <w:top w:val="none" w:sz="0" w:space="0" w:color="auto"/>
        <w:left w:val="none" w:sz="0" w:space="0" w:color="auto"/>
        <w:bottom w:val="none" w:sz="0" w:space="0" w:color="auto"/>
        <w:right w:val="none" w:sz="0" w:space="0" w:color="auto"/>
      </w:divBdr>
      <w:divsChild>
        <w:div w:id="978413938">
          <w:marLeft w:val="0"/>
          <w:marRight w:val="0"/>
          <w:marTop w:val="0"/>
          <w:marBottom w:val="0"/>
          <w:divBdr>
            <w:top w:val="none" w:sz="0" w:space="0" w:color="auto"/>
            <w:left w:val="none" w:sz="0" w:space="0" w:color="auto"/>
            <w:bottom w:val="none" w:sz="0" w:space="0" w:color="auto"/>
            <w:right w:val="none" w:sz="0" w:space="0" w:color="auto"/>
          </w:divBdr>
        </w:div>
      </w:divsChild>
    </w:div>
    <w:div w:id="1852183277">
      <w:bodyDiv w:val="1"/>
      <w:marLeft w:val="0"/>
      <w:marRight w:val="0"/>
      <w:marTop w:val="0"/>
      <w:marBottom w:val="0"/>
      <w:divBdr>
        <w:top w:val="none" w:sz="0" w:space="0" w:color="auto"/>
        <w:left w:val="none" w:sz="0" w:space="0" w:color="auto"/>
        <w:bottom w:val="none" w:sz="0" w:space="0" w:color="auto"/>
        <w:right w:val="none" w:sz="0" w:space="0" w:color="auto"/>
      </w:divBdr>
    </w:div>
    <w:div w:id="1903104214">
      <w:bodyDiv w:val="1"/>
      <w:marLeft w:val="0"/>
      <w:marRight w:val="0"/>
      <w:marTop w:val="0"/>
      <w:marBottom w:val="0"/>
      <w:divBdr>
        <w:top w:val="none" w:sz="0" w:space="0" w:color="auto"/>
        <w:left w:val="none" w:sz="0" w:space="0" w:color="auto"/>
        <w:bottom w:val="none" w:sz="0" w:space="0" w:color="auto"/>
        <w:right w:val="none" w:sz="0" w:space="0" w:color="auto"/>
      </w:divBdr>
    </w:div>
    <w:div w:id="1924989110">
      <w:bodyDiv w:val="1"/>
      <w:marLeft w:val="0"/>
      <w:marRight w:val="0"/>
      <w:marTop w:val="0"/>
      <w:marBottom w:val="0"/>
      <w:divBdr>
        <w:top w:val="none" w:sz="0" w:space="0" w:color="auto"/>
        <w:left w:val="none" w:sz="0" w:space="0" w:color="auto"/>
        <w:bottom w:val="none" w:sz="0" w:space="0" w:color="auto"/>
        <w:right w:val="none" w:sz="0" w:space="0" w:color="auto"/>
      </w:divBdr>
    </w:div>
    <w:div w:id="1996839054">
      <w:bodyDiv w:val="1"/>
      <w:marLeft w:val="0"/>
      <w:marRight w:val="0"/>
      <w:marTop w:val="0"/>
      <w:marBottom w:val="0"/>
      <w:divBdr>
        <w:top w:val="none" w:sz="0" w:space="0" w:color="auto"/>
        <w:left w:val="none" w:sz="0" w:space="0" w:color="auto"/>
        <w:bottom w:val="none" w:sz="0" w:space="0" w:color="auto"/>
        <w:right w:val="none" w:sz="0" w:space="0" w:color="auto"/>
      </w:divBdr>
    </w:div>
    <w:div w:id="2040620776">
      <w:bodyDiv w:val="1"/>
      <w:marLeft w:val="0"/>
      <w:marRight w:val="0"/>
      <w:marTop w:val="0"/>
      <w:marBottom w:val="0"/>
      <w:divBdr>
        <w:top w:val="none" w:sz="0" w:space="0" w:color="auto"/>
        <w:left w:val="none" w:sz="0" w:space="0" w:color="auto"/>
        <w:bottom w:val="none" w:sz="0" w:space="0" w:color="auto"/>
        <w:right w:val="none" w:sz="0" w:space="0" w:color="auto"/>
      </w:divBdr>
    </w:div>
    <w:div w:id="2069960679">
      <w:bodyDiv w:val="1"/>
      <w:marLeft w:val="0"/>
      <w:marRight w:val="0"/>
      <w:marTop w:val="0"/>
      <w:marBottom w:val="0"/>
      <w:divBdr>
        <w:top w:val="none" w:sz="0" w:space="0" w:color="auto"/>
        <w:left w:val="none" w:sz="0" w:space="0" w:color="auto"/>
        <w:bottom w:val="none" w:sz="0" w:space="0" w:color="auto"/>
        <w:right w:val="none" w:sz="0" w:space="0" w:color="auto"/>
      </w:divBdr>
    </w:div>
    <w:div w:id="211694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guee.com/english-spanish/translation/vis-%C3%A0-vis.html" TargetMode="Externa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undocs.org/en/A/RES/70/1" TargetMode="External"/><Relationship Id="rId3" Type="http://schemas.openxmlformats.org/officeDocument/2006/relationships/hyperlink" Target="http://data.unaids.org/publications/irc-pub05/opportu_en.pdf" TargetMode="External"/><Relationship Id="rId7" Type="http://schemas.openxmlformats.org/officeDocument/2006/relationships/hyperlink" Target="http://www.acnur.org/fileadmin/Documentos/BDL/%202010/7394.pdf" TargetMode="External"/><Relationship Id="rId2" Type="http://schemas.openxmlformats.org/officeDocument/2006/relationships/hyperlink" Target="http://data.unaids.org/publications/irc-pub05/%20opportu_en.pdf" TargetMode="External"/><Relationship Id="rId1" Type="http://schemas.openxmlformats.org/officeDocument/2006/relationships/hyperlink" Target="http://www.corteidh.or.cr/docs/asuntos/%20cuscul_08_02_18.pdf" TargetMode="External"/><Relationship Id="rId6" Type="http://schemas.openxmlformats.org/officeDocument/2006/relationships/hyperlink" Target="http://www.oas.org/es/sadye/inclusion-social/protocolo-ssv/docs/pssv-indicadores-es.pdf" TargetMode="External"/><Relationship Id="rId5" Type="http://schemas.openxmlformats.org/officeDocument/2006/relationships/hyperlink" Target="http://www.euro.who.int/__data/assets/pdf_file/0009/74664/E87762.pdf" TargetMode="External"/><Relationship Id="rId4" Type="http://schemas.openxmlformats.org/officeDocument/2006/relationships/hyperlink" Target="http://www.unaids.org/es/resources/fact-she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466B9-BF08-439D-AE9A-C89471014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139</Pages>
  <Words>57704</Words>
  <Characters>317373</Characters>
  <Application>Microsoft Office Word</Application>
  <DocSecurity>0</DocSecurity>
  <Lines>2644</Lines>
  <Paragraphs>748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Francella Hernandez</cp:lastModifiedBy>
  <cp:revision>8</cp:revision>
  <cp:lastPrinted>2020-06-24T17:29:00Z</cp:lastPrinted>
  <dcterms:created xsi:type="dcterms:W3CDTF">2020-06-05T22:01:00Z</dcterms:created>
  <dcterms:modified xsi:type="dcterms:W3CDTF">2020-06-24T17:31:00Z</dcterms:modified>
</cp:coreProperties>
</file>